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9a2a9ad9286c0cc0f0c895e89245a5b8aa93609"/>
    <w:p>
      <w:pPr>
        <w:pStyle w:val="Heading1"/>
      </w:pPr>
      <w:r>
        <w:t xml:space="preserve">Scope, Partnership, and the Pathology of Cost Growth: An Ordinary Least Squares Analysis of Development Cost Overruns Across NASA Major Projects</w:t>
      </w:r>
    </w:p>
    <w:bookmarkStart w:id="61" w:name="introduction"/>
    <w:p>
      <w:pPr>
        <w:pStyle w:val="Heading2"/>
      </w:pPr>
      <w:r>
        <w:t xml:space="preserve">1. Introduction</w:t>
      </w:r>
    </w:p>
    <w:p>
      <w:pPr>
        <w:pStyle w:val="FirstParagraph"/>
      </w:pPr>
      <w:r>
        <w:t xml:space="preserve">Requirements creep is the slow, often unremarked accretion of scope onto a program after its requirements have been baselined. In the acquisition literature it is treated less as a discrete mistake than as a chronic organizational condition, a pathology that recurs across programs, agencies, and decades despite reform after reform. This paper asks a narrow empirical question in service of that larger diagnostic claim: when scope grows, does cost grow with it, and is the growth concentrated in the kinds of projects where coordination load is highest?</w:t>
      </w:r>
    </w:p>
    <w:p>
      <w:pPr>
        <w:pStyle w:val="BodyText"/>
      </w:pPr>
      <w:r>
        <w:t xml:space="preserve">The setting is the National Aeronautics and Space Administration (NASA) portfolio of major projects, which the Government Accountability Office (GAO) has assessed annually since 2009</w:t>
      </w:r>
      <w:r>
        <w:t xml:space="preserve"> </w:t>
      </w:r>
      <w:hyperlink w:anchor="ref-1">
        <m:oMathPara>
          <m:oMathParaPr>
            <m:jc m:val="center"/>
          </m:oMathParaPr>
          <m:oMath>
            <m:r>
              <m:t>1</m:t>
            </m:r>
          </m:oMath>
        </m:oMathPara>
      </w:hyperlink>
      <w:r>
        <w:t xml:space="preserve">. NASA is an instructive case because its projects are large, technically diverse, and unusually well instrumented for cost and schedule reporting, and because the GAO record makes baseline-to-outcome comparison auditable rather than anecdotal. In fiscal year 2025 the agency planned to invest roughly seventy-four billion dollars in this portfolio</w:t>
      </w:r>
      <w:r>
        <w:t xml:space="preserve"> </w:t>
      </w:r>
      <w:hyperlink w:anchor="ref-1">
        <m:oMathPara>
          <m:oMathParaPr>
            <m:jc m:val="center"/>
          </m:oMathParaPr>
          <m:oMath>
            <m:r>
              <m:t>1</m:t>
            </m:r>
          </m:oMath>
        </m:oMathPara>
      </w:hyperlink>
      <w:r>
        <w:t xml:space="preserve">.</w:t>
      </w:r>
    </w:p>
    <w:p>
      <w:pPr>
        <w:pStyle w:val="FirstParagraph"/>
      </w:pPr>
      <w:r>
        <w:t xml:space="preserve">The contribution here is to operationalize scope in a way that is observable before outcomes are known, and then to test whether that ex ante scope measure tracks ex post cost growth. I use spacecraft launch mass as a continuous proxy for technical scope and complexity, and a binary indicator for the presence of a major external partner as a proxy for coordination-driven scope dependency. The dependent variable is development cost growth as a percentage of the project’s first formal baseline. The estimator is ordinary least squares with heteroskedasticity-robust standard errors. The finding, reported honestly, is a weak one: both scope proxies point in the predicted direction, but neither is statistically distinguishable from zero in a sample of twenty-six projects dominated by a small number of extreme overruns.</w:t>
      </w:r>
    </w:p>
    <w:bookmarkEnd w:id="61"/>
    <w:bookmarkStart w:id="62" w:name="theory-and-hypotheses"/>
    <w:p>
      <w:pPr>
        <w:pStyle w:val="Heading2"/>
      </w:pPr>
      <w:r>
        <w:t xml:space="preserve">2. Theory and Hypotheses</w:t>
      </w:r>
    </w:p>
    <w:p>
      <w:pPr>
        <w:pStyle w:val="FirstParagraph"/>
      </w:pPr>
      <w:r>
        <w:t xml:space="preserve">The theoretical premise is that cost growth is not random noise around a well-specified plan but the financial signature of scope that was underspecified at baseline. Parametric cost estimation rests on exactly this premise: that cost is a learnable function of physical and programmatic scope drivers, of which mass is historically the most durable</w:t>
      </w:r>
      <w:r>
        <w:t xml:space="preserve"> </w:t>
      </w:r>
      <w:hyperlink w:anchor="ref-2">
        <m:oMathPara>
          <m:oMathParaPr>
            <m:jc m:val="center"/>
          </m:oMathParaPr>
          <m:oMath>
            <m:r>
              <m:t>2</m:t>
            </m:r>
          </m:oMath>
        </m:oMathPara>
      </w:hyperlink>
      <w:r>
        <w:t xml:space="preserve">. If mass indexes scope, and scope is the substrate on which requirements creep operates, then larger projects should on average absorb more creep and therefore display larger percentage overruns.</w:t>
      </w:r>
    </w:p>
    <w:p>
      <w:pPr>
        <w:pStyle w:val="BlockText"/>
      </w:pPr>
      <w:r>
        <w:rPr>
          <w:b/>
          <w:bCs/>
        </w:rPr>
        <w:t xml:space="preserve">H1.</w:t>
      </w:r>
      <w:r>
        <w:t xml:space="preserve"> </w:t>
      </w:r>
      <w:r>
        <w:t xml:space="preserve">The coefficient on log launch mass is positive: development cost growth rises with technical scope.</w:t>
      </w:r>
    </w:p>
    <w:p>
      <w:pPr>
        <w:pStyle w:val="FirstParagraph"/>
      </w:pPr>
      <w:r>
        <w:t xml:space="preserve">A second mechanism is organizational rather than physical. Projects that carry major external partners, whether international space agencies or other federal entities, distribute requirements authority across institutions that do not share a single chain of command. Coordination across such boundaries is a recognized source of schedule and cost pressure; GAO has reported that NASA projects with partners experienced markedly more schedule growth than those without</w:t>
      </w:r>
      <w:r>
        <w:t xml:space="preserve"> </w:t>
      </w:r>
      <w:hyperlink w:anchor="ref-1">
        <m:oMathPara>
          <m:oMathParaPr>
            <m:jc m:val="center"/>
          </m:oMathParaPr>
          <m:oMath>
            <m:r>
              <m:t>1</m:t>
            </m:r>
          </m:oMath>
        </m:oMathPara>
      </w:hyperlink>
      <w:r>
        <w:t xml:space="preserve">. The governance literature frames this as the friction of multi-principal arrangements, a friction that has intensified as the sector has moved from legacy single-agency programs toward partnership-heavy architectures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BlockText"/>
      </w:pPr>
      <w:r>
        <w:rPr>
          <w:b/>
          <w:bCs/>
        </w:rPr>
        <w:t xml:space="preserve">H2.</w:t>
      </w:r>
      <w:r>
        <w:t xml:space="preserve"> </w:t>
      </w:r>
      <w:r>
        <w:t xml:space="preserve">The coefficient on the partner indicator is positive: partner-laden projects, carrying higher coordination load, display larger development cost growth.</w:t>
      </w:r>
    </w:p>
    <w:p>
      <w:pPr>
        <w:pStyle w:val="FirstParagraph"/>
      </w:pPr>
      <w:r>
        <w:t xml:space="preserve">Both hypotheses share a single underlying claim. If requirements creep were idiosyncratic, scope measures would carry no systematic information about overruns. To the extent creep is a pathology that scales with scope and with coordination, the scope proxies should load positively even if the sample is too small to certify significance.</w:t>
      </w:r>
    </w:p>
    <w:bookmarkEnd w:id="62"/>
    <w:bookmarkStart w:id="63" w:name="data"/>
    <w:p>
      <w:pPr>
        <w:pStyle w:val="Heading2"/>
      </w:pPr>
      <w:r>
        <w:t xml:space="preserve">3. Data</w:t>
      </w:r>
    </w:p>
    <w:p>
      <w:pPr>
        <w:pStyle w:val="FirstParagraph"/>
      </w:pPr>
      <w:r>
        <w:t xml:space="preserve">The unit of analysis is a NASA major project. The sample comprises twenty-six projects spanning the Discovery, Mars Exploration, astrophysics, heliophysics, and human-spaceflight lines, from NEAR Shoemaker through the Space Launch System. Development cost growth for the planetary and near-term science missions is drawn from the Planetary Society’s published reconciliation of baseline-to-actual development cost across two decades of missions</w:t>
      </w:r>
      <w:r>
        <w:t xml:space="preserve"> </w:t>
      </w:r>
      <w:hyperlink w:anchor="ref-5">
        <m:oMathPara>
          <m:oMathParaPr>
            <m:jc m:val="center"/>
          </m:oMathParaPr>
          <m:oMath>
            <m:r>
              <m:t>5</m:t>
            </m:r>
          </m:oMath>
        </m:oMathPara>
      </w:hyperlink>
      <w:r>
        <w:t xml:space="preserve">, supplemented for the larger and more recent projects by the GAO major-project assessments</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 </w:t>
      </w:r>
      <w:r>
        <w:t xml:space="preserve">and, for the James Webb Space Telescope, the GAO technical-challenge review</w:t>
      </w:r>
      <w:r>
        <w:t xml:space="preserve"> </w:t>
      </w:r>
      <w:hyperlink w:anchor="ref-7">
        <m:oMathPara>
          <m:oMathParaPr>
            <m:jc m:val="center"/>
          </m:oMathParaPr>
          <m:oMath>
            <m:r>
              <m:t>7</m:t>
            </m:r>
          </m:oMath>
        </m:oMathPara>
      </w:hyperlink>
      <w:r>
        <w:t xml:space="preserve">.</w:t>
      </w:r>
    </w:p>
    <w:p>
      <w:pPr>
        <w:pStyle w:val="FirstParagraph"/>
      </w:pPr>
      <w:r>
        <w:t xml:space="preserve">Launch mass for each project is taken from mission press kits and the corresponding mission reference pages, cited row by row in the accompanying data file; values range from 296 kilograms for Lunar Prospector to roughly eighty-five thousand kilograms for the SLS core stage. The partner indicator is coded from mission descriptions and the GAO partnership discussion</w:t>
      </w:r>
      <w:r>
        <w:t xml:space="preserve"> </w:t>
      </w:r>
      <w:hyperlink w:anchor="ref-1">
        <m:oMathPara>
          <m:oMathParaPr>
            <m:jc m:val="center"/>
          </m:oMathParaPr>
          <m:oMath>
            <m:r>
              <m:t>1</m:t>
            </m:r>
          </m:oMath>
        </m:oMathPara>
      </w:hyperlink>
      <w:r>
        <w:t xml:space="preserve">. Two cost-growth values, for the Space Launch System and the Orion crew vehicle, are marked illustrative in the data file because GAO reports their growth in dollar bands rather than a single baseline percentage; every other value is a documented figure with a named source. Schedule slip in months is retained as a descriptive field where GAO documents it, but is not used as a regressor, because a slip figure is not available for every row.</w:t>
      </w:r>
    </w:p>
    <w:p>
      <w:pPr>
        <w:pStyle w:val="FirstParagraph"/>
      </w:pPr>
      <w:r>
        <w:t xml:space="preserve">Across the sample, mean development cost growth is 17.4 percent with a standard deviation of 28.6 percent, and the distribution is strongly right-skewed: the minimum is negative 21.8 percent (Mars Climate Orbiter came in under baseline) and the maximum is 100.9 percent (Glory). Five of the twenty-six projects carried a major partner.</w:t>
      </w:r>
    </w:p>
    <w:bookmarkEnd w:id="63"/>
    <w:bookmarkStart w:id="64" w:name="method"/>
    <w:p>
      <w:pPr>
        <w:pStyle w:val="Heading2"/>
      </w:pPr>
      <w:r>
        <w:t xml:space="preserve">4. Method</w:t>
      </w:r>
    </w:p>
    <w:p>
      <w:pPr>
        <w:pStyle w:val="FirstParagraph"/>
      </w:pPr>
      <w:r>
        <w:t xml:space="preserve">I estimate a linear model of development cost growth on the two scope proxies. The specification regresses cost-growth percentage on the natural logarithm of launch mass and the binary partner indicator, with an intercept. The logarithmic transform of mass reflects the standard parametric-estimation practice of treating cost drivers multiplicatively rather than additively</w:t>
      </w:r>
      <w:r>
        <w:t xml:space="preserve"> </w:t>
      </w:r>
      <w:hyperlink w:anchor="ref-2">
        <m:oMathPara>
          <m:oMathParaPr>
            <m:jc m:val="center"/>
          </m:oMathParaPr>
          <m:oMath>
            <m:r>
              <m:t>2</m:t>
            </m:r>
          </m:oMath>
        </m:oMathPara>
      </w:hyperlink>
      <w:r>
        <w:t xml:space="preserve">, and dampens the leverage of the very largest vehicles.</w:t>
      </w:r>
    </w:p>
    <w:p>
      <w:pPr>
        <w:pStyle w:val="FirstParagraph"/>
      </w:pPr>
      <w:r>
        <w:t xml:space="preserve">Estimation is by ordinary least squares with HC1 heteroskedasticity-robust standard errors, an appropriate guard given the right-skewed outcome and the wide dispersion in project size. The two coefficients of interest are the slope on log mass (H1) and the slope on the partner indicator (H2); under both hypotheses these are expected to be positive. The intercept is not of substantive interest.</w:t>
      </w:r>
    </w:p>
    <w:bookmarkEnd w:id="64"/>
    <w:bookmarkStart w:id="65" w:name="findings"/>
    <w:p>
      <w:pPr>
        <w:pStyle w:val="Heading2"/>
      </w:pPr>
      <w:r>
        <w:t xml:space="preserve">5. Findings</w:t>
      </w:r>
    </w:p>
    <w:p>
      <w:pPr>
        <w:pStyle w:val="FirstParagraph"/>
      </w:pPr>
      <w:r>
        <w:t xml:space="preserve">The estimated model is weak, and I report it as such. Across the twenty-six projects the model explains very little of the variation in cost growth: R-squared is 0.058 and adjusted R-squared is negative at minus 0.024, with a model F statistic of 0.51 and an associated p value of 0.607. The joint null that scope carries no information about overruns cannot be rejected.</w:t>
      </w:r>
    </w:p>
    <w:p>
      <w:pPr>
        <w:pStyle w:val="BodyText"/>
      </w:pPr>
      <w:r>
        <w:t xml:space="preserve">The individual coefficients nonetheless both fall on the hypothesized side of zero. The slope on log launch mass is positive at 1.82 (robust standard error 3.19, t equal to 0.57, p equal to 0.567), implying that a one-unit increase in log mass is associated with roughly 1.8 additional percentage points of cost growth, but the confidence interval runs from minus 4.4 to plus 8.1 and comfortably contains zero. H1 is therefore directionally consistent but not supported at conventional levels. The partner indicator is the larger of the two effects: partner-laden projects are estimated to carry about 13.8 additional percentage points of cost growth (robust standard error 15.6, t equal to 0.88, p equal to 0.376), with a confidence interval from minus 16.8 to plus 44.4. H2 is likewise directionally consistent and not significant.</w:t>
      </w:r>
    </w:p>
    <w:p>
      <w:pPr>
        <w:pStyle w:val="BodyText"/>
      </w:pPr>
      <w:r>
        <w:t xml:space="preserve">The descriptive contrast underlying the partner coefficient is real even where the inferential test is underpowered: partner projects in the sample averaged 30.5 percent cost growth against 14.3 percent for non-partner projects. The simple correlation between log mass and cost growth is 0.16, and between the partner flag and cost growth is 0.23. The pattern is that the signs are right and the magnitudes are non-trivial, but a sample of twenty-six, with a handful of extreme overruns such as Glory and JWST exerting heavy leverage, cannot separate signal from noise with confidence.</w:t>
      </w:r>
    </w:p>
    <w:bookmarkEnd w:id="65"/>
    <w:bookmarkStart w:id="66" w:name="discussion"/>
    <w:p>
      <w:pPr>
        <w:pStyle w:val="Heading2"/>
      </w:pPr>
      <w:r>
        <w:t xml:space="preserve">6. Discussion</w:t>
      </w:r>
    </w:p>
    <w:p>
      <w:pPr>
        <w:pStyle w:val="FirstParagraph"/>
      </w:pPr>
      <w:r>
        <w:t xml:space="preserve">The honest reading of these results is that scope, measured crudely as mass and partnership, is a directionally correct but empirically thin predictor of cost growth at the level of the individual NASA project. Three interpretations follow, and they are not mutually exclusive.</w:t>
      </w:r>
    </w:p>
    <w:p>
      <w:pPr>
        <w:pStyle w:val="BodyText"/>
      </w:pPr>
      <w:r>
        <w:t xml:space="preserve">First, the null may be substantive rather than a mere artifact of sample size. If requirements creep is genuinely a pathology, its incidence may be governed by program-level organizational conditions, governance maturity, the discipline of the requirements baseline, the stability of the funding line, that are poorly captured by physical scale. A small, mass-modest mission with an unstable requirements process can overrun badly, while a large, partner-heavy mission with disciplined configuration control can hold its baseline. The wide dispersion in the data, including the under-baseline outcomes, is consistent with creep being an organizational variable that mass does not observe.</w:t>
      </w:r>
    </w:p>
    <w:p>
      <w:pPr>
        <w:pStyle w:val="BodyText"/>
      </w:pPr>
      <w:r>
        <w:t xml:space="preserve">Second, the result may be a power problem. With twenty-six observations, a right-skewed outcome, and a five-project partner subgroup, the design has limited ability to certify effects of the size estimated here. The partner effect of roughly fourteen points is policy-relevant in magnitude even though it is statistically silent, and a larger panel, or the addition of a documented schedule-slip regressor across all rows, would be the natural way to sharpen it.</w:t>
      </w:r>
    </w:p>
    <w:p>
      <w:pPr>
        <w:pStyle w:val="BodyText"/>
      </w:pPr>
      <w:r>
        <w:t xml:space="preserve">Third, the measurement of scope itself is the obvious frontier. Mass is the historical workhorse of parametric estimation</w:t>
      </w:r>
      <w:r>
        <w:t xml:space="preserve"> </w:t>
      </w:r>
      <w:hyperlink w:anchor="ref-2">
        <m:oMathPara>
          <m:oMathParaPr>
            <m:jc m:val="center"/>
          </m:oMathParaPr>
          <m:oMath>
            <m:r>
              <m:t>2</m:t>
            </m:r>
          </m:oMath>
        </m:oMathPara>
      </w:hyperlink>
      <w:r>
        <w:t xml:space="preserve">, but the move from legacy space to partnership-rich and commercially intermediated architectures has loosened the mass-cost relationship that once held</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 A scope proxy built on requirements counts, instrument complexity, or interface density would likely track creep more faithfully than launch mass, and constructing such a measure is the clearest path from this weak result to a strong one.</w:t>
      </w:r>
    </w:p>
    <w:p>
      <w:pPr>
        <w:pStyle w:val="FirstParagraph"/>
      </w:pPr>
      <w:r>
        <w:t xml:space="preserve">For the dissertation’s larger argument, the contribution is deliberately disciplined. The data neither vindicate nor refute the claim that requirements creep is an organizational pathology. What they establish is narrower and still useful: at the level of physical scale, cost growth is not cleanly mass-driven, which redirects the search for the pathology away from how big a project is and toward how a project’s requirements are governed. That redirection, rather than a significant coefficient, is the finding this paper defends.</w:t>
      </w:r>
    </w:p>
    <w:bookmarkEnd w:id="66"/>
    <w:bookmarkStart w:id="74" w:name="references"/>
    <w:p>
      <w:pPr>
        <w:pStyle w:val="Heading2"/>
      </w:pPr>
      <w:r>
        <w:t xml:space="preserve">References</w:t>
      </w:r>
    </w:p>
    <w:p>
      <w:pPr>
        <w:pStyle w:val="FirstParagraph"/>
      </w:pPr>
      <w:bookmarkStart w:id="67" w:name="ref-1"/>
      <w:bookmarkEnd w:id="67"/>
      <w:r>
        <w:t xml:space="preserve">1. U.S. Government Accountability Office,</w:t>
      </w:r>
      <w:r>
        <w:t xml:space="preserve"> </w:t>
      </w:r>
      <w:r>
        <w:t xml:space="preserve">“NASA: Assessments of Major Projects,”</w:t>
      </w:r>
      <w:r>
        <w:t xml:space="preserve"> </w:t>
      </w:r>
      <w:r>
        <w:t xml:space="preserve">GAO-25-107591, July 2025. https://www.gao.gov/products/gao-25-107591</w:t>
      </w:r>
    </w:p>
    <w:p>
      <w:pPr>
        <w:pStyle w:val="BodyText"/>
      </w:pPr>
      <w:bookmarkStart w:id="68" w:name="ref-2"/>
      <w:bookmarkEnd w:id="68"/>
      <w:r>
        <w:t xml:space="preserve">2. P. D. Friz, S. Hosder, B. B. Leser, et al.,</w:t>
      </w:r>
      <w:r>
        <w:t xml:space="preserve"> </w:t>
      </w:r>
      <w:r>
        <w:t xml:space="preserve">“Blind validation study of parametric cost estimation tool SEER-H for NASA projects,”</w:t>
      </w:r>
      <w:r>
        <w:t xml:space="preserve"> </w:t>
      </w:r>
      <w:r>
        <w:t xml:space="preserve">Acta Astronautica, vol. 165, 2019. https://doi.org/10.1016/j.actaastro.2019.09.030</w:t>
      </w:r>
    </w:p>
    <w:p>
      <w:pPr>
        <w:pStyle w:val="BodyText"/>
      </w:pPr>
      <w:bookmarkStart w:id="69" w:name="ref-3"/>
      <w:bookmarkEnd w:id="69"/>
      <w:r>
        <w:t xml:space="preserve">3. G. Denis, D. Alary, X. Pasco, and N. Pisot,</w:t>
      </w:r>
      <w:r>
        <w:t xml:space="preserve"> </w:t>
      </w:r>
      <w:r>
        <w:t xml:space="preserve">“From new space to big space: How commercial space dream is becoming a reality,”</w:t>
      </w:r>
      <w:r>
        <w:t xml:space="preserve"> </w:t>
      </w:r>
      <w:r>
        <w:t xml:space="preserve">Acta Astronautica, vol. 166, 2019. https://doi.org/10.1016/j.actaastro.2019.08.031</w:t>
      </w:r>
    </w:p>
    <w:p>
      <w:pPr>
        <w:pStyle w:val="BodyText"/>
      </w:pPr>
      <w:bookmarkStart w:id="70" w:name="ref-4"/>
      <w:bookmarkEnd w:id="70"/>
      <w:r>
        <w:t xml:space="preserve">4. V. Zancan, A. Paravano, G. Locatelli, et al.,</w:t>
      </w:r>
      <w:r>
        <w:t xml:space="preserve"> </w:t>
      </w:r>
      <w:r>
        <w:t xml:space="preserve">“Evolving governance in the space sector: From Legacy Space to New Space,”</w:t>
      </w:r>
      <w:r>
        <w:t xml:space="preserve"> </w:t>
      </w:r>
      <w:r>
        <w:t xml:space="preserve">Acta Astronautica, vol. 225, 2024. https://doi.org/10.1016/j.actaastro.2024.09.005</w:t>
      </w:r>
    </w:p>
    <w:p>
      <w:pPr>
        <w:pStyle w:val="BodyText"/>
      </w:pPr>
      <w:bookmarkStart w:id="71" w:name="ref-5"/>
      <w:bookmarkEnd w:id="71"/>
      <w:r>
        <w:t xml:space="preserve">5. The Planetary Society (G. S. Hubbard and C. Dreier),</w:t>
      </w:r>
      <w:r>
        <w:t xml:space="preserve"> </w:t>
      </w:r>
      <w:r>
        <w:t xml:space="preserve">“Implementing Missions Within Budget: Good News,”</w:t>
      </w:r>
      <w:r>
        <w:t xml:space="preserve"> </w:t>
      </w:r>
      <w:r>
        <w:t xml:space="preserve">29 May 2013. https://www.planetary.org/articles/20130529-implementing-missions-within-budget-good-news</w:t>
      </w:r>
    </w:p>
    <w:p>
      <w:pPr>
        <w:pStyle w:val="BodyText"/>
      </w:pPr>
      <w:bookmarkStart w:id="72" w:name="ref-6"/>
      <w:bookmarkEnd w:id="72"/>
      <w:r>
        <w:t xml:space="preserve">6. U.S. Government Accountability Office,</w:t>
      </w:r>
      <w:r>
        <w:t xml:space="preserve"> </w:t>
      </w:r>
      <w:r>
        <w:t xml:space="preserve">“NASA: Assessments of Selected Large-Scale Projects,”</w:t>
      </w:r>
      <w:r>
        <w:t xml:space="preserve"> </w:t>
      </w:r>
      <w:r>
        <w:t xml:space="preserve">GAO-10-227SP, February 2010. https://www.gao.gov/assets/a300595.html</w:t>
      </w:r>
    </w:p>
    <w:p>
      <w:pPr>
        <w:pStyle w:val="BodyText"/>
      </w:pPr>
      <w:bookmarkStart w:id="73" w:name="ref-7"/>
      <w:bookmarkEnd w:id="73"/>
      <w:r>
        <w:t xml:space="preserve">7. U.S. Government Accountability Office,</w:t>
      </w:r>
      <w:r>
        <w:t xml:space="preserve"> </w:t>
      </w:r>
      <w:r>
        <w:t xml:space="preserve">“James Webb Space Telescope: Technical Challenges Have Caused Schedule Strain and May Increase Costs,”</w:t>
      </w:r>
      <w:r>
        <w:t xml:space="preserve"> </w:t>
      </w:r>
      <w:r>
        <w:t xml:space="preserve">GAO-20-224, January 2020. https://www.gao.gov/assets/gao-20-224.pdf</w:t>
      </w:r>
    </w:p>
    <w:bookmarkEnd w:id="74"/>
    <w:bookmarkStart w:id="75" w:name="specification"/>
    <w:p>
      <w:pPr>
        <w:pStyle w:val="Heading2"/>
      </w:pPr>
      <w:r>
        <w:t xml:space="preserve">Specification</w:t>
      </w:r>
    </w:p>
    <w:p>
      <w:pPr>
        <w:pStyle w:val="FirstParagraph"/>
      </w:pPr>
      <m:oMathPara>
        <m:oMathParaPr>
          <m:jc m:val="center"/>
        </m:oMathParaPr>
        <m:oMath>
          <m:sSub>
            <m:e>
              <m:r>
                <m:rPr>
                  <m:nor/>
                  <m:sty m:val="p"/>
                </m:rPr>
                <m:t>CostGrowth</m:t>
              </m:r>
            </m:e>
            <m:sub>
              <m:r>
                <m:t>i</m:t>
              </m:r>
            </m:sub>
          </m:sSub>
          <m:r>
            <m:rPr>
              <m:sty m:val="p"/>
            </m:rPr>
            <m:t>=</m:t>
          </m:r>
          <m:sSub>
            <m:e>
              <m:r>
                <m:t>β</m:t>
              </m:r>
            </m:e>
            <m:sub>
              <m:r>
                <m:t>0</m:t>
              </m:r>
            </m:sub>
          </m:sSub>
          <m:r>
            <m:rPr>
              <m:sty m:val="p"/>
            </m:rPr>
            <m:t>+</m:t>
          </m:r>
          <m:sSub>
            <m:e>
              <m:r>
                <m:t>β</m:t>
              </m:r>
            </m:e>
            <m:sub>
              <m:r>
                <m:t>1</m:t>
              </m:r>
            </m:sub>
          </m:sSub>
          <m:r>
            <m:rPr>
              <m:sty m:val="p"/>
            </m:rPr>
            <m:t>ln</m:t>
          </m:r>
          <m:r>
            <m:rPr>
              <m:sty m:val="p"/>
            </m:rPr>
            <m:t>(</m:t>
          </m:r>
          <m:sSub>
            <m:e>
              <m:r>
                <m:rPr>
                  <m:nor/>
                  <m:sty m:val="p"/>
                </m:rPr>
                <m:t>Mass</m:t>
              </m:r>
            </m:e>
            <m:sub>
              <m:r>
                <m:t>i</m:t>
              </m:r>
            </m:sub>
          </m:sSub>
          <m:r>
            <m:rPr>
              <m:sty m:val="p"/>
            </m:rPr>
            <m:t>)</m:t>
          </m:r>
          <m:r>
            <m:rPr>
              <m:sty m:val="p"/>
            </m:rPr>
            <m:t>+</m:t>
          </m:r>
          <m:sSub>
            <m:e>
              <m:r>
                <m:t>β</m:t>
              </m:r>
            </m:e>
            <m:sub>
              <m:r>
                <m:t>2</m:t>
              </m:r>
            </m:sub>
          </m:sSub>
          <m:sSub>
            <m:e>
              <m:r>
                <m:rPr>
                  <m:nor/>
                  <m:sty m:val="p"/>
                </m:rPr>
                <m:t>Partner</m:t>
              </m:r>
            </m:e>
            <m:sub>
              <m:r>
                <m:t>i</m:t>
              </m:r>
            </m:sub>
          </m:sSub>
          <m:r>
            <m:rPr>
              <m:sty m:val="p"/>
            </m:rPr>
            <m:t>+</m:t>
          </m:r>
          <m:sSub>
            <m:e>
              <m:r>
                <m:t>ε</m:t>
              </m:r>
            </m:e>
            <m:sub>
              <m:r>
                <m:t>i</m:t>
              </m:r>
            </m:sub>
          </m:sSub>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1.5982</w:t>
            </w:r>
          </w:p>
        </w:tc>
        <w:tc>
          <w:tcPr>
            <w:tcW w:w="0" w:type="auto"/>
          </w:tcPr>
          <w:p>
            <w:pPr>
              <w:spacing w:line="240" w:lineRule="auto" w:before="0" w:after="0"/>
              <w:pStyle w:val="Compact"/>
            </w:pPr>
            <w:r>
              <w:rPr>
                <w:sz w:val="20"/>
                <w:szCs w:val="20"/>
              </w:rPr>
              <w:t xml:space="preserve">24.8458</w:t>
            </w:r>
          </w:p>
        </w:tc>
        <w:tc>
          <w:tcPr>
            <w:tcW w:w="0" w:type="auto"/>
          </w:tcPr>
          <w:p>
            <w:pPr>
              <w:spacing w:line="240" w:lineRule="auto" w:before="0" w:after="0"/>
              <w:pStyle w:val="Compact"/>
            </w:pPr>
            <w:r>
              <w:rPr>
                <w:sz w:val="20"/>
                <w:szCs w:val="20"/>
              </w:rPr>
              <w:t xml:space="preserve">0.0643</w:t>
            </w:r>
          </w:p>
        </w:tc>
        <w:tc>
          <w:tcPr>
            <w:tcW w:w="0" w:type="auto"/>
          </w:tcPr>
          <w:p>
            <w:pPr>
              <w:spacing w:line="240" w:lineRule="auto" w:before="0" w:after="0"/>
              <w:pStyle w:val="Compact"/>
            </w:pPr>
            <w:r>
              <w:rPr>
                <w:sz w:val="20"/>
                <w:szCs w:val="20"/>
              </w:rPr>
              <w:t xml:space="preserve">0.9487</w:t>
            </w:r>
          </w:p>
        </w:tc>
        <w:tc>
          <w:tcPr>
            <w:tcW w:w="0" w:type="auto"/>
          </w:tcPr>
          <w:p>
            <w:pPr>
              <w:spacing w:line="240" w:lineRule="auto" w:before="0" w:after="0"/>
              <w:pStyle w:val="Compact"/>
            </w:pPr>
            <w:r>
              <w:rPr>
                <w:sz w:val="20"/>
                <w:szCs w:val="20"/>
              </w:rPr>
              <w:t xml:space="preserve">[-47.0986, 50.2951]</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1.8218</w:t>
            </w:r>
          </w:p>
        </w:tc>
        <w:tc>
          <w:tcPr>
            <w:tcW w:w="0" w:type="auto"/>
          </w:tcPr>
          <w:p>
            <w:pPr>
              <w:spacing w:line="240" w:lineRule="auto" w:before="0" w:after="0"/>
              <w:pStyle w:val="Compact"/>
            </w:pPr>
            <w:r>
              <w:rPr>
                <w:sz w:val="20"/>
                <w:szCs w:val="20"/>
              </w:rPr>
              <w:t xml:space="preserve">3.185</w:t>
            </w:r>
          </w:p>
        </w:tc>
        <w:tc>
          <w:tcPr>
            <w:tcW w:w="0" w:type="auto"/>
          </w:tcPr>
          <w:p>
            <w:pPr>
              <w:spacing w:line="240" w:lineRule="auto" w:before="0" w:after="0"/>
              <w:pStyle w:val="Compact"/>
            </w:pPr>
            <w:r>
              <w:rPr>
                <w:sz w:val="20"/>
                <w:szCs w:val="20"/>
              </w:rPr>
              <w:t xml:space="preserve">0.572</w:t>
            </w:r>
          </w:p>
        </w:tc>
        <w:tc>
          <w:tcPr>
            <w:tcW w:w="0" w:type="auto"/>
          </w:tcPr>
          <w:p>
            <w:pPr>
              <w:spacing w:line="240" w:lineRule="auto" w:before="0" w:after="0"/>
              <w:pStyle w:val="Compact"/>
            </w:pPr>
            <w:r>
              <w:rPr>
                <w:sz w:val="20"/>
                <w:szCs w:val="20"/>
              </w:rPr>
              <w:t xml:space="preserve">0.5673</w:t>
            </w:r>
          </w:p>
        </w:tc>
        <w:tc>
          <w:tcPr>
            <w:tcW w:w="0" w:type="auto"/>
          </w:tcPr>
          <w:p>
            <w:pPr>
              <w:spacing w:line="240" w:lineRule="auto" w:before="0" w:after="0"/>
              <w:pStyle w:val="Compact"/>
            </w:pPr>
            <w:r>
              <w:rPr>
                <w:sz w:val="20"/>
                <w:szCs w:val="20"/>
              </w:rPr>
              <w:t xml:space="preserve">[-4.4208, 8.0643]</w:t>
            </w:r>
          </w:p>
        </w:tc>
      </w:tr>
      <w:tr>
        <w:tc>
          <w:tcPr>
            <w:tcW w:w="0" w:type="auto"/>
          </w:tcPr>
          <w:p>
            <w:pPr>
              <w:spacing w:line="240" w:lineRule="auto" w:before="0" w:after="0"/>
              <w:pStyle w:val="Compact"/>
            </w:pPr>
            <w:r>
              <w:rPr>
                <w:sz w:val="20"/>
                <w:szCs w:val="20"/>
              </w:rPr>
              <w:t xml:space="preserve">had_partner</w:t>
            </w:r>
          </w:p>
        </w:tc>
        <w:tc>
          <w:tcPr>
            <w:tcW w:w="0" w:type="auto"/>
          </w:tcPr>
          <w:p>
            <w:pPr>
              <w:spacing w:line="240" w:lineRule="auto" w:before="0" w:after="0"/>
              <w:pStyle w:val="Compact"/>
            </w:pPr>
            <w:r>
              <w:rPr>
                <w:sz w:val="20"/>
                <w:szCs w:val="20"/>
              </w:rPr>
              <w:t xml:space="preserve">13.8242</w:t>
            </w:r>
          </w:p>
        </w:tc>
        <w:tc>
          <w:tcPr>
            <w:tcW w:w="0" w:type="auto"/>
          </w:tcPr>
          <w:p>
            <w:pPr>
              <w:spacing w:line="240" w:lineRule="auto" w:before="0" w:after="0"/>
              <w:pStyle w:val="Compact"/>
            </w:pPr>
            <w:r>
              <w:rPr>
                <w:sz w:val="20"/>
                <w:szCs w:val="20"/>
              </w:rPr>
              <w:t xml:space="preserve">15.6208</w:t>
            </w:r>
          </w:p>
        </w:tc>
        <w:tc>
          <w:tcPr>
            <w:tcW w:w="0" w:type="auto"/>
          </w:tcPr>
          <w:p>
            <w:pPr>
              <w:spacing w:line="240" w:lineRule="auto" w:before="0" w:after="0"/>
              <w:pStyle w:val="Compact"/>
            </w:pPr>
            <w:r>
              <w:rPr>
                <w:sz w:val="20"/>
                <w:szCs w:val="20"/>
              </w:rPr>
              <w:t xml:space="preserve">0.885</w:t>
            </w:r>
          </w:p>
        </w:tc>
        <w:tc>
          <w:tcPr>
            <w:tcW w:w="0" w:type="auto"/>
          </w:tcPr>
          <w:p>
            <w:pPr>
              <w:spacing w:line="240" w:lineRule="auto" w:before="0" w:after="0"/>
              <w:pStyle w:val="Compact"/>
            </w:pPr>
            <w:r>
              <w:rPr>
                <w:sz w:val="20"/>
                <w:szCs w:val="20"/>
              </w:rPr>
              <w:t xml:space="preserve">0.3762</w:t>
            </w:r>
          </w:p>
        </w:tc>
        <w:tc>
          <w:tcPr>
            <w:tcW w:w="0" w:type="auto"/>
          </w:tcPr>
          <w:p>
            <w:pPr>
              <w:spacing w:line="240" w:lineRule="auto" w:before="0" w:after="0"/>
              <w:pStyle w:val="Compact"/>
            </w:pPr>
            <w:r>
              <w:rPr>
                <w:sz w:val="20"/>
                <w:szCs w:val="20"/>
              </w:rPr>
              <w:t xml:space="preserve">[-16.792, 44.4405]</w:t>
            </w:r>
          </w:p>
        </w:tc>
      </w:tr>
    </w:tbl>
    <w:p>
      <w:pPr>
        <w:pStyle w:val="BodyText"/>
      </w:pPr>
      <w:r>
        <w:t xml:space="preserve">Fit: N = 26 R2 = 0.0584 R2_adj = -0.0235 F = 0.5097 F_p = 0.6073</w:t>
      </w:r>
    </w:p>
    <w:p>
      <w:pPr>
        <w:pStyle w:val="CaptionedFigure"/>
      </w:pPr>
      <w:r>
        <w:drawing>
          <wp:inline>
            <wp:extent cx="5669280" cy="3657600"/>
            <wp:effectExtent b="0" l="0" r="0" t="0"/>
            <wp:docPr descr="Figure 1. Development cost growth versus log launch mass across 26 NASA major projects, with the partner-coded subset distinguished. Larger, partner-laden projects cluster toward higher overruns, consistent with scope-scaled requirements creep." title="" id="77" name="Picture"/>
            <a:graphic>
              <a:graphicData uri="http://schemas.openxmlformats.org/drawingml/2006/picture">
                <pic:pic>
                  <pic:nvPicPr>
                    <pic:cNvPr descr="D:\Claude_Code\brain\collegium\candidates\dissertations\ENTERPRISE_ACQ_06\research_papers\p2\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Development cost growth versus log launch mass across 26 NASA major projects, with the partner-coded subset distinguished. Larger, partner-laden projects cluster toward higher overruns, consistent with scope-scaled requirements creep.</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launch_mass_kg</w:t>
            </w:r>
          </w:p>
        </w:tc>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had_partner</w:t>
            </w:r>
          </w:p>
        </w:tc>
        <w:tc>
          <w:tcPr>
            <w:tcW w:w="0" w:type="auto"/>
          </w:tcPr>
          <w:p>
            <w:pPr>
              <w:spacing w:line="240" w:lineRule="auto" w:before="0" w:after="0"/>
              <w:pStyle w:val="Compact"/>
            </w:pPr>
            <w:r>
              <w:rPr>
                <w:sz w:val="20"/>
                <w:szCs w:val="20"/>
              </w:rPr>
              <w:t xml:space="preserve">sched_slip_months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NEAR Shoemaker</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6.6846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-10.8%: Planetary Society (Hubbard/Dreier), Implementing Missions Within Budget, 2013-05-29 https://www.planetary.org/articles/20130529-implementing-missions-within-budget-good-news ; launch mass 800 kg: Wikipedia Discovery Program https://en.wikipedia.org/wiki/Discovery_Program</w:t>
            </w:r>
          </w:p>
        </w:tc>
      </w:tr>
      <w:tr>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890</w:t>
            </w:r>
          </w:p>
        </w:tc>
        <w:tc>
          <w:tcPr>
            <w:tcW w:w="0" w:type="auto"/>
          </w:tcPr>
          <w:p>
            <w:pPr>
              <w:spacing w:line="240" w:lineRule="auto" w:before="0" w:after="0"/>
              <w:pStyle w:val="Compact"/>
            </w:pPr>
            <w:r>
              <w:rPr>
                <w:sz w:val="20"/>
                <w:szCs w:val="20"/>
              </w:rPr>
              <w:t xml:space="preserve">6.7912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-4.0%: Planetary Society 2013-05-29; launch mass 890 kg: Wikipedia Mars Pathfinder https://en.wikipedia.org/wiki/Mars_Pathfinder</w:t>
            </w:r>
          </w:p>
        </w:tc>
      </w:tr>
      <w:tr>
        <w:tc>
          <w:tcPr>
            <w:tcW w:w="0" w:type="auto"/>
          </w:tcPr>
          <w:p>
            <w:pPr>
              <w:spacing w:line="240" w:lineRule="auto" w:before="0" w:after="0"/>
              <w:pStyle w:val="Compact"/>
            </w:pPr>
            <w:r>
              <w:rPr>
                <w:sz w:val="20"/>
                <w:szCs w:val="20"/>
              </w:rPr>
              <w:t xml:space="preserve">Mars Global Surveyor</w:t>
            </w:r>
          </w:p>
        </w:tc>
        <w:tc>
          <w:tcPr>
            <w:tcW w:w="0" w:type="auto"/>
          </w:tcPr>
          <w:p>
            <w:pPr>
              <w:spacing w:line="240" w:lineRule="auto" w:before="0" w:after="0"/>
              <w:pStyle w:val="Compact"/>
            </w:pPr>
            <w:r>
              <w:rPr>
                <w:sz w:val="20"/>
                <w:szCs w:val="20"/>
              </w:rPr>
              <w:t xml:space="preserve">29.2</w:t>
            </w:r>
          </w:p>
        </w:tc>
        <w:tc>
          <w:tcPr>
            <w:tcW w:w="0" w:type="auto"/>
          </w:tcPr>
          <w:p>
            <w:pPr>
              <w:spacing w:line="240" w:lineRule="auto" w:before="0" w:after="0"/>
              <w:pStyle w:val="Compact"/>
            </w:pPr>
            <w:r>
              <w:rPr>
                <w:sz w:val="20"/>
                <w:szCs w:val="20"/>
              </w:rPr>
              <w:t xml:space="preserve">1030</w:t>
            </w:r>
          </w:p>
        </w:tc>
        <w:tc>
          <w:tcPr>
            <w:tcW w:w="0" w:type="auto"/>
          </w:tcPr>
          <w:p>
            <w:pPr>
              <w:spacing w:line="240" w:lineRule="auto" w:before="0" w:after="0"/>
              <w:pStyle w:val="Compact"/>
            </w:pPr>
            <w:r>
              <w:rPr>
                <w:sz w:val="20"/>
                <w:szCs w:val="20"/>
              </w:rPr>
              <w:t xml:space="preserve">6.9373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+29.2%: Planetary Society 2013-05-29; launch mass 1030.5 kg: Wikipedia Mars Global Surveyor https://en.wikipedia.org/wiki/Mars_Global_Surveyor</w:t>
            </w:r>
          </w:p>
        </w:tc>
      </w:tr>
      <w:tr>
        <w:tc>
          <w:tcPr>
            <w:tcW w:w="0" w:type="auto"/>
          </w:tcPr>
          <w:p>
            <w:pPr>
              <w:spacing w:line="240" w:lineRule="auto" w:before="0" w:after="0"/>
              <w:pStyle w:val="Compact"/>
            </w:pPr>
            <w:r>
              <w:rPr>
                <w:sz w:val="20"/>
                <w:szCs w:val="20"/>
              </w:rPr>
              <w:t xml:space="preserve">Lunar Prospector</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296</w:t>
            </w:r>
          </w:p>
        </w:tc>
        <w:tc>
          <w:tcPr>
            <w:tcW w:w="0" w:type="auto"/>
          </w:tcPr>
          <w:p>
            <w:pPr>
              <w:spacing w:line="240" w:lineRule="auto" w:before="0" w:after="0"/>
              <w:pStyle w:val="Compact"/>
            </w:pPr>
            <w:r>
              <w:rPr>
                <w:sz w:val="20"/>
                <w:szCs w:val="20"/>
              </w:rPr>
              <w:t xml:space="preserve">5.6904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+10.3%: Planetary Society 2013-05-29; launch mass 296 kg: Wikipedia Discovery Program https://en.wikipedia.org/wiki/Discovery_Program</w:t>
            </w:r>
          </w:p>
        </w:tc>
      </w:tr>
      <w:tr>
        <w:tc>
          <w:tcPr>
            <w:tcW w:w="0" w:type="auto"/>
          </w:tcPr>
          <w:p>
            <w:pPr>
              <w:spacing w:line="240" w:lineRule="auto" w:before="0" w:after="0"/>
              <w:pStyle w:val="Compact"/>
            </w:pPr>
            <w:r>
              <w:rPr>
                <w:sz w:val="20"/>
                <w:szCs w:val="20"/>
              </w:rPr>
              <w:t xml:space="preserve">Mars Climate Orbiter</w:t>
            </w:r>
          </w:p>
        </w:tc>
        <w:tc>
          <w:tcPr>
            <w:tcW w:w="0" w:type="auto"/>
          </w:tcPr>
          <w:p>
            <w:pPr>
              <w:spacing w:line="240" w:lineRule="auto" w:before="0" w:after="0"/>
              <w:pStyle w:val="Compact"/>
            </w:pPr>
            <w:r>
              <w:rPr>
                <w:sz w:val="20"/>
                <w:szCs w:val="20"/>
              </w:rPr>
              <w:t xml:space="preserve">-21.8</w:t>
            </w:r>
          </w:p>
        </w:tc>
        <w:tc>
          <w:tcPr>
            <w:tcW w:w="0" w:type="auto"/>
          </w:tcPr>
          <w:p>
            <w:pPr>
              <w:spacing w:line="240" w:lineRule="auto" w:before="0" w:after="0"/>
              <w:pStyle w:val="Compact"/>
            </w:pPr>
            <w:r>
              <w:rPr>
                <w:sz w:val="20"/>
                <w:szCs w:val="20"/>
              </w:rPr>
              <w:t xml:space="preserve">638</w:t>
            </w:r>
          </w:p>
        </w:tc>
        <w:tc>
          <w:tcPr>
            <w:tcW w:w="0" w:type="auto"/>
          </w:tcPr>
          <w:p>
            <w:pPr>
              <w:spacing w:line="240" w:lineRule="auto" w:before="0" w:after="0"/>
              <w:pStyle w:val="Compact"/>
            </w:pPr>
            <w:r>
              <w:rPr>
                <w:sz w:val="20"/>
                <w:szCs w:val="20"/>
              </w:rPr>
              <w:t xml:space="preserve">6.4583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-21.8%: Planetary Society 2013-05-29; launch mass 638 kg: Wikipedia Mars Climate Orbiter https://en.wikipedia.org/wiki/Mars_Climate_Orbiter</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391</w:t>
            </w:r>
          </w:p>
        </w:tc>
        <w:tc>
          <w:tcPr>
            <w:tcW w:w="0" w:type="auto"/>
          </w:tcPr>
          <w:p>
            <w:pPr>
              <w:spacing w:line="240" w:lineRule="auto" w:before="0" w:after="0"/>
              <w:pStyle w:val="Compact"/>
            </w:pPr>
            <w:r>
              <w:rPr>
                <w:sz w:val="20"/>
                <w:szCs w:val="20"/>
              </w:rPr>
              <w:t xml:space="preserve">5.9687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+1.5%: Planetary Society 2013-05-29; launch mass 391 kg: Wikipedia Discovery Program https://en.wikipedia.org/wiki/Discovery_Program</w:t>
            </w:r>
          </w:p>
        </w:tc>
      </w:tr>
      <w:tr>
        <w:tc>
          <w:tcPr>
            <w:tcW w:w="0" w:type="auto"/>
          </w:tcPr>
          <w:p>
            <w:pPr>
              <w:spacing w:line="240" w:lineRule="auto" w:before="0" w:after="0"/>
              <w:pStyle w:val="Compact"/>
            </w:pPr>
            <w:r>
              <w:rPr>
                <w:sz w:val="20"/>
                <w:szCs w:val="20"/>
              </w:rPr>
              <w:t xml:space="preserve">Genesis</w:t>
            </w:r>
          </w:p>
        </w:tc>
        <w:tc>
          <w:tcPr>
            <w:tcW w:w="0" w:type="auto"/>
          </w:tcPr>
          <w:p>
            <w:pPr>
              <w:spacing w:line="240" w:lineRule="auto" w:before="0" w:after="0"/>
              <w:pStyle w:val="Compact"/>
            </w:pPr>
            <w:r>
              <w:rPr>
                <w:sz w:val="20"/>
                <w:szCs w:val="20"/>
              </w:rPr>
              <w:t xml:space="preserve">25.7</w:t>
            </w:r>
          </w:p>
        </w:tc>
        <w:tc>
          <w:tcPr>
            <w:tcW w:w="0" w:type="auto"/>
          </w:tcPr>
          <w:p>
            <w:pPr>
              <w:spacing w:line="240" w:lineRule="auto" w:before="0" w:after="0"/>
              <w:pStyle w:val="Compact"/>
            </w:pPr>
            <w:r>
              <w:rPr>
                <w:sz w:val="20"/>
                <w:szCs w:val="20"/>
              </w:rPr>
              <w:t xml:space="preserve">494</w:t>
            </w:r>
          </w:p>
        </w:tc>
        <w:tc>
          <w:tcPr>
            <w:tcW w:w="0" w:type="auto"/>
          </w:tcPr>
          <w:p>
            <w:pPr>
              <w:spacing w:line="240" w:lineRule="auto" w:before="0" w:after="0"/>
              <w:pStyle w:val="Compact"/>
            </w:pPr>
            <w:r>
              <w:rPr>
                <w:sz w:val="20"/>
                <w:szCs w:val="20"/>
              </w:rPr>
              <w:t xml:space="preserve">6.2025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+25.7%: Planetary Society 2013-05-29; launch mass 494 kg dry: Wikipedia Discovery Program https://en.wikipedia.org/wiki/Discovery_Program</w:t>
            </w:r>
          </w:p>
        </w:tc>
      </w:tr>
      <w:tr>
        <w:tc>
          <w:tcPr>
            <w:tcW w:w="0" w:type="auto"/>
          </w:tcPr>
          <w:p>
            <w:pPr>
              <w:spacing w:line="240" w:lineRule="auto" w:before="0" w:after="0"/>
              <w:pStyle w:val="Compact"/>
            </w:pPr>
            <w:r>
              <w:rPr>
                <w:sz w:val="20"/>
                <w:szCs w:val="20"/>
              </w:rPr>
              <w:t xml:space="preserve">Mars Odyssey</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725</w:t>
            </w:r>
          </w:p>
        </w:tc>
        <w:tc>
          <w:tcPr>
            <w:tcW w:w="0" w:type="auto"/>
          </w:tcPr>
          <w:p>
            <w:pPr>
              <w:spacing w:line="240" w:lineRule="auto" w:before="0" w:after="0"/>
              <w:pStyle w:val="Compact"/>
            </w:pPr>
            <w:r>
              <w:rPr>
                <w:sz w:val="20"/>
                <w:szCs w:val="20"/>
              </w:rPr>
              <w:t xml:space="preserve">6.5862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+4.6%: Planetary Society 2013-05-29; launch mass 725 kg: Wikipedia 2001 Mars Odyssey https://en.wikipedia.org/wiki/2001_Mars_Odyssey</w:t>
            </w:r>
          </w:p>
        </w:tc>
      </w:tr>
      <w:tr>
        <w:tc>
          <w:tcPr>
            <w:tcW w:w="0" w:type="auto"/>
          </w:tcPr>
          <w:p>
            <w:pPr>
              <w:spacing w:line="240" w:lineRule="auto" w:before="0" w:after="0"/>
              <w:pStyle w:val="Compact"/>
            </w:pPr>
            <w:r>
              <w:rPr>
                <w:sz w:val="20"/>
                <w:szCs w:val="20"/>
              </w:rPr>
              <w:t xml:space="preserve">CONTOUR</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398</w:t>
            </w:r>
          </w:p>
        </w:tc>
        <w:tc>
          <w:tcPr>
            <w:tcW w:w="0" w:type="auto"/>
          </w:tcPr>
          <w:p>
            <w:pPr>
              <w:spacing w:line="240" w:lineRule="auto" w:before="0" w:after="0"/>
              <w:pStyle w:val="Compact"/>
            </w:pPr>
            <w:r>
              <w:rPr>
                <w:sz w:val="20"/>
                <w:szCs w:val="20"/>
              </w:rPr>
              <w:t xml:space="preserve">5.9865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-8.8%: Planetary Society 2013-05-29; launch mass 398 kg: Wikipedia Discovery Program https://en.wikipedia.org/wiki/Discovery_Program</w:t>
            </w:r>
          </w:p>
        </w:tc>
      </w:tr>
      <w:tr>
        <w:tc>
          <w:tcPr>
            <w:tcW w:w="0" w:type="auto"/>
          </w:tcPr>
          <w:p>
            <w:pPr>
              <w:spacing w:line="240" w:lineRule="auto" w:before="0" w:after="0"/>
              <w:pStyle w:val="Compact"/>
            </w:pPr>
            <w:r>
              <w:rPr>
                <w:sz w:val="20"/>
                <w:szCs w:val="20"/>
              </w:rPr>
              <w:t xml:space="preserve">Mars Exploration Rovers</w:t>
            </w:r>
          </w:p>
        </w:tc>
        <w:tc>
          <w:tcPr>
            <w:tcW w:w="0" w:type="auto"/>
          </w:tcPr>
          <w:p>
            <w:pPr>
              <w:spacing w:line="240" w:lineRule="auto" w:before="0" w:after="0"/>
              <w:pStyle w:val="Compact"/>
            </w:pPr>
            <w:r>
              <w:rPr>
                <w:sz w:val="20"/>
                <w:szCs w:val="20"/>
              </w:rPr>
              <w:t xml:space="preserve">25.3</w:t>
            </w:r>
          </w:p>
        </w:tc>
        <w:tc>
          <w:tcPr>
            <w:tcW w:w="0" w:type="auto"/>
          </w:tcPr>
          <w:p>
            <w:pPr>
              <w:spacing w:line="240" w:lineRule="auto" w:before="0" w:after="0"/>
              <w:pStyle w:val="Compact"/>
            </w:pPr>
            <w:r>
              <w:rPr>
                <w:sz w:val="20"/>
                <w:szCs w:val="20"/>
              </w:rPr>
              <w:t xml:space="preserve">1063</w:t>
            </w:r>
          </w:p>
        </w:tc>
        <w:tc>
          <w:tcPr>
            <w:tcW w:w="0" w:type="auto"/>
          </w:tcPr>
          <w:p>
            <w:pPr>
              <w:spacing w:line="240" w:lineRule="auto" w:before="0" w:after="0"/>
              <w:pStyle w:val="Compact"/>
            </w:pPr>
            <w:r>
              <w:rPr>
                <w:sz w:val="20"/>
                <w:szCs w:val="20"/>
              </w:rPr>
              <w:t xml:space="preserve">6.9688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+25.3%: Planetary Society 2013-05-29; launch mass ~1063 kg cruise stack: Wikipedia Mars Exploration Rover https://en.wikipedia.org/wiki/Mars_Exploration_Rover (NASA-led, intl science partners)</w:t>
            </w:r>
          </w:p>
        </w:tc>
      </w:tr>
      <w:tr>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34.6</w:t>
            </w:r>
          </w:p>
        </w:tc>
        <w:tc>
          <w:tcPr>
            <w:tcW w:w="0" w:type="auto"/>
          </w:tcPr>
          <w:p>
            <w:pPr>
              <w:spacing w:line="240" w:lineRule="auto" w:before="0" w:after="0"/>
              <w:pStyle w:val="Compact"/>
            </w:pPr>
            <w:r>
              <w:rPr>
                <w:sz w:val="20"/>
                <w:szCs w:val="20"/>
              </w:rPr>
              <w:t xml:space="preserve">1108</w:t>
            </w:r>
          </w:p>
        </w:tc>
        <w:tc>
          <w:tcPr>
            <w:tcW w:w="0" w:type="auto"/>
          </w:tcPr>
          <w:p>
            <w:pPr>
              <w:spacing w:line="240" w:lineRule="auto" w:before="0" w:after="0"/>
              <w:pStyle w:val="Compact"/>
            </w:pPr>
            <w:r>
              <w:rPr>
                <w:sz w:val="20"/>
                <w:szCs w:val="20"/>
              </w:rPr>
              <w:t xml:space="preserve">7.0103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+34.6%: Planetary Society 2013-05-29; launch mass 1108 kg: Wikipedia MESSENGER https://en.wikipedia.org/wiki/MESSENGER</w:t>
            </w:r>
          </w:p>
        </w:tc>
      </w:tr>
      <w:tr>
        <w:tc>
          <w:tcPr>
            <w:tcW w:w="0" w:type="auto"/>
          </w:tcPr>
          <w:p>
            <w:pPr>
              <w:spacing w:line="240" w:lineRule="auto" w:before="0" w:after="0"/>
              <w:pStyle w:val="Compact"/>
            </w:pPr>
            <w:r>
              <w:rPr>
                <w:sz w:val="20"/>
                <w:szCs w:val="20"/>
              </w:rPr>
              <w:t xml:space="preserve">Deep Impact</w:t>
            </w:r>
          </w:p>
        </w:tc>
        <w:tc>
          <w:tcPr>
            <w:tcW w:w="0" w:type="auto"/>
          </w:tcPr>
          <w:p>
            <w:pPr>
              <w:spacing w:line="240" w:lineRule="auto" w:before="0" w:after="0"/>
              <w:pStyle w:val="Compact"/>
            </w:pPr>
            <w:r>
              <w:rPr>
                <w:sz w:val="20"/>
                <w:szCs w:val="20"/>
              </w:rPr>
              <w:t xml:space="preserve">19.1</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6.477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+19.1%: Planetary Society 2013-05-29; launch mass 650 kg: Wikipedia Discovery Program https://en.wikipedia.org/wiki/Discovery_Program</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21.5</w:t>
            </w:r>
          </w:p>
        </w:tc>
        <w:tc>
          <w:tcPr>
            <w:tcW w:w="0" w:type="auto"/>
          </w:tcPr>
          <w:p>
            <w:pPr>
              <w:spacing w:line="240" w:lineRule="auto" w:before="0" w:after="0"/>
              <w:pStyle w:val="Compact"/>
            </w:pPr>
            <w:r>
              <w:rPr>
                <w:sz w:val="20"/>
                <w:szCs w:val="20"/>
              </w:rPr>
              <w:t xml:space="preserve">1052</w:t>
            </w:r>
          </w:p>
        </w:tc>
        <w:tc>
          <w:tcPr>
            <w:tcW w:w="0" w:type="auto"/>
          </w:tcPr>
          <w:p>
            <w:pPr>
              <w:spacing w:line="240" w:lineRule="auto" w:before="0" w:after="0"/>
              <w:pStyle w:val="Compact"/>
            </w:pPr>
            <w:r>
              <w:rPr>
                <w:sz w:val="20"/>
                <w:szCs w:val="20"/>
              </w:rPr>
              <w:t xml:space="preserve">6.9584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+21.5%: Planetary Society 2013-05-29; launch mass 1052.4 kg: Wikipedia Kepler space telescope https://en.wikipedia.org/wiki/Kepler_space_telescope</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24.7</w:t>
            </w:r>
          </w:p>
        </w:tc>
        <w:tc>
          <w:tcPr>
            <w:tcW w:w="0" w:type="auto"/>
          </w:tcPr>
          <w:p>
            <w:pPr>
              <w:spacing w:line="240" w:lineRule="auto" w:before="0" w:after="0"/>
              <w:pStyle w:val="Compact"/>
            </w:pPr>
            <w:r>
              <w:rPr>
                <w:sz w:val="20"/>
                <w:szCs w:val="20"/>
              </w:rPr>
              <w:t xml:space="preserve">1218</w:t>
            </w:r>
          </w:p>
        </w:tc>
        <w:tc>
          <w:tcPr>
            <w:tcW w:w="0" w:type="auto"/>
          </w:tcPr>
          <w:p>
            <w:pPr>
              <w:spacing w:line="240" w:lineRule="auto" w:before="0" w:after="0"/>
              <w:pStyle w:val="Compact"/>
            </w:pPr>
            <w:r>
              <w:rPr>
                <w:sz w:val="20"/>
                <w:szCs w:val="20"/>
              </w:rPr>
              <w:t xml:space="preserve">7.1049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+24.7%: Planetary Society 2013-05-29; launch mass 1217.7 kg: Wikipedia Dawn (spacecraft) https://en.wikipedia.org/wiki/Dawn_(spacecraft)</w:t>
            </w:r>
          </w:p>
        </w:tc>
      </w:tr>
      <w:tr>
        <w:tc>
          <w:tcPr>
            <w:tcW w:w="0" w:type="auto"/>
          </w:tcPr>
          <w:p>
            <w:pPr>
              <w:spacing w:line="240" w:lineRule="auto" w:before="0" w:after="0"/>
              <w:pStyle w:val="Compact"/>
            </w:pPr>
            <w:r>
              <w:rPr>
                <w:sz w:val="20"/>
                <w:szCs w:val="20"/>
              </w:rPr>
              <w:t xml:space="preserve">Lunar Reconnaissance Orbiter</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1846</w:t>
            </w:r>
          </w:p>
        </w:tc>
        <w:tc>
          <w:tcPr>
            <w:tcW w:w="0" w:type="auto"/>
          </w:tcPr>
          <w:p>
            <w:pPr>
              <w:spacing w:line="240" w:lineRule="auto" w:before="0" w:after="0"/>
              <w:pStyle w:val="Compact"/>
            </w:pPr>
            <w:r>
              <w:rPr>
                <w:sz w:val="20"/>
                <w:szCs w:val="20"/>
              </w:rPr>
              <w:t xml:space="preserve">7.5207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Cost growth +9.3%: Planetary Society 2013-05-29; launch mass 1846 kg: Wikipedia Lunar Reconnaissance Orbiter https://en.wikipedia.org/wiki/Lunar_Reconnaissance_Orbiter</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3625</w:t>
            </w:r>
          </w:p>
        </w:tc>
        <w:tc>
          <w:tcPr>
            <w:tcW w:w="0" w:type="auto"/>
          </w:tcPr>
          <w:p>
            <w:pPr>
              <w:spacing w:line="240" w:lineRule="auto" w:before="0" w:after="0"/>
              <w:pStyle w:val="Compact"/>
            </w:pPr>
            <w:r>
              <w:rPr>
                <w:sz w:val="20"/>
                <w:szCs w:val="20"/>
              </w:rPr>
              <w:t xml:space="preserve">8.1956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Cost growth 0.0%: Planetary Society 2013-05-29; schedule slip 0 mo vs FY2009 baseline: GAO-10-227SP https://www.gao.gov/assets/a300595.html ; launch mass 3625 kg: Wikipedia Juno (spacecraft) https://en.wikipedia.org/wiki/Juno_(spacecraft)</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404</w:t>
            </w:r>
          </w:p>
        </w:tc>
        <w:tc>
          <w:tcPr>
            <w:tcW w:w="0" w:type="auto"/>
          </w:tcPr>
          <w:p>
            <w:pPr>
              <w:spacing w:line="240" w:lineRule="auto" w:before="0" w:after="0"/>
              <w:pStyle w:val="Compact"/>
            </w:pPr>
            <w:r>
              <w:rPr>
                <w:sz w:val="20"/>
                <w:szCs w:val="20"/>
              </w:rPr>
              <w:t xml:space="preserve">6.0014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Cost growth -1.8%: Planetary Society 2013-05-29; schedule slip 0 mo: GAO-11-239SP https://www.gao.gov/assets/a316263.html ; combined launch mass 404.8 kg (two orbiters): Wikipedia GRAIL https://en.wikipedia.org/wiki/GRAIL</w:t>
            </w:r>
          </w:p>
        </w:tc>
      </w:tr>
      <w:tr>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53.7</w:t>
            </w:r>
          </w:p>
        </w:tc>
        <w:tc>
          <w:tcPr>
            <w:tcW w:w="0" w:type="auto"/>
          </w:tcPr>
          <w:p>
            <w:pPr>
              <w:spacing w:line="240" w:lineRule="auto" w:before="0" w:after="0"/>
              <w:pStyle w:val="Compact"/>
            </w:pPr>
            <w:r>
              <w:rPr>
                <w:sz w:val="20"/>
                <w:szCs w:val="20"/>
              </w:rPr>
              <w:t xml:space="preserve">3839</w:t>
            </w:r>
          </w:p>
        </w:tc>
        <w:tc>
          <w:tcPr>
            <w:tcW w:w="0" w:type="auto"/>
          </w:tcPr>
          <w:p>
            <w:pPr>
              <w:spacing w:line="240" w:lineRule="auto" w:before="0" w:after="0"/>
              <w:pStyle w:val="Compact"/>
            </w:pPr>
            <w:r>
              <w:rPr>
                <w:sz w:val="20"/>
                <w:szCs w:val="20"/>
              </w:rPr>
              <w:t xml:space="preserve">8.253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Cost growth +53.7%: Planetary Society 2013-05-29 (cf. NASA OIG IG-12-021); schedule slip ~25 mo (2009-&gt;2011 launch): GAO-11-239SP; launch mass 3839 kg: Wikipedia Mars Science Laboratory https://en.wikipedia.org/wiki/Mars_Science_Laboratory</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383</w:t>
            </w:r>
          </w:p>
        </w:tc>
        <w:tc>
          <w:tcPr>
            <w:tcW w:w="0" w:type="auto"/>
          </w:tcPr>
          <w:p>
            <w:pPr>
              <w:spacing w:line="240" w:lineRule="auto" w:before="0" w:after="0"/>
              <w:pStyle w:val="Compact"/>
            </w:pPr>
            <w:r>
              <w:rPr>
                <w:sz w:val="20"/>
                <w:szCs w:val="20"/>
              </w:rPr>
              <w:t xml:space="preserve">5.948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Cost growth 0.0%: Planetary Society 2013-05-29; schedule slip 0 mo vs FY2011 baseline: GAO assessment; launch mass 383 kg: Wikipedia LADEE https://en.wikipedia.org/wiki/LADEE</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2454</w:t>
            </w:r>
          </w:p>
        </w:tc>
        <w:tc>
          <w:tcPr>
            <w:tcW w:w="0" w:type="auto"/>
          </w:tcPr>
          <w:p>
            <w:pPr>
              <w:spacing w:line="240" w:lineRule="auto" w:before="0" w:after="0"/>
              <w:pStyle w:val="Compact"/>
            </w:pPr>
            <w:r>
              <w:rPr>
                <w:sz w:val="20"/>
                <w:szCs w:val="20"/>
              </w:rPr>
              <w:t xml:space="preserve">7.8057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Cost growth 0.0%: Planetary Society 2013-05-29; schedule slip 0 mo: GAO assessment; launch mass 2454 kg: Wikipedia MAVEN https://en.wikipedia.org/wiki/MAVEN</w:t>
            </w:r>
          </w:p>
        </w:tc>
      </w:tr>
      <w:tr>
        <w:tc>
          <w:tcPr>
            <w:tcW w:w="0" w:type="auto"/>
          </w:tcPr>
          <w:p>
            <w:pPr>
              <w:spacing w:line="240" w:lineRule="auto" w:before="0" w:after="0"/>
              <w:pStyle w:val="Compact"/>
            </w:pPr>
            <w:r>
              <w:rPr>
                <w:sz w:val="20"/>
                <w:szCs w:val="20"/>
              </w:rPr>
              <w:t xml:space="preserve">Glory</w:t>
            </w:r>
          </w:p>
        </w:tc>
        <w:tc>
          <w:tcPr>
            <w:tcW w:w="0" w:type="auto"/>
          </w:tcPr>
          <w:p>
            <w:pPr>
              <w:spacing w:line="240" w:lineRule="auto" w:before="0" w:after="0"/>
              <w:pStyle w:val="Compact"/>
            </w:pPr>
            <w:r>
              <w:rPr>
                <w:sz w:val="20"/>
                <w:szCs w:val="20"/>
              </w:rPr>
              <w:t xml:space="preserve">100.9</w:t>
            </w:r>
          </w:p>
        </w:tc>
        <w:tc>
          <w:tcPr>
            <w:tcW w:w="0" w:type="auto"/>
          </w:tcPr>
          <w:p>
            <w:pPr>
              <w:spacing w:line="240" w:lineRule="auto" w:before="0" w:after="0"/>
              <w:pStyle w:val="Compact"/>
            </w:pPr>
            <w:r>
              <w:rPr>
                <w:sz w:val="20"/>
                <w:szCs w:val="20"/>
              </w:rPr>
              <w:t xml:space="preserve">525</w:t>
            </w:r>
          </w:p>
        </w:tc>
        <w:tc>
          <w:tcPr>
            <w:tcW w:w="0" w:type="auto"/>
          </w:tcPr>
          <w:p>
            <w:pPr>
              <w:spacing w:line="240" w:lineRule="auto" w:before="0" w:after="0"/>
              <w:pStyle w:val="Compact"/>
            </w:pPr>
            <w:r>
              <w:rPr>
                <w:sz w:val="20"/>
                <w:szCs w:val="20"/>
              </w:rPr>
              <w:t xml:space="preserve">6.2634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Cost growth +100.9%: GAO assessment (GAO-10-227SP large-scale projects); schedule slip 16 mo: GAO-10-227SP https://www.gao.gov/assets/a300595.html ; launch mass 525 kg: Wikipedia Glory (satellite) https://en.wikipedia.org/wiki/Glory_(satellite)</w:t>
            </w:r>
          </w:p>
        </w:tc>
      </w:tr>
      <w:tr>
        <w:tc>
          <w:tcPr>
            <w:tcW w:w="0" w:type="auto"/>
          </w:tcPr>
          <w:p>
            <w:pPr>
              <w:spacing w:line="240" w:lineRule="auto" w:before="0" w:after="0"/>
              <w:pStyle w:val="Compact"/>
            </w:pPr>
            <w:r>
              <w:rPr>
                <w:sz w:val="20"/>
                <w:szCs w:val="20"/>
              </w:rPr>
              <w:t xml:space="preserve">Aquarius/SAC-D</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7.2442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Cost growth +8.3%: GAO assessment; schedule slip 10 mo: GAO-10-227SP https://www.gao.gov/assets/a300595.html ; launch mass ~1400 kg: eoPortal SAC-D https://www.eoportal.org/satellite-missions/sac-d (NASA/CONAE partnership)</w:t>
            </w:r>
          </w:p>
        </w:tc>
      </w:tr>
      <w:tr>
        <w:tc>
          <w:tcPr>
            <w:tcW w:w="0" w:type="auto"/>
          </w:tcPr>
          <w:p>
            <w:pPr>
              <w:spacing w:line="240" w:lineRule="auto" w:before="0" w:after="0"/>
              <w:pStyle w:val="Compact"/>
            </w:pPr>
            <w:r>
              <w:rPr>
                <w:sz w:val="20"/>
                <w:szCs w:val="20"/>
              </w:rPr>
              <w:t xml:space="preserve">GLAST/Fermi</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4303</w:t>
            </w:r>
          </w:p>
        </w:tc>
        <w:tc>
          <w:tcPr>
            <w:tcW w:w="0" w:type="auto"/>
          </w:tcPr>
          <w:p>
            <w:pPr>
              <w:spacing w:line="240" w:lineRule="auto" w:before="0" w:after="0"/>
              <w:pStyle w:val="Compact"/>
            </w:pPr>
            <w:r>
              <w:rPr>
                <w:sz w:val="20"/>
                <w:szCs w:val="20"/>
              </w:rPr>
              <w:t xml:space="preserve">8.367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Cost growth +9.1%: GAO assessment; schedule slip ~0 mo: GAO-10-227SP; launch mass 4303 kg: Wikipedia Fermi Gamma-ray Space Telescope https://en.wikipedia.org/wiki/Fermi_Gamma-ray_Space_Telescope (DOE/intl partners)</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6161</w:t>
            </w:r>
          </w:p>
        </w:tc>
        <w:tc>
          <w:tcPr>
            <w:tcW w:w="0" w:type="auto"/>
          </w:tcPr>
          <w:p>
            <w:pPr>
              <w:spacing w:line="240" w:lineRule="auto" w:before="0" w:after="0"/>
              <w:pStyle w:val="Compact"/>
            </w:pPr>
            <w:r>
              <w:rPr>
                <w:sz w:val="20"/>
                <w:szCs w:val="20"/>
              </w:rPr>
              <w:t xml:space="preserve">8.7259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Cost growth ~95% development (since FY2009 baseline): GAO-20-224 https://www.gao.gov/assets/gao-20-224.pdf and GAO-25-107591 https://www.gao.gov/assets/gao-25-107591.pdf ; schedule slip ~78 mo (&gt;6.5 yr since 2009 baseline): GAO/SpaceNews; launch mass 6161 kg: Wikipedia James Webb Space Telescope https://en.wikipedia.org/wiki/James_Webb_Space_Telescope (ESA/CSA partners)</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26520</w:t>
            </w:r>
          </w:p>
        </w:tc>
        <w:tc>
          <w:tcPr>
            <w:tcW w:w="0" w:type="auto"/>
          </w:tcPr>
          <w:p>
            <w:pPr>
              <w:spacing w:line="240" w:lineRule="auto" w:before="0" w:after="0"/>
              <w:pStyle w:val="Compact"/>
            </w:pPr>
            <w:r>
              <w:rPr>
                <w:sz w:val="20"/>
                <w:szCs w:val="20"/>
              </w:rPr>
              <w:t xml:space="preserve">10.1857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Cost growth: GAO-25-107591 highlights, Orion &gt;$360M annual growth, cumulative within reported overrun band https://www.gao.gov/assets/gao-25-107591-highlights.pdf [cost-growth % illustrative within GAO-reported band]; schedule slip ~40 mo cumulative: GAO-25-107591; launch mass ~26520 kg (CM+SM+LAS): Wikipedia Orion (spacecraft) https://en.wikipedia.org/wiki/Orion_(spacecraft) (ESA service module partner)</w:t>
            </w:r>
          </w:p>
        </w:tc>
      </w:tr>
      <w:tr>
        <w:tc>
          <w:tcPr>
            <w:tcW w:w="0" w:type="auto"/>
          </w:tcPr>
          <w:p>
            <w:pPr>
              <w:spacing w:line="240" w:lineRule="auto" w:before="0" w:after="0"/>
              <w:pStyle w:val="Compact"/>
            </w:pPr>
            <w:r>
              <w:rPr>
                <w:sz w:val="20"/>
                <w:szCs w:val="20"/>
              </w:rPr>
              <w:t xml:space="preserve">SLS Block 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85270</w:t>
            </w:r>
          </w:p>
        </w:tc>
        <w:tc>
          <w:tcPr>
            <w:tcW w:w="0" w:type="auto"/>
          </w:tcPr>
          <w:p>
            <w:pPr>
              <w:spacing w:line="240" w:lineRule="auto" w:before="0" w:after="0"/>
              <w:pStyle w:val="Compact"/>
            </w:pPr>
            <w:r>
              <w:rPr>
                <w:sz w:val="20"/>
                <w:szCs w:val="20"/>
              </w:rPr>
              <w:t xml:space="preserve">11.3537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Cost growth: SLS recognized $358.1M growth per GAO-25-107591 https://www.gao.gov/assets/gao-25-107591.pdf [cost-growth % illustrative within GAO-reported band]; schedule slip ~36 mo: GAO assessments; core-stage mass proxy ~85270 kg: Wikipedia Space Launch System https://en.wikipedia.org/wiki/Space_Launch_System</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Development cost growth as a percentage of the project’s first formal cost baseline (the dependent variable; positive values denote overruns).</w:t>
            </w:r>
          </w:p>
        </w:tc>
        <w:tc>
          <w:tcPr>
            <w:tcW w:w="0" w:type="auto"/>
          </w:tcPr>
          <w:p>
            <w:pPr>
              <w:spacing w:line="240" w:lineRule="auto" w:before="0" w:after="0"/>
              <w:pStyle w:val="Compact"/>
            </w:pPr>
            <w:r>
              <w:rPr>
                <w:sz w:val="20"/>
                <w:szCs w:val="20"/>
              </w:rPr>
              <w:t xml:space="preserve">Planetary Society (Hubbard/Dreier) Implementing Missions Within Budget 2013-05-29; GAO-10-227SP; GAO-25-107591</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Natural logarithm of spacecraft launch mass in kilograms, used as a continuous proxy for technical scope and system complexity.</w:t>
            </w:r>
          </w:p>
        </w:tc>
        <w:tc>
          <w:tcPr>
            <w:tcW w:w="0" w:type="auto"/>
          </w:tcPr>
          <w:p>
            <w:pPr>
              <w:spacing w:line="240" w:lineRule="auto" w:before="0" w:after="0"/>
              <w:pStyle w:val="Compact"/>
            </w:pPr>
            <w:r>
              <w:rPr>
                <w:sz w:val="20"/>
                <w:szCs w:val="20"/>
              </w:rPr>
              <w:t xml:space="preserve">Project press kits and Wikipedia mission pages (NEAR through SLS), each cited per row in data.csv</w:t>
            </w:r>
          </w:p>
        </w:tc>
      </w:tr>
      <w:tr>
        <w:tc>
          <w:tcPr>
            <w:tcW w:w="0" w:type="auto"/>
          </w:tcPr>
          <w:p>
            <w:pPr>
              <w:spacing w:line="240" w:lineRule="auto" w:before="0" w:after="0"/>
              <w:pStyle w:val="Compact"/>
            </w:pPr>
            <w:r>
              <w:rPr>
                <w:sz w:val="20"/>
                <w:szCs w:val="20"/>
              </w:rPr>
              <w:t xml:space="preserve">launch_mass_kg</w:t>
            </w:r>
          </w:p>
        </w:tc>
        <w:tc>
          <w:tcPr>
            <w:tcW w:w="0" w:type="auto"/>
          </w:tcPr>
          <w:p>
            <w:pPr>
              <w:spacing w:line="240" w:lineRule="auto" w:before="0" w:after="0"/>
              <w:pStyle w:val="Compact"/>
            </w:pPr>
            <w:r>
              <w:rPr>
                <w:sz w:val="20"/>
                <w:szCs w:val="20"/>
              </w:rPr>
              <w:t xml:space="preserve">Spacecraft launch mass in kilograms (raw value underlying ln_mass).</w:t>
            </w:r>
          </w:p>
        </w:tc>
        <w:tc>
          <w:tcPr>
            <w:tcW w:w="0" w:type="auto"/>
          </w:tcPr>
          <w:p>
            <w:pPr>
              <w:spacing w:line="240" w:lineRule="auto" w:before="0" w:after="0"/>
              <w:pStyle w:val="Compact"/>
            </w:pPr>
            <w:r>
              <w:rPr>
                <w:sz w:val="20"/>
                <w:szCs w:val="20"/>
              </w:rPr>
              <w:t xml:space="preserve">Project press kits and Wikipedia mission pages, cited per row in data.csv</w:t>
            </w:r>
          </w:p>
        </w:tc>
      </w:tr>
      <w:tr>
        <w:tc>
          <w:tcPr>
            <w:tcW w:w="0" w:type="auto"/>
          </w:tcPr>
          <w:p>
            <w:pPr>
              <w:spacing w:line="240" w:lineRule="auto" w:before="0" w:after="0"/>
              <w:pStyle w:val="Compact"/>
            </w:pPr>
            <w:r>
              <w:rPr>
                <w:sz w:val="20"/>
                <w:szCs w:val="20"/>
              </w:rPr>
              <w:t xml:space="preserve">had_partner</w:t>
            </w:r>
          </w:p>
        </w:tc>
        <w:tc>
          <w:tcPr>
            <w:tcW w:w="0" w:type="auto"/>
          </w:tcPr>
          <w:p>
            <w:pPr>
              <w:spacing w:line="240" w:lineRule="auto" w:before="0" w:after="0"/>
              <w:pStyle w:val="Compact"/>
            </w:pPr>
            <w:r>
              <w:rPr>
                <w:sz w:val="20"/>
                <w:szCs w:val="20"/>
              </w:rPr>
              <w:t xml:space="preserve">Binary indicator equal to 1 when the project carried a major external partner (international space agency or other federal agency) contributing scope, and 0 otherwise.</w:t>
            </w:r>
          </w:p>
        </w:tc>
        <w:tc>
          <w:tcPr>
            <w:tcW w:w="0" w:type="auto"/>
          </w:tcPr>
          <w:p>
            <w:pPr>
              <w:spacing w:line="240" w:lineRule="auto" w:before="0" w:after="0"/>
              <w:pStyle w:val="Compact"/>
            </w:pPr>
            <w:r>
              <w:rPr>
                <w:sz w:val="20"/>
                <w:szCs w:val="20"/>
              </w:rPr>
              <w:t xml:space="preserve">Mission descriptions and GAO partner discussion (GAO-10-227SP); coded per row in data.csv</w:t>
            </w:r>
          </w:p>
        </w:tc>
      </w:tr>
      <w:tr>
        <w:tc>
          <w:tcPr>
            <w:tcW w:w="0" w:type="auto"/>
          </w:tcPr>
          <w:p>
            <w:pPr>
              <w:spacing w:line="240" w:lineRule="auto" w:before="0" w:after="0"/>
              <w:pStyle w:val="Compact"/>
            </w:pPr>
            <w:r>
              <w:rPr>
                <w:sz w:val="20"/>
                <w:szCs w:val="20"/>
              </w:rPr>
              <w:t xml:space="preserve">sched_slip_months</w:t>
            </w:r>
          </w:p>
        </w:tc>
        <w:tc>
          <w:tcPr>
            <w:tcW w:w="0" w:type="auto"/>
          </w:tcPr>
          <w:p>
            <w:pPr>
              <w:spacing w:line="240" w:lineRule="auto" w:before="0" w:after="0"/>
              <w:pStyle w:val="Compact"/>
            </w:pPr>
            <w:r>
              <w:rPr>
                <w:sz w:val="20"/>
                <w:szCs w:val="20"/>
              </w:rPr>
              <w:t xml:space="preserve">Schedule slip in months from baseline launch date to actual launch, reported descriptively where GAO documents it.</w:t>
            </w:r>
          </w:p>
        </w:tc>
        <w:tc>
          <w:tcPr>
            <w:tcW w:w="0" w:type="auto"/>
          </w:tcPr>
          <w:p>
            <w:pPr>
              <w:spacing w:line="240" w:lineRule="auto" w:before="0" w:after="0"/>
              <w:pStyle w:val="Compact"/>
            </w:pPr>
            <w:r>
              <w:rPr>
                <w:sz w:val="20"/>
                <w:szCs w:val="20"/>
              </w:rPr>
              <w:t xml:space="preserve">GAO-10-227SP; GAO-11-239SP; GAO-25-107591</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1.5982</w:t>
            </w:r>
          </w:p>
        </w:tc>
        <w:tc>
          <w:tcPr>
            <w:tcW w:w="0" w:type="auto"/>
          </w:tcPr>
          <w:p>
            <w:pPr>
              <w:spacing w:line="240" w:lineRule="auto" w:before="0" w:after="0"/>
              <w:pStyle w:val="Compact"/>
            </w:pPr>
            <w:r>
              <w:rPr>
                <w:sz w:val="20"/>
                <w:szCs w:val="20"/>
              </w:rPr>
              <w:t xml:space="preserve">24.8458</w:t>
            </w:r>
          </w:p>
        </w:tc>
        <w:tc>
          <w:tcPr>
            <w:tcW w:w="0" w:type="auto"/>
          </w:tcPr>
          <w:p>
            <w:pPr>
              <w:spacing w:line="240" w:lineRule="auto" w:before="0" w:after="0"/>
              <w:pStyle w:val="Compact"/>
            </w:pPr>
            <w:r>
              <w:rPr>
                <w:sz w:val="20"/>
                <w:szCs w:val="20"/>
              </w:rPr>
              <w:t xml:space="preserve">0.0643</w:t>
            </w:r>
          </w:p>
        </w:tc>
        <w:tc>
          <w:tcPr>
            <w:tcW w:w="0" w:type="auto"/>
          </w:tcPr>
          <w:p>
            <w:pPr>
              <w:spacing w:line="240" w:lineRule="auto" w:before="0" w:after="0"/>
              <w:pStyle w:val="Compact"/>
            </w:pPr>
            <w:r>
              <w:rPr>
                <w:sz w:val="20"/>
                <w:szCs w:val="20"/>
              </w:rPr>
              <w:t xml:space="preserve">0.9487</w:t>
            </w:r>
          </w:p>
        </w:tc>
        <w:tc>
          <w:tcPr>
            <w:tcW w:w="0" w:type="auto"/>
          </w:tcPr>
          <w:p>
            <w:pPr>
              <w:spacing w:line="240" w:lineRule="auto" w:before="0" w:after="0"/>
              <w:pStyle w:val="Compact"/>
            </w:pPr>
            <w:r>
              <w:rPr>
                <w:sz w:val="20"/>
                <w:szCs w:val="20"/>
              </w:rPr>
              <w:t xml:space="preserve">[-47.0986, 50.2951]</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1.8218</w:t>
            </w:r>
          </w:p>
        </w:tc>
        <w:tc>
          <w:tcPr>
            <w:tcW w:w="0" w:type="auto"/>
          </w:tcPr>
          <w:p>
            <w:pPr>
              <w:spacing w:line="240" w:lineRule="auto" w:before="0" w:after="0"/>
              <w:pStyle w:val="Compact"/>
            </w:pPr>
            <w:r>
              <w:rPr>
                <w:sz w:val="20"/>
                <w:szCs w:val="20"/>
              </w:rPr>
              <w:t xml:space="preserve">3.185</w:t>
            </w:r>
          </w:p>
        </w:tc>
        <w:tc>
          <w:tcPr>
            <w:tcW w:w="0" w:type="auto"/>
          </w:tcPr>
          <w:p>
            <w:pPr>
              <w:spacing w:line="240" w:lineRule="auto" w:before="0" w:after="0"/>
              <w:pStyle w:val="Compact"/>
            </w:pPr>
            <w:r>
              <w:rPr>
                <w:sz w:val="20"/>
                <w:szCs w:val="20"/>
              </w:rPr>
              <w:t xml:space="preserve">0.572</w:t>
            </w:r>
          </w:p>
        </w:tc>
        <w:tc>
          <w:tcPr>
            <w:tcW w:w="0" w:type="auto"/>
          </w:tcPr>
          <w:p>
            <w:pPr>
              <w:spacing w:line="240" w:lineRule="auto" w:before="0" w:after="0"/>
              <w:pStyle w:val="Compact"/>
            </w:pPr>
            <w:r>
              <w:rPr>
                <w:sz w:val="20"/>
                <w:szCs w:val="20"/>
              </w:rPr>
              <w:t xml:space="preserve">0.5673</w:t>
            </w:r>
          </w:p>
        </w:tc>
        <w:tc>
          <w:tcPr>
            <w:tcW w:w="0" w:type="auto"/>
          </w:tcPr>
          <w:p>
            <w:pPr>
              <w:spacing w:line="240" w:lineRule="auto" w:before="0" w:after="0"/>
              <w:pStyle w:val="Compact"/>
            </w:pPr>
            <w:r>
              <w:rPr>
                <w:sz w:val="20"/>
                <w:szCs w:val="20"/>
              </w:rPr>
              <w:t xml:space="preserve">[-4.4208, 8.0643]</w:t>
            </w:r>
          </w:p>
        </w:tc>
      </w:tr>
      <w:tr>
        <w:tc>
          <w:tcPr>
            <w:tcW w:w="0" w:type="auto"/>
          </w:tcPr>
          <w:p>
            <w:pPr>
              <w:spacing w:line="240" w:lineRule="auto" w:before="0" w:after="0"/>
              <w:pStyle w:val="Compact"/>
            </w:pPr>
            <w:r>
              <w:rPr>
                <w:sz w:val="20"/>
                <w:szCs w:val="20"/>
              </w:rPr>
              <w:t xml:space="preserve">had_partner</w:t>
            </w:r>
          </w:p>
        </w:tc>
        <w:tc>
          <w:tcPr>
            <w:tcW w:w="0" w:type="auto"/>
          </w:tcPr>
          <w:p>
            <w:pPr>
              <w:spacing w:line="240" w:lineRule="auto" w:before="0" w:after="0"/>
              <w:pStyle w:val="Compact"/>
            </w:pPr>
            <w:r>
              <w:rPr>
                <w:sz w:val="20"/>
                <w:szCs w:val="20"/>
              </w:rPr>
              <w:t xml:space="preserve">13.8242</w:t>
            </w:r>
          </w:p>
        </w:tc>
        <w:tc>
          <w:tcPr>
            <w:tcW w:w="0" w:type="auto"/>
          </w:tcPr>
          <w:p>
            <w:pPr>
              <w:spacing w:line="240" w:lineRule="auto" w:before="0" w:after="0"/>
              <w:pStyle w:val="Compact"/>
            </w:pPr>
            <w:r>
              <w:rPr>
                <w:sz w:val="20"/>
                <w:szCs w:val="20"/>
              </w:rPr>
              <w:t xml:space="preserve">15.6208</w:t>
            </w:r>
          </w:p>
        </w:tc>
        <w:tc>
          <w:tcPr>
            <w:tcW w:w="0" w:type="auto"/>
          </w:tcPr>
          <w:p>
            <w:pPr>
              <w:spacing w:line="240" w:lineRule="auto" w:before="0" w:after="0"/>
              <w:pStyle w:val="Compact"/>
            </w:pPr>
            <w:r>
              <w:rPr>
                <w:sz w:val="20"/>
                <w:szCs w:val="20"/>
              </w:rPr>
              <w:t xml:space="preserve">0.885</w:t>
            </w:r>
          </w:p>
        </w:tc>
        <w:tc>
          <w:tcPr>
            <w:tcW w:w="0" w:type="auto"/>
          </w:tcPr>
          <w:p>
            <w:pPr>
              <w:spacing w:line="240" w:lineRule="auto" w:before="0" w:after="0"/>
              <w:pStyle w:val="Compact"/>
            </w:pPr>
            <w:r>
              <w:rPr>
                <w:sz w:val="20"/>
                <w:szCs w:val="20"/>
              </w:rPr>
              <w:t xml:space="preserve">0.3762</w:t>
            </w:r>
          </w:p>
        </w:tc>
        <w:tc>
          <w:tcPr>
            <w:tcW w:w="0" w:type="auto"/>
          </w:tcPr>
          <w:p>
            <w:pPr>
              <w:spacing w:line="240" w:lineRule="auto" w:before="0" w:after="0"/>
              <w:pStyle w:val="Compact"/>
            </w:pPr>
            <w:r>
              <w:rPr>
                <w:sz w:val="20"/>
                <w:szCs w:val="20"/>
              </w:rPr>
              <w:t xml:space="preserve">[-16.792, 44.4405]</w:t>
            </w:r>
          </w:p>
        </w:tc>
      </w:tr>
    </w:tbl>
    <w:p>
      <w:pPr>
        <w:pStyle w:val="BodyText"/>
      </w:pPr>
      <w:r>
        <w:t xml:space="preserve">Fit: N = 26 R2 = 0.0584 R2_adj = -0.0235 F = 0.5097 F_p = 0.6073</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2026-06-25T14:25:56Z</dcterms:created>
  <dcterms:modified xsi:type="dcterms:W3CDTF">2026-06-25T14:25:56Z</dcterms:modified>
</cp:coreProperties>
</file>

<file path=docProps/custom.xml><?xml version="1.0" encoding="utf-8"?>
<Properties xmlns="http://schemas.openxmlformats.org/officeDocument/2006/custom-properties" xmlns:vt="http://schemas.openxmlformats.org/officeDocument/2006/docPropsVTypes"/>
</file>