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6557717268e1df935de77b6010713be3fe8b503"/>
    <w:p>
      <w:pPr>
        <w:pStyle w:val="Heading1"/>
      </w:pPr>
      <w:r>
        <w:t xml:space="preserve">The Modification Stream Has a Signature: Requirement-Modification Intensity Predicts Cost Growth in NASA Major Projects Conditional on Commitment-Stage Maturity</w:t>
      </w:r>
    </w:p>
    <w:p>
      <w:pPr>
        <w:pStyle w:val="FirstParagraph"/>
      </w:pPr>
      <w:r>
        <w:rPr>
          <w:b/>
          <w:bCs/>
        </w:rPr>
        <w:t xml:space="preserve">Kofi Dubois (1B-MPM-048)</w:t>
      </w:r>
    </w:p>
    <w:bookmarkStart w:id="61" w:name="introduction"/>
    <w:p>
      <w:pPr>
        <w:pStyle w:val="Heading2"/>
      </w:pPr>
      <w:r>
        <w:t xml:space="preserve">1. Introduction</w:t>
      </w:r>
    </w:p>
    <w:p>
      <w:pPr>
        <w:pStyle w:val="FirstParagraph"/>
      </w:pPr>
      <w:r>
        <w:t xml:space="preserve">Major space programs rarely fail by exploding on the pad. They fail quietly, by departing from the cost and schedule they committed to at baseline, and they do so on a scale that makes the departure a matter of national accounting. The conventional reading of that departure places the fault at a single moment. Planners were optimistic, the contractor underbid, the unknowns were larger than the model allowed. On this reading everything that follows the commitment is the slow unfolding of one initial mistake, and the remedy is a better point estimate at the start.</w:t>
      </w:r>
    </w:p>
    <w:p>
      <w:pPr>
        <w:pStyle w:val="BodyText"/>
      </w:pPr>
      <w:r>
        <w:t xml:space="preserve">This paper takes a different view and tests it. Between the commitment milestone and operational delivery, a program approves a continuous stream of requirement modifications. Each one is reviewed, each one is justified against its own local merits, and each one is approved by a governance body reasoning about that increment in isolation. The pathology I name is the failure of any node in that apparatus to reconstitute the cumulative weight of the increments against the original commitment until the cost consequences have already accrued. If that pathology is real, it leaves a measurable fingerprint in the baseline record: a program that absorbs many approved modifications should depart from its committed cost more than a program that absorbs few, and it should do so for reasons the technical-maturity story does not already supply.</w:t>
      </w:r>
    </w:p>
    <w:p>
      <w:pPr>
        <w:pStyle w:val="BodyText"/>
      </w:pPr>
      <w:r>
        <w:t xml:space="preserve">The single contribution of this paper is to show that the fingerprint is legible and that it survives the maturity control. Using a cross-program dataset of twenty-four formally baselined NASA major projects, I regress proportional development cost growth on modification intensity while conditioning on whether the program’s critical technologies reached technology readiness level six by preliminary design review. The modification-intensity coefficient is positive, statistically significant, and barely moves when the maturity control enters. The estimation literature treats cost growth on joint and complex programs as a phenomenon to be modeled at the level of the estimate and its reserves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this paper relocates a measurable part of it to the modification-approval apparatus.</w:t>
      </w:r>
    </w:p>
    <w:bookmarkEnd w:id="61"/>
    <w:bookmarkStart w:id="62" w:name="theory-and-hypotheses"/>
    <w:p>
      <w:pPr>
        <w:pStyle w:val="Heading2"/>
      </w:pPr>
      <w:r>
        <w:t xml:space="preserve">2. Theory and Hypotheses</w:t>
      </w:r>
    </w:p>
    <w:p>
      <w:pPr>
        <w:pStyle w:val="FirstParagraph"/>
      </w:pPr>
      <w:r>
        <w:t xml:space="preserve">The constituent instruments of the argument are well documented and, individually, uncontroversial. Cost growth on jointly executed and architecturally coupled programs has been formalized as a phenomenon with identifiable drivers, where the interaction of partially separable subsystems generates growth that no single estimate anticipates</w:t>
      </w:r>
      <w:r>
        <w:t xml:space="preserve"> </w:t>
      </w:r>
      <w:hyperlink w:anchor="ref-1">
        <m:oMathPara>
          <m:oMathParaPr>
            <m:jc m:val="center"/>
          </m:oMathParaPr>
          <m:oMath>
            <m:r>
              <m:t>1</m:t>
            </m:r>
          </m:oMath>
        </m:oMathPara>
      </w:hyperlink>
      <w:r>
        <w:t xml:space="preserve">. Parametric cost-prediction practice treats development cost as a function of design and maturity parameters fixed near the conceptual phase, which is precisely the posture that locates the causal action at commitment rather than during execution</w:t>
      </w:r>
      <w:r>
        <w:t xml:space="preserve"> </w:t>
      </w:r>
      <w:hyperlink w:anchor="ref-2">
        <m:oMathPara>
          <m:oMathParaPr>
            <m:jc m:val="center"/>
          </m:oMathParaPr>
          <m:oMath>
            <m:r>
              <m:t>2</m:t>
            </m:r>
          </m:oMath>
        </m:oMathPara>
      </w:hyperlink>
      <w:r>
        <w:t xml:space="preserve">. Systems engineering practice, refined across two decades of concurrent-engineering application, codifies how requirements are defined, baselined, and changed, and it is that codification which turns the modification record into an auditable trail rather than an informal memory</w:t>
      </w:r>
      <w:r>
        <w:t xml:space="preserve"> </w:t>
      </w:r>
      <w:hyperlink w:anchor="ref-3">
        <m:oMathPara>
          <m:oMathParaPr>
            <m:jc m:val="center"/>
          </m:oMathParaPr>
          <m:oMath>
            <m:r>
              <m:t>3</m:t>
            </m:r>
          </m:oMath>
        </m:oMathPara>
      </w:hyperlink>
      <w:r>
        <w:t xml:space="preserve">. Acquisition structure and funding for space programs are themselves tracked as analyzable objects at the portfolio level, which establishes that the baseline and its evolution are recorded with enough fidelity to support quantitative work</w:t>
      </w:r>
      <w:r>
        <w:t xml:space="preserve"> </w:t>
      </w:r>
      <w:hyperlink w:anchor="ref-4">
        <m:oMathPara>
          <m:oMathParaPr>
            <m:jc m:val="center"/>
          </m:oMathParaPr>
          <m:oMath>
            <m:r>
              <m:t>4</m:t>
            </m:r>
          </m:oMath>
        </m:oMathPara>
      </w:hyperlink>
      <w:r>
        <w:t xml:space="preserve">.</w:t>
      </w:r>
    </w:p>
    <w:p>
      <w:pPr>
        <w:pStyle w:val="FirstParagraph"/>
      </w:pPr>
      <w:r>
        <w:t xml:space="preserve">Each of these is a piece of the apparatus, and none of them poses the modification stream itself as a measurable independent variable whose association with outcomes can be tested against the maturity explanation. That is the gap. The estimation account</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w:t>
      </w:r>
      <w:r>
        <w:t xml:space="preserve">and the maturity account both predict that intrinsically harder programs overrun more, and a program whose critical technologies sit below readiness at commitment is hard in exactly the way that should drive both heavier modification and larger overrun. If the organizational-pathology framing adds nothing, then conditioning on commitment-stage readiness should absorb the modification signal entirely. If the framing carries information, the signal should persist after the control enters.</w:t>
      </w:r>
    </w:p>
    <w:p>
      <w:pPr>
        <w:pStyle w:val="FirstParagraph"/>
      </w:pPr>
      <w:r>
        <w:t xml:space="preserve">This yields a single falsifiable pivot.</w:t>
      </w:r>
    </w:p>
    <w:p>
      <w:pPr>
        <w:pStyle w:val="BodyText"/>
      </w:pPr>
      <w:r>
        <w:rPr>
          <w:b/>
          <w:bCs/>
        </w:rPr>
        <w:t xml:space="preserve">H1 (the contribution):</w:t>
      </w:r>
      <w:r>
        <w:t xml:space="preserve"> </w:t>
      </w:r>
      <w:r>
        <w:t xml:space="preserve">Within formally baselined NASA major projects, requirement-modification intensity is positively and significantly associated with proportional development cost growth, conditional on the commitment-stage technology readiness of the program’s critical technologies.</w:t>
      </w:r>
    </w:p>
    <w:p>
      <w:pPr>
        <w:pStyle w:val="BodyText"/>
      </w:pPr>
      <w:r>
        <w:rPr>
          <w:b/>
          <w:bCs/>
        </w:rPr>
        <w:t xml:space="preserve">H0 (the refutation):</w:t>
      </w:r>
      <w:r>
        <w:t xml:space="preserve"> </w:t>
      </w:r>
      <w:r>
        <w:t xml:space="preserve">Conditional on commitment-stage readiness, modification intensity carries no information about cost growth, and its coefficient is statistically indistinguishable from zero. Under H0, scope growth is fully absorbed by the maturity story, and the readiness instrument is sufficient.</w:t>
      </w:r>
    </w:p>
    <w:p>
      <w:pPr>
        <w:pStyle w:val="BodyText"/>
      </w:pPr>
      <w:r>
        <w:t xml:space="preserve">The design stakes the contribution on one coefficient and one comparison. If the conditional coefficient is null, the pathology framing fails cleanly and the estimation-and-maturity account stands, with no auxiliary hypothesis to retreat to.</w:t>
      </w:r>
    </w:p>
    <w:bookmarkEnd w:id="62"/>
    <w:bookmarkStart w:id="63" w:name="data"/>
    <w:p>
      <w:pPr>
        <w:pStyle w:val="Heading2"/>
      </w:pPr>
      <w:r>
        <w:t xml:space="preserve">3. Data</w:t>
      </w:r>
    </w:p>
    <w:p>
      <w:pPr>
        <w:pStyle w:val="FirstParagraph"/>
      </w:pPr>
      <w:r>
        <w:t xml:space="preserve">The unit of analysis is the formally baselined NASA major project, defined as a development effort whose life-cycle cost exceeds the agency’s statutory major-project threshold and which has established an Agency Baseline Commitment. The dataset comprises twenty-four such projects compiled from named primary sources, each observation carrying its source in the final column of the accompanying data file.</w:t>
      </w:r>
    </w:p>
    <w:p>
      <w:pPr>
        <w:pStyle w:val="BodyText"/>
      </w:pPr>
      <w:r>
        <w:t xml:space="preserve">The dependent variable, proportional development cost growth, is the ratio of the latest or final development cost estimate to the committed baseline cost, minus one, expressed as a percentage. Baseline and current cost figures are drawn from the Government Accountability Office’s recurring Assessments of Major Projects series</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from NASA Office of Inspector General project audits</w:t>
      </w:r>
      <w:r>
        <w:t xml:space="preserve"> </w:t>
      </w:r>
      <w:hyperlink w:anchor="ref-7">
        <m:oMathPara>
          <m:oMathParaPr>
            <m:jc m:val="center"/>
          </m:oMathParaPr>
          <m:oMath>
            <m:r>
              <m:t>7</m:t>
            </m:r>
          </m:oMath>
        </m:oMathPara>
      </w:hyperlink>
      <w:r>
        <w:t xml:space="preserve">,</w:t>
      </w:r>
      <w:r>
        <w:t xml:space="preserve"> </w:t>
      </w:r>
      <w:hyperlink w:anchor="ref-8">
        <m:oMathPara>
          <m:oMathParaPr>
            <m:jc m:val="center"/>
          </m:oMathParaPr>
          <m:oMath>
            <m:r>
              <m:t>8</m:t>
            </m:r>
          </m:oMath>
        </m:oMathPara>
      </w:hyperlink>
      <w:r>
        <w:t xml:space="preserve">, and from The Planetary Society’s per-mission cost compilations</w:t>
      </w:r>
      <w:r>
        <w:t xml:space="preserve"> </w:t>
      </w:r>
      <w:hyperlink w:anchor="ref-9">
        <m:oMathPara>
          <m:oMathParaPr>
            <m:jc m:val="center"/>
          </m:oMathParaPr>
          <m:oMath>
            <m:r>
              <m:t>9</m:t>
            </m:r>
          </m:oMath>
        </m:oMathPara>
      </w:hyperlink>
      <w:r>
        <w:t xml:space="preserve">. The series spans the full outcome range, from projects that executed under baseline, such as Landsat 9 at negative seven percent, through projects that breached it severely, such as Dragonfly, whose life-cycle cost grew from an original eight-hundred-fifty-million-dollar cap to a three-and-a-third-billion-dollar baseline across four documented replans</w:t>
      </w:r>
      <w:r>
        <w:t xml:space="preserve"> </w:t>
      </w:r>
      <w:hyperlink w:anchor="ref-7">
        <m:oMathPara>
          <m:oMathParaPr>
            <m:jc m:val="center"/>
          </m:oMathParaPr>
          <m:oMath>
            <m:r>
              <m:t>7</m:t>
            </m:r>
          </m:oMath>
        </m:oMathPara>
      </w:hyperlink>
      <w:r>
        <w:t xml:space="preserve">.</w:t>
      </w:r>
    </w:p>
    <w:p>
      <w:pPr>
        <w:pStyle w:val="FirstParagraph"/>
      </w:pPr>
      <w:r>
        <w:t xml:space="preserve">The independent variable, modification intensity, is the count of formally approved rebaselines or replans a project absorbed between commitment and the reporting cycle. Each rebaseline is the governance act in which an accumulated stream of approved requirement and configuration modifications is aggregated and re-committed, which makes it the observable proxy for cumulative scope growth defined against agency systems engineering practice</w:t>
      </w:r>
      <w:r>
        <w:t xml:space="preserve"> </w:t>
      </w:r>
      <w:hyperlink w:anchor="ref-3">
        <m:oMathPara>
          <m:oMathParaPr>
            <m:jc m:val="center"/>
          </m:oMathParaPr>
          <m:oMath>
            <m:r>
              <m:t>3</m:t>
            </m:r>
          </m:oMath>
        </m:oMathPara>
      </w:hyperlink>
      <w:r>
        <w:t xml:space="preserve">. The maturity control is an indicator equal to one when a project demonstrated its critical technologies at technology readiness level six by preliminary design review, the conventional agency maturity instrument; the most recent assessment reports that nine of eleven projects reporting critical technologies reached that level by review</w:t>
      </w:r>
      <w:r>
        <w:t xml:space="preserve"> </w:t>
      </w:r>
      <w:hyperlink w:anchor="ref-5">
        <m:oMathPara>
          <m:oMathParaPr>
            <m:jc m:val="center"/>
          </m:oMathParaPr>
          <m:oMath>
            <m:r>
              <m:t>5</m:t>
            </m:r>
          </m:oMath>
        </m:oMathPara>
      </w:hyperlink>
      <w:r>
        <w:t xml:space="preserve">. Two of the twenty-four current-cost values are marked illustrative where an exact published figure was unavailable, both within reported overrun bands, holding the illustrative share below nine percent.</w:t>
      </w:r>
    </w:p>
    <w:bookmarkEnd w:id="63"/>
    <w:bookmarkStart w:id="64" w:name="method"/>
    <w:p>
      <w:pPr>
        <w:pStyle w:val="Heading2"/>
      </w:pPr>
      <w:r>
        <w:t xml:space="preserve">4. Method</w:t>
      </w:r>
    </w:p>
    <w:p>
      <w:pPr>
        <w:pStyle w:val="FirstParagraph"/>
      </w:pPr>
      <w:r>
        <w:t xml:space="preserve">The estimator is an ordinary least squares regression of proportional cost growth on modification intensity with the commitment-stage maturity indicator entered as a control, fitted with heteroskedasticity-robust standard errors. The specification is deliberately spare, because the quantity of interest is not a fully saturated causal model but the stability of a single coefficient across the inclusion and exclusion of the maturity control. The difference between the unconditional and conditional modification coefficients is itself the test: it measures how much of the raw scope-growth signal the maturity story explains away.</w:t>
      </w:r>
    </w:p>
    <w:p>
      <w:pPr>
        <w:pStyle w:val="BodyText"/>
      </w:pPr>
      <w:r>
        <w:t xml:space="preserve">Identification rests on the maturity control absorbing the most credible rival. Programs that approve many modifications may do so because they are intrinsically harder, and intrinsic difficulty would drive both modification count and cost growth. Technology readiness at commitment is the externally rated instrument for exactly that difficulty</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 so conditioning on it pulls the dominant confounder out of the error term. I report the modification coefficient, its robust standard error, its test statistic, its confidence interval, and its movement when the maturity control is added, alongside the model’s fit and the simple correlations that diagnose whether the variables are collinear.</w:t>
      </w:r>
    </w:p>
    <w:bookmarkEnd w:id="64"/>
    <w:bookmarkStart w:id="65" w:name="findings"/>
    <w:p>
      <w:pPr>
        <w:pStyle w:val="Heading2"/>
      </w:pPr>
      <w:r>
        <w:t xml:space="preserve">5. Findings</w:t>
      </w:r>
    </w:p>
    <w:p>
      <w:pPr>
        <w:pStyle w:val="FirstParagraph"/>
      </w:pPr>
      <w:r>
        <w:t xml:space="preserve">The conditional specification supports H1 and rejects H0. In the regression of proportional cost growth on modification intensity with the technology-readiness control, the modification-intensity coefficient is 34.47 with a robust standard error of 14.23, a t-statistic of 2.42, and a p-value of 0.0154, with a ninety-five percent confidence interval running from 6.58 to 62.37. The coefficient is positive and statistically distinguishable from zero at the five percent level. Read literally, each additional formally approved rebaseline is associated with roughly thirty-four and a half percentage points of additional cost growth against the committed baseline, holding commitment-stage maturity fixed. The model fits N equal to twenty-four observations with an R-squared of 0.486 and an adjusted R-squared of 0.437; the overall F-statistic is 3.06 with a p-value of 0.068.</w:t>
      </w:r>
    </w:p>
    <w:p>
      <w:pPr>
        <w:pStyle w:val="BodyText"/>
      </w:pPr>
      <w:r>
        <w:t xml:space="preserve">The maturity control behaves as theory predicts but does not displace the modification signal. The coefficient on the technology-readiness indicator is negative, at -14.68 with a standard error of 17.19, consistent with the expectation that programs whose critical technologies were mature at preliminary design review grow less; but it is not statistically significant, with a p-value of 0.393 and a confidence interval spanning zero, from -48.37 to 19.01. The intercept is -9.87 and is not distinguishable from zero.</w:t>
      </w:r>
    </w:p>
    <w:p>
      <w:pPr>
        <w:pStyle w:val="BodyText"/>
      </w:pPr>
      <w:r>
        <w:t xml:space="preserve">The decisive evidence is the coefficient’s stability. In the unconditional specification, with the maturity control excluded, the modification-intensity coefficient is 36.19, with a robust standard error of 15.55 and a p-value of 0.020. Adding the technology-readiness control moves that coefficient only to 34.47, an attenuation of under five percent, and the coefficient remains significant throughout. This is the quantity the design was built to read. If the maturity story explained scope growth away, the modification coefficient would collapse toward zero once readiness entered the model. It does not. The simple correlations corroborate the reading: modification intensity correlates with cost growth at 0.687, while its correlation with the maturity indicator is only -0.269, so the persistence of the coefficient is not an artifact of collinearity between the two regressors. As a robustness note, schedule slip correlates with cost growth at 0.391, weaker than the modification association, which is consistent with modification intensity rather than mere delay being the load-bearing variable.</w:t>
      </w:r>
    </w:p>
    <w:bookmarkEnd w:id="65"/>
    <w:bookmarkStart w:id="66" w:name="discussion"/>
    <w:p>
      <w:pPr>
        <w:pStyle w:val="Heading2"/>
      </w:pPr>
      <w:r>
        <w:t xml:space="preserve">6. Discussion</w:t>
      </w:r>
    </w:p>
    <w:p>
      <w:pPr>
        <w:pStyle w:val="FirstParagraph"/>
      </w:pPr>
      <w:r>
        <w:t xml:space="preserve">The result locates a measurable share of cost growth in the modification-approval apparatus rather than in the initial estimate. The modification stream leaves a signature in the baseline record, and that signature carries information the technology-readiness instrument does not supply. This is a narrow claim, and the narrowness is the point. The paper does not assert that estimation error is unimportant or that maturity is irrelevant; the maturity coefficient runs in the expected protective direction, and the estimation literature’s drivers remain real</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The claim is only that, conditional on the standard maturity control, programs that absorbed more approved rebaselines grew more, and that this association is stable, significant, and not collinear with maturity.</w:t>
      </w:r>
    </w:p>
    <w:p>
      <w:pPr>
        <w:pStyle w:val="FirstParagraph"/>
      </w:pPr>
      <w:r>
        <w:t xml:space="preserve">If the association is causal, the remedy it implies is governance redesign rather than better point estimates. A program that never reconstitutes its cumulative modification drift against the original commitment is structurally blind to the very signal this paper measures from the outside. A cumulative-drift checkpoint, a governance node whose sole function is to aggregate approved modifications against baseline and force a re-commitment decision before the cost consequences accrue, is the intervention the framing recommends. The systems engineering apparatus already records every input such a checkpoint would need</w:t>
      </w:r>
      <w:r>
        <w:t xml:space="preserve"> </w:t>
      </w:r>
      <w:hyperlink w:anchor="ref-3">
        <m:oMathPara>
          <m:oMathParaPr>
            <m:jc m:val="center"/>
          </m:oMathParaPr>
          <m:oMath>
            <m:r>
              <m:t>3</m:t>
            </m:r>
          </m:oMath>
        </m:oMathPara>
      </w:hyperlink>
      <w:r>
        <w:t xml:space="preserve">.</w:t>
      </w:r>
    </w:p>
    <w:p>
      <w:pPr>
        <w:pStyle w:val="FirstParagraph"/>
      </w:pPr>
      <w:r>
        <w:t xml:space="preserve">Four limitations bound the inference. First, modification intensity is not randomly assigned, and while the maturity control absorbs the most credible confounder, organizational complexity, the number of contributing centers or partners, could drive both modification and overrun independently; a complexity proxy is the natural next control. Second, the rebaseline count is a coarse proxy that weights a major capability addition and a procedural replan equally, and a severity-weighted alternative would sharpen the independent variable. Third, the cross-sectional design cannot fully resolve direction, since cost growth could in principle trigger descoping modifications rather than the reverse; anchoring modification intensity to the earlier portion of execution is the mitigation a panel design would permit. Fourth, the population is one agency’s baselined record, and the pathology, if real, may be specific to that governance culture; the portfolio-tracking evidence suggests the design is portable</w:t>
      </w:r>
      <w:r>
        <w:t xml:space="preserve"> </w:t>
      </w:r>
      <w:hyperlink w:anchor="ref-4">
        <m:oMathPara>
          <m:oMathParaPr>
            <m:jc m:val="center"/>
          </m:oMathParaPr>
          <m:oMath>
            <m:r>
              <m:t>4</m:t>
            </m:r>
          </m:oMath>
        </m:oMathPara>
      </w:hyperlink>
      <w:r>
        <w:t xml:space="preserve">, but the inference should be read as conditional on the NASA population sampled and not generalized without replication. The contribution stands within those bounds: the modification stream has a signature, and it is visible against the maturity story rather than behind it.</w:t>
      </w:r>
    </w:p>
    <w:bookmarkEnd w:id="66"/>
    <w:bookmarkStart w:id="79" w:name="references"/>
    <w:p>
      <w:pPr>
        <w:pStyle w:val="Heading2"/>
      </w:pPr>
      <w:r>
        <w:t xml:space="preserve">References</w:t>
      </w:r>
    </w:p>
    <w:p>
      <w:pPr>
        <w:pStyle w:val="FirstParagraph"/>
      </w:pPr>
      <w:bookmarkStart w:id="67" w:name="ref-1"/>
      <w:bookmarkEnd w:id="67"/>
      <w:r>
        <w:t xml:space="preserve">1. M. Dwyer, Z. Szajnfarber, B. Cameron, and E. F. Crawley,</w:t>
      </w:r>
      <w:r>
        <w:t xml:space="preserve"> </w:t>
      </w:r>
      <w:r>
        <w:t xml:space="preserve">“A model for understanding and managing cost growth on joint programs,”</w:t>
      </w:r>
      <w:r>
        <w:t xml:space="preserve"> </w:t>
      </w:r>
      <w:r>
        <w:rPr>
          <w:i/>
          <w:iCs/>
        </w:rPr>
        <w:t xml:space="preserve">Acta Astronautica</w:t>
      </w:r>
      <w:r>
        <w:t xml:space="preserve">, vol. 151, 2018. doi:</w:t>
      </w:r>
      <w:r>
        <w:t xml:space="preserve"> </w:t>
      </w:r>
      <w:hyperlink r:id="rId68">
        <w:r>
          <w:rPr>
            <w:rStyle w:val="Hyperlink"/>
          </w:rPr>
          <w:t xml:space="preserve">10.1016/j.actaastro.2018.07.004</w:t>
        </w:r>
      </w:hyperlink>
    </w:p>
    <w:p>
      <w:pPr>
        <w:pStyle w:val="BodyText"/>
      </w:pPr>
      <w:bookmarkStart w:id="69" w:name="ref-2"/>
      <w:bookmarkEnd w:id="69"/>
      <w:r>
        <w:t xml:space="preserve">2. N. Viola, R. Fusaro, D. Ferretto, and V. Vercella,</w:t>
      </w:r>
      <w:r>
        <w:t xml:space="preserve"> </w:t>
      </w:r>
      <w:r>
        <w:t xml:space="preserve">“Research, development and production costs prediction parametric model for future civil hypersonic aircraft,”</w:t>
      </w:r>
      <w:r>
        <w:t xml:space="preserve"> </w:t>
      </w:r>
      <w:r>
        <w:rPr>
          <w:i/>
          <w:iCs/>
        </w:rPr>
        <w:t xml:space="preserve">Acta Astronautica</w:t>
      </w:r>
      <w:r>
        <w:t xml:space="preserve">, vol. 207, 2022. doi:</w:t>
      </w:r>
      <w:r>
        <w:t xml:space="preserve"> </w:t>
      </w:r>
      <w:hyperlink r:id="rId70">
        <w:r>
          <w:rPr>
            <w:rStyle w:val="Hyperlink"/>
          </w:rPr>
          <w:t xml:space="preserve">10.1016/j.actaastro.2022.12.036</w:t>
        </w:r>
      </w:hyperlink>
    </w:p>
    <w:p>
      <w:pPr>
        <w:pStyle w:val="BodyText"/>
      </w:pPr>
      <w:bookmarkStart w:id="71" w:name="ref-3"/>
      <w:bookmarkEnd w:id="71"/>
      <w:r>
        <w:t xml:space="preserve">3. G. Loureiro, W. F. Panades, and A. C. de Paula Silva,</w:t>
      </w:r>
      <w:r>
        <w:t xml:space="preserve"> </w:t>
      </w:r>
      <w:r>
        <w:t xml:space="preserve">“Lessons learned in 20 years of application of Systems Concurrent Engineering to space products,”</w:t>
      </w:r>
      <w:r>
        <w:t xml:space="preserve"> </w:t>
      </w:r>
      <w:r>
        <w:rPr>
          <w:i/>
          <w:iCs/>
        </w:rPr>
        <w:t xml:space="preserve">Acta Astronautica</w:t>
      </w:r>
      <w:r>
        <w:t xml:space="preserve">, vol. 151, 2018. doi:</w:t>
      </w:r>
      <w:r>
        <w:t xml:space="preserve"> </w:t>
      </w:r>
      <w:hyperlink r:id="rId72">
        <w:r>
          <w:rPr>
            <w:rStyle w:val="Hyperlink"/>
          </w:rPr>
          <w:t xml:space="preserve">10.1016/j.actaastro.2018.05.042</w:t>
        </w:r>
      </w:hyperlink>
    </w:p>
    <w:p>
      <w:pPr>
        <w:pStyle w:val="BodyText"/>
      </w:pPr>
      <w:bookmarkStart w:id="73" w:name="ref-4"/>
      <w:bookmarkEnd w:id="73"/>
      <w:r>
        <w:t xml:space="preserve">4. K. Johnson and S. P. Daniels,</w:t>
      </w:r>
      <w:r>
        <w:t xml:space="preserve"> </w:t>
      </w:r>
      <w:r>
        <w:t xml:space="preserve">“Buying Space: Trends in U.S. SDA Acquisition,”</w:t>
      </w:r>
      <w:r>
        <w:t xml:space="preserve"> </w:t>
      </w:r>
      <w:r>
        <w:rPr>
          <w:i/>
          <w:iCs/>
        </w:rPr>
        <w:t xml:space="preserve">Proc. Advanced Maui Optical and Space Surveillance Technologies (AMOS) Conference</w:t>
      </w:r>
      <w:r>
        <w:t xml:space="preserve">, 2022.</w:t>
      </w:r>
    </w:p>
    <w:p>
      <w:pPr>
        <w:pStyle w:val="BodyText"/>
      </w:pPr>
      <w:bookmarkStart w:id="74" w:name="ref-5"/>
      <w:bookmarkEnd w:id="74"/>
      <w:r>
        <w:t xml:space="preserve">5. U.S. Government Accountability Office,</w:t>
      </w:r>
      <w:r>
        <w:t xml:space="preserve"> </w:t>
      </w:r>
      <w:r>
        <w:t xml:space="preserve">“NASA: Assessments of Major Projects,”</w:t>
      </w:r>
      <w:r>
        <w:t xml:space="preserve"> </w:t>
      </w:r>
      <w:r>
        <w:t xml:space="preserve">GAO-24-106767, Jun. 2024. https://www.gao.gov/products/gao-24-106767.</w:t>
      </w:r>
    </w:p>
    <w:p>
      <w:pPr>
        <w:pStyle w:val="BodyText"/>
      </w:pPr>
      <w:bookmarkStart w:id="75" w:name="ref-6"/>
      <w:bookmarkEnd w:id="75"/>
      <w:r>
        <w:t xml:space="preserve">6. U.S. Government Accountability Office,</w:t>
      </w:r>
      <w:r>
        <w:t xml:space="preserve"> </w:t>
      </w:r>
      <w:r>
        <w:t xml:space="preserve">“NASA: Assessment of Major Projects,”</w:t>
      </w:r>
      <w:r>
        <w:t xml:space="preserve"> </w:t>
      </w:r>
      <w:r>
        <w:t xml:space="preserve">GAO-23-106021, May 2023. https://www.gao.gov/products/gao-23-106021.</w:t>
      </w:r>
    </w:p>
    <w:p>
      <w:pPr>
        <w:pStyle w:val="BodyText"/>
      </w:pPr>
      <w:bookmarkStart w:id="76" w:name="ref-7"/>
      <w:bookmarkEnd w:id="76"/>
      <w:r>
        <w:t xml:space="preserve">7. NASA Office of Inspector General,</w:t>
      </w:r>
      <w:r>
        <w:t xml:space="preserve"> </w:t>
      </w:r>
      <w:r>
        <w:t xml:space="preserve">“NASA’s Management of the Dragonfly Project,”</w:t>
      </w:r>
      <w:r>
        <w:t xml:space="preserve"> </w:t>
      </w:r>
      <w:r>
        <w:t xml:space="preserve">IG-25-011, Sep. 2025. https://oig.nasa.gov/wp-content/uploads/2025/09/final-report-ig-25-011-nasas-managment-of-the-dragonfly-project.pdf.</w:t>
      </w:r>
    </w:p>
    <w:p>
      <w:pPr>
        <w:pStyle w:val="BodyText"/>
      </w:pPr>
      <w:bookmarkStart w:id="77" w:name="ref-8"/>
      <w:bookmarkEnd w:id="77"/>
      <w:r>
        <w:t xml:space="preserve">8. NASA Office of Inspector General,</w:t>
      </w:r>
      <w:r>
        <w:t xml:space="preserve"> </w:t>
      </w:r>
      <w:r>
        <w:t xml:space="preserve">“Audit of the Nancy Grace Roman Space Telescope Project,”</w:t>
      </w:r>
      <w:r>
        <w:t xml:space="preserve"> </w:t>
      </w:r>
      <w:r>
        <w:t xml:space="preserve">IG-24-014, Jul. 2024. https://oig.nasa.gov/wp-content/uploads/2024/07/ig-24-014.pdf.</w:t>
      </w:r>
    </w:p>
    <w:p>
      <w:pPr>
        <w:pStyle w:val="BodyText"/>
      </w:pPr>
      <w:bookmarkStart w:id="78" w:name="ref-9"/>
      <w:bookmarkEnd w:id="78"/>
      <w:r>
        <w:t xml:space="preserve">9. The Planetary Society,</w:t>
      </w:r>
      <w:r>
        <w:t xml:space="preserve"> </w:t>
      </w:r>
      <w:r>
        <w:t xml:space="preserve">“The Cost of NASA Missions”</w:t>
      </w:r>
      <w:r>
        <w:t xml:space="preserve"> </w:t>
      </w:r>
      <w:r>
        <w:t xml:space="preserve">(per-mission cost compilations: Psyche, Lucy, DART, Perseverance). https://www.planetary.org/space-policy.</w:t>
      </w:r>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CostGrowth</m:t>
              </m:r>
            </m:e>
            <m:sub>
              <m:r>
                <m:t>i</m:t>
              </m:r>
            </m:sub>
          </m:sSub>
          <m:r>
            <m:rPr>
              <m:sty m:val="p"/>
            </m:rPr>
            <m:t>=</m:t>
          </m:r>
          <m:sSub>
            <m:e>
              <m:r>
                <m:t>β</m:t>
              </m:r>
            </m:e>
            <m:sub>
              <m:r>
                <m:t>0</m:t>
              </m:r>
            </m:sub>
          </m:sSub>
          <m:r>
            <m:rPr>
              <m:sty m:val="p"/>
            </m:rPr>
            <m:t>+</m:t>
          </m:r>
          <m:sSub>
            <m:e>
              <m:r>
                <m:t>β</m:t>
              </m:r>
            </m:e>
            <m:sub>
              <m:r>
                <m:t>1</m:t>
              </m:r>
            </m:sub>
          </m:sSub>
          <m:r>
            <m:t> </m:t>
          </m:r>
          <m:sSub>
            <m:e>
              <m:r>
                <m:rPr>
                  <m:nor/>
                  <m:sty m:val="p"/>
                </m:rPr>
                <m:t>ModIntensity</m:t>
              </m:r>
            </m:e>
            <m:sub>
              <m:r>
                <m:t>i</m:t>
              </m:r>
            </m:sub>
          </m:sSub>
          <m:r>
            <m:rPr>
              <m:sty m:val="p"/>
            </m:rPr>
            <m:t>+</m:t>
          </m:r>
          <m:sSub>
            <m:e>
              <m:r>
                <m:t>β</m:t>
              </m:r>
            </m:e>
            <m:sub>
              <m:r>
                <m:t>2</m:t>
              </m:r>
            </m:sub>
          </m:sSub>
          <m:r>
            <m:t> </m:t>
          </m:r>
          <m:sSub>
            <m:e>
              <m:r>
                <m:rPr>
                  <m:nor/>
                  <m:sty m:val="p"/>
                </m:rPr>
                <m:t>TRL6atPDR</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-9.8696</w:t>
            </w:r>
          </w:p>
        </w:tc>
        <w:tc>
          <w:tcPr>
            <w:tcW w:w="0" w:type="auto"/>
          </w:tcPr>
          <w:p>
            <w:pPr>
              <w:spacing w:line="240" w:lineRule="auto" w:before="0" w:after="0"/>
              <w:pStyle w:val="Compact"/>
            </w:pPr>
            <w:r>
              <w:rPr>
                <w:sz w:val="20"/>
                <w:szCs w:val="20"/>
              </w:rPr>
              <w:t xml:space="preserve">15.463</w:t>
            </w:r>
          </w:p>
        </w:tc>
        <w:tc>
          <w:tcPr>
            <w:tcW w:w="0" w:type="auto"/>
          </w:tcPr>
          <w:p>
            <w:pPr>
              <w:spacing w:line="240" w:lineRule="auto" w:before="0" w:after="0"/>
              <w:pStyle w:val="Compact"/>
            </w:pPr>
            <w:r>
              <w:rPr>
                <w:sz w:val="20"/>
                <w:szCs w:val="20"/>
              </w:rPr>
              <w:t xml:space="preserve">-0.6383</w:t>
            </w:r>
          </w:p>
        </w:tc>
        <w:tc>
          <w:tcPr>
            <w:tcW w:w="0" w:type="auto"/>
          </w:tcPr>
          <w:p>
            <w:pPr>
              <w:spacing w:line="240" w:lineRule="auto" w:before="0" w:after="0"/>
              <w:pStyle w:val="Compact"/>
            </w:pPr>
            <w:r>
              <w:rPr>
                <w:sz w:val="20"/>
                <w:szCs w:val="20"/>
              </w:rPr>
              <w:t xml:space="preserve">0.5233</w:t>
            </w:r>
          </w:p>
        </w:tc>
        <w:tc>
          <w:tcPr>
            <w:tcW w:w="0" w:type="auto"/>
          </w:tcPr>
          <w:p>
            <w:pPr>
              <w:spacing w:line="240" w:lineRule="auto" w:before="0" w:after="0"/>
              <w:pStyle w:val="Compact"/>
            </w:pPr>
            <w:r>
              <w:rPr>
                <w:sz w:val="20"/>
                <w:szCs w:val="20"/>
              </w:rPr>
              <w:t xml:space="preserve">[-40.1766, 20.4374]</w:t>
            </w:r>
          </w:p>
        </w:tc>
      </w:tr>
      <w:tr>
        <w:tc>
          <w:tcPr>
            <w:tcW w:w="0" w:type="auto"/>
          </w:tcPr>
          <w:p>
            <w:pPr>
              <w:spacing w:line="240" w:lineRule="auto" w:before="0" w:after="0"/>
              <w:pStyle w:val="Compact"/>
            </w:pPr>
            <w:r>
              <w:rPr>
                <w:sz w:val="20"/>
                <w:szCs w:val="20"/>
              </w:rPr>
              <w:t xml:space="preserve">rebaseline_count</w:t>
            </w:r>
          </w:p>
        </w:tc>
        <w:tc>
          <w:tcPr>
            <w:tcW w:w="0" w:type="auto"/>
          </w:tcPr>
          <w:p>
            <w:pPr>
              <w:spacing w:line="240" w:lineRule="auto" w:before="0" w:after="0"/>
              <w:pStyle w:val="Compact"/>
            </w:pPr>
            <w:r>
              <w:rPr>
                <w:sz w:val="20"/>
                <w:szCs w:val="20"/>
              </w:rPr>
              <w:t xml:space="preserve">34.4721</w:t>
            </w:r>
          </w:p>
        </w:tc>
        <w:tc>
          <w:tcPr>
            <w:tcW w:w="0" w:type="auto"/>
          </w:tcPr>
          <w:p>
            <w:pPr>
              <w:spacing w:line="240" w:lineRule="auto" w:before="0" w:after="0"/>
              <w:pStyle w:val="Compact"/>
            </w:pPr>
            <w:r>
              <w:rPr>
                <w:sz w:val="20"/>
                <w:szCs w:val="20"/>
              </w:rPr>
              <w:t xml:space="preserve">14.2314</w:t>
            </w:r>
          </w:p>
        </w:tc>
        <w:tc>
          <w:tcPr>
            <w:tcW w:w="0" w:type="auto"/>
          </w:tcPr>
          <w:p>
            <w:pPr>
              <w:spacing w:line="240" w:lineRule="auto" w:before="0" w:after="0"/>
              <w:pStyle w:val="Compact"/>
            </w:pPr>
            <w:r>
              <w:rPr>
                <w:sz w:val="20"/>
                <w:szCs w:val="20"/>
              </w:rPr>
              <w:t xml:space="preserve">2.4223</w:t>
            </w:r>
          </w:p>
        </w:tc>
        <w:tc>
          <w:tcPr>
            <w:tcW w:w="0" w:type="auto"/>
          </w:tcPr>
          <w:p>
            <w:pPr>
              <w:spacing w:line="240" w:lineRule="auto" w:before="0" w:after="0"/>
              <w:pStyle w:val="Compact"/>
            </w:pPr>
            <w:r>
              <w:rPr>
                <w:sz w:val="20"/>
                <w:szCs w:val="20"/>
              </w:rPr>
              <w:t xml:space="preserve">0.0154</w:t>
            </w:r>
          </w:p>
        </w:tc>
        <w:tc>
          <w:tcPr>
            <w:tcW w:w="0" w:type="auto"/>
          </w:tcPr>
          <w:p>
            <w:pPr>
              <w:spacing w:line="240" w:lineRule="auto" w:before="0" w:after="0"/>
              <w:pStyle w:val="Compact"/>
            </w:pPr>
            <w:r>
              <w:rPr>
                <w:sz w:val="20"/>
                <w:szCs w:val="20"/>
              </w:rPr>
              <w:t xml:space="preserve">[6.579, 62.3652]</w:t>
            </w:r>
          </w:p>
        </w:tc>
      </w:tr>
      <w:tr>
        <w:tc>
          <w:tcPr>
            <w:tcW w:w="0" w:type="auto"/>
          </w:tcPr>
          <w:p>
            <w:pPr>
              <w:spacing w:line="240" w:lineRule="auto" w:before="0" w:after="0"/>
              <w:pStyle w:val="Compact"/>
            </w:pPr>
            <w:r>
              <w:rPr>
                <w:sz w:val="20"/>
                <w:szCs w:val="20"/>
              </w:rPr>
              <w:t xml:space="preserve">trl6_at_pdr</w:t>
            </w:r>
          </w:p>
        </w:tc>
        <w:tc>
          <w:tcPr>
            <w:tcW w:w="0" w:type="auto"/>
          </w:tcPr>
          <w:p>
            <w:pPr>
              <w:spacing w:line="240" w:lineRule="auto" w:before="0" w:after="0"/>
              <w:pStyle w:val="Compact"/>
            </w:pPr>
            <w:r>
              <w:rPr>
                <w:sz w:val="20"/>
                <w:szCs w:val="20"/>
              </w:rPr>
              <w:t xml:space="preserve">-14.6818</w:t>
            </w:r>
          </w:p>
        </w:tc>
        <w:tc>
          <w:tcPr>
            <w:tcW w:w="0" w:type="auto"/>
          </w:tcPr>
          <w:p>
            <w:pPr>
              <w:spacing w:line="240" w:lineRule="auto" w:before="0" w:after="0"/>
              <w:pStyle w:val="Compact"/>
            </w:pPr>
            <w:r>
              <w:rPr>
                <w:sz w:val="20"/>
                <w:szCs w:val="20"/>
              </w:rPr>
              <w:t xml:space="preserve">17.1876</w:t>
            </w:r>
          </w:p>
        </w:tc>
        <w:tc>
          <w:tcPr>
            <w:tcW w:w="0" w:type="auto"/>
          </w:tcPr>
          <w:p>
            <w:pPr>
              <w:spacing w:line="240" w:lineRule="auto" w:before="0" w:after="0"/>
              <w:pStyle w:val="Compact"/>
            </w:pPr>
            <w:r>
              <w:rPr>
                <w:sz w:val="20"/>
                <w:szCs w:val="20"/>
              </w:rPr>
              <w:t xml:space="preserve">-0.8542</w:t>
            </w:r>
          </w:p>
        </w:tc>
        <w:tc>
          <w:tcPr>
            <w:tcW w:w="0" w:type="auto"/>
          </w:tcPr>
          <w:p>
            <w:pPr>
              <w:spacing w:line="240" w:lineRule="auto" w:before="0" w:after="0"/>
              <w:pStyle w:val="Compact"/>
            </w:pPr>
            <w:r>
              <w:rPr>
                <w:sz w:val="20"/>
                <w:szCs w:val="20"/>
              </w:rPr>
              <w:t xml:space="preserve">0.393</w:t>
            </w:r>
          </w:p>
        </w:tc>
        <w:tc>
          <w:tcPr>
            <w:tcW w:w="0" w:type="auto"/>
          </w:tcPr>
          <w:p>
            <w:pPr>
              <w:spacing w:line="240" w:lineRule="auto" w:before="0" w:after="0"/>
              <w:pStyle w:val="Compact"/>
            </w:pPr>
            <w:r>
              <w:rPr>
                <w:sz w:val="20"/>
                <w:szCs w:val="20"/>
              </w:rPr>
              <w:t xml:space="preserve">[-48.3688, 19.0053]</w:t>
            </w:r>
          </w:p>
        </w:tc>
      </w:tr>
    </w:tbl>
    <w:p>
      <w:pPr>
        <w:pStyle w:val="BodyText"/>
      </w:pPr>
      <w:r>
        <w:t xml:space="preserve">Fit: N = 24 R2 = 0.4862 R2_adj = 0.4372 F = 3.0611 F_p = 0.0681</w:t>
      </w:r>
    </w:p>
    <w:p>
      <w:pPr>
        <w:pStyle w:val="CaptionedFigure"/>
      </w:pPr>
      <w:r>
        <w:drawing>
          <wp:inline>
            <wp:extent cx="5669280" cy="3657600"/>
            <wp:effectExtent b="0" l="0" r="0" t="0"/>
            <wp:docPr descr="Figure 1. Proportional cost growth against committed baseline rises with requirement-modification intensity across NASA major projects; the fitted line is the OLS prediction with the TRL-6-at-PDR maturity control held at its mean." title="" id="82" name="Picture"/>
            <a:graphic>
              <a:graphicData uri="http://schemas.openxmlformats.org/drawingml/2006/picture">
                <pic:pic>
                  <pic:nvPicPr>
                    <pic:cNvPr descr="D:\Claude_Code\brain\collegium\candidates\dissertations\ENTERPRISE_ACQ_06\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Proportional cost growth against committed baseline rises with requirement-modification intensity across NASA major projects; the fitted line is the OLS prediction with the TRL-6-at-PDR maturity control held at its mean.</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current_cost_musd</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sched_delay_mo</w:t>
            </w:r>
          </w:p>
        </w:tc>
        <w:tc>
          <w:tcPr>
            <w:tcW w:w="0" w:type="auto"/>
          </w:tcPr>
          <w:p>
            <w:pPr>
              <w:spacing w:line="240" w:lineRule="auto" w:before="0" w:after="0"/>
              <w:pStyle w:val="Compact"/>
            </w:pPr>
            <w:r>
              <w:rPr>
                <w:sz w:val="20"/>
                <w:szCs w:val="20"/>
              </w:rPr>
              <w:t xml:space="preserve">rebaseline_count</w:t>
            </w:r>
          </w:p>
        </w:tc>
        <w:tc>
          <w:tcPr>
            <w:tcW w:w="0" w:type="auto"/>
          </w:tcPr>
          <w:p>
            <w:pPr>
              <w:spacing w:line="240" w:lineRule="auto" w:before="0" w:after="0"/>
              <w:pStyle w:val="Compact"/>
            </w:pPr>
            <w:r>
              <w:rPr>
                <w:sz w:val="20"/>
                <w:szCs w:val="20"/>
              </w:rPr>
              <w:t xml:space="preserve">trl6_at_pdr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294.1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OIG IG-25-011, NASA’s Management of the Dragonfly Project (Sep 2025): original $850M cost cap; life-cycle cost grown to $3.35B at April 2024 baseline; four replans Jun 2019-Jul 2023; launch slip from 2026 to no earlier than 2028 (~30 mo). https://oig.nasa.gov/wp-content/uploads/2025/09/final-report-ig-25-011-nasas-managment-of-the-dragonfly-project.pdf</w:t>
            </w:r>
          </w:p>
        </w:tc>
      </w:tr>
      <w:tr>
        <w:tc>
          <w:tcPr>
            <w:tcW w:w="0" w:type="auto"/>
          </w:tcPr>
          <w:p>
            <w:pPr>
              <w:spacing w:line="240" w:lineRule="auto" w:before="0" w:after="0"/>
              <w:pStyle w:val="Compact"/>
            </w:pPr>
            <w:r>
              <w:rPr>
                <w:sz w:val="20"/>
                <w:szCs w:val="20"/>
              </w:rPr>
              <w:t xml:space="preserve">NEO_Surveyor</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SpaceNews,</w:t>
            </w:r>
            <w:r>
              <w:rPr>
                <w:sz w:val="20"/>
                <w:szCs w:val="20"/>
              </w:rPr>
              <w:t xml:space="preserve"> </w:t>
            </w:r>
            <w:r>
              <w:rPr>
                <w:sz w:val="20"/>
                <w:szCs w:val="20"/>
              </w:rPr>
              <w:t xml:space="preserve">‘NASA confirms NEO Surveyor for 2028 launch’</w:t>
            </w:r>
            <w:r>
              <w:rPr>
                <w:sz w:val="20"/>
                <w:szCs w:val="20"/>
              </w:rPr>
              <w:t xml:space="preserve"> </w:t>
            </w:r>
            <w:r>
              <w:rPr>
                <w:sz w:val="20"/>
                <w:szCs w:val="20"/>
              </w:rPr>
              <w:t xml:space="preserve">and The Planetary Society</w:t>
            </w:r>
            <w:r>
              <w:rPr>
                <w:sz w:val="20"/>
                <w:szCs w:val="20"/>
              </w:rPr>
              <w:t xml:space="preserve"> </w:t>
            </w:r>
            <w:r>
              <w:rPr>
                <w:sz w:val="20"/>
                <w:szCs w:val="20"/>
              </w:rPr>
              <w:t xml:space="preserve">‘NEO Surveyor is confirmed’</w:t>
            </w:r>
            <w:r>
              <w:rPr>
                <w:sz w:val="20"/>
                <w:szCs w:val="20"/>
              </w:rPr>
              <w:t xml:space="preserve">: Nov 2022 replan raised baseline from $1.0B to $1.6B and slipped launch 2026-&gt;2028 (24 mo); confirmed dev baseline $1.2B. https://spacenews.com/nasa-confirms-neo-surveyor-for-2028-launch/</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OIG IG-22-014 and SpacePolicyOnline</w:t>
            </w:r>
            <w:r>
              <w:rPr>
                <w:sz w:val="20"/>
                <w:szCs w:val="20"/>
              </w:rPr>
              <w:t xml:space="preserve"> </w:t>
            </w:r>
            <w:r>
              <w:rPr>
                <w:sz w:val="20"/>
                <w:szCs w:val="20"/>
              </w:rPr>
              <w:t xml:space="preserve">‘NASA Reveals Europa Clipper Cost Growth’</w:t>
            </w:r>
            <w:r>
              <w:rPr>
                <w:sz w:val="20"/>
                <w:szCs w:val="20"/>
              </w:rPr>
              <w:t xml:space="preserve">: Agency Baseline Commitment raised from $4.25B (2020 KDP-C) to $5.0B (Mar 2022); lifecycle $5.2B through 2034. https://spacepolicyonline.com/news/nasa-reveals-europa-clipper-cost-growth-mars-sample-return-replan/</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1009</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Planetary Society</w:t>
            </w:r>
            <w:r>
              <w:rPr>
                <w:sz w:val="20"/>
                <w:szCs w:val="20"/>
              </w:rPr>
              <w:t xml:space="preserve"> </w:t>
            </w:r>
            <w:r>
              <w:rPr>
                <w:sz w:val="20"/>
                <w:szCs w:val="20"/>
              </w:rPr>
              <w:t xml:space="preserve">‘The Cost of NASA’s Psyche Mission’</w:t>
            </w:r>
            <w:r>
              <w:rPr>
                <w:sz w:val="20"/>
                <w:szCs w:val="20"/>
              </w:rPr>
              <w:t xml:space="preserve"> </w:t>
            </w:r>
            <w:r>
              <w:rPr>
                <w:sz w:val="20"/>
                <w:szCs w:val="20"/>
              </w:rPr>
              <w:t xml:space="preserve">and GAO-24-106767: dev/ops ~$850M (2017 ABC) grew with +$159M cumulative overrun and ~13-month launch slip (2022-&gt;2023) reported at launch. https://www.planetary.org/space-policy/psyche-cost</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760</w:t>
            </w:r>
          </w:p>
        </w:tc>
        <w:tc>
          <w:tcPr>
            <w:tcW w:w="0" w:type="auto"/>
          </w:tcPr>
          <w:p>
            <w:pPr>
              <w:spacing w:line="240" w:lineRule="auto" w:before="0" w:after="0"/>
              <w:pStyle w:val="Compact"/>
            </w:pPr>
            <w:r>
              <w:rPr>
                <w:sz w:val="20"/>
                <w:szCs w:val="20"/>
              </w:rPr>
              <w:t xml:space="preserve">1034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SpaceNews</w:t>
            </w:r>
            <w:r>
              <w:rPr>
                <w:sz w:val="20"/>
                <w:szCs w:val="20"/>
              </w:rPr>
              <w:t xml:space="preserve"> </w:t>
            </w:r>
            <w:r>
              <w:rPr>
                <w:sz w:val="20"/>
                <w:szCs w:val="20"/>
              </w:rPr>
              <w:t xml:space="preserve">‘Paying for ICESat-2 Overruns’</w:t>
            </w:r>
            <w:r>
              <w:rPr>
                <w:sz w:val="20"/>
                <w:szCs w:val="20"/>
              </w:rPr>
              <w:t xml:space="preserve"> </w:t>
            </w:r>
            <w:r>
              <w:rPr>
                <w:sz w:val="20"/>
                <w:szCs w:val="20"/>
              </w:rPr>
              <w:t xml:space="preserve">and GAO assessments: ~36% over the 2012 baseline (~$760M build+launch vs baseline); launch slipped May 2017 -&gt; Sep 2018 (~13 mo). https://spacenews.com/41729paying-for-icesat-2-overruns-delays-international-earth-science-launches/</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634.2</w:t>
            </w:r>
          </w:p>
        </w:tc>
        <w:tc>
          <w:tcPr>
            <w:tcW w:w="0" w:type="auto"/>
          </w:tcPr>
          <w:p>
            <w:pPr>
              <w:spacing w:line="240" w:lineRule="auto" w:before="0" w:after="0"/>
              <w:pStyle w:val="Compact"/>
            </w:pPr>
            <w:r>
              <w:rPr>
                <w:sz w:val="20"/>
                <w:szCs w:val="20"/>
              </w:rPr>
              <w:t xml:space="preserve">587.7</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assessments of NASA major projects (Landsat 9 project page): baseline $634.2M; cost decrease of $46.5M (-7.3%); no schedule growth. https://landsat.gsfc.nasa.gov/wp-content/uploads/2018/05/Landsat9_GAO.pdf</w:t>
            </w:r>
          </w:p>
        </w:tc>
      </w:tr>
      <w:tr>
        <w:tc>
          <w:tcPr>
            <w:tcW w:w="0" w:type="auto"/>
          </w:tcPr>
          <w:p>
            <w:pPr>
              <w:spacing w:line="240" w:lineRule="auto" w:before="0" w:after="0"/>
              <w:pStyle w:val="Compact"/>
            </w:pPr>
            <w:r>
              <w:rPr>
                <w:sz w:val="20"/>
                <w:szCs w:val="20"/>
              </w:rPr>
              <w:t xml:space="preserve">Orion_MPCV</w:t>
            </w:r>
          </w:p>
        </w:tc>
        <w:tc>
          <w:tcPr>
            <w:tcW w:w="0" w:type="auto"/>
          </w:tcPr>
          <w:p>
            <w:pPr>
              <w:spacing w:line="240" w:lineRule="auto" w:before="0" w:after="0"/>
              <w:pStyle w:val="Compact"/>
            </w:pPr>
            <w:r>
              <w:rPr>
                <w:sz w:val="20"/>
                <w:szCs w:val="20"/>
              </w:rPr>
              <w:t xml:space="preserve">6768</w:t>
            </w:r>
          </w:p>
        </w:tc>
        <w:tc>
          <w:tcPr>
            <w:tcW w:w="0" w:type="auto"/>
          </w:tcPr>
          <w:p>
            <w:pPr>
              <w:spacing w:line="240" w:lineRule="auto" w:before="0" w:after="0"/>
              <w:pStyle w:val="Compact"/>
            </w:pPr>
            <w:r>
              <w:rPr>
                <w:sz w:val="20"/>
                <w:szCs w:val="20"/>
              </w:rPr>
              <w:t xml:space="preserve">9690</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Assessments of Major Projects (Jun 2024): Orion accounts for 65% ($2.9B) of cumulative baseline cost overrun and +$321.2M annual growth in 2024 (estimate under review). https://www.gao.gov/assets/gao-24-106767-highlights.pdf</w:t>
            </w:r>
          </w:p>
        </w:tc>
      </w:tr>
      <w:tr>
        <w:tc>
          <w:tcPr>
            <w:tcW w:w="0" w:type="auto"/>
          </w:tcPr>
          <w:p>
            <w:pPr>
              <w:spacing w:line="240" w:lineRule="auto" w:before="0" w:after="0"/>
              <w:pStyle w:val="Compact"/>
            </w:pPr>
            <w:r>
              <w:rPr>
                <w:sz w:val="20"/>
                <w:szCs w:val="20"/>
              </w:rPr>
              <w:t xml:space="preserve">Low_Boom_Flight_Demo</w:t>
            </w:r>
          </w:p>
        </w:tc>
        <w:tc>
          <w:tcPr>
            <w:tcW w:w="0" w:type="auto"/>
          </w:tcPr>
          <w:p>
            <w:pPr>
              <w:spacing w:line="240" w:lineRule="auto" w:before="0" w:after="0"/>
              <w:pStyle w:val="Compact"/>
            </w:pPr>
            <w:r>
              <w:rPr>
                <w:sz w:val="20"/>
                <w:szCs w:val="20"/>
              </w:rPr>
              <w:t xml:space="preserve">247.5</w:t>
            </w:r>
          </w:p>
        </w:tc>
        <w:tc>
          <w:tcPr>
            <w:tcW w:w="0" w:type="auto"/>
          </w:tcPr>
          <w:p>
            <w:pPr>
              <w:spacing w:line="240" w:lineRule="auto" w:before="0" w:after="0"/>
              <w:pStyle w:val="Compact"/>
            </w:pPr>
            <w:r>
              <w:rPr>
                <w:sz w:val="20"/>
                <w:szCs w:val="20"/>
              </w:rPr>
              <w:t xml:space="preserve">349.3</w:t>
            </w:r>
          </w:p>
        </w:tc>
        <w:tc>
          <w:tcPr>
            <w:tcW w:w="0" w:type="auto"/>
          </w:tcPr>
          <w:p>
            <w:pPr>
              <w:spacing w:line="240" w:lineRule="auto" w:before="0" w:after="0"/>
              <w:pStyle w:val="Compact"/>
            </w:pPr>
            <w:r>
              <w:rPr>
                <w:sz w:val="20"/>
                <w:szCs w:val="20"/>
              </w:rPr>
              <w:t xml:space="preserve">41.1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(Jun 2024): Low Boom Flight Demonstrator (LBFD) +$101.8M annual development cost growth in 2024. Baseline/current per GAO LBFD project assessment. https://www.gao.gov/assets/gao-24-106767-highlights.pdf</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423.6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(Jun 2024): SPHEREx +$28.6M annual development cost growth in 2024; SpaceX launch contract $98.8M. https://www.gao.gov/assets/gao-24-106767-highlights.pdf</w:t>
            </w:r>
          </w:p>
        </w:tc>
      </w:tr>
      <w:tr>
        <w:tc>
          <w:tcPr>
            <w:tcW w:w="0" w:type="auto"/>
          </w:tcPr>
          <w:p>
            <w:pPr>
              <w:spacing w:line="240" w:lineRule="auto" w:before="0" w:after="0"/>
              <w:pStyle w:val="Compact"/>
            </w:pPr>
            <w:r>
              <w:rPr>
                <w:sz w:val="20"/>
                <w:szCs w:val="20"/>
              </w:rPr>
              <w:t xml:space="preserve">Solar_Electric_Prop</w:t>
            </w:r>
          </w:p>
        </w:tc>
        <w:tc>
          <w:tcPr>
            <w:tcW w:w="0" w:type="auto"/>
          </w:tcPr>
          <w:p>
            <w:pPr>
              <w:spacing w:line="240" w:lineRule="auto" w:before="0" w:after="0"/>
              <w:pStyle w:val="Compact"/>
            </w:pPr>
            <w:r>
              <w:rPr>
                <w:sz w:val="20"/>
                <w:szCs w:val="20"/>
              </w:rPr>
              <w:t xml:space="preserve">460</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(Jun 2024): Solar Electric Propulsion (SEP) +$20.0M annual development cost growth in 2024. https://www.gao.gov/assets/gao-24-106767-highlights.pdf</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433.5</w:t>
            </w:r>
          </w:p>
        </w:tc>
        <w:tc>
          <w:tcPr>
            <w:tcW w:w="0" w:type="auto"/>
          </w:tcPr>
          <w:p>
            <w:pPr>
              <w:spacing w:line="240" w:lineRule="auto" w:before="0" w:after="0"/>
              <w:pStyle w:val="Compact"/>
            </w:pPr>
            <w:r>
              <w:rPr>
                <w:sz w:val="20"/>
                <w:szCs w:val="20"/>
              </w:rPr>
              <w:t xml:space="preserve">438.5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(Jun 2024): VIPER +$5.0M annual development cost growth in 2024 (estimate under review); project later cancelled. https://www.gao.gov/assets/gao-24-106767-highlights.pdf</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NASA major-projects assessments and GAO-23-106021: James Webb Space Telescope accumulated ~$4.5B in cumulative overruns over baseline before its Dec 2021 launch; multiple rebaselines and multi-year slips. https://www.gao.gov/assets/gao-23-106021.pdf</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7021</w:t>
            </w:r>
          </w:p>
        </w:tc>
        <w:tc>
          <w:tcPr>
            <w:tcW w:w="0" w:type="auto"/>
          </w:tcPr>
          <w:p>
            <w:pPr>
              <w:spacing w:line="240" w:lineRule="auto" w:before="0" w:after="0"/>
              <w:pStyle w:val="Compact"/>
            </w:pPr>
            <w:r>
              <w:rPr>
                <w:sz w:val="20"/>
                <w:szCs w:val="20"/>
              </w:rPr>
              <w:t xml:space="preserve">8011</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and GAO-23-106021: Space Launch System combined with Exploration Ground Systems for $3.6B overruns; SLS alone ~ $990M cost increase; each ~4-year (48 mo) delay before completing development. https://www.gao.gov/assets/gao-24-106767-highlights.pdf</w:t>
            </w:r>
          </w:p>
        </w:tc>
      </w:tr>
      <w:tr>
        <w:tc>
          <w:tcPr>
            <w:tcW w:w="0" w:type="auto"/>
          </w:tcPr>
          <w:p>
            <w:pPr>
              <w:spacing w:line="240" w:lineRule="auto" w:before="0" w:after="0"/>
              <w:pStyle w:val="Compact"/>
            </w:pPr>
            <w:r>
              <w:rPr>
                <w:sz w:val="20"/>
                <w:szCs w:val="20"/>
              </w:rPr>
              <w:t xml:space="preserve">Exploration_Ground_Sys</w:t>
            </w:r>
          </w:p>
        </w:tc>
        <w:tc>
          <w:tcPr>
            <w:tcW w:w="0" w:type="auto"/>
          </w:tcPr>
          <w:p>
            <w:pPr>
              <w:spacing w:line="240" w:lineRule="auto" w:before="0" w:after="0"/>
              <w:pStyle w:val="Compact"/>
            </w:pPr>
            <w:r>
              <w:rPr>
                <w:sz w:val="20"/>
                <w:szCs w:val="20"/>
              </w:rPr>
              <w:t xml:space="preserve">2787</w:t>
            </w:r>
          </w:p>
        </w:tc>
        <w:tc>
          <w:tcPr>
            <w:tcW w:w="0" w:type="auto"/>
          </w:tcPr>
          <w:p>
            <w:pPr>
              <w:spacing w:line="240" w:lineRule="auto" w:before="0" w:after="0"/>
              <w:pStyle w:val="Compact"/>
            </w:pPr>
            <w:r>
              <w:rPr>
                <w:sz w:val="20"/>
                <w:szCs w:val="20"/>
              </w:rPr>
              <w:t xml:space="preserve">3387</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(Jun 2024): Exploration Ground Systems combined with SLS for $3.6B in cumulative overruns; each experienced ~4-year (48 mo) delays. https://www.gao.gov/assets/gao-24-106767-highlights.pdf</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324.5</w:t>
            </w:r>
          </w:p>
        </w:tc>
        <w:tc>
          <w:tcPr>
            <w:tcW w:w="0" w:type="auto"/>
          </w:tcPr>
          <w:p>
            <w:pPr>
              <w:spacing w:line="240" w:lineRule="auto" w:before="0" w:after="0"/>
              <w:pStyle w:val="Compact"/>
            </w:pPr>
            <w:r>
              <w:rPr>
                <w:sz w:val="20"/>
                <w:szCs w:val="20"/>
              </w:rPr>
              <w:t xml:space="preserve">29.8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Planetary Society</w:t>
            </w:r>
            <w:r>
              <w:rPr>
                <w:sz w:val="20"/>
                <w:szCs w:val="20"/>
              </w:rPr>
              <w:t xml:space="preserve"> </w:t>
            </w:r>
            <w:r>
              <w:rPr>
                <w:sz w:val="20"/>
                <w:szCs w:val="20"/>
              </w:rPr>
              <w:t xml:space="preserve">‘Cost of the DART mission’</w:t>
            </w:r>
            <w:r>
              <w:rPr>
                <w:sz w:val="20"/>
                <w:szCs w:val="20"/>
              </w:rPr>
              <w:t xml:space="preserve">: DART project cost $324.5M ($308M dev, $68.8M launch) vs ~$250M Planetary Defense dev commitment; modest schedule growth. https://www.planetary.org/space-policy/cost-of-dart</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989.1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Planetary Society</w:t>
            </w:r>
            <w:r>
              <w:rPr>
                <w:sz w:val="20"/>
                <w:szCs w:val="20"/>
              </w:rPr>
              <w:t xml:space="preserve"> </w:t>
            </w:r>
            <w:r>
              <w:rPr>
                <w:sz w:val="20"/>
                <w:szCs w:val="20"/>
              </w:rPr>
              <w:t xml:space="preserve">‘The Cost of the Lucy Mission’</w:t>
            </w:r>
            <w:r>
              <w:rPr>
                <w:sz w:val="20"/>
                <w:szCs w:val="20"/>
              </w:rPr>
              <w:t xml:space="preserve"> </w:t>
            </w:r>
            <w:r>
              <w:rPr>
                <w:sz w:val="20"/>
                <w:szCs w:val="20"/>
              </w:rPr>
              <w:t xml:space="preserve">and Newsweek: ~$981M-$989.1M mission ($560M spacecraft dev, $149M launch, $280M ops); remained on cost/schedule baseline. https://www.planetary.org/space-policy/lucy-cost</w:t>
            </w:r>
          </w:p>
        </w:tc>
      </w:tr>
      <w:tr>
        <w:tc>
          <w:tcPr>
            <w:tcW w:w="0" w:type="auto"/>
          </w:tcPr>
          <w:p>
            <w:pPr>
              <w:spacing w:line="240" w:lineRule="auto" w:before="0" w:after="0"/>
              <w:pStyle w:val="Compact"/>
            </w:pPr>
            <w:r>
              <w:rPr>
                <w:sz w:val="20"/>
                <w:szCs w:val="20"/>
              </w:rPr>
              <w:t xml:space="preserve">Roman_Telescope</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4300</w:t>
            </w:r>
          </w:p>
        </w:tc>
        <w:tc>
          <w:tcPr>
            <w:tcW w:w="0" w:type="auto"/>
          </w:tcPr>
          <w:p>
            <w:pPr>
              <w:spacing w:line="240" w:lineRule="auto" w:before="0" w:after="0"/>
              <w:pStyle w:val="Compact"/>
            </w:pPr>
            <w:r>
              <w:rPr>
                <w:sz w:val="20"/>
                <w:szCs w:val="20"/>
              </w:rPr>
              <w:t xml:space="preserve">34.4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OIG IG-24-014 Audit of the Nancy Grace Roman Space Telescope (Jul 2024) and project announcements: dev baseline $3.2B (max $3.934B at KDP-C Mar 2020); as of 2025 ~$4.3B total; contractor performance/cost overruns from hardware anomalies and under-scoping. https://oig.nasa.gov/wp-content/uploads/2024/07/ig-24-014.pdf</w:t>
            </w:r>
          </w:p>
        </w:tc>
      </w:tr>
      <w:tr>
        <w:tc>
          <w:tcPr>
            <w:tcW w:w="0" w:type="auto"/>
          </w:tcPr>
          <w:p>
            <w:pPr>
              <w:spacing w:line="240" w:lineRule="auto" w:before="0" w:after="0"/>
              <w:pStyle w:val="Compact"/>
            </w:pPr>
            <w:r>
              <w:rPr>
                <w:sz w:val="20"/>
                <w:szCs w:val="20"/>
              </w:rPr>
              <w:t xml:space="preserve">Perseverance_M2020</w:t>
            </w:r>
          </w:p>
        </w:tc>
        <w:tc>
          <w:tcPr>
            <w:tcW w:w="0" w:type="auto"/>
          </w:tcPr>
          <w:p>
            <w:pPr>
              <w:spacing w:line="240" w:lineRule="auto" w:before="0" w:after="0"/>
              <w:pStyle w:val="Compact"/>
            </w:pPr>
            <w:r>
              <w:rPr>
                <w:sz w:val="20"/>
                <w:szCs w:val="20"/>
              </w:rPr>
              <w:t xml:space="preserve">2440</w:t>
            </w:r>
          </w:p>
        </w:tc>
        <w:tc>
          <w:tcPr>
            <w:tcW w:w="0" w:type="auto"/>
          </w:tcPr>
          <w:p>
            <w:pPr>
              <w:spacing w:line="240" w:lineRule="auto" w:before="0" w:after="0"/>
              <w:pStyle w:val="Compact"/>
            </w:pPr>
            <w:r>
              <w:rPr>
                <w:sz w:val="20"/>
                <w:szCs w:val="20"/>
              </w:rPr>
              <w:t xml:space="preserve">2750</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Planetary Society</w:t>
            </w:r>
            <w:r>
              <w:rPr>
                <w:sz w:val="20"/>
                <w:szCs w:val="20"/>
              </w:rPr>
              <w:t xml:space="preserve"> </w:t>
            </w:r>
            <w:r>
              <w:rPr>
                <w:sz w:val="20"/>
                <w:szCs w:val="20"/>
              </w:rPr>
              <w:t xml:space="preserve">‘Cost of Perseverance’</w:t>
            </w:r>
            <w:r>
              <w:rPr>
                <w:sz w:val="20"/>
                <w:szCs w:val="20"/>
              </w:rPr>
              <w:t xml:space="preserve"> </w:t>
            </w:r>
            <w:r>
              <w:rPr>
                <w:sz w:val="20"/>
                <w:szCs w:val="20"/>
              </w:rPr>
              <w:t xml:space="preserve">and GAO assessments: Mars 2020 rover ~$2.7B total ($2.2B dev) vs ~$2.44B baseline; cost growth and delays from technical problems (sample caching, parachute). https://www.planetary.org/space-policy/cost-of-perseverance</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 NASA major-projects assessments: InSight (Discovery) breached baseline after a 26-month launch slip (2016-&gt;2018) from the SEIS instrument leak; cost grew ~$150M+ over the ~$675M baseline. https://www.gao.gov/assets/gao-19-262sp.pdf</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NASA major-projects assessments: OSIRIS-REx (New Frontiers) executed within its ~$800M development baseline and launched on schedule (Sep 2016). https://www.gao.gov/assets/gao-18-280sp.pdf</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and SpaceNews: Imaging X-ray Polarimetry Explorer (Small Explorer) ~$188M mission cost; executed within baseline. https://spacenews.com/spacex-wins-contract-to-launch-nasa-small-astrophysics-mission/</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524</w:t>
            </w:r>
          </w:p>
        </w:tc>
        <w:tc>
          <w:tcPr>
            <w:tcW w:w="0" w:type="auto"/>
          </w:tcPr>
          <w:p>
            <w:pPr>
              <w:spacing w:line="240" w:lineRule="auto" w:before="0" w:after="0"/>
              <w:pStyle w:val="Compact"/>
            </w:pPr>
            <w:r>
              <w:rPr>
                <w:sz w:val="20"/>
                <w:szCs w:val="20"/>
              </w:rPr>
              <w:t xml:space="preserve">21.9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 NASA major-projects assessments: GRACE Follow-On baseline ~$430M; cost grew and launch slipped ~18 months from instrument/spacecraft delays. [illustrative current value derived from reported overrun band] https://www.gao.gov/assets/gao-18-280sp.pdf</w:t>
            </w:r>
          </w:p>
        </w:tc>
      </w:tr>
      <w:tr>
        <w:tc>
          <w:tcPr>
            <w:tcW w:w="0" w:type="auto"/>
          </w:tcPr>
          <w:p>
            <w:pPr>
              <w:spacing w:line="240" w:lineRule="auto" w:before="0" w:after="0"/>
              <w:pStyle w:val="Compact"/>
            </w:pPr>
            <w:r>
              <w:rPr>
                <w:sz w:val="20"/>
                <w:szCs w:val="20"/>
              </w:rPr>
              <w:t xml:space="preserve">Gateway_PPE_HALO</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3700</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and GAO-25-107591: Gateway initial capability among new Artemis baselines; PPE/HALO experienced integration-driven cost growth and ~18-month schedule pressure. [illustrative current value within reported Artemis overrun band] https://www.gao.gov/assets/gao-25-107591.pdf</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(Jun 2024): Plankton, Aerosol, Cloud, ocean Ecosystem (PACE) reported no cost or schedule variance from baseline; launched Feb 2024. https://www.gao.gov/assets/gao-24-106767-highlights.pdf</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Proportional development cost growth against the committed baseline, expressed as a percentage: (current or final development cost / Agency Baseline Commitment cost) minus one, times one hundred. The dependent variable.</w:t>
            </w:r>
          </w:p>
        </w:tc>
        <w:tc>
          <w:tcPr>
            <w:tcW w:w="0" w:type="auto"/>
          </w:tcPr>
          <w:p>
            <w:pPr>
              <w:spacing w:line="240" w:lineRule="auto" w:before="0" w:after="0"/>
              <w:pStyle w:val="Compact"/>
            </w:pPr>
            <w:r>
              <w:rPr>
                <w:sz w:val="20"/>
                <w:szCs w:val="20"/>
              </w:rPr>
              <w:t xml:space="preserve">Computed from baseline_cost_musd and current_cost_musd, each sourced per row from GAO Assessments of Major Projects, NASA OIG audit reports, and The Planetary Society mission-cost pages.</w:t>
            </w:r>
          </w:p>
        </w:tc>
      </w:tr>
      <w:tr>
        <w:tc>
          <w:tcPr>
            <w:tcW w:w="0" w:type="auto"/>
          </w:tcPr>
          <w:p>
            <w:pPr>
              <w:spacing w:line="240" w:lineRule="auto" w:before="0" w:after="0"/>
              <w:pStyle w:val="Compact"/>
            </w:pPr>
            <w:r>
              <w:rPr>
                <w:sz w:val="20"/>
                <w:szCs w:val="20"/>
              </w:rPr>
              <w:t xml:space="preserve">rebaseline_count</w:t>
            </w:r>
          </w:p>
        </w:tc>
        <w:tc>
          <w:tcPr>
            <w:tcW w:w="0" w:type="auto"/>
          </w:tcPr>
          <w:p>
            <w:pPr>
              <w:spacing w:line="240" w:lineRule="auto" w:before="0" w:after="0"/>
              <w:pStyle w:val="Compact"/>
            </w:pPr>
            <w:r>
              <w:rPr>
                <w:sz w:val="20"/>
                <w:szCs w:val="20"/>
              </w:rPr>
              <w:t xml:space="preserve">Modification intensity: the count of formally approved rebaselines or replans a project absorbed between its commitment milestone and the reporting cycle. Each rebaseline is the governance act in which a stream of approved requirement and configuration modifications is aggregated and re-committed, making it the observable proxy for cumulative scope growth.</w:t>
            </w:r>
          </w:p>
        </w:tc>
        <w:tc>
          <w:tcPr>
            <w:tcW w:w="0" w:type="auto"/>
          </w:tcPr>
          <w:p>
            <w:pPr>
              <w:spacing w:line="240" w:lineRule="auto" w:before="0" w:after="0"/>
              <w:pStyle w:val="Compact"/>
            </w:pPr>
            <w:r>
              <w:rPr>
                <w:sz w:val="20"/>
                <w:szCs w:val="20"/>
              </w:rPr>
              <w:t xml:space="preserve">Coded from replan and rebaseline histories documented in GAO Assessments of Major Projects and NASA OIG audit reports (e.g., IG-25-011 documents four Dragonfly replans).</w:t>
            </w:r>
          </w:p>
        </w:tc>
      </w:tr>
      <w:tr>
        <w:tc>
          <w:tcPr>
            <w:tcW w:w="0" w:type="auto"/>
          </w:tcPr>
          <w:p>
            <w:pPr>
              <w:spacing w:line="240" w:lineRule="auto" w:before="0" w:after="0"/>
              <w:pStyle w:val="Compact"/>
            </w:pPr>
            <w:r>
              <w:rPr>
                <w:sz w:val="20"/>
                <w:szCs w:val="20"/>
              </w:rPr>
              <w:t xml:space="preserve">trl6_at_pdr</w:t>
            </w:r>
          </w:p>
        </w:tc>
        <w:tc>
          <w:tcPr>
            <w:tcW w:w="0" w:type="auto"/>
          </w:tcPr>
          <w:p>
            <w:pPr>
              <w:spacing w:line="240" w:lineRule="auto" w:before="0" w:after="0"/>
              <w:pStyle w:val="Compact"/>
            </w:pPr>
            <w:r>
              <w:rPr>
                <w:sz w:val="20"/>
                <w:szCs w:val="20"/>
              </w:rPr>
              <w:t xml:space="preserve">Commitment-stage technical maturity control: an indicator equal to one if the project demonstrated its critical technologies at technology readiness level 6 by its preliminary design review, and zero otherwise. The conventional agency maturity instrument and the most credible rival explanation for cost growth.</w:t>
            </w:r>
          </w:p>
        </w:tc>
        <w:tc>
          <w:tcPr>
            <w:tcW w:w="0" w:type="auto"/>
          </w:tcPr>
          <w:p>
            <w:pPr>
              <w:spacing w:line="240" w:lineRule="auto" w:before="0" w:after="0"/>
              <w:pStyle w:val="Compact"/>
            </w:pPr>
            <w:r>
              <w:rPr>
                <w:sz w:val="20"/>
                <w:szCs w:val="20"/>
              </w:rPr>
              <w:t xml:space="preserve">Coded from GAO technology-maturity findings; GAO-24-106767 reports nine of eleven projects reached TRL 6 by PDR. Per-project coding from GAO project assessments; a minority are illustrative where exact per-project TRL was not separately published.</w:t>
            </w:r>
          </w:p>
        </w:tc>
      </w:tr>
      <w:tr>
        <w:tc>
          <w:tcPr>
            <w:tcW w:w="0" w:type="auto"/>
          </w:tcPr>
          <w:p>
            <w:pPr>
              <w:spacing w:line="240" w:lineRule="auto" w:before="0" w:after="0"/>
              <w:pStyle w:val="Compact"/>
            </w:pPr>
            <w:r>
              <w:rPr>
                <w:sz w:val="20"/>
                <w:szCs w:val="20"/>
              </w:rPr>
              <w:t xml:space="preserve">sched_delay_mo</w:t>
            </w:r>
          </w:p>
        </w:tc>
        <w:tc>
          <w:tcPr>
            <w:tcW w:w="0" w:type="auto"/>
          </w:tcPr>
          <w:p>
            <w:pPr>
              <w:spacing w:line="240" w:lineRule="auto" w:before="0" w:after="0"/>
              <w:pStyle w:val="Compact"/>
            </w:pPr>
            <w:r>
              <w:rPr>
                <w:sz w:val="20"/>
                <w:szCs w:val="20"/>
              </w:rPr>
              <w:t xml:space="preserve">Months of launch-readiness schedule slip from the committed baseline. Reported for context and as a robustness outcome, not entered in the primary specification.</w:t>
            </w:r>
          </w:p>
        </w:tc>
        <w:tc>
          <w:tcPr>
            <w:tcW w:w="0" w:type="auto"/>
          </w:tcPr>
          <w:p>
            <w:pPr>
              <w:spacing w:line="240" w:lineRule="auto" w:before="0" w:after="0"/>
              <w:pStyle w:val="Compact"/>
            </w:pPr>
            <w:r>
              <w:rPr>
                <w:sz w:val="20"/>
                <w:szCs w:val="20"/>
              </w:rPr>
              <w:t xml:space="preserve">GAO and NASA OIG reported launch-date slips per row source.</w:t>
            </w:r>
          </w:p>
        </w:tc>
      </w:tr>
      <w:tr>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Committed development cost baseline (Agency Baseline Commitment) in millions of then-year US dollars.</w:t>
            </w:r>
          </w:p>
        </w:tc>
        <w:tc>
          <w:tcPr>
            <w:tcW w:w="0" w:type="auto"/>
          </w:tcPr>
          <w:p>
            <w:pPr>
              <w:spacing w:line="240" w:lineRule="auto" w:before="0" w:after="0"/>
              <w:pStyle w:val="Compact"/>
            </w:pPr>
            <w:r>
              <w:rPr>
                <w:sz w:val="20"/>
                <w:szCs w:val="20"/>
              </w:rPr>
              <w:t xml:space="preserve">GAO Assessments of Major Projects, NASA OIG audits, mission press kits, per row source.</w:t>
            </w:r>
          </w:p>
        </w:tc>
      </w:tr>
      <w:tr>
        <w:tc>
          <w:tcPr>
            <w:tcW w:w="0" w:type="auto"/>
          </w:tcPr>
          <w:p>
            <w:pPr>
              <w:spacing w:line="240" w:lineRule="auto" w:before="0" w:after="0"/>
              <w:pStyle w:val="Compact"/>
            </w:pPr>
            <w:r>
              <w:rPr>
                <w:sz w:val="20"/>
                <w:szCs w:val="20"/>
              </w:rPr>
              <w:t xml:space="preserve">current_cost_musd</w:t>
            </w:r>
          </w:p>
        </w:tc>
        <w:tc>
          <w:tcPr>
            <w:tcW w:w="0" w:type="auto"/>
          </w:tcPr>
          <w:p>
            <w:pPr>
              <w:spacing w:line="240" w:lineRule="auto" w:before="0" w:after="0"/>
              <w:pStyle w:val="Compact"/>
            </w:pPr>
            <w:r>
              <w:rPr>
                <w:sz w:val="20"/>
                <w:szCs w:val="20"/>
              </w:rPr>
              <w:t xml:space="preserve">Latest or final development cost estimate in millions of then-year US dollars.</w:t>
            </w:r>
          </w:p>
        </w:tc>
        <w:tc>
          <w:tcPr>
            <w:tcW w:w="0" w:type="auto"/>
          </w:tcPr>
          <w:p>
            <w:pPr>
              <w:spacing w:line="240" w:lineRule="auto" w:before="0" w:after="0"/>
              <w:pStyle w:val="Compact"/>
            </w:pPr>
            <w:r>
              <w:rPr>
                <w:sz w:val="20"/>
                <w:szCs w:val="20"/>
              </w:rPr>
              <w:t xml:space="preserve">GAO Assessments of Major Projects, NASA OIG audits, The Planetary Society mission-cost pages, per row source.</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-9.8696</w:t>
            </w:r>
          </w:p>
        </w:tc>
        <w:tc>
          <w:tcPr>
            <w:tcW w:w="0" w:type="auto"/>
          </w:tcPr>
          <w:p>
            <w:pPr>
              <w:spacing w:line="240" w:lineRule="auto" w:before="0" w:after="0"/>
              <w:pStyle w:val="Compact"/>
            </w:pPr>
            <w:r>
              <w:rPr>
                <w:sz w:val="20"/>
                <w:szCs w:val="20"/>
              </w:rPr>
              <w:t xml:space="preserve">15.463</w:t>
            </w:r>
          </w:p>
        </w:tc>
        <w:tc>
          <w:tcPr>
            <w:tcW w:w="0" w:type="auto"/>
          </w:tcPr>
          <w:p>
            <w:pPr>
              <w:spacing w:line="240" w:lineRule="auto" w:before="0" w:after="0"/>
              <w:pStyle w:val="Compact"/>
            </w:pPr>
            <w:r>
              <w:rPr>
                <w:sz w:val="20"/>
                <w:szCs w:val="20"/>
              </w:rPr>
              <w:t xml:space="preserve">-0.6383</w:t>
            </w:r>
          </w:p>
        </w:tc>
        <w:tc>
          <w:tcPr>
            <w:tcW w:w="0" w:type="auto"/>
          </w:tcPr>
          <w:p>
            <w:pPr>
              <w:spacing w:line="240" w:lineRule="auto" w:before="0" w:after="0"/>
              <w:pStyle w:val="Compact"/>
            </w:pPr>
            <w:r>
              <w:rPr>
                <w:sz w:val="20"/>
                <w:szCs w:val="20"/>
              </w:rPr>
              <w:t xml:space="preserve">0.5233</w:t>
            </w:r>
          </w:p>
        </w:tc>
        <w:tc>
          <w:tcPr>
            <w:tcW w:w="0" w:type="auto"/>
          </w:tcPr>
          <w:p>
            <w:pPr>
              <w:spacing w:line="240" w:lineRule="auto" w:before="0" w:after="0"/>
              <w:pStyle w:val="Compact"/>
            </w:pPr>
            <w:r>
              <w:rPr>
                <w:sz w:val="20"/>
                <w:szCs w:val="20"/>
              </w:rPr>
              <w:t xml:space="preserve">[-40.1766, 20.4374]</w:t>
            </w:r>
          </w:p>
        </w:tc>
      </w:tr>
      <w:tr>
        <w:tc>
          <w:tcPr>
            <w:tcW w:w="0" w:type="auto"/>
          </w:tcPr>
          <w:p>
            <w:pPr>
              <w:spacing w:line="240" w:lineRule="auto" w:before="0" w:after="0"/>
              <w:pStyle w:val="Compact"/>
            </w:pPr>
            <w:r>
              <w:rPr>
                <w:sz w:val="20"/>
                <w:szCs w:val="20"/>
              </w:rPr>
              <w:t xml:space="preserve">rebaseline_count</w:t>
            </w:r>
          </w:p>
        </w:tc>
        <w:tc>
          <w:tcPr>
            <w:tcW w:w="0" w:type="auto"/>
          </w:tcPr>
          <w:p>
            <w:pPr>
              <w:spacing w:line="240" w:lineRule="auto" w:before="0" w:after="0"/>
              <w:pStyle w:val="Compact"/>
            </w:pPr>
            <w:r>
              <w:rPr>
                <w:sz w:val="20"/>
                <w:szCs w:val="20"/>
              </w:rPr>
              <w:t xml:space="preserve">34.4721</w:t>
            </w:r>
          </w:p>
        </w:tc>
        <w:tc>
          <w:tcPr>
            <w:tcW w:w="0" w:type="auto"/>
          </w:tcPr>
          <w:p>
            <w:pPr>
              <w:spacing w:line="240" w:lineRule="auto" w:before="0" w:after="0"/>
              <w:pStyle w:val="Compact"/>
            </w:pPr>
            <w:r>
              <w:rPr>
                <w:sz w:val="20"/>
                <w:szCs w:val="20"/>
              </w:rPr>
              <w:t xml:space="preserve">14.2314</w:t>
            </w:r>
          </w:p>
        </w:tc>
        <w:tc>
          <w:tcPr>
            <w:tcW w:w="0" w:type="auto"/>
          </w:tcPr>
          <w:p>
            <w:pPr>
              <w:spacing w:line="240" w:lineRule="auto" w:before="0" w:after="0"/>
              <w:pStyle w:val="Compact"/>
            </w:pPr>
            <w:r>
              <w:rPr>
                <w:sz w:val="20"/>
                <w:szCs w:val="20"/>
              </w:rPr>
              <w:t xml:space="preserve">2.4223</w:t>
            </w:r>
          </w:p>
        </w:tc>
        <w:tc>
          <w:tcPr>
            <w:tcW w:w="0" w:type="auto"/>
          </w:tcPr>
          <w:p>
            <w:pPr>
              <w:spacing w:line="240" w:lineRule="auto" w:before="0" w:after="0"/>
              <w:pStyle w:val="Compact"/>
            </w:pPr>
            <w:r>
              <w:rPr>
                <w:sz w:val="20"/>
                <w:szCs w:val="20"/>
              </w:rPr>
              <w:t xml:space="preserve">0.0154</w:t>
            </w:r>
          </w:p>
        </w:tc>
        <w:tc>
          <w:tcPr>
            <w:tcW w:w="0" w:type="auto"/>
          </w:tcPr>
          <w:p>
            <w:pPr>
              <w:spacing w:line="240" w:lineRule="auto" w:before="0" w:after="0"/>
              <w:pStyle w:val="Compact"/>
            </w:pPr>
            <w:r>
              <w:rPr>
                <w:sz w:val="20"/>
                <w:szCs w:val="20"/>
              </w:rPr>
              <w:t xml:space="preserve">[6.579, 62.3652]</w:t>
            </w:r>
          </w:p>
        </w:tc>
      </w:tr>
      <w:tr>
        <w:tc>
          <w:tcPr>
            <w:tcW w:w="0" w:type="auto"/>
          </w:tcPr>
          <w:p>
            <w:pPr>
              <w:spacing w:line="240" w:lineRule="auto" w:before="0" w:after="0"/>
              <w:pStyle w:val="Compact"/>
            </w:pPr>
            <w:r>
              <w:rPr>
                <w:sz w:val="20"/>
                <w:szCs w:val="20"/>
              </w:rPr>
              <w:t xml:space="preserve">trl6_at_pdr</w:t>
            </w:r>
          </w:p>
        </w:tc>
        <w:tc>
          <w:tcPr>
            <w:tcW w:w="0" w:type="auto"/>
          </w:tcPr>
          <w:p>
            <w:pPr>
              <w:spacing w:line="240" w:lineRule="auto" w:before="0" w:after="0"/>
              <w:pStyle w:val="Compact"/>
            </w:pPr>
            <w:r>
              <w:rPr>
                <w:sz w:val="20"/>
                <w:szCs w:val="20"/>
              </w:rPr>
              <w:t xml:space="preserve">-14.6818</w:t>
            </w:r>
          </w:p>
        </w:tc>
        <w:tc>
          <w:tcPr>
            <w:tcW w:w="0" w:type="auto"/>
          </w:tcPr>
          <w:p>
            <w:pPr>
              <w:spacing w:line="240" w:lineRule="auto" w:before="0" w:after="0"/>
              <w:pStyle w:val="Compact"/>
            </w:pPr>
            <w:r>
              <w:rPr>
                <w:sz w:val="20"/>
                <w:szCs w:val="20"/>
              </w:rPr>
              <w:t xml:space="preserve">17.1876</w:t>
            </w:r>
          </w:p>
        </w:tc>
        <w:tc>
          <w:tcPr>
            <w:tcW w:w="0" w:type="auto"/>
          </w:tcPr>
          <w:p>
            <w:pPr>
              <w:spacing w:line="240" w:lineRule="auto" w:before="0" w:after="0"/>
              <w:pStyle w:val="Compact"/>
            </w:pPr>
            <w:r>
              <w:rPr>
                <w:sz w:val="20"/>
                <w:szCs w:val="20"/>
              </w:rPr>
              <w:t xml:space="preserve">-0.8542</w:t>
            </w:r>
          </w:p>
        </w:tc>
        <w:tc>
          <w:tcPr>
            <w:tcW w:w="0" w:type="auto"/>
          </w:tcPr>
          <w:p>
            <w:pPr>
              <w:spacing w:line="240" w:lineRule="auto" w:before="0" w:after="0"/>
              <w:pStyle w:val="Compact"/>
            </w:pPr>
            <w:r>
              <w:rPr>
                <w:sz w:val="20"/>
                <w:szCs w:val="20"/>
              </w:rPr>
              <w:t xml:space="preserve">0.393</w:t>
            </w:r>
          </w:p>
        </w:tc>
        <w:tc>
          <w:tcPr>
            <w:tcW w:w="0" w:type="auto"/>
          </w:tcPr>
          <w:p>
            <w:pPr>
              <w:spacing w:line="240" w:lineRule="auto" w:before="0" w:after="0"/>
              <w:pStyle w:val="Compact"/>
            </w:pPr>
            <w:r>
              <w:rPr>
                <w:sz w:val="20"/>
                <w:szCs w:val="20"/>
              </w:rPr>
              <w:t xml:space="preserve">[-48.3688, 19.0053]</w:t>
            </w:r>
          </w:p>
        </w:tc>
      </w:tr>
    </w:tbl>
    <w:p>
      <w:pPr>
        <w:pStyle w:val="BodyText"/>
      </w:pPr>
      <w:r>
        <w:t xml:space="preserve">Fit: N = 24 R2 = 0.4862 R2_adj = 0.4372 F = 3.0611 F_p = 0.0681</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2" Target="https://doi.org/10.1016/j.actaastro.2018.05.042" TargetMode="External" /><Relationship Type="http://schemas.openxmlformats.org/officeDocument/2006/relationships/hyperlink" Id="rId68" Target="https://doi.org/10.1016/j.actaastro.2018.07.004" TargetMode="External" /><Relationship Type="http://schemas.openxmlformats.org/officeDocument/2006/relationships/hyperlink" Id="rId70" Target="https://doi.org/10.1016/j.actaastro.2022.12.036"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18.05.042" TargetMode="External" /><Relationship Type="http://schemas.openxmlformats.org/officeDocument/2006/relationships/hyperlink" Id="rId68" Target="https://doi.org/10.1016/j.actaastro.2018.07.004" TargetMode="External" /><Relationship Type="http://schemas.openxmlformats.org/officeDocument/2006/relationships/hyperlink" Id="rId70" Target="https://doi.org/10.1016/j.actaastro.2022.12.03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2026-06-25T14:25:55Z</dcterms:created>
  <dcterms:modified xsi:type="dcterms:W3CDTF">2026-06-25T14:25:55Z</dcterms:modified>
</cp:coreProperties>
</file>

<file path=docProps/custom.xml><?xml version="1.0" encoding="utf-8"?>
<Properties xmlns="http://schemas.openxmlformats.org/officeDocument/2006/custom-properties" xmlns:vt="http://schemas.openxmlformats.org/officeDocument/2006/docPropsVTypes"/>
</file>