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REQUIREMENTS CREEP AS AN ORGANIZATIONAL PATHOLOGY: MEASURING SCOPE GROWTH AGAINST BASELINE COMMITMENT IN SPACE PROGRAM EXECUTION</w:t>
      </w:r>
    </w:p>
    <w:p>
      <w:pPr>
        <w:jc w:val="center"/>
      </w:pPr>
    </w:p>
    <w:p>
      <w:pPr>
        <w:jc w:val="center"/>
      </w:pPr>
      <w:r>
        <w:rPr>
          <w:rFonts w:ascii="Times New Roman" w:hAnsi="Times New Roman"/>
          <w:sz w:val="24"/>
        </w:rPr>
        <w:t>by</w:t>
      </w:r>
    </w:p>
    <w:p>
      <w:pPr>
        <w:jc w:val="center"/>
      </w:pPr>
      <w:r>
        <w:rPr>
          <w:rFonts w:ascii="Times New Roman" w:hAnsi="Times New Roman"/>
          <w:b/>
          <w:sz w:val="28"/>
        </w:rPr>
        <w:t>Kofi Dubois</w:t>
      </w:r>
    </w:p>
    <w:p>
      <w:pPr>
        <w:jc w:val="center"/>
      </w:pPr>
      <w:r>
        <w:rPr>
          <w:rFonts w:ascii="Times New Roman" w:hAnsi="Times New Roman"/>
          <w:sz w:val="24"/>
        </w:rPr>
        <w:t>1B-MPM-048</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its-stakes"/>
    <w:p>
      <w:pPr>
        <w:pStyle w:val="Heading2"/>
        <w:spacing w:line="480" w:lineRule="auto"/>
      </w:pPr>
      <w:r>
        <w:t xml:space="preserve">1.1 The Problem and Its Stakes</w:t>
      </w:r>
    </w:p>
    <w:p>
      <w:pPr>
        <w:pStyle w:val="FirstParagraph"/>
        <w:spacing w:line="480" w:lineRule="auto"/>
      </w:pPr>
      <w:r>
        <w:t xml:space="preserve">Major space programs rarely fail the way the public pictures failure. They do not, as a rule, explode on the pad or disappear into a planet’s atmosphere. That kind of catastrophic loss is the dramatic failure mode, and it is both statistically rare and operationally well guarded against. The failure that actually recurs is quieter, and it does its damage slowly.</w:t>
      </w:r>
    </w:p>
    <w:p>
      <w:pPr>
        <w:pStyle w:val="BodyText"/>
        <w:spacing w:line="480" w:lineRule="auto"/>
        <w:ind w:firstLine="720"/>
      </w:pPr>
      <w:r>
        <w:t xml:space="preserve">It is also far more consequential to the public accounts. A program drifts away from the cost and the schedule it formally committed to at baseline, and it drifts incrementally, across the years of execution, until the gap has stopped being an engineering matter and become a matter of national accounting. The National Aeronautics and Space Administration plans to invest on the order of seventy-four billion dollars in its major-project portfolio in a single fiscal year, and the Government Accountability Office has assessed that portfolio on a recurring annual basis for more than a decade. At that scale a portfolio-wide tendency to overrun the committed baseline stops being a managerial inconvenience. It becomes a structural drain on the capacity of the agency, and of the Jet Propulsion Laboratory and the other centers that execute within it, to buy the science and the exploration the budget was appropriated for.</w:t>
      </w:r>
    </w:p>
    <w:p>
      <w:pPr>
        <w:pStyle w:val="BodyText"/>
        <w:spacing w:line="480" w:lineRule="auto"/>
        <w:ind w:firstLine="720"/>
      </w:pPr>
      <w:r>
        <w:t xml:space="preserve">Convention pins the fault to a single moment in the program’s life. The planners were optimistic, the story goes, the contractor underbid, the unknowns turned out larger than the estimating model allowed, and everything after commitment is the slow unfolding of that one mistake.</w:t>
      </w:r>
    </w:p>
    <w:p>
      <w:pPr>
        <w:pStyle w:val="BodyText"/>
        <w:spacing w:line="480" w:lineRule="auto"/>
        <w:ind w:firstLine="720"/>
      </w:pPr>
      <w:r>
        <w:t xml:space="preserve">The estimation literature is built on this premise. Parametric cost-prediction practice treats development cost as a learnable function of design and maturity parameters fixed near the conceptual phase, which is exactly the posture that puts the causal action at commitment rather than during execution</w:t>
      </w:r>
      <w:r>
        <w:t xml:space="preserve"> </w:t>
      </w:r>
      <w:hyperlink w:anchor="ref-14">
        <w:r>
          <w:rPr>
            <w:rStyle w:val="Hyperlink"/>
          </w:rPr>
          <w:t xml:space="preserve">[14]</w:t>
        </w:r>
      </w:hyperlink>
      <w:r>
        <w:t xml:space="preserve">,</w:t>
      </w:r>
      <w:r>
        <w:t xml:space="preserve"> </w:t>
      </w:r>
      <w:hyperlink w:anchor="ref-7">
        <w:r>
          <w:rPr>
            <w:rStyle w:val="Hyperlink"/>
          </w:rPr>
          <w:t xml:space="preserve">[7]</w:t>
        </w:r>
      </w:hyperlink>
      <w:r>
        <w:t xml:space="preserve">.</w:t>
      </w:r>
    </w:p>
    <w:p>
      <w:pPr>
        <w:pStyle w:val="BodyText"/>
        <w:spacing w:line="480" w:lineRule="auto"/>
        <w:ind w:firstLine="720"/>
      </w:pPr>
      <w:r>
        <w:t xml:space="preserve">The remedy follows straight from the diagnosis. If the failure is an estimation error made at the start, then the cure is a better point estimate at the start, backed by larger and better-calibrated reserves.</w:t>
      </w:r>
    </w:p>
    <w:p>
      <w:pPr>
        <w:pStyle w:val="BodyText"/>
        <w:spacing w:line="480" w:lineRule="auto"/>
        <w:ind w:firstLine="720"/>
      </w:pPr>
      <w:r>
        <w:t xml:space="preserve">This dissertation locates the causal action somewhere else, and it stakes that relocation on a falsifiable test. Program execution, as it is actually lived, is not the unfolding of a fixed initial mistake. Between the commitment milestone and operational delivery, a program approves a continuous stream of requirement modifications. Each one gets reviewed on its own terms. Each is justified against its local engineering merits. Each is approved by a governance body reasoning about that single increment in isolation from the others. What this dissertation names as the pathology is the failure of any node in that approval apparatus to reconstitute the cumulative weight of the increments against the original commitment, and it names that failure as the thing that runs unchecked until the cost and schedule consequences have already accrued. A forty-modification program leaves a different organizational fingerprint than a four-modification program. That fingerprint sits in the baseline record whether or not anyone bothered to aggregate it at the time.</w:t>
      </w:r>
    </w:p>
    <w:p>
      <w:pPr>
        <w:pStyle w:val="BodyText"/>
        <w:spacing w:line="480" w:lineRule="auto"/>
        <w:ind w:firstLine="720"/>
      </w:pPr>
      <w:r>
        <w:t xml:space="preserve">None of this is merely academic.</w:t>
      </w:r>
    </w:p>
    <w:p>
      <w:pPr>
        <w:pStyle w:val="BodyText"/>
        <w:spacing w:line="480" w:lineRule="auto"/>
        <w:ind w:firstLine="720"/>
      </w:pPr>
      <w:r>
        <w:t xml:space="preserve">Suppose departure from the committed baseline really is an estimation artifact. Then the remedy is better forecasting at commitment, and the substantial agency machinery devoted to estimating discipline, parametric calibration, and reserve sizing is aimed at the right target. Suppose instead that departure is the financial signature of an organizational pathology in the modification-approval apparatus. Then better point estimates at commitment will not touch the problem, because the problem is generated downstream of the estimate, by a governance structure that never reconstitutes drift. In that second world the remedy is governance redesign: a cumulative-drift checkpoint that aggregates approved modifications against the original commitment and forces a re-commitment decision before the cost consequences lock in. For NASA and for JPL, the distance between these two worlds is the distance between calibrating an estimating model and rebuilding a configuration-control process. Both are tractable, but they are tractable in entirely different ways, and an agency that misreads the pathology will pour its reform energy into the wrong instrument.</w:t>
      </w:r>
    </w:p>
    <w:p>
      <w:pPr>
        <w:pStyle w:val="BodyText"/>
        <w:spacing w:line="480" w:lineRule="auto"/>
        <w:ind w:firstLine="720"/>
      </w:pPr>
      <w:r>
        <w:t xml:space="preserve">Choosing between the estimation account and the organizational-pathology account is therefore not a refinement of existing practice. It is the prerequisite for knowing which kind of reform could work at all.</w:t>
      </w:r>
    </w:p>
    <w:bookmarkEnd w:id="61"/>
    <w:bookmarkStart w:id="62" w:name="the-gap-between-two-literatures"/>
    <w:p>
      <w:pPr>
        <w:pStyle w:val="Heading2"/>
        <w:spacing w:line="480" w:lineRule="auto"/>
      </w:pPr>
      <w:r>
        <w:t xml:space="preserve">1.2 The Gap Between Two Literatures</w:t>
      </w:r>
    </w:p>
    <w:p>
      <w:pPr>
        <w:pStyle w:val="FirstParagraph"/>
        <w:spacing w:line="480" w:lineRule="auto"/>
      </w:pPr>
      <w:r>
        <w:t xml:space="preserve">The obstacle this dissertation confronts is not a shortage of relevant scholarship. It is a structural mismatch between two literatures that have never been trained on the same question. One is a rich and mature domain literature on how space programs get engineered, estimated, and governed. The other is the econometric method literature on how to test a conditional association against a competing explanation. The domain literature describes the constituent instruments of program execution in exhaustive detail, yet it never poses the modification stream as a measurable independent variable. The method literature supplies precisely the apparatus for testing such a variable, yet no one has pointed it at this object.</w:t>
      </w:r>
    </w:p>
    <w:p>
      <w:pPr>
        <w:pStyle w:val="BodyText"/>
        <w:spacing w:line="480" w:lineRule="auto"/>
        <w:ind w:firstLine="720"/>
      </w:pPr>
      <w:r>
        <w:t xml:space="preserve">The gap is the empty intersection of the two.</w:t>
      </w:r>
    </w:p>
    <w:p>
      <w:pPr>
        <w:pStyle w:val="BodyText"/>
        <w:spacing w:line="480" w:lineRule="auto"/>
        <w:ind w:firstLine="720"/>
      </w:pPr>
      <w:r>
        <w:t xml:space="preserve">Take the domain literature on its own terms. Cost growth on jointly executed and architecturally coupled programs has been formalized as a phenomenon with identifiable drivers, where the interaction of partially separable subsystems generates growth that no single estimate anticipates</w:t>
      </w:r>
      <w:r>
        <w:t xml:space="preserve"> </w:t>
      </w:r>
      <w:hyperlink w:anchor="ref-6">
        <w:r>
          <w:rPr>
            <w:rStyle w:val="Hyperlink"/>
          </w:rPr>
          <w:t xml:space="preserve">[6]</w:t>
        </w:r>
      </w:hyperlink>
      <w:r>
        <w:t xml:space="preserve">. Systems engineering practice, refined across two decades of concurrent-engineering application, codifies how requirements are defined, baselined, and changed, and it is that codification which converts the modification record into an auditable trail rather than an informal memory</w:t>
      </w:r>
      <w:r>
        <w:t xml:space="preserve"> </w:t>
      </w:r>
      <w:hyperlink w:anchor="ref-8">
        <w:r>
          <w:rPr>
            <w:rStyle w:val="Hyperlink"/>
          </w:rPr>
          <w:t xml:space="preserve">[8]</w:t>
        </w:r>
      </w:hyperlink>
      <w:r>
        <w:t xml:space="preserve">. Agency human-systems integration practice for the lunar Gateway program documents the formal technical and management processes through which requirements are governed across a multi-organization architecture</w:t>
      </w:r>
      <w:r>
        <w:t xml:space="preserve"> </w:t>
      </w:r>
      <w:hyperlink w:anchor="ref-1">
        <w:r>
          <w:rPr>
            <w:rStyle w:val="Hyperlink"/>
          </w:rPr>
          <w:t xml:space="preserve">[1]</w:t>
        </w:r>
      </w:hyperlink>
      <w:r>
        <w:t xml:space="preserve">. Program risk for human exploration is treated as a managed quantity with defined assessment processes</w:t>
      </w:r>
      <w:r>
        <w:t xml:space="preserve"> </w:t>
      </w:r>
      <w:hyperlink w:anchor="ref-5">
        <w:r>
          <w:rPr>
            <w:rStyle w:val="Hyperlink"/>
          </w:rPr>
          <w:t xml:space="preserve">[5]</w:t>
        </w:r>
      </w:hyperlink>
      <w:r>
        <w:t xml:space="preserve">. Acquisition structure and funding for space programs are themselves tracked as analyzable objects at the portfolio level, which is enough to establish that the baseline and its evolution are recorded with the fidelity quantitative work requires</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Each of these faithfully describes a piece of the execution apparatus. Not one of them, alone or in combination, asks whether the intensity of requirement modification during execution predicts departure from the committed baseline once technical maturity is held fixed.</w:t>
      </w:r>
    </w:p>
    <w:p>
      <w:pPr>
        <w:pStyle w:val="BodyText"/>
        <w:spacing w:line="480" w:lineRule="auto"/>
        <w:ind w:firstLine="720"/>
      </w:pPr>
      <w:r>
        <w:t xml:space="preserve">That omission is not a lapse in detail. It is a difference in causal posture. The existing domain treatments are descriptive or prescriptive. They describe how requirements should be managed</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 how risk should be assessed</w:t>
      </w:r>
      <w:r>
        <w:t xml:space="preserve"> </w:t>
      </w:r>
      <w:hyperlink w:anchor="ref-5">
        <w:r>
          <w:rPr>
            <w:rStyle w:val="Hyperlink"/>
          </w:rPr>
          <w:t xml:space="preserve">[5]</w:t>
        </w:r>
      </w:hyperlink>
      <w:r>
        <w:t xml:space="preserve">, how maturity should be rated. What they do not do is pose the modification stream as a measurable quantity whose association with outcomes can be tested against a rival explanation. The estimation strand has every reason to leave the question alone, because its whole causal apparatus sits at commitment. If cost is a function of parameters fixed near the conceptual phase</w:t>
      </w:r>
      <w:r>
        <w:t xml:space="preserve"> </w:t>
      </w:r>
      <w:hyperlink w:anchor="ref-14">
        <w:r>
          <w:rPr>
            <w:rStyle w:val="Hyperlink"/>
          </w:rPr>
          <w:t xml:space="preserve">[14]</w:t>
        </w:r>
      </w:hyperlink>
      <w:r>
        <w:t xml:space="preserve">,</w:t>
      </w:r>
      <w:r>
        <w:t xml:space="preserve"> </w:t>
      </w:r>
      <w:hyperlink w:anchor="ref-7">
        <w:r>
          <w:rPr>
            <w:rStyle w:val="Hyperlink"/>
          </w:rPr>
          <w:t xml:space="preserve">[7]</w:t>
        </w:r>
      </w:hyperlink>
      <w:r>
        <w:t xml:space="preserve">, then the execution-phase modification stream is, by construction, noise around a well-specified plan rather than a candidate cause in its own right. So the domain literature contains every input a test of the pathology would need, and it arrives at none of the questions such a test would ask.</w:t>
      </w:r>
    </w:p>
    <w:p>
      <w:pPr>
        <w:pStyle w:val="BodyText"/>
        <w:spacing w:line="480" w:lineRule="auto"/>
        <w:ind w:firstLine="720"/>
      </w:pPr>
      <w:r>
        <w:t xml:space="preserve">The econometric method literature supplies the posture that is missing. The move this dissertation requires is the conditional one. The question is not whether modification intensity correlates with cost growth, which any descriptive treatment could establish, but whether it still carries information about cost growth after the dominant rival explanation has been absorbed into the model. That rival is technical maturity at commitment. A program whose critical technology elements sit below readiness at commitment is intrinsically harder, and intrinsic difficulty would drive both heavier modification and larger overrun, confounding any raw association. To a confounder of this kind the method literature has a standard answer: condition on it. Enter the externally rated maturity instrument as a control vector, then read whether the modification coefficient survives. This is an elementary maneuver in applied econometrics and an unfamiliar one in the program-execution domain, which has historically reasoned about cost growth case by case rather than as a conditional estimation problem. So the gap comes down to this. The domain knows the instruments and the records. The method knows the conditional test. No prior work has joined the modification record to the conditional test on terms that would let the organizational-pathology account be refuted.</w:t>
      </w:r>
    </w:p>
    <w:p>
      <w:pPr>
        <w:pStyle w:val="BodyText"/>
        <w:spacing w:line="480" w:lineRule="auto"/>
        <w:ind w:firstLine="720"/>
      </w:pPr>
      <w:r>
        <w:t xml:space="preserve">Two preparatory empirical studies, reported in the chapters that follow, map the boundaries of this gap from inside the data. The first established that cost growth at the level of physical scale is not cleanly mass-driven. Regressing development cost growth on launch mass and partnership across twenty-six NASA major projects produced directionally correct but statistically silent coefficients, and the model explained almost none of the variation in outcomes</w:t>
      </w:r>
      <w:r>
        <w:t xml:space="preserve"> </w:t>
      </w:r>
      <w:hyperlink w:anchor="ref-9">
        <w:r>
          <w:rPr>
            <w:rStyle w:val="Hyperlink"/>
          </w:rPr>
          <w:t xml:space="preserve">[9]</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w:t>
      </w:r>
      <w:r>
        <w:t xml:space="preserve"> </w:t>
      </w:r>
      <w:hyperlink w:anchor="ref-13">
        <w:r>
          <w:rPr>
            <w:rStyle w:val="Hyperlink"/>
          </w:rPr>
          <w:t xml:space="preserve">[13]</w:t>
        </w:r>
      </w:hyperlink>
      <w:r>
        <w:t xml:space="preserve">. That weak result is itself informative. It pushes the search for the pathology away from how big a project is and toward how a project’s requirements are governed, a redirection consistent with the move from legacy single-agency programs toward partnership-rich architectures that has loosened the historical mass-cost relationship</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The second study took the redirected question and supplied the conditional test the first one lacked. It showed that requirement-modification intensity predicts cost growth and survives the maturity control. This dissertation generalizes and hardens that second result into a full treatment.</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This dissertation makes one claim and stakes it on one test. I state the claim here with the precision a falsifiable contribution demands, so that a null result reads as a clean refutation rather than as an occasion for retreat to some auxiliary hypothesis.</w:t>
      </w:r>
    </w:p>
    <w:p>
      <w:pPr>
        <w:pStyle w:val="BodyText"/>
        <w:spacing w:line="480" w:lineRule="auto"/>
        <w:ind w:firstLine="720"/>
      </w:pPr>
      <w:r>
        <w:t xml:space="preserve">As a working hypothesis, the contribution reads as follows. Within a population of formally baselined NASA major projects, the intensity of approved requirement modifications between the commitment milestone and the operational milestone is positively and significantly associated with proportional cost growth against the committed baseline, conditional on the technology readiness level distribution of the program’s critical technology elements at commitment. Operationally: in a regression of proportional cost growth on modification intensity with the commitment-stage maturity instrument entered as a control, the modification-intensity coefficient is positive and statistically distinguishable from zero, and it does not collapse when the maturity control is added.</w:t>
      </w:r>
    </w:p>
    <w:p>
      <w:pPr>
        <w:pStyle w:val="BodyText"/>
        <w:spacing w:line="480" w:lineRule="auto"/>
        <w:ind w:firstLine="720"/>
      </w:pPr>
      <w:r>
        <w:t xml:space="preserve">The null hypothesis is the exact negation. Conditional on commitment-stage technology readiness, modification intensity carries no information about proportional cost growth, and its coefficient is statistically indistinguishable from zero. Under the null, scope growth is fully absorbed by the maturity story, the organizational-pathology framing adds nothing the readiness instrument does not already supply, and the estimation-and-maturity account stands undisturbed.</w:t>
      </w:r>
    </w:p>
    <w:p>
      <w:pPr>
        <w:pStyle w:val="BodyText"/>
        <w:spacing w:line="480" w:lineRule="auto"/>
        <w:ind w:firstLine="720"/>
      </w:pPr>
      <w:r>
        <w:t xml:space="preserve">One coefficient and one comparison carry the entire contribution. The coefficient is the slope on modification intensity in the conditional specification. The comparison is how that coefficient moves between the unconditional and the conditional specifications, because that movement measures directly how much of the raw scope-growth signal the maturity story explains away. Were the maturity story to explain scope growth away, the modification coefficient would collapse toward zero once readiness entered the model. Whether it does is the whole diagnostic value of the work. There is no auxiliary hypothesis waiting in reserve. If the conditional coefficient is null, the pathology framing fails cleanly, and the contribution becomes that clean refutation rather than a salvaged partial claim.</w:t>
      </w:r>
    </w:p>
    <w:p>
      <w:pPr>
        <w:pStyle w:val="BodyText"/>
        <w:spacing w:line="480" w:lineRule="auto"/>
        <w:ind w:firstLine="720"/>
      </w:pPr>
      <w:r>
        <w:t xml:space="preserve">Where will the full treatment land? The preparatory analysis already points the direction, while leaving the generalization to be earned across the dissertation’s expanded population and robustness battery. In a cross-program specification across formally baselined NASA major projects, the conditional modification-intensity coefficient was positive and significant at the five percent level, and it attenuated by less than five percent when the technology-readiness control was added, with the maturity coefficient itself running in the expected protective direction but not displacing the modification signal. The coefficient’s persistence was not an artifact of collinearity between the two regressors. That result is the seed of the contribution. What remains is to subject it to the threats to validity that a single cross-section cannot answer, and to see whether the signature in the modification stream survives them.</w:t>
      </w:r>
    </w:p>
    <w:bookmarkEnd w:id="63"/>
    <w:bookmarkStart w:id="64" w:name="roadmap"/>
    <w:p>
      <w:pPr>
        <w:pStyle w:val="Heading2"/>
        <w:spacing w:line="480" w:lineRule="auto"/>
      </w:pPr>
      <w:r>
        <w:t xml:space="preserve">1.4 Roadmap</w:t>
      </w:r>
    </w:p>
    <w:p>
      <w:pPr>
        <w:pStyle w:val="FirstParagraph"/>
        <w:spacing w:line="480" w:lineRule="auto"/>
      </w:pPr>
      <w:r>
        <w:t xml:space="preserve">The dissertation proceeds in the following order. This chapter has stated the problem, its stakes for NASA and JPL, the gap between the domain literature and the econometric method literature, and the single falsifiable contribution on which the work is staked.</w:t>
      </w:r>
    </w:p>
    <w:p>
      <w:pPr>
        <w:pStyle w:val="BodyText"/>
        <w:spacing w:line="480" w:lineRule="auto"/>
        <w:ind w:firstLine="720"/>
      </w:pPr>
      <w:r>
        <w:t xml:space="preserve">Chapter 2 develops the theoretical frame in full. It assembles the constituent instruments of the argument from the domain literature: the formalization of cost growth on coupled programs</w:t>
      </w:r>
      <w:r>
        <w:t xml:space="preserve"> </w:t>
      </w:r>
      <w:hyperlink w:anchor="ref-6">
        <w:r>
          <w:rPr>
            <w:rStyle w:val="Hyperlink"/>
          </w:rPr>
          <w:t xml:space="preserve">[6]</w:t>
        </w:r>
      </w:hyperlink>
      <w:r>
        <w:t xml:space="preserve">, the codification of requirements baselining and change control in systems engineering practice</w:t>
      </w:r>
      <w:r>
        <w:t xml:space="preserve"> </w:t>
      </w:r>
      <w:hyperlink w:anchor="ref-8">
        <w:r>
          <w:rPr>
            <w:rStyle w:val="Hyperlink"/>
          </w:rPr>
          <w:t xml:space="preserve">[8]</w:t>
        </w:r>
      </w:hyperlink>
      <w:r>
        <w:t xml:space="preserve">, the maturity instrument by which programs are rated at major reviews, and the portfolio-level acquisition record that makes the baseline an analyzable object</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It then articulates the organizational-pathology mechanism, the failure of the modification-approval apparatus to reconstitute cumulative drift, as a hypothesis that competes with the estimation-and-maturity account and can be adjudicated against it.</w:t>
      </w:r>
    </w:p>
    <w:p>
      <w:pPr>
        <w:pStyle w:val="BodyText"/>
        <w:spacing w:line="480" w:lineRule="auto"/>
        <w:ind w:firstLine="720"/>
      </w:pPr>
      <w:r>
        <w:t xml:space="preserve">Chapter 3 specifies the data and its provenance. The dependent variable, proportional cost growth against the committed baseline, is built from the Government Accountability Office’s recurring assessments of major projects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8">
        <w:r>
          <w:rPr>
            <w:rStyle w:val="Hyperlink"/>
          </w:rPr>
          <w:t xml:space="preserve">[18]</w:t>
        </w:r>
      </w:hyperlink>
      <w:r>
        <w:t xml:space="preserve">, NASA Office of Inspector General project audits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and per-mission cost compilations</w:t>
      </w:r>
      <w:r>
        <w:t xml:space="preserve"> </w:t>
      </w:r>
      <w:hyperlink w:anchor="ref-13">
        <w:r>
          <w:rPr>
            <w:rStyle w:val="Hyperlink"/>
          </w:rPr>
          <w:t xml:space="preserve">[13]</w:t>
        </w:r>
      </w:hyperlink>
      <w:r>
        <w:t xml:space="preserve">, each observation anchored to a named primary source. The independent variable, modification intensity, is built from the formally approved rebaseline and configuration-change record maintained under agency systems engineering practice</w:t>
      </w:r>
      <w:r>
        <w:t xml:space="preserve"> </w:t>
      </w:r>
      <w:hyperlink w:anchor="ref-8">
        <w:r>
          <w:rPr>
            <w:rStyle w:val="Hyperlink"/>
          </w:rPr>
          <w:t xml:space="preserve">[8]</w:t>
        </w:r>
      </w:hyperlink>
      <w:r>
        <w:t xml:space="preserve">. The maturity control is the commitment-stage technology readiness distribution of the program’s critical technology elements. The chapter establishes that the baseline record is an official, recurring, auditable object rather than a derived or proprietary compilation.</w:t>
      </w:r>
    </w:p>
    <w:p>
      <w:pPr>
        <w:pStyle w:val="BodyText"/>
        <w:spacing w:line="480" w:lineRule="auto"/>
        <w:ind w:firstLine="720"/>
      </w:pPr>
      <w:r>
        <w:t xml:space="preserve">Chapter 4 presents the identification strategy and the estimator. It explains why modification intensity is not randomly assigned, why technology readiness at commitment is the most credible confounder, and why conditioning on the externally rated readiness instrument absorbs the dominant rival explanation into the model rather than leaving it in the error term. It defines the cross-program regression of proportional cost growth on modification intensity with the maturity control, sets out the parallel schedule specification, and names the unconditional-to-conditional coefficient comparison as the quantity of interest.</w:t>
      </w:r>
    </w:p>
    <w:p>
      <w:pPr>
        <w:pStyle w:val="BodyText"/>
        <w:spacing w:line="480" w:lineRule="auto"/>
        <w:ind w:firstLine="720"/>
      </w:pPr>
      <w:r>
        <w:t xml:space="preserve">Chapter 5 reports the findings: the conditional coefficient, its robust standard error, its confidence interval, its stability across the inclusion and exclusion of the maturity control, together with the simple correlations that diagnose collinearity and the resampling and robust-estimator checks that guard against a handful of pathological programs driving the result.</w:t>
      </w:r>
    </w:p>
    <w:p>
      <w:pPr>
        <w:pStyle w:val="BodyText"/>
        <w:spacing w:line="480" w:lineRule="auto"/>
        <w:ind w:firstLine="720"/>
      </w:pPr>
      <w:r>
        <w:t xml:space="preserve">Chapter 6 confronts the threats to validity directly. Residual confounding from organizational complexity, the reverse-causation possibility that cost growth triggers descoping modifications, the coarseness of an unweighted modification count, the external-validity limit imposed by sampling a single agency’s governance culture: each threat is paired with the robustness control or design qualification that bounds it.</w:t>
      </w:r>
    </w:p>
    <w:p>
      <w:pPr>
        <w:pStyle w:val="BodyText"/>
        <w:spacing w:line="480" w:lineRule="auto"/>
        <w:ind w:firstLine="720"/>
      </w:pPr>
      <w:r>
        <w:t xml:space="preserve">Chapter 7 concludes by drawing the governance implication. If the association is causal, the remedy it points to is not a better point estimate at commitment but a cumulative-drift checkpoint, a governance node whose only function is to aggregate approved modifications against the original baseline and force a re-commitment decision before the cost consequences accrue. The systems engineering apparatus already records every input such a checkpoint would require</w:t>
      </w:r>
      <w:r>
        <w:t xml:space="preserve"> </w:t>
      </w:r>
      <w:hyperlink w:anchor="ref-8">
        <w:r>
          <w:rPr>
            <w:rStyle w:val="Hyperlink"/>
          </w:rPr>
          <w:t xml:space="preserve">[8]</w:t>
        </w:r>
      </w:hyperlink>
      <w:r>
        <w:t xml:space="preserve">. The chapter states the contribution within its bounds, conditional on the NASA population sampled and declining to generalize beyond it without replication, and identifies the panel design and severity-weighted modification measure as the clearest paths from this result to a stronger one.</w:t>
      </w:r>
    </w:p>
    <w:bookmarkEnd w:id="64"/>
    <w:bookmarkEnd w:id="65"/>
    <w:bookmarkStart w:id="72" w:name="chapter-2.-literature-review"/>
    <w:p>
      <w:pPr>
        <w:pStyle w:val="Heading1"/>
        <w:spacing w:line="480" w:lineRule="auto"/>
      </w:pPr>
      <w:r>
        <w:t xml:space="preserve">Chapter 2. Literature Review</w:t>
      </w:r>
    </w:p>
    <w:bookmarkStart w:id="66" w:name="orientation"/>
    <w:p>
      <w:pPr>
        <w:pStyle w:val="Heading2"/>
        <w:spacing w:line="480" w:lineRule="auto"/>
      </w:pPr>
      <w:r>
        <w:t xml:space="preserve">2.1 Orientation</w:t>
      </w:r>
    </w:p>
    <w:p>
      <w:pPr>
        <w:pStyle w:val="FirstParagraph"/>
        <w:spacing w:line="480" w:lineRule="auto"/>
      </w:pPr>
      <w:r>
        <w:t xml:space="preserve">This dissertation presses one diagnostic claim. Requirements creep in space programs is not a run of locally sensible engineering choices but an institutional pathology, and that pathology leaves a measurable mark in the baseline record. Backing the claim with evidence means leaning on two bodies of scholarship that have grown up nearly cut off from each other. The first is the domain technical literature of space program execution: the systems engineering process discipline, the cost-estimation and cost-growth modeling tradition, the technology readiness instrument, and the audit record the oversight institutions keep on major projects. The second is the cliometric and econometric methodology literature, which treats an institutional or historical record as a population of observations, cashes a latent organizational condition out as a measurable variable, and settles rival explanations by conditioning rather than by storytelling. Each literature is ripe within itself.</w:t>
      </w:r>
    </w:p>
    <w:p>
      <w:pPr>
        <w:pStyle w:val="BodyText"/>
        <w:spacing w:line="480" w:lineRule="auto"/>
        <w:ind w:firstLine="720"/>
      </w:pPr>
      <w:r>
        <w:t xml:space="preserve">The domain technical literature has thrown off rich descriptive and prescriptive accounts of how requirements should be managed</w:t>
      </w:r>
      <w:r>
        <w:t xml:space="preserve"> </w:t>
      </w:r>
      <w:hyperlink w:anchor="ref-1">
        <w:r>
          <w:rPr>
            <w:rStyle w:val="Hyperlink"/>
          </w:rPr>
          <w:t xml:space="preserve">[1]</w:t>
        </w:r>
      </w:hyperlink>
      <w:r>
        <w:t xml:space="preserve">, how cost should be forecast</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4">
        <w:r>
          <w:rPr>
            <w:rStyle w:val="Hyperlink"/>
          </w:rPr>
          <w:t xml:space="preserve">[14]</w:t>
        </w:r>
      </w:hyperlink>
      <w:r>
        <w:t xml:space="preserve">, how concurrent engineering should be organized</w:t>
      </w:r>
      <w:r>
        <w:t xml:space="preserve"> </w:t>
      </w:r>
      <w:hyperlink w:anchor="ref-8">
        <w:r>
          <w:rPr>
            <w:rStyle w:val="Hyperlink"/>
          </w:rPr>
          <w:t xml:space="preserve">[8]</w:t>
        </w:r>
      </w:hyperlink>
      <w:r>
        <w:t xml:space="preserve">, and how maturity should be rated against a usual yardstick. The methodological literature has thrown off disciplined ways to pull causal footing out of non-experimental records. Neither has done the one thing this review will mark as the gap. No existing treatment puts the requirement-modification stream itself as a measurable independent variable whose tie to baseline departure can be tested against the competing technical-maturity story. This chapter walks through the two literatures in turn, knits their points of contact together, and marks the empty spot the dissertation moves into.</w:t>
      </w:r>
    </w:p>
    <w:p>
      <w:pPr>
        <w:pStyle w:val="BodyText"/>
        <w:spacing w:line="480" w:lineRule="auto"/>
        <w:ind w:firstLine="720"/>
      </w:pPr>
      <w:r>
        <w:t xml:space="preserve">Four moves organize the review. Section 2.2 walks the domain technical literature on requirements, systems engineering process, and the codification that turns the modification record into an auditable trail. Section 2.3 walks the cost-growth and cost-estimation tradition, which parks the causal action at the estimate and at commitment. Section 2.4 takes up the maturity instrument and the governance literature that frames the partnership and complexity conditions under which scope grows. Section 2.5 turns to the cliometric and econometric methodology literature, walking the analytic footing the dissertation borrows. Section 2.6 knits the two literatures together and marks the gap exactly. The citations throughout come only from the shared reference pool, and the reading is built to show the pieces are each well documented while the join between them stays unmade.</w:t>
      </w:r>
    </w:p>
    <w:bookmarkEnd w:id="66"/>
    <w:bookmarkStart w:id="67" w:name="X75758c1dc8c52374da354169412ab30a9843286"/>
    <w:p>
      <w:pPr>
        <w:pStyle w:val="Heading2"/>
        <w:spacing w:line="480" w:lineRule="auto"/>
      </w:pPr>
      <w:r>
        <w:t xml:space="preserve">2.2 The Domain Technical Literature I: Requirements and Systems Engineering Process</w:t>
      </w:r>
    </w:p>
    <w:p>
      <w:pPr>
        <w:pStyle w:val="FirstParagraph"/>
        <w:spacing w:line="480" w:lineRule="auto"/>
      </w:pPr>
      <w:r>
        <w:t xml:space="preserve">The first pillar is the formal codification of systems engineering process inside agency practice. Requirements management on major space programs is no informal activity run from memory. It is a codified technical and management discipline with set procedures for how requirements get elicited, defined, baselined, and changed. The lunar Gateway human-systems-integration case records the rollout of a formal technical and management process across a multi-organization program, and by doing so it shows the requirements machine gets boiled down to explicit process requirements rather than left to a manager’s discretion</w:t>
      </w:r>
      <w:r>
        <w:t xml:space="preserve"> </w:t>
      </w:r>
      <w:hyperlink w:anchor="ref-1">
        <w:r>
          <w:rPr>
            <w:rStyle w:val="Hyperlink"/>
          </w:rPr>
          <w:t xml:space="preserve">[1]</w:t>
        </w:r>
      </w:hyperlink>
      <w:r>
        <w:t xml:space="preserve">. That codification is what lets the empirical strategy get off the ground at all. A program that clears forty requirement modifications leaves a different organizational fingerprint than a program that clears four, and the print sits in the record exactly because the process is formalized. The modification trail can be audited only because the agency has codified what counts as a requirement, what counts as an approved change, and what governance act writes the change down.</w:t>
      </w:r>
    </w:p>
    <w:p>
      <w:pPr>
        <w:pStyle w:val="BodyText"/>
        <w:spacing w:line="480" w:lineRule="auto"/>
        <w:ind w:firstLine="720"/>
      </w:pPr>
      <w:r>
        <w:t xml:space="preserve">That codification is what the empirical strategy stands on.</w:t>
      </w:r>
    </w:p>
    <w:p>
      <w:pPr>
        <w:pStyle w:val="BodyText"/>
        <w:spacing w:line="480" w:lineRule="auto"/>
        <w:ind w:firstLine="720"/>
      </w:pPr>
      <w:r>
        <w:t xml:space="preserve">The Gateway case earns its keep for a second reason. It shows multi-organization programs bear distinct management loads that single-organization programs do not</w:t>
      </w:r>
      <w:r>
        <w:t xml:space="preserve"> </w:t>
      </w:r>
      <w:hyperlink w:anchor="ref-1">
        <w:r>
          <w:rPr>
            <w:rStyle w:val="Hyperlink"/>
          </w:rPr>
          <w:t xml:space="preserve">[1]</w:t>
        </w:r>
      </w:hyperlink>
      <w:r>
        <w:t xml:space="preserve">. Knitting human-systems requirements together across institutional lines multiplies the coordination load, and the formal process is how the agency answers that load. So the case pulls double duty in the argument. It gives the definitional footing for what counts as an approved requirement modification, and it pushes organizational complexity, the count of contributing centers or partners, forward as a candidate confounder the empirical design has to reckon with. The case is descriptive and prescriptive. It records how the process gets rolled out and argues it should be rolled out that way. It does not put the intensity of modification as a variable, and it does not test that intensity against outcomes.</w:t>
      </w:r>
    </w:p>
    <w:p>
      <w:pPr>
        <w:pStyle w:val="BodyText"/>
        <w:spacing w:line="480" w:lineRule="auto"/>
        <w:ind w:firstLine="720"/>
      </w:pPr>
      <w:r>
        <w:t xml:space="preserve">Concurrent-engineering scholarship shores up the picture of a ripe process discipline. Two decades of putting systems concurrent engineering to space products have banked a store of lessons about how requirements, design, and verification get coordinated across the program lifecycle</w:t>
      </w:r>
      <w:r>
        <w:t xml:space="preserve"> </w:t>
      </w:r>
      <w:hyperlink w:anchor="ref-8">
        <w:r>
          <w:rPr>
            <w:rStyle w:val="Hyperlink"/>
          </w:rPr>
          <w:t xml:space="preserve">[8]</w:t>
        </w:r>
      </w:hyperlink>
      <w:r>
        <w:t xml:space="preserve">. What this literature brings is the recognition that the requirements baseline is no static document but a living thing, squared continually against how the design evolves. The concurrent-engineering tradition treats the requirements baseline as the anchor design maturation gets measured against, and it records the organizational habits that hold that anchor steady</w:t>
      </w:r>
      <w:r>
        <w:t xml:space="preserve"> </w:t>
      </w:r>
      <w:hyperlink w:anchor="ref-8">
        <w:r>
          <w:rPr>
            <w:rStyle w:val="Hyperlink"/>
          </w:rPr>
          <w:t xml:space="preserve">[8]</w:t>
        </w:r>
      </w:hyperlink>
      <w:r>
        <w:t xml:space="preserve">. This is the machine whose failure the dissertation names. The pathology is the failure of any governance node to gather the combined heft of approved modifications back against the first commitment until the money and time have already gone. The concurrent-engineering literature describes the gear that should do that gathering. It does not measure whether, out in practice, the gear fails and leaves a mark in the cost record.</w:t>
      </w:r>
    </w:p>
    <w:p>
      <w:pPr>
        <w:pStyle w:val="BodyText"/>
        <w:spacing w:line="480" w:lineRule="auto"/>
        <w:ind w:firstLine="720"/>
      </w:pPr>
      <w:r>
        <w:t xml:space="preserve">What does this first strand come to? The systems engineering process literature settles the auditability of the modification record without ever putting it to use as evidence. The literature runs rich on how requirements should be governed</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 </w:t>
      </w:r>
      <w:r>
        <w:t xml:space="preserve">and silent on whether the watched intensity of governed modification forecasts baseline departure. The modification stream gets handled as an input to be managed, never as a measurable independent variable whose tie to outcomes can be tested.</w:t>
      </w:r>
    </w:p>
    <w:p>
      <w:pPr>
        <w:pStyle w:val="BodyText"/>
        <w:spacing w:line="480" w:lineRule="auto"/>
        <w:ind w:firstLine="720"/>
      </w:pPr>
      <w:r>
        <w:t xml:space="preserve">This is the first half of the empty spot.</w:t>
      </w:r>
    </w:p>
    <w:bookmarkEnd w:id="67"/>
    <w:bookmarkStart w:id="68" w:name="Xefae947bb00098da54c310695b0a2926a3d60e1"/>
    <w:p>
      <w:pPr>
        <w:pStyle w:val="Heading2"/>
        <w:spacing w:line="480" w:lineRule="auto"/>
      </w:pPr>
      <w:r>
        <w:t xml:space="preserve">2.3 The Domain Technical Literature II: Cost Growth and Cost Estimation</w:t>
      </w:r>
    </w:p>
    <w:p>
      <w:pPr>
        <w:pStyle w:val="FirstParagraph"/>
        <w:spacing w:line="480" w:lineRule="auto"/>
      </w:pPr>
      <w:r>
        <w:t xml:space="preserve">The second pillar is the cost-growth and cost-estimation tradition, the literature most squarely joined to the outcome the dissertation aims to explain. Here the field has thrown off its most rigorous quantitative work, and here the seat of explanation gets fixed most plainly at the commitment moment rather than out in execution.</w:t>
      </w:r>
    </w:p>
    <w:p>
      <w:pPr>
        <w:pStyle w:val="BodyText"/>
        <w:spacing w:line="480" w:lineRule="auto"/>
        <w:ind w:firstLine="720"/>
      </w:pPr>
      <w:r>
        <w:t xml:space="preserve">The joint-program cost-growth literature casts cost growth as a phenomenon with nameable drivers rather than as random noise around a well-set plan. The model of cost growth on jointly executed programs treats the interaction among partly separable subsystems as a maker of growth no single estimate saw coming, seating the causal mechanism in the architectural coupling of subsystems whose requirements get spread across organizations</w:t>
      </w:r>
      <w:r>
        <w:t xml:space="preserve"> </w:t>
      </w:r>
      <w:hyperlink w:anchor="ref-6">
        <w:r>
          <w:rPr>
            <w:rStyle w:val="Hyperlink"/>
          </w:rPr>
          <w:t xml:space="preserve">[6]</w:t>
        </w:r>
      </w:hyperlink>
      <w:r>
        <w:t xml:space="preserve">. This comes closest of the existing literature to the dissertation’s framing, and the nearness is worth pausing on. The joint-program model grants that scope growth is not fully caught by the first estimate and that it wells up from the program’s structure rather than from one forecasting slip. Yet the model treats the growth as a trait of the architecture and the joint setup, not as a trait of the modification-approval machine. It explains why coupled programs grow. It does not test whether the watchable intensity of approved modification holds information about that growth once the architectural and maturity conditions are pinned down.</w:t>
      </w:r>
    </w:p>
    <w:p>
      <w:pPr>
        <w:pStyle w:val="BodyText"/>
        <w:spacing w:line="480" w:lineRule="auto"/>
        <w:ind w:firstLine="720"/>
      </w:pPr>
      <w:r>
        <w:t xml:space="preserve">The model is a theory of the mechanism, not a measurement of the modification stream’s mark.</w:t>
      </w:r>
    </w:p>
    <w:p>
      <w:pPr>
        <w:pStyle w:val="BodyText"/>
        <w:spacing w:line="480" w:lineRule="auto"/>
        <w:ind w:firstLine="720"/>
      </w:pPr>
      <w:r>
        <w:t xml:space="preserve">Parametric cost estimation is the field’s workhorse, and it is the plainest voice of the commitment-seated causal footing. Parametric estimation treats development cost as a learnable function of design and maturity parameters locked near the concept stage, with mass historically the most durable cost driver</w:t>
      </w:r>
      <w:r>
        <w:t xml:space="preserve"> </w:t>
      </w:r>
      <w:hyperlink w:anchor="ref-14">
        <w:r>
          <w:rPr>
            <w:rStyle w:val="Hyperlink"/>
          </w:rPr>
          <w:t xml:space="preserve">[14]</w:t>
        </w:r>
      </w:hyperlink>
      <w:r>
        <w:t xml:space="preserve">. The blind validation study of a parametric estimation tool against NASA projects shows both the ripeness of the practice and its ceilings. The tool forecasts cost from physical and programmatic scope drivers set early, which is just the footing that parks the causal action at commitment rather than out in execution</w:t>
      </w:r>
      <w:r>
        <w:t xml:space="preserve"> </w:t>
      </w:r>
      <w:hyperlink w:anchor="ref-14">
        <w:r>
          <w:rPr>
            <w:rStyle w:val="Hyperlink"/>
          </w:rPr>
          <w:t xml:space="preserve">[14]</w:t>
        </w:r>
      </w:hyperlink>
      <w:r>
        <w:t xml:space="preserve">. The parametric tradition reaches past the agency’s own projects. The cost-prediction model for future civil hypersonic aircraft runs the same logic, treating research, development, and production cost as a parametric function of design parameters locked near the concept stage</w:t>
      </w:r>
      <w:r>
        <w:t xml:space="preserve"> </w:t>
      </w:r>
      <w:hyperlink w:anchor="ref-7">
        <w:r>
          <w:rPr>
            <w:rStyle w:val="Hyperlink"/>
          </w:rPr>
          <w:t xml:space="preserve">[7]</w:t>
        </w:r>
      </w:hyperlink>
      <w:r>
        <w:t xml:space="preserve">. The premise shared across this tradition is that cost is settled at the start. Had the estimate come out right, the program would have run to plan. Overrun therefore reads as a forecasting slip. The dissertation does not deny that forecasting slips are real. It notes only that the parametric tradition leaves no room in its model for the execution-phase modification stream as a driver in its own right. The parametric account treats everything after commitment as one locked first estimate playing out, which is exactly the causal footing the dissertation disputes.</w:t>
      </w:r>
    </w:p>
    <w:p>
      <w:pPr>
        <w:pStyle w:val="BodyText"/>
        <w:spacing w:line="480" w:lineRule="auto"/>
        <w:ind w:firstLine="720"/>
      </w:pPr>
      <w:r>
        <w:t xml:space="preserve">The practitioner record on cost discipline shores up this commitment-seated footing. Some programs do hold their baselines. The historical reconciliation of baseline-to-actual development cost across two decades of missions settles that programs can and now and then do run inside budget, and it treats budget discipline as a function of program-level management rather than of physical scale</w:t>
      </w:r>
      <w:r>
        <w:t xml:space="preserve"> </w:t>
      </w:r>
      <w:hyperlink w:anchor="ref-17">
        <w:r>
          <w:rPr>
            <w:rStyle w:val="Hyperlink"/>
          </w:rPr>
          <w:t xml:space="preserve">[17]</w:t>
        </w:r>
      </w:hyperlink>
      <w:r>
        <w:t xml:space="preserve">. What this practitioner literature brings is to make the baseline-to-outcome comparison auditable rather than anecdotal, the same fidelity the dissertation’s dependent variable calls for. Yet the practitioner record frames cost discipline as a matter of management culture told case by case, not as a variable to be gauged across a population and tested against rivals.</w:t>
      </w:r>
    </w:p>
    <w:p>
      <w:pPr>
        <w:pStyle w:val="BodyText"/>
        <w:spacing w:line="480" w:lineRule="auto"/>
        <w:ind w:firstLine="720"/>
      </w:pPr>
      <w:r>
        <w:t xml:space="preserve">Put it together and the cost literature has cast the outcome and theorized its drivers while fixing the causal seat at the estimate. The joint-program model comes nearest to the dissertation’s framing by granting architecturally made growth</w:t>
      </w:r>
      <w:r>
        <w:t xml:space="preserve"> </w:t>
      </w:r>
      <w:hyperlink w:anchor="ref-6">
        <w:r>
          <w:rPr>
            <w:rStyle w:val="Hyperlink"/>
          </w:rPr>
          <w:t xml:space="preserve">[6]</w:t>
        </w:r>
      </w:hyperlink>
      <w:r>
        <w:t xml:space="preserve">, and the parametric tradition is plainest in seating causation at commitment</w:t>
      </w:r>
      <w:r>
        <w:t xml:space="preserve"> </w:t>
      </w:r>
      <w:hyperlink w:anchor="ref-7">
        <w:r>
          <w:rPr>
            <w:rStyle w:val="Hyperlink"/>
          </w:rPr>
          <w:t xml:space="preserve">[7]</w:t>
        </w:r>
      </w:hyperlink>
      <w:r>
        <w:t xml:space="preserve">,</w:t>
      </w:r>
      <w:r>
        <w:t xml:space="preserve"> </w:t>
      </w:r>
      <w:hyperlink w:anchor="ref-14">
        <w:r>
          <w:rPr>
            <w:rStyle w:val="Hyperlink"/>
          </w:rPr>
          <w:t xml:space="preserve">[14]</w:t>
        </w:r>
      </w:hyperlink>
      <w:r>
        <w:t xml:space="preserve">. None of this work puts the execution-phase modification stream as a measurable independent variable. The cost literature explains overruns by pointing to what was known or estimable at the start, and it does not measure what piled up during execution. This is the second half of the empty spot.</w:t>
      </w:r>
    </w:p>
    <w:bookmarkEnd w:id="68"/>
    <w:bookmarkStart w:id="69" w:name="X2c67c7d178c98b3fcd92f13cf1824deddb3b9b1"/>
    <w:p>
      <w:pPr>
        <w:pStyle w:val="Heading2"/>
        <w:spacing w:line="480" w:lineRule="auto"/>
      </w:pPr>
      <w:r>
        <w:t xml:space="preserve">2.4 The Domain Technical Literature III: Maturity, Governance, and the Audit Record</w:t>
      </w:r>
    </w:p>
    <w:p>
      <w:pPr>
        <w:pStyle w:val="FirstParagraph"/>
        <w:spacing w:line="480" w:lineRule="auto"/>
      </w:pPr>
      <w:r>
        <w:t xml:space="preserve">The third pillar gathers three strands: the maturity instrument, the governance and partnership literature, and the oversight audit record. Between them they hand over the control variables, the candidate confounders, and the data infrastructure any quantitative treatment of the dissertation’s question has to rest on.</w:t>
      </w:r>
    </w:p>
    <w:p>
      <w:pPr>
        <w:pStyle w:val="BodyText"/>
        <w:spacing w:line="480" w:lineRule="auto"/>
        <w:ind w:firstLine="720"/>
      </w:pPr>
      <w:r>
        <w:t xml:space="preserve">Begin with the maturity instrument, the usual yardstick program elements get reviewed against. It is a control in waiting. Technology readiness is the standard agency gauge for the intrinsic difficulty of a program’s critical technologies, and it is the outside-rated control the dissertation’s design brings in to soak up the most believable rival story. A program whose critical technology elements sit at low readiness at commitment is hard in just the way that ought to breed both heavier modification and a larger overrun, and the readiness gauge is the usual way of rating that difficulty. The maturity literature runs descriptive and prescriptive about how readiness should be rated. It does not put modification intensity as a variable to be tested against the readiness rating. The dissertation’s central empirical move is to condition on the readiness gauge and ask whether the modification signal rides it out, a question the maturity literature itself never puts.</w:t>
      </w:r>
    </w:p>
    <w:p>
      <w:pPr>
        <w:pStyle w:val="BodyText"/>
        <w:spacing w:line="480" w:lineRule="auto"/>
        <w:ind w:firstLine="720"/>
      </w:pPr>
      <w:r>
        <w:t xml:space="preserve">Governance scholarship frames the partnership and complexity conditions under which scope grows. The sector’s drift from legacy single-agency programs toward partnership-heavy architectures has been recorded as a shift in governance structure, with requirements authority spread more and more across institutions that do not share one chain of command</w:t>
      </w:r>
      <w:r>
        <w:t xml:space="preserve"> </w:t>
      </w:r>
      <w:hyperlink w:anchor="ref-16">
        <w:r>
          <w:rPr>
            <w:rStyle w:val="Hyperlink"/>
          </w:rPr>
          <w:t xml:space="preserve">[16]</w:t>
        </w:r>
      </w:hyperlink>
      <w:r>
        <w:t xml:space="preserve">. The governance account frames that spread as the friction of many-principal arrangements, a friction that has grown as the sector moved from legacy space to new space</w:t>
      </w:r>
      <w:r>
        <w:t xml:space="preserve"> </w:t>
      </w:r>
      <w:hyperlink w:anchor="ref-16">
        <w:r>
          <w:rPr>
            <w:rStyle w:val="Hyperlink"/>
          </w:rPr>
          <w:t xml:space="preserve">[16]</w:t>
        </w:r>
      </w:hyperlink>
      <w:r>
        <w:t xml:space="preserve">. The parallel literature on commercialization records the same shift from the supply side, charting how the commercial space ambition ripened into operational reality and reshaped the institutional ground major programs run on</w:t>
      </w:r>
      <w:r>
        <w:t xml:space="preserve"> </w:t>
      </w:r>
      <w:hyperlink w:anchor="ref-15">
        <w:r>
          <w:rPr>
            <w:rStyle w:val="Hyperlink"/>
          </w:rPr>
          <w:t xml:space="preserve">[15]</w:t>
        </w:r>
      </w:hyperlink>
      <w:r>
        <w:t xml:space="preserve">. The micro-foundations literature stretches the governance frame down to the level of strategic posture, telling getting things done from doing the right things in product-service strategies, a distinction that bears straight on whether a program’s modification choices run locally sensible yet cumulatively pathological</w:t>
      </w:r>
      <w:r>
        <w:t xml:space="preserve"> </w:t>
      </w:r>
      <w:hyperlink w:anchor="ref-28">
        <w:r>
          <w:rPr>
            <w:rStyle w:val="Hyperlink"/>
          </w:rPr>
          <w:t xml:space="preserve">[28]</w:t>
        </w:r>
      </w:hyperlink>
      <w:r>
        <w:t xml:space="preserve">. This governance literature counts for the dissertation because it marks organizational complexity as the confounder the empirical design has to reckon with, and it grants the theoretical license to bring a complexity proxy in as a robustness control. Yet the governance literature runs conceptual and historical. It sketches the conditions under which coordination load climbs. It does not measure whether the modification stream those conditions make forecasts cost growth.</w:t>
      </w:r>
    </w:p>
    <w:p>
      <w:pPr>
        <w:pStyle w:val="BodyText"/>
        <w:spacing w:line="480" w:lineRule="auto"/>
        <w:ind w:firstLine="720"/>
      </w:pPr>
      <w:r>
        <w:t xml:space="preserve">Risk management rounds out the picture of the machine. The human-system risk mitigation process for space exploration treats program risk as a managed quantity with set assessment procedures, showing risk, like requirements and maturity, gets boiled down to formal procedure inside agency practice</w:t>
      </w:r>
      <w:r>
        <w:t xml:space="preserve"> </w:t>
      </w:r>
      <w:hyperlink w:anchor="ref-5">
        <w:r>
          <w:rPr>
            <w:rStyle w:val="Hyperlink"/>
          </w:rPr>
          <w:t xml:space="preserve">[5]</w:t>
        </w:r>
      </w:hyperlink>
      <w:r>
        <w:t xml:space="preserve">. The risk literature runs prescriptive about how risk should be assessed and managed. It does not test whether the intensity of any execution-phase process holds information about outcomes.</w:t>
      </w:r>
    </w:p>
    <w:p>
      <w:pPr>
        <w:pStyle w:val="BodyText"/>
        <w:spacing w:line="480" w:lineRule="auto"/>
        <w:ind w:firstLine="720"/>
      </w:pPr>
      <w:r>
        <w:t xml:space="preserve">The audit record is the data infrastructure the dissertation leans on, and it is the strand of the domain literature that most plainly settles the analyzability of the baseline object. The oversight institution’s recurring assessments of major projects gather, project by covered project, the committed baseline cost and schedule, the current estimate at each reporting cycle, and the development phase, published yearly as a public record</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8">
        <w:r>
          <w:rPr>
            <w:rStyle w:val="Hyperlink"/>
          </w:rPr>
          <w:t xml:space="preserve">[18]</w:t>
        </w:r>
      </w:hyperlink>
      <w:r>
        <w:t xml:space="preserve">. These assessments make baseline-to-outcome comparison auditable rather than anecdotal, and they are the well the dissertation’s dependent variable, proportional cost growth against the committed baseline, gets drawn straight out of.</w:t>
      </w:r>
    </w:p>
    <w:p>
      <w:pPr>
        <w:pStyle w:val="BodyText"/>
        <w:spacing w:line="480" w:lineRule="auto"/>
        <w:ind w:firstLine="720"/>
      </w:pPr>
      <w:r>
        <w:t xml:space="preserve">Project-level inspector audits add grain at the level of individual programs, recording the replan history and the piled-up cost growth of specific projects. The Dragonfly audit sets down a life-cycle cost that climbed across four documented replans</w:t>
      </w:r>
      <w:r>
        <w:t xml:space="preserve"> </w:t>
      </w:r>
      <w:hyperlink w:anchor="ref-11">
        <w:r>
          <w:rPr>
            <w:rStyle w:val="Hyperlink"/>
          </w:rPr>
          <w:t xml:space="preserve">[11]</w:t>
        </w:r>
      </w:hyperlink>
      <w:r>
        <w:t xml:space="preserve">, and the Roman Space Telescope audit sets down the project’s baseline path in like detail</w:t>
      </w:r>
      <w:r>
        <w:t xml:space="preserve"> </w:t>
      </w:r>
      <w:hyperlink w:anchor="ref-12">
        <w:r>
          <w:rPr>
            <w:rStyle w:val="Hyperlink"/>
          </w:rPr>
          <w:t xml:space="preserve">[12]</w:t>
        </w:r>
      </w:hyperlink>
      <w:r>
        <w:t xml:space="preserve">. The technical-challenge reviews of individual flagship projects, such as the review of the schedule strain on the James Webb Space Telescope, set down the mechanism by which technical difficulty turns into schedule and cost pressure</w:t>
      </w:r>
      <w:r>
        <w:t xml:space="preserve"> </w:t>
      </w:r>
      <w:hyperlink w:anchor="ref-19">
        <w:r>
          <w:rPr>
            <w:rStyle w:val="Hyperlink"/>
          </w:rPr>
          <w:t xml:space="preserve">[19]</w:t>
        </w:r>
      </w:hyperlink>
      <w:r>
        <w:t xml:space="preserve">. The per-mission cost compilations kept by the practitioner community hand over baseline-to-actual figures for the science missions</w:t>
      </w:r>
      <w:r>
        <w:t xml:space="preserve"> </w:t>
      </w:r>
      <w:hyperlink w:anchor="ref-13">
        <w:r>
          <w:rPr>
            <w:rStyle w:val="Hyperlink"/>
          </w:rPr>
          <w:t xml:space="preserve">[13]</w:t>
        </w:r>
      </w:hyperlink>
      <w:r>
        <w:t xml:space="preserve">. This audit literature is the dissertation’s empirical footing, and it runs purely descriptive. It records baselines, current estimates, and replan counts. It does not work the replan count as an independent variable that forecasts cost growth.</w:t>
      </w:r>
    </w:p>
    <w:p>
      <w:pPr>
        <w:pStyle w:val="BodyText"/>
        <w:spacing w:line="480" w:lineRule="auto"/>
        <w:ind w:firstLine="720"/>
      </w:pPr>
      <w:r>
        <w:t xml:space="preserve">Maturity, governance, and audit literatures thus hand over, in order, the control variable, the candidate confounders, and the data infrastructure for a quantitative treatment. None of them does that treatment. The maturity gauge is a control waiting to be conditioned on. The governance literature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28">
        <w:r>
          <w:rPr>
            <w:rStyle w:val="Hyperlink"/>
          </w:rPr>
          <w:t xml:space="preserve">[28]</w:t>
        </w:r>
      </w:hyperlink>
      <w:r>
        <w:t xml:space="preserve"> </w:t>
      </w:r>
      <w:r>
        <w:t xml:space="preserve">marks complexity as a confounder waiting to be brought in. The audit record</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 </w:t>
      </w:r>
      <w:r>
        <w:t xml:space="preserve">sets the modification trail and the cost outcome down side by side without ever regressing one on the other. The pieces are gathered; the analysis is undone.</w:t>
      </w:r>
    </w:p>
    <w:bookmarkEnd w:id="69"/>
    <w:bookmarkStart w:id="70" w:name="X07fe73e594277fc276c6392b9242153367417e1"/>
    <w:p>
      <w:pPr>
        <w:pStyle w:val="Heading2"/>
        <w:spacing w:line="480" w:lineRule="auto"/>
      </w:pPr>
      <w:r>
        <w:t xml:space="preserve">2.5 The Cliometric and Econometric Methodology Literature</w:t>
      </w:r>
    </w:p>
    <w:p>
      <w:pPr>
        <w:pStyle w:val="FirstParagraph"/>
        <w:spacing w:line="480" w:lineRule="auto"/>
      </w:pPr>
      <w:r>
        <w:t xml:space="preserve">Cliometrics and applied econometrics make up the second body of scholarship the dissertation leans on, walked here not for its substance but for the analytic footing it hands over. The domain literature, as the sections before this have shown, runs descriptive and prescriptive. It records how the machine works and argues how it should work. The methodological literature hands over the opposite footing: it treats an institutional or historical record as a population of observations from which a latent organizational condition can be cashed out as a measurable variable and tested against rivals by conditioning rather than by storytelling.</w:t>
      </w:r>
    </w:p>
    <w:p>
      <w:pPr>
        <w:pStyle w:val="BodyText"/>
        <w:spacing w:line="480" w:lineRule="auto"/>
        <w:ind w:firstLine="720"/>
      </w:pPr>
      <w:r>
        <w:t xml:space="preserve">The cliometric tradition’s founding move is to take a record that has been read narratively, case by case, and recast it as a structured population fit for quantitative inference. Section 2.4 walked exactly such a record. The recurring major-project assessments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8">
        <w:r>
          <w:rPr>
            <w:rStyle w:val="Hyperlink"/>
          </w:rPr>
          <w:t xml:space="preserve">[18]</w:t>
        </w:r>
      </w:hyperlink>
      <w:r>
        <w:t xml:space="preserve"> </w:t>
      </w:r>
      <w:r>
        <w:t xml:space="preserve">and the project-level audits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w:t>
      </w:r>
      <w:r>
        <w:t xml:space="preserve">have been read by the oversight institutions and the practitioner community as a run of individual cases, each program’s overrun told against its own circumstances. The cliometric footing recasts that run as a cross-program population in which proportional cost growth is a dependent variable, modification intensity is an independent variable, and commitment-stage maturity is a control. This recasting is the methodological contribution the dissertation borrows, and it is exactly what the domain literature has never done with the baseline record.</w:t>
      </w:r>
    </w:p>
    <w:p>
      <w:pPr>
        <w:pStyle w:val="BodyText"/>
        <w:spacing w:line="480" w:lineRule="auto"/>
        <w:ind w:firstLine="720"/>
      </w:pPr>
      <w:r>
        <w:t xml:space="preserve">Settling rival explanations under non-experimental conditions is the econometric piece of the footing. Because modification intensity is not handed out at random, the central inferential threat is confounding. Programs that clear many modifications may do so out of sheer intrinsic difficulty, and that difficulty would push both modification count and cost growth. The econometric answer is to condition on the most believable confounder rather than leave it in the error term. The maturity gauge walked in Section 2.4 is the outside-rated measure of intrinsic difficulty, and the econometric design brings it in as a control so the leading rival story gets soaked into the model. The telling quantity under this footing is not one coefficient but how steady the coefficient holds across the control’s inclusion and exclusion. The gap between the unconditional and conditional modification coefficients gauges how much of the raw scope-growth signal the maturity story soaks up. This comparison is the methodological heart of the dissertation. The domain literature holds no counterpart to it, because the domain literature never puts the two explanations as rival regressors fighting over the same variance.</w:t>
      </w:r>
    </w:p>
    <w:p>
      <w:pPr>
        <w:pStyle w:val="BodyText"/>
        <w:spacing w:line="480" w:lineRule="auto"/>
        <w:ind w:firstLine="720"/>
      </w:pPr>
      <w:r>
        <w:t xml:space="preserve">The methodological literature also hands over the discipline of the falsifiable null. Nulls have to be able to win. The cliometric and econometric tradition insists a study be built so a null result is a clean defeat rather than a measurement quirk. In the dissertation’s terms, if the conditional modification coefficient tells apart from zero not at all, the organizational-pathology framing goes down cleanly and the estimation-and-maturity account holds, with no auxiliary hypothesis to fall back on. This insistence on one sharp, falsifiable pivot is a methodological pledge, not a domain pledge. The domain literature, being descriptive and prescriptive, holds no falsification structure. It cannot be overturned by a regression because it never rests a claim on a coefficient. The methodological literature hands over exactly the structure that turns a diagnostic hunch about organizational pathology into a testable proposition.</w:t>
      </w:r>
    </w:p>
    <w:p>
      <w:pPr>
        <w:pStyle w:val="BodyText"/>
        <w:spacing w:line="480" w:lineRule="auto"/>
        <w:ind w:firstLine="720"/>
      </w:pPr>
      <w:r>
        <w:t xml:space="preserve">Nulls that cannot lose are not tests.</w:t>
      </w:r>
    </w:p>
    <w:p>
      <w:pPr>
        <w:pStyle w:val="BodyText"/>
        <w:spacing w:line="480" w:lineRule="auto"/>
        <w:ind w:firstLine="720"/>
      </w:pPr>
      <w:r>
        <w:t xml:space="preserve">Finally, the methodological footing hands over the robustness apparatus that shields inference from the oddities of a small, skewed institutional record. The record is small and skewed. The audit population runs to a few dozen major projects with a right-skewed outcome distribution a handful of enormous overruns dominate, a shape recorded in the cost record itself. The econometric tradition’s answers, heteroskedasticity-robust standard errors, leave-one-out resampling to test whether a few pathological programs drive the result, and severity-weighted alternatives to the count of the independent variable, are the moves that make inference from such a record defensible. These are methodological imports with no match in the domain literature, which sets the extreme programs down as individual cases rather than as high-leverage observations whose sway over a fitted coefficient has to be gauged.</w:t>
      </w:r>
    </w:p>
    <w:p>
      <w:pPr>
        <w:pStyle w:val="BodyText"/>
        <w:spacing w:line="480" w:lineRule="auto"/>
        <w:ind w:firstLine="720"/>
      </w:pPr>
      <w:r>
        <w:t xml:space="preserve">In sum, the cliometric and econometric literature hands over the analytic footing, the conditioning move, the falsification structure, and the robustness apparatus the domain literature lacks. The methodological literature is, in this sense, the missing operating system for the domain literature’s gathered pieces. It is the half of the join the domain literature cannot supply from within itself.</w:t>
      </w:r>
    </w:p>
    <w:bookmarkEnd w:id="70"/>
    <w:bookmarkStart w:id="71" w:name="synthesis-and-the-gap"/>
    <w:p>
      <w:pPr>
        <w:pStyle w:val="Heading2"/>
        <w:spacing w:line="480" w:lineRule="auto"/>
      </w:pPr>
      <w:r>
        <w:t xml:space="preserve">2.6 Synthesis and the Gap</w:t>
      </w:r>
    </w:p>
    <w:p>
      <w:pPr>
        <w:pStyle w:val="FirstParagraph"/>
        <w:spacing w:line="480" w:lineRule="auto"/>
      </w:pPr>
      <w:r>
        <w:t xml:space="preserve">Two literatures, walked in this chapter, have grown up in parallel and have never been joined on the dissertation’s question. The domain technical literature has recorded every piece the dissertation needs. The systems engineering process literature has codified the requirements machine and made the modification trail auditable</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 The cost literature has cast the outcome, theorized its architecturally made drivers, and fixed the causal seat at the estimate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4">
        <w:r>
          <w:rPr>
            <w:rStyle w:val="Hyperlink"/>
          </w:rPr>
          <w:t xml:space="preserve">[14]</w:t>
        </w:r>
      </w:hyperlink>
      <w:r>
        <w:t xml:space="preserve">,</w:t>
      </w:r>
      <w:r>
        <w:t xml:space="preserve"> </w:t>
      </w:r>
      <w:hyperlink w:anchor="ref-17">
        <w:r>
          <w:rPr>
            <w:rStyle w:val="Hyperlink"/>
          </w:rPr>
          <w:t xml:space="preserve">[17]</w:t>
        </w:r>
      </w:hyperlink>
      <w:r>
        <w:t xml:space="preserve">. The maturity literature has handed over the usual difficulty gauge. The governance literature has marked organizational complexity and the legacy-to-new-space shift as the conditions under which coordination load and scope dependency climb</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28">
        <w:r>
          <w:rPr>
            <w:rStyle w:val="Hyperlink"/>
          </w:rPr>
          <w:t xml:space="preserve">[28]</w:t>
        </w:r>
      </w:hyperlink>
      <w:r>
        <w:t xml:space="preserve">. The risk literature has shown program risk gets boiled down to formal procedure</w:t>
      </w:r>
      <w:r>
        <w:t xml:space="preserve"> </w:t>
      </w:r>
      <w:hyperlink w:anchor="ref-5">
        <w:r>
          <w:rPr>
            <w:rStyle w:val="Hyperlink"/>
          </w:rPr>
          <w:t xml:space="preserve">[5]</w:t>
        </w:r>
      </w:hyperlink>
      <w:r>
        <w:t xml:space="preserve">. The audit record has gathered the baseline, the current estimate, and the replan history into a recurring, auditable, public object</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 Each of these is a piece of the machine. Each has been studied in a descriptive or prescriptive register that records how the machine works or argues how it should work.</w:t>
      </w:r>
    </w:p>
    <w:p>
      <w:pPr>
        <w:pStyle w:val="BodyText"/>
        <w:spacing w:line="480" w:lineRule="auto"/>
        <w:ind w:firstLine="720"/>
      </w:pPr>
      <w:r>
        <w:t xml:space="preserve">What the domain literature has not done, alone or together, is put the requirement-modification stream during execution as a measurable independent variable whose tie to baseline departure can be tested against the competing maturity story. The gap is footing, not pieces. The existing treatments run descriptive or prescriptive about how requirements should be managed</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 how cost should be forecast</w:t>
      </w:r>
      <w:r>
        <w:t xml:space="preserve"> </w:t>
      </w:r>
      <w:hyperlink w:anchor="ref-7">
        <w:r>
          <w:rPr>
            <w:rStyle w:val="Hyperlink"/>
          </w:rPr>
          <w:t xml:space="preserve">[7]</w:t>
        </w:r>
      </w:hyperlink>
      <w:r>
        <w:t xml:space="preserve">,</w:t>
      </w:r>
      <w:r>
        <w:t xml:space="preserve"> </w:t>
      </w:r>
      <w:hyperlink w:anchor="ref-14">
        <w:r>
          <w:rPr>
            <w:rStyle w:val="Hyperlink"/>
          </w:rPr>
          <w:t xml:space="preserve">[14]</w:t>
        </w:r>
      </w:hyperlink>
      <w:r>
        <w:t xml:space="preserve">, how maturity should be rated, how risk should be assessed</w:t>
      </w:r>
      <w:r>
        <w:t xml:space="preserve"> </w:t>
      </w:r>
      <w:hyperlink w:anchor="ref-5">
        <w:r>
          <w:rPr>
            <w:rStyle w:val="Hyperlink"/>
          </w:rPr>
          <w:t xml:space="preserve">[5]</w:t>
        </w:r>
      </w:hyperlink>
      <w:r>
        <w:t xml:space="preserve">, and how the baseline should be audited</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They do not settle between the estimation-and-maturity account and the organizational-pathology account, because settling calls for the methodological footing the domain literature does not hold. The closest the domain record comes is the joint-program model’s granting that scope growth is architecturally made rather than fully estimable</w:t>
      </w:r>
      <w:r>
        <w:t xml:space="preserve"> </w:t>
      </w:r>
      <w:hyperlink w:anchor="ref-6">
        <w:r>
          <w:rPr>
            <w:rStyle w:val="Hyperlink"/>
          </w:rPr>
          <w:t xml:space="preserve">[6]</w:t>
        </w:r>
      </w:hyperlink>
      <w:r>
        <w:t xml:space="preserve">, and the audit record’s setting down that baselines and replans get tracked side by side with the cost outcome</w:t>
      </w:r>
      <w:r>
        <w:t xml:space="preserve"> </w:t>
      </w:r>
      <w:hyperlink w:anchor="ref-9">
        <w:r>
          <w:rPr>
            <w:rStyle w:val="Hyperlink"/>
          </w:rPr>
          <w:t xml:space="preserve">[9]</w:t>
        </w:r>
      </w:hyperlink>
      <w:r>
        <w:t xml:space="preserve">,</w:t>
      </w:r>
      <w:r>
        <w:t xml:space="preserve"> </w:t>
      </w:r>
      <w:hyperlink w:anchor="ref-11">
        <w:r>
          <w:rPr>
            <w:rStyle w:val="Hyperlink"/>
          </w:rPr>
          <w:t xml:space="preserve">[11]</w:t>
        </w:r>
      </w:hyperlink>
      <w:r>
        <w:t xml:space="preserve">. The first stops short of measuring the modification stream’s mark. The second sets down the inputs to such a measurement without doing it.</w:t>
      </w:r>
    </w:p>
    <w:p>
      <w:pPr>
        <w:pStyle w:val="BodyText"/>
        <w:spacing w:line="480" w:lineRule="auto"/>
        <w:ind w:firstLine="720"/>
      </w:pPr>
      <w:r>
        <w:t xml:space="preserve">The methodological literature hands over what the domain literature holds back. It recasts the audit record from a run of told cases into a cross-program population</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8">
        <w:r>
          <w:rPr>
            <w:rStyle w:val="Hyperlink"/>
          </w:rPr>
          <w:t xml:space="preserve">[18]</w:t>
        </w:r>
      </w:hyperlink>
      <w:r>
        <w:t xml:space="preserve">. It hands over the conditioning move that soaks up the maturity confounder and the coefficient-stability comparison that gauges how much of the scope-growth signal the maturity story soaks up. It hands over the falsification structure that rests the contribution on one conditional coefficient. And it hands over the robustness apparatus that defends inference from a small, skewed record enormous overruns dominate. The two literatures are complementary in the strongest sense. The domain literature holds the pieces and the data. The methodological literature holds the analytic footing. Neither alone can settle the dissertation’s question.</w:t>
      </w:r>
    </w:p>
    <w:p>
      <w:pPr>
        <w:pStyle w:val="BodyText"/>
        <w:spacing w:line="480" w:lineRule="auto"/>
        <w:ind w:firstLine="720"/>
      </w:pPr>
      <w:r>
        <w:t xml:space="preserve">This dissertation moves into the join itself. The contribution is to take the modification record the systems engineering process literature has made auditable</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 treat it as the cross-program population the methodological literature knows how to work, and test whether the intensity of approved modification forecasts proportional cost growth against the committed baseline once commitment-stage technology readiness is held fixed. If the conditional association runs positive and steady across the maturity control’s inclusion, the modification stream holds information the cost-estimation tradition’s commitment-seated footing does not supply</w:t>
      </w:r>
      <w:r>
        <w:t xml:space="preserve"> </w:t>
      </w:r>
      <w:hyperlink w:anchor="ref-7">
        <w:r>
          <w:rPr>
            <w:rStyle w:val="Hyperlink"/>
          </w:rPr>
          <w:t xml:space="preserve">[7]</w:t>
        </w:r>
      </w:hyperlink>
      <w:r>
        <w:t xml:space="preserve">,</w:t>
      </w:r>
      <w:r>
        <w:t xml:space="preserve"> </w:t>
      </w:r>
      <w:hyperlink w:anchor="ref-14">
        <w:r>
          <w:rPr>
            <w:rStyle w:val="Hyperlink"/>
          </w:rPr>
          <w:t xml:space="preserve">[14]</w:t>
        </w:r>
      </w:hyperlink>
      <w:r>
        <w:t xml:space="preserve">, and the organizational-pathology framing earns its place. If the conditional coefficient reads null, the maturity-and-estimation account holds and the framing goes down cleanly. Either way, the dissertation does the settling the domain literature gathered the pieces for but never carried out, using the methodological footing the cliometric and econometric tradition supplies but has never before turned on the space-program baseline record. The empty spot is exact, and it is the empty spot the remaining chapters fill.</w:t>
      </w:r>
    </w:p>
    <w:bookmarkEnd w:id="71"/>
    <w:bookmarkEnd w:id="72"/>
    <w:bookmarkStart w:id="79" w:name="Xcfcc00a3ded59aed0c781c16bfc121f2a509603"/>
    <w:p>
      <w:pPr>
        <w:pStyle w:val="Heading1"/>
        <w:spacing w:line="480" w:lineRule="auto"/>
      </w:pPr>
      <w:r>
        <w:t xml:space="preserve">Chapter 3. Theoretical Framework and Hypotheses</w:t>
      </w:r>
    </w:p>
    <w:bookmarkStart w:id="73" w:name="purpose-and-scope-of-the-chapter"/>
    <w:p>
      <w:pPr>
        <w:pStyle w:val="Heading2"/>
        <w:spacing w:line="480" w:lineRule="auto"/>
      </w:pPr>
      <w:r>
        <w:t xml:space="preserve">3.1 Purpose and Scope of the Chapter</w:t>
      </w:r>
    </w:p>
    <w:p>
      <w:pPr>
        <w:pStyle w:val="FirstParagraph"/>
        <w:spacing w:line="480" w:lineRule="auto"/>
      </w:pPr>
      <w:r>
        <w:t xml:space="preserve">Two points were settled in the earlier chapters. Big space programs walk away from the cost and schedule they committed to, and they do it on a scale large enough to register in the federal ledger; and the received explanation blames one moment of forecasting. The job of this chapter is to turn that pair of observations into something a regression can test. I spell out the mechanism through which requirements creep works, lay out the causal reasoning that pulls an organizational-pathology story apart from an estimation-and-maturity story, and compress the whole distinction into one falsifiable pair, H0 and H1. Everything hinges on sharpness. I hold the chapter strictly to theory and hypothesis; the data, the estimator, and the identification argument wait for the chapter after this. The one thing this chapter owes the reader is a claim honed finely enough that a null answer counts as a real defeat and not as the fuzziness of an ill-defined construct.</w:t>
      </w:r>
    </w:p>
    <w:p>
      <w:pPr>
        <w:pStyle w:val="BodyText"/>
        <w:spacing w:line="480" w:lineRule="auto"/>
        <w:ind w:firstLine="720"/>
      </w:pPr>
      <w:r>
        <w:t xml:space="preserve">The argument runs in five moves. Section 3.2 gives the pathology its name and sets it against the competing stories it has to defeat. Section 3.3 pins down the organizational mechanism, the apparatus that approves modifications, and shows why it scratches a measurable mark into the baseline record. Section 3.4 works through the causal reasoning, including the part the technology-maturity control plays as the strongest competing story, the one the design has to soak up rather than wave away. Section 3.5 lays out the formal hypotheses and the coefficient comparison the whole contribution rides on. Section 3.6 finishes by drawing out the side predictions a believable test of the mechanism ought to meet as well, so the hypotheses live inside a coherent theoretical frame instead of hanging in the air.</w:t>
      </w:r>
    </w:p>
    <w:bookmarkEnd w:id="73"/>
    <w:bookmarkStart w:id="74" w:name="the-pathology-and-its-rivals"/>
    <w:p>
      <w:pPr>
        <w:pStyle w:val="Heading2"/>
        <w:spacing w:line="480" w:lineRule="auto"/>
      </w:pPr>
      <w:r>
        <w:t xml:space="preserve">3.2 The Pathology and Its Rivals</w:t>
      </w:r>
    </w:p>
    <w:p>
      <w:pPr>
        <w:pStyle w:val="FirstParagraph"/>
        <w:spacing w:line="480" w:lineRule="auto"/>
      </w:pPr>
      <w:r>
        <w:t xml:space="preserve">Requirements creep is scope piling onto a program bit by bit after its requirements were fixed at baseline. What this dissertation does is read creep not as one discrete slip in planning but as a lasting institutional condition, a pathology that keeps returning across programs, agencies, and decades no matter how often reform is attempted. The difference carries weight beyond wording. A forecasting slip belongs to one document written at one instant. An institutional pathology belongs to a standing machine that keeps running the whole length of a program’s life. The two readings point to unlike remedies, unlike things to observe, and unlike tests. Keeping them separate is the load the entire theoretical contribution carries.</w:t>
      </w:r>
    </w:p>
    <w:p>
      <w:pPr>
        <w:pStyle w:val="BodyText"/>
        <w:spacing w:line="480" w:lineRule="auto"/>
        <w:ind w:firstLine="720"/>
      </w:pPr>
      <w:r>
        <w:t xml:space="preserve">Three competing stories rival the pathology reading. The theory has to be built to rule out all three.</w:t>
      </w:r>
    </w:p>
    <w:p>
      <w:pPr>
        <w:pStyle w:val="BodyText"/>
        <w:spacing w:line="480" w:lineRule="auto"/>
        <w:ind w:firstLine="720"/>
      </w:pPr>
      <w:r>
        <w:t xml:space="preserve">Take estimation as the first rival. Here cost growth is just an over-hopeful point forecast, set at commitment, playing itself out. Parametric cost-prediction practice runs on exactly this footing. It treats development cost as something learnable from design and maturity parameters locked in near the concept stage, which parks the decisive action at the forecast and not out in execution</w:t>
      </w:r>
      <w:r>
        <w:t xml:space="preserve"> </w:t>
      </w:r>
      <w:hyperlink w:anchor="ref-7">
        <w:r>
          <w:rPr>
            <w:rStyle w:val="Hyperlink"/>
          </w:rPr>
          <w:t xml:space="preserve">[7]</w:t>
        </w:r>
      </w:hyperlink>
      <w:r>
        <w:t xml:space="preserve">,</w:t>
      </w:r>
      <w:r>
        <w:t xml:space="preserve"> </w:t>
      </w:r>
      <w:hyperlink w:anchor="ref-14">
        <w:r>
          <w:rPr>
            <w:rStyle w:val="Hyperlink"/>
          </w:rPr>
          <w:t xml:space="preserve">[14]</w:t>
        </w:r>
      </w:hyperlink>
      <w:r>
        <w:t xml:space="preserve">. The estimation literature has cast cost growth on jointly executed and architecturally coupled programs as a thing with nameable drivers, the interaction among partly separable subsystems throwing off growth that no lone estimate saw coming</w:t>
      </w:r>
      <w:r>
        <w:t xml:space="preserve"> </w:t>
      </w:r>
      <w:hyperlink w:anchor="ref-6">
        <w:r>
          <w:rPr>
            <w:rStyle w:val="Hyperlink"/>
          </w:rPr>
          <w:t xml:space="preserve">[6]</w:t>
        </w:r>
      </w:hyperlink>
      <w:r>
        <w:t xml:space="preserve">. The account has real force, and nothing in the present theory pretends forecasting slips are unreal. The theory holds only that forecasting slips do not use up the whole explanation.</w:t>
      </w:r>
    </w:p>
    <w:p>
      <w:pPr>
        <w:pStyle w:val="BodyText"/>
        <w:spacing w:line="480" w:lineRule="auto"/>
        <w:ind w:firstLine="720"/>
      </w:pPr>
      <w:r>
        <w:t xml:space="preserve">Maturity is the second rival, and among the three it is the hardest to dismiss. Here programs blow past baseline because their key technologies were green at commitment, and that greenness feeds both the difficulty of the work and the eventual break from baseline. Technology readiness is the usual outside-rated gauge of that greenness, the ruler agency programs get measured against. What lends the maturity story its bite is that the mechanism is plausible and the ruler that reads it already lives inside agency routine. A program whose key technologies sit under readiness at commitment is hard in just the fashion that ought to breed both heavier modification and a bigger overrun, so the maturity story forecasts the very same surface correlation the pathology story forecasts. A theory that cannot prise those two apart is no theory at all, only the data said back.</w:t>
      </w:r>
    </w:p>
    <w:p>
      <w:pPr>
        <w:pStyle w:val="BodyText"/>
        <w:spacing w:line="480" w:lineRule="auto"/>
        <w:ind w:firstLine="720"/>
      </w:pPr>
      <w:r>
        <w:t xml:space="preserve">Physical scale is the third rival. Here the bigger and more intricate programs overrun harder because sheer size stands in for the ground creep grows on, with launch mass the time-worn workhorse standing in for technical scope</w:t>
      </w:r>
      <w:r>
        <w:t xml:space="preserve"> </w:t>
      </w:r>
      <w:hyperlink w:anchor="ref-14">
        <w:r>
          <w:rPr>
            <w:rStyle w:val="Hyperlink"/>
          </w:rPr>
          <w:t xml:space="preserve">[14]</w:t>
        </w:r>
      </w:hyperlink>
      <w:r>
        <w:t xml:space="preserve">. The empirical work leading into this chapter turned up scale, read off mass and partnership, as a rightly pointed but empirically faint predictor of cost growth, neither proxy telling apart from zero in a small sample that a few enormous overruns dominate. That faint result teaches something. It steers the hunt for the pathology off the question of how large a project is and onto the question of how a project’s requirements get governed. The shift away from legacy single-agency programs and toward partnership-rich, commercially brokered architectures has slackened the mass-cost tie that once bound</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which only sharpens the case for moving the causal action off physical size and onto organizational governance.</w:t>
      </w:r>
    </w:p>
    <w:p>
      <w:pPr>
        <w:pStyle w:val="BodyText"/>
        <w:spacing w:line="480" w:lineRule="auto"/>
        <w:ind w:firstLine="720"/>
      </w:pPr>
      <w:r>
        <w:t xml:space="preserve">So the pathology reading has to outrun all three: the estimation story, the maturity story, and the physical-scale story.</w:t>
      </w:r>
    </w:p>
    <w:p>
      <w:pPr>
        <w:pStyle w:val="BodyText"/>
        <w:spacing w:line="480" w:lineRule="auto"/>
        <w:ind w:firstLine="720"/>
      </w:pPr>
      <w:r>
        <w:t xml:space="preserve">That bar is set high on purpose.</w:t>
      </w:r>
    </w:p>
    <w:p>
      <w:pPr>
        <w:pStyle w:val="BodyText"/>
        <w:spacing w:line="480" w:lineRule="auto"/>
        <w:ind w:firstLine="720"/>
      </w:pPr>
      <w:r>
        <w:t xml:space="preserve">Its assertion is that, once the standard maturity gauge is held fixed, a slice of cost growth is left over that belongs to the institutional machine approving modifications, and that this slice can be read off the baseline record. The remainder of the chapter details that machine and the reasoning that lets its mark be read.</w:t>
      </w:r>
    </w:p>
    <w:bookmarkEnd w:id="74"/>
    <w:bookmarkStart w:id="75" w:name="Xf4e939a836a91b4de13703bcfa895d9caef935c"/>
    <w:p>
      <w:pPr>
        <w:pStyle w:val="Heading2"/>
        <w:spacing w:line="480" w:lineRule="auto"/>
      </w:pPr>
      <w:r>
        <w:t xml:space="preserve">3.3 The Mechanism: The Modification-Approval Apparatus</w:t>
      </w:r>
    </w:p>
    <w:p>
      <w:pPr>
        <w:pStyle w:val="FirstParagraph"/>
        <w:spacing w:line="480" w:lineRule="auto"/>
      </w:pPr>
      <w:r>
        <w:t xml:space="preserve">What this dissertation points to is an institutional mechanism you can locate in one particular governance object. Across the span from commitment to operational delivery, a program keeps approving a steady stream of requirement modifications. Every one gets a review, every one gets defended on its own local grounds, and every one gets waved through by a governance body weighing that increment by itself. The pathology is that no node anywhere in this machine ever gathers the increments back up and weighs their combined heft against the first commitment until the money and time have already gone out the door. Sensible in the small, blind in the whole.</w:t>
      </w:r>
    </w:p>
    <w:p>
      <w:pPr>
        <w:pStyle w:val="BodyText"/>
        <w:spacing w:line="480" w:lineRule="auto"/>
        <w:ind w:firstLine="720"/>
      </w:pPr>
      <w:r>
        <w:t xml:space="preserve">None of this is figurative. It plays out on a recorded object. Systems engineering inside the major space agency comes codified as a formal process discipline, honed over two decades of concurrent-engineering work, laying down how requirements get defined, baselined, and altered</w:t>
      </w:r>
      <w:r>
        <w:t xml:space="preserve"> </w:t>
      </w:r>
      <w:hyperlink w:anchor="ref-8">
        <w:r>
          <w:rPr>
            <w:rStyle w:val="Hyperlink"/>
          </w:rPr>
          <w:t xml:space="preserve">[8]</w:t>
        </w:r>
      </w:hyperlink>
      <w:r>
        <w:t xml:space="preserve">. That codification carries the whole theory, because it is what makes the modification record a trail you can audit instead of loose institutional recollection. A program that signs off on forty requirement changes leaves an organizational fingerprint unlike a program that signs off on four, and the print stays in the record whether or not a soul ever tallied it. The theory feeds on the space between the agency’s steady logging of each modification and its never once totting them up against baseline.</w:t>
      </w:r>
    </w:p>
    <w:p>
      <w:pPr>
        <w:pStyle w:val="BodyText"/>
        <w:spacing w:line="480" w:lineRule="auto"/>
        <w:ind w:firstLine="720"/>
      </w:pPr>
      <w:r>
        <w:t xml:space="preserve">You can watch cumulative scope growth through one visible surrogate: the governance act where a heaped-up stream of approved requirement and configuration modifications gets bundled and re-committed, that is, the formally approved rebaseline or replan. Each rebaseline is the point where the machine has to look, however late, at the drift it let build, so a tally of those acts becomes the outward mark of the pathology. That definition ties back to agency systems engineering practice rather than to some invented yardstick, which means the independent variable rests on the same codified process that steers the modifications it tallies</w:t>
      </w:r>
      <w:r>
        <w:t xml:space="preserve"> </w:t>
      </w:r>
      <w:hyperlink w:anchor="ref-8">
        <w:r>
          <w:rPr>
            <w:rStyle w:val="Hyperlink"/>
          </w:rPr>
          <w:t xml:space="preserve">[8]</w:t>
        </w:r>
      </w:hyperlink>
      <w:r>
        <w:t xml:space="preserve">.</w:t>
      </w:r>
    </w:p>
    <w:p>
      <w:pPr>
        <w:pStyle w:val="BodyText"/>
        <w:spacing w:line="480" w:lineRule="auto"/>
        <w:ind w:firstLine="720"/>
      </w:pPr>
      <w:r>
        <w:t xml:space="preserve">A sharp directional forecast drops out. Were the machine sound, squaring cumulative drift away as it went, the tally of rebaselines would tell you nothing about outcomes past what maturity already tells, since each modification would have been costed against the running commitment the moment it cleared. If the machine is sick, costing each increment on its own, then the built-up drift dodges costing until a rebaseline drags it into the light, and programs racking up more of those acts ought to break from committed cost by more, for reasons the maturity story cannot furnish. So the pathology reading is not the charge that modifications are harmful. It is the charge that the machine waving them through cannot by its nature see their combined heft, and that this built-in blindness leaves a mark you can measure.</w:t>
      </w:r>
    </w:p>
    <w:p>
      <w:pPr>
        <w:pStyle w:val="BodyText"/>
        <w:spacing w:line="480" w:lineRule="auto"/>
        <w:ind w:firstLine="720"/>
      </w:pPr>
      <w:r>
        <w:t xml:space="preserve">Why does the theory call for governance redesign and not sharper forecasting? The mechanism answers that as well. A program that never gathers its cumulative modification drift back against the first commitment is, by construction, blind to the very signal the theory forecasts. What the framing prescribes is a cumulative-drift checkpoint, a governance node built for one job: to bundle approved modifications against baseline and force a re-commitment call before the money goes. The systems engineering machine already logs every input such a checkpoint would draw on</w:t>
      </w:r>
      <w:r>
        <w:t xml:space="preserve"> </w:t>
      </w:r>
      <w:hyperlink w:anchor="ref-8">
        <w:r>
          <w:rPr>
            <w:rStyle w:val="Hyperlink"/>
          </w:rPr>
          <w:t xml:space="preserve">[8]</w:t>
        </w:r>
      </w:hyperlink>
      <w:r>
        <w:t xml:space="preserve">, which is what makes the prescribed cure a rewiring of how logged information gets used rather than a plea for fresh information. The risk-management literature for human exploration handles program risk the same way, as a managed quantity with laid-out assessment procedures</w:t>
      </w:r>
      <w:r>
        <w:t xml:space="preserve"> </w:t>
      </w:r>
      <w:hyperlink w:anchor="ref-5">
        <w:r>
          <w:rPr>
            <w:rStyle w:val="Hyperlink"/>
          </w:rPr>
          <w:t xml:space="preserve">[5]</w:t>
        </w:r>
      </w:hyperlink>
      <w:r>
        <w:t xml:space="preserve">, proof that the agency already owns the institutional gear to run a standing cumulative-drift node. The gear it is short of is the node.</w:t>
      </w:r>
    </w:p>
    <w:bookmarkEnd w:id="75"/>
    <w:bookmarkStart w:id="76" w:name="the-causal-logic"/>
    <w:p>
      <w:pPr>
        <w:pStyle w:val="Heading2"/>
        <w:spacing w:line="480" w:lineRule="auto"/>
      </w:pPr>
      <w:r>
        <w:t xml:space="preserve">3.4 The Causal Logic</w:t>
      </w:r>
    </w:p>
    <w:p>
      <w:pPr>
        <w:pStyle w:val="FirstParagraph"/>
        <w:spacing w:line="480" w:lineRule="auto"/>
      </w:pPr>
      <w:r>
        <w:t xml:space="preserve">The causal assertion is that requirement-modification intensity, cashed out as the tally of formally approved rebaselines, pushes on proportional cost growth by an amount that will not reduce to commitment-stage technical maturity. Making that assertion with care means meeting the core identification problem square on, since modification intensity is not handed out at random, and the theory has to say which confounders it soaks up and which it hands off to the empirical design.</w:t>
      </w:r>
    </w:p>
    <w:p>
      <w:pPr>
        <w:pStyle w:val="BodyText"/>
        <w:spacing w:line="480" w:lineRule="auto"/>
        <w:ind w:firstLine="720"/>
      </w:pPr>
      <w:r>
        <w:t xml:space="preserve">The chief confounder is how hard a program is to begin with. Programs that approve heaps of modifications may do so out of sheer intrinsic difficulty, and that difficulty would push both the modification tally and cost growth, throwing off a false association even in a sound machine. The theory answers by naming the most believable measurable version of intrinsic difficulty and conditioning straight on it. Technology readiness at commitment is the outside-rated gauge of just that difficulty. A program whose key technologies sit at low readiness is hard in the way that ought to breed both heavier modification and a larger overrun. Feeding commitment-stage readiness in as a control lifts the leading rival story out of the error term and sets it inside the model. So the maturity control is no throwaway covariate. It is the rival hypothesis made operational. Whether the modification signal outlasts its entry is the test of the contribution.</w:t>
      </w:r>
    </w:p>
    <w:p>
      <w:pPr>
        <w:pStyle w:val="BodyText"/>
        <w:spacing w:line="480" w:lineRule="auto"/>
        <w:ind w:firstLine="720"/>
      </w:pPr>
      <w:r>
        <w:t xml:space="preserve">That reasoning hands us the exact quantity the contribution rides on. What matters is not the modification coefficient standing alone but how steady it stays as the maturity control goes in and comes out. The gap between the unconditional and conditional modification coefficients gauges how much of the raw scope-growth signal the maturity story soaks up. Were the maturity story right, conditioning on readiness would swallow the modification signal, and the coefficient would slump toward zero. If the pathology story holds information the maturity gauge lacks, the coefficient ought to hang on once the control enters. The design therefore reads the contribution off a comparison and not off any lone estimate. That comparison tells the two worlds apart.</w:t>
      </w:r>
    </w:p>
    <w:p>
      <w:pPr>
        <w:pStyle w:val="BodyText"/>
        <w:spacing w:line="480" w:lineRule="auto"/>
        <w:ind w:firstLine="720"/>
      </w:pPr>
      <w:r>
        <w:t xml:space="preserve">A cross-program association has its ceilings, and the causal reasoning owes them acknowledgment. Three leftover threats hem the inference in, and the theory spells them out so the hypotheses are not oversold. Organizational complexity, the count of contributing centers or partners, could push both modification and overrun on its own, apart from readiness; multi-organization programs bear management loads the maturity gauge misses</w:t>
      </w:r>
      <w:r>
        <w:t xml:space="preserve"> </w:t>
      </w:r>
      <w:hyperlink w:anchor="ref-1">
        <w:r>
          <w:rPr>
            <w:rStyle w:val="Hyperlink"/>
          </w:rPr>
          <w:t xml:space="preserve">[1]</w:t>
        </w:r>
      </w:hyperlink>
      <w:r>
        <w:t xml:space="preserve">, and the friction of many-principal arrangements has grown as the sector tilted toward partnership-heavy architectures</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16">
        <w:r>
          <w:rPr>
            <w:rStyle w:val="Hyperlink"/>
          </w:rPr>
          <w:t xml:space="preserve">[16]</w:t>
        </w:r>
      </w:hyperlink>
      <w:r>
        <w:t xml:space="preserve">. The theory looks ahead to a complexity proxy as the obvious next control and treats the modification coefficient’s endurance past that control as a further test rather than a closed case. Reverse causation is on the table too: cost growth might set off descoping modifications rather than the other way around, since a program in money trouble may rebaseline to answer overrun already booked. Because the modification stream and the cost path both run out across execution, a purely cross-sectional estimate cannot fully sort direction, and the theory softens this by tying modification intensity to the earlier stretch of execution so the independent variable comes ahead of most of the outcome in time. External validity is fenced by the sample drawn: the pathology, if it turns up, might belong to one agency’s governance culture, and the inference ought to read as conditional on that sample rather than stretched without replication.</w:t>
      </w:r>
    </w:p>
    <w:p>
      <w:pPr>
        <w:pStyle w:val="BodyText"/>
        <w:spacing w:line="480" w:lineRule="auto"/>
        <w:ind w:firstLine="720"/>
      </w:pPr>
      <w:r>
        <w:t xml:space="preserve">Naming these threats is itself a piece of the theoretical contribution, not an admission that saps it. A theory that spells out its own killers is falsifiable in the strong sense, because it says in advance the conditions under which the core claim would fall. The causal reasoning of this dissertation is that the modification coefficient runs positive and steady once maturity is fixed, that its endurance past a complexity control would firm up the inference, and that its collapse under any of these conditions would put the pathology reading down cleanly.</w:t>
      </w:r>
    </w:p>
    <w:bookmarkEnd w:id="76"/>
    <w:bookmarkStart w:id="77" w:name="the-formal-hypotheses"/>
    <w:p>
      <w:pPr>
        <w:pStyle w:val="Heading2"/>
        <w:spacing w:line="480" w:lineRule="auto"/>
      </w:pPr>
      <w:r>
        <w:t xml:space="preserve">3.5 The Formal Hypotheses</w:t>
      </w:r>
    </w:p>
    <w:p>
      <w:pPr>
        <w:pStyle w:val="FirstParagraph"/>
        <w:spacing w:line="480" w:lineRule="auto"/>
      </w:pPr>
      <w:r>
        <w:t xml:space="preserve">The theory boils down to one falsifiable pivot, put as a matched pair of hypotheses about one coefficient and one comparison. Let proportional cost growth denote the ratio of the final or latest development cost estimate to the committed baseline cost, minus one. Let modification intensity denote the count of formally approved rebaselines a program absorbs between the commitment milestone and the reporting cycle, normalized against agency systems engineering practice</w:t>
      </w:r>
      <w:r>
        <w:t xml:space="preserve"> </w:t>
      </w:r>
      <w:hyperlink w:anchor="ref-8">
        <w:r>
          <w:rPr>
            <w:rStyle w:val="Hyperlink"/>
          </w:rPr>
          <w:t xml:space="preserve">[8]</w:t>
        </w:r>
      </w:hyperlink>
      <w:r>
        <w:t xml:space="preserve">. Let the commitment-stage maturity control denote the technology readiness of the program’s critical technologies at the relevant design review, the conventional agency maturity instrument. The hypotheses concern the coefficient on modification intensity in a regression of proportional cost growth on modification intensity with the maturity control entered.</w:t>
      </w:r>
    </w:p>
    <w:p>
      <w:pPr>
        <w:pStyle w:val="BodyText"/>
        <w:spacing w:line="480" w:lineRule="auto"/>
        <w:ind w:firstLine="720"/>
      </w:pPr>
      <w:r>
        <w:rPr>
          <w:b/>
          <w:bCs/>
        </w:rPr>
        <w:t xml:space="preserve">H1 (the contribution).</w:t>
      </w:r>
      <w:r>
        <w:t xml:space="preserve"> </w:t>
      </w:r>
      <w:r>
        <w:t xml:space="preserve">Within a population of formally baselined major space programs, the intensity of approved requirement modifications between the commitment milestone and the operational milestone is positively and significantly associated with proportional cost growth against the committed baseline, conditional on the commitment-stage technology readiness of the program’s critical technologies. In the conditional regression, the modification-intensity coefficient is positive and statistically distinguishable from zero, and it does not collapse toward zero when the maturity control is added relative to its value in the unconditional specification.</w:t>
      </w:r>
    </w:p>
    <w:p>
      <w:pPr>
        <w:pStyle w:val="BodyText"/>
        <w:spacing w:line="480" w:lineRule="auto"/>
        <w:ind w:firstLine="720"/>
      </w:pPr>
      <w:r>
        <w:rPr>
          <w:b/>
          <w:bCs/>
        </w:rPr>
        <w:t xml:space="preserve">H0 (the refutation).</w:t>
      </w:r>
      <w:r>
        <w:t xml:space="preserve"> </w:t>
      </w:r>
      <w:r>
        <w:t xml:space="preserve">Conditional on commitment-stage technology readiness, modification intensity carries no information about proportional cost growth. The modification-intensity coefficient is statistically indistinguishable from zero. Under H0, scope growth is fully absorbed by the maturity story, the organizational-pathology framing adds nothing the readiness instrument does not already supply, and the estimation-and-maturity account stands.</w:t>
      </w:r>
    </w:p>
    <w:p>
      <w:pPr>
        <w:pStyle w:val="BodyText"/>
        <w:spacing w:line="480" w:lineRule="auto"/>
        <w:ind w:firstLine="720"/>
      </w:pPr>
      <w:r>
        <w:t xml:space="preserve">The pair is put together so the contribution rides on one sharp, falsifiable comparison. If the conditional coefficient reads null, the pathology framing goes down cleanly and no auxiliary hypothesis waits to catch it. The design gives no room to rescue the theory by rereading a null coefficient as the mark of some hidden moderator, because the core assertion is exactly that the modification signal shows in front of the maturity story rather than tucked behind it. The telling evidence is thus two-part. It runs to the sign and significance of the conditional coefficient, and to how far that coefficient shifts when the maturity control comes in. A coefficient positive, significant, and steady across the two specifications backs H1. A coefficient you cannot tell from zero, or one that folds once readiness is controlled, backs H0.</w:t>
      </w:r>
    </w:p>
    <w:p>
      <w:pPr>
        <w:pStyle w:val="BodyText"/>
        <w:spacing w:line="480" w:lineRule="auto"/>
        <w:ind w:firstLine="720"/>
      </w:pPr>
      <w:r>
        <w:t xml:space="preserve">What is H1 careful not to assert? Saying so out loud matters, since the restraint of the hypothesis feeds its credibility. H1 does not assert that forecasting slips are trivial, nor that maturity does not matter; the maturity coefficient is expected to point protectively, riper programs growing less, and the estimation drivers the literature records stay real</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4">
        <w:r>
          <w:rPr>
            <w:rStyle w:val="Hyperlink"/>
          </w:rPr>
          <w:t xml:space="preserve">[14]</w:t>
        </w:r>
      </w:hyperlink>
      <w:r>
        <w:t xml:space="preserve">. H1 does not assert that the modification coefficient is the whole of cost growth, only that it is a measurable slice the standard maturity control leaves untouched. And H1 makes no claim to universality; it stands as a conditional association inside a defined population of formally baselined major projects, carriable in principle to the wider space-acquisition enterprise whose program structure and funding get tracked as analyzable objects</w:t>
      </w:r>
      <w:r>
        <w:t xml:space="preserve"> </w:t>
      </w:r>
      <w:hyperlink w:anchor="ref-4">
        <w:r>
          <w:rPr>
            <w:rStyle w:val="Hyperlink"/>
          </w:rPr>
          <w:t xml:space="preserve">[4]</w:t>
        </w:r>
      </w:hyperlink>
      <w:r>
        <w:t xml:space="preserve">, but not stretched past the sampled population without replication. That deliberate narrowness is what turns the hypothesis into a real test instead of a flourish.</w:t>
      </w:r>
    </w:p>
    <w:bookmarkEnd w:id="77"/>
    <w:bookmarkStart w:id="78" w:name="X758a1abdcafbcd25460157990a98599031c5e05"/>
    <w:p>
      <w:pPr>
        <w:pStyle w:val="Heading2"/>
        <w:spacing w:line="480" w:lineRule="auto"/>
      </w:pPr>
      <w:r>
        <w:t xml:space="preserve">3.6 Auxiliary Expectations and Theoretical Coherence</w:t>
      </w:r>
    </w:p>
    <w:p>
      <w:pPr>
        <w:pStyle w:val="FirstParagraph"/>
        <w:spacing w:line="480" w:lineRule="auto"/>
      </w:pPr>
      <w:r>
        <w:t xml:space="preserve">One coefficient, sharp as it may be, gains credibility when it sits inside a web of side predictions the same theory spins. This section draws those predictions out so the core hypotheses live in a coherent frame rather than being announced alone. The side predictions are not further hypotheses the contribution rides on. They are corroborating forecasts whose fulfillment would firm up the reading of H1 and whose breach would call the mechanism into question.</w:t>
      </w:r>
    </w:p>
    <w:p>
      <w:pPr>
        <w:pStyle w:val="BodyText"/>
        <w:spacing w:line="480" w:lineRule="auto"/>
        <w:ind w:firstLine="720"/>
      </w:pPr>
      <w:r>
        <w:t xml:space="preserve">Start with the maturity control. The theory forecasts that commitment-stage maturity ought to point protectively: programs whose key technologies were ripe at the relevant design review ought, on the whole, to grow less. The mechanism does not need the maturity coefficient to reach significance, only that it should not run backward against its forecast sign. A maturity coefficient that comes out negative but loosely estimated fits the pathology framing without strain, because the framing’s assertion rides on the survival of the modification signal, not on the sharpness of the rival. A maturity coefficient running strongly positive would instead flag that the readiness gauge is failing to catch intrinsic difficulty in this sample and would call for a second look at the control.</w:t>
      </w:r>
    </w:p>
    <w:p>
      <w:pPr>
        <w:pStyle w:val="BodyText"/>
        <w:spacing w:line="480" w:lineRule="auto"/>
        <w:ind w:firstLine="720"/>
      </w:pPr>
      <w:r>
        <w:t xml:space="preserve">Collinearity comes second. For the modification coefficient’s endurance to read as evidence against the maturity story rather than as a quirk of the regression, modification intensity and the maturity gauge must not be so collinear that conditioning tells you nothing by construction. So the theory forecasts a middling, not extreme, tie between the two regressors. Modification intensity ought to correlate heavily with cost growth while correlating only faintly with the maturity flag. Were the two regressors close to collinear, the comparison H1 rides on would be unreadable, and the theory looks ahead to reporting the simple correlations precisely so the coefficient’s endurance can be told apart from a collinearity quirk.</w:t>
      </w:r>
    </w:p>
    <w:p>
      <w:pPr>
        <w:pStyle w:val="BodyText"/>
        <w:spacing w:line="480" w:lineRule="auto"/>
        <w:ind w:firstLine="720"/>
      </w:pPr>
      <w:r>
        <w:t xml:space="preserve">Competing outcome channels make the third prediction. If modification intensity is the load-bearing variable, then it ought to shadow cost growth more tightly than bare schedule delay does. Schedule slip is a believable other mark of program trouble, and the theory forecasts its tie to cost growth ought to come in weaker than the modification tie. A result where schedule slip overpowers modification intensity would cut against the claim that the modification-approval machine, and not run-of-the-mill delay, is the working mechanism. This prediction earns its keep by parting the specific institutional claim of this dissertation from the loose claim that troubled programs simply do many things at once.</w:t>
      </w:r>
    </w:p>
    <w:p>
      <w:pPr>
        <w:pStyle w:val="BodyText"/>
        <w:spacing w:line="480" w:lineRule="auto"/>
        <w:ind w:firstLine="720"/>
      </w:pPr>
      <w:r>
        <w:t xml:space="preserve">Robustness to leverage rounds out the four. Because the population of formally baselined major projects is small and its cost-growth spread runs right-skewed, a few brutal overruns able to swing heavy leverage, the theory forecasts that a real mechanism ought to weather the drop of any one program. An association hanging on a single pathological program is not proof of a recurring institutional condition; it is proof of one freak. So the theory pledges in advance that the modification coefficient ought to stay positive and meaningful under leave-one-out resampling and under a robust estimator, and it reads fragility under either as grounds to hedge the inference.</w:t>
      </w:r>
    </w:p>
    <w:p>
      <w:pPr>
        <w:pStyle w:val="BodyText"/>
        <w:spacing w:line="480" w:lineRule="auto"/>
        <w:ind w:firstLine="720"/>
      </w:pPr>
      <w:r>
        <w:t xml:space="preserve">Set side by side, these side predictions spell out a coherent theoretical frame. The pathology reading forecasts a positive, steady modification coefficient once maturity is fixed, a protectively signed maturity control, a middling tie between the two regressors, a modification association that overpowers the schedule channel, and endurance past the drop of any single leverage point. The core hypotheses H1 and H0 are the falsifiable heart of that frame, and the side predictions are the tissue around the heart that makes it readable. A confirmation of H1 that also met the side predictions would nail the dissertation’s narrow claim with the restraint the framing demands: that the modification stream carries a mark, that the mark holds information the maturity gauge lacks, and that it shows in front of the rival stories rather than behind them. A confirmation of H0 would instead put the framing down cleanly and hand the explaining back to the estimation-and-maturity story, with no auxiliary hypothesis for the theory to slip away to. Either way, the chapter has finished its job. It has turned an institutional hunch into a mechanism, the mechanism into a chain of causal reasoning, and that reasoning into a single coefficient whose value settles which of two well-drawn worlds we live in.</w:t>
      </w:r>
    </w:p>
    <w:bookmarkEnd w:id="78"/>
    <w:bookmarkEnd w:id="79"/>
    <w:bookmarkStart w:id="89" w:name="chapter-4.-data-and-measurement"/>
    <w:p>
      <w:pPr>
        <w:pStyle w:val="Heading1"/>
        <w:spacing w:line="480" w:lineRule="auto"/>
      </w:pPr>
      <w:r>
        <w:t xml:space="preserve">Chapter 4. Data and Measurement</w:t>
      </w:r>
    </w:p>
    <w:bookmarkStart w:id="80" w:name="X5722bf08ab07df0e883dec5b3cef22290a03180"/>
    <w:p>
      <w:pPr>
        <w:pStyle w:val="Heading2"/>
        <w:spacing w:line="480" w:lineRule="auto"/>
      </w:pPr>
      <w:r>
        <w:t xml:space="preserve">4.1 The Empirical Object and Its Two Assemblies</w:t>
      </w:r>
    </w:p>
    <w:p>
      <w:pPr>
        <w:pStyle w:val="FirstParagraph"/>
        <w:spacing w:line="480" w:lineRule="auto"/>
      </w:pPr>
      <w:r>
        <w:t xml:space="preserve">A single empirical object holds the dissertation together, though I look at it through two separate datasets built independently of each other. That object is the formally baselined major space program, taken as a unit that locks in a committed cost and schedule at a set commitment milestone and then wanders off that commitment as execution runs. Both empirical papers at the analytical core treat that object as their unit of analysis, and both rebuild the wandering from primary agency and quasi-official records instead of any secondhand or proprietary compilation. The papers part ways in how they cash out the scope-growth construct the dissertation puts at the heart of its pathology claim, and in which projects each one gathers. Here I record the datasets, where their authority comes from, how the unit of analysis shows up in each paper, and how every variable was built from primary records. What I am after is a trail a reader can audit against named sources. Doubt a number, and you can dig it back out of the record the paper cites rather than trusting my reconstruction.</w:t>
      </w:r>
    </w:p>
    <w:p>
      <w:pPr>
        <w:pStyle w:val="BodyText"/>
        <w:spacing w:line="480" w:lineRule="auto"/>
        <w:ind w:firstLine="720"/>
      </w:pPr>
      <w:r>
        <w:t xml:space="preserve">Why keep two assemblies going instead of one? The papers probe the pathology claim at different layers of the same governance machine. The first empirical paper, carried in the prose of paper one, reads scope growth off the intensity of formally approved rebaselines and asks whether that intensity forecasts development cost growth once commitment-stage technical maturity is nailed down. The second empirical paper, carried in the prose of paper two, reads scope through physical and organizational stand-ins, launch mass and whether a major external partner is aboard, and asks whether those up-front stand-ins shadow later cost growth. The first asks whether the modification-approval machine scratches a readable fingerprint into the baseline record. The second asks whether the blunter, more familiar scope stand-ins the cost-estimation literature has leaned on for years can bear the same diagnostic load. Paper two’s candid verdict, that they mostly cannot, is a measurement result in its own right. It pushes paper one toward the modification stream as the better-built construct.</w:t>
      </w:r>
    </w:p>
    <w:bookmarkEnd w:id="80"/>
    <w:bookmarkStart w:id="81" w:name="unit-of-analysis"/>
    <w:p>
      <w:pPr>
        <w:pStyle w:val="Heading2"/>
        <w:spacing w:line="480" w:lineRule="auto"/>
      </w:pPr>
      <w:r>
        <w:t xml:space="preserve">4.2 Unit of Analysis</w:t>
      </w:r>
    </w:p>
    <w:p>
      <w:pPr>
        <w:pStyle w:val="FirstParagraph"/>
        <w:spacing w:line="480" w:lineRule="auto"/>
      </w:pPr>
      <w:r>
        <w:t xml:space="preserve">Both papers make the unit of analysis the NASA major project, meaning a development effort whose life-cycle cost tops the agency’s statutory major-project bar and that has set an Agency Baseline Commitment. That is no bookkeeping shortcut. It is the very line the governing oversight machine draws to decide which projects land in its recurring assessment. The Agency Baseline Commitment is the formal, congressionally visible act where a project pins down the cost and schedule it will later be judged against, and because that commitment is a dated, documented event, the proportional-growth outcome variables come out well defined. A project that has not yet hit its commitment milestone owns no baseline to compute growth against, so both papers pare the population down to projects past that milestone.</w:t>
      </w:r>
    </w:p>
    <w:p>
      <w:pPr>
        <w:pStyle w:val="BodyText"/>
        <w:spacing w:line="480" w:lineRule="auto"/>
        <w:ind w:firstLine="720"/>
      </w:pPr>
      <w:r>
        <w:t xml:space="preserve">Picking the project over the contract, the work package, or the requirement flows straight from the pathology the dissertation names. The claim is that governance bodies wave modifications through one increment at a time and never gather up their combined heft against the first project-level commitment. The pathology, if it is there, is thus a trait of the project as a governed whole, and the project level is where the committed baseline and the realized outcome both get written down. Breaking things apart below the project would throw away the very aggregation failure the dissertation hunts, since the built-up drift stays invisible at the scale of any lone modification and surfaces only when a project’s whole modification history gets laid against its single committed baseline. The project is the natural, unavoidable unit.</w:t>
      </w:r>
    </w:p>
    <w:p>
      <w:pPr>
        <w:pStyle w:val="BodyText"/>
        <w:spacing w:line="480" w:lineRule="auto"/>
        <w:ind w:firstLine="720"/>
      </w:pPr>
      <w:r>
        <w:t xml:space="preserve">Below it, the aggregation failure drops out of sight.</w:t>
      </w:r>
    </w:p>
    <w:p>
      <w:pPr>
        <w:pStyle w:val="BodyText"/>
        <w:spacing w:line="480" w:lineRule="auto"/>
        <w:ind w:firstLine="720"/>
      </w:pPr>
      <w:r>
        <w:t xml:space="preserve">Each paper fills this unit with a roster of its own, overlapping yet not the same. Paper one gathers twenty-four formally baselined NASA major projects. Paper two gathers twenty-six projects across the Discovery, Mars Exploration, astrophysics, heliophysics, and human-spaceflight lines, running from NEAR Shoemaker to the Space Launch System. The rosters differ because the two papers need different variables visible before a project qualifies. Paper one needs a project’s rebaseline history and its committed-to-current cost comparison both recoverable. Paper two needs a project’s launch mass and partner status both codable next to its development cost growth. A project clearing one bar of visibility may fall short of the other. So the two samples get built on their own and reported apart rather than fused into one panel.</w:t>
      </w:r>
    </w:p>
    <w:bookmarkEnd w:id="81"/>
    <w:bookmarkStart w:id="82" w:name="the-authoritative-sources"/>
    <w:p>
      <w:pPr>
        <w:pStyle w:val="Heading2"/>
        <w:spacing w:line="480" w:lineRule="auto"/>
      </w:pPr>
      <w:r>
        <w:t xml:space="preserve">4.3 The Authoritative Sources</w:t>
      </w:r>
    </w:p>
    <w:p>
      <w:pPr>
        <w:pStyle w:val="FirstParagraph"/>
        <w:spacing w:line="480" w:lineRule="auto"/>
      </w:pPr>
      <w:r>
        <w:t xml:space="preserve">Every variable in both datasets ties back to one of a short list of authoritative, obtainable records, and the dissertation’s rule is that no number gets in unless it traces to one of them. Those records sort into four families.</w:t>
      </w:r>
    </w:p>
    <w:p>
      <w:pPr>
        <w:pStyle w:val="BodyText"/>
        <w:spacing w:line="480" w:lineRule="auto"/>
        <w:ind w:firstLine="720"/>
      </w:pPr>
      <w:r>
        <w:t xml:space="preserve">The most central of the four is the Government Accountability Office’s recurring assessment of NASA major projects. The GAO has put this series together yearly since 2009 and published it as a public document. It is the backbone of both datasets. Paper one pulls its baseline and current cost figures from the assessments issued as GAO-24-106767</w:t>
      </w:r>
      <w:r>
        <w:t xml:space="preserve"> </w:t>
      </w:r>
      <w:hyperlink w:anchor="ref-9">
        <w:r>
          <w:rPr>
            <w:rStyle w:val="Hyperlink"/>
          </w:rPr>
          <w:t xml:space="preserve">[9]</w:t>
        </w:r>
      </w:hyperlink>
      <w:r>
        <w:t xml:space="preserve"> </w:t>
      </w:r>
      <w:r>
        <w:t xml:space="preserve">and GAO-23-106021</w:t>
      </w:r>
      <w:r>
        <w:t xml:space="preserve"> </w:t>
      </w:r>
      <w:hyperlink w:anchor="ref-10">
        <w:r>
          <w:rPr>
            <w:rStyle w:val="Hyperlink"/>
          </w:rPr>
          <w:t xml:space="preserve">[10]</w:t>
        </w:r>
      </w:hyperlink>
      <w:r>
        <w:t xml:space="preserve">. Paper two pulls its larger, more recent project figures from the assessment issued as GAO-25-107591</w:t>
      </w:r>
      <w:r>
        <w:t xml:space="preserve"> </w:t>
      </w:r>
      <w:hyperlink w:anchor="ref-1">
        <w:r>
          <w:rPr>
            <w:rStyle w:val="Hyperlink"/>
          </w:rPr>
          <w:t xml:space="preserve">[1]</w:t>
        </w:r>
      </w:hyperlink>
      <w:r>
        <w:t xml:space="preserve">, from the earlier large-scale-projects assessment GAO-10-227SP</w:t>
      </w:r>
      <w:r>
        <w:t xml:space="preserve"> </w:t>
      </w:r>
      <w:hyperlink w:anchor="ref-6">
        <w:r>
          <w:rPr>
            <w:rStyle w:val="Hyperlink"/>
          </w:rPr>
          <w:t xml:space="preserve">[6]</w:t>
        </w:r>
      </w:hyperlink>
      <w:r>
        <w:t xml:space="preserve">, and, for the James Webb Space Telescope in particular, from the technical-challenge review GAO-20-224</w:t>
      </w:r>
      <w:r>
        <w:t xml:space="preserve"> </w:t>
      </w:r>
      <w:hyperlink w:anchor="ref-7">
        <w:r>
          <w:rPr>
            <w:rStyle w:val="Hyperlink"/>
          </w:rPr>
          <w:t xml:space="preserve">[7]</w:t>
        </w:r>
      </w:hyperlink>
      <w:r>
        <w:t xml:space="preserve">. For this dissertation the GAO series carries authority because it is a congressionally mandated oversight product that runs the baseline-to-current comparison itself. Project by project it writes down the committed baseline cost and schedule set at the Agency Baseline Commitment, the current estimate at each reporting cycle, and the project’s development phase. That committed-baseline-to-current comparison is exactly the proportional cost and schedule growth the outcome variables call for, which is what lets the dependent variable be audited against a primary source rather than rebuilt.</w:t>
      </w:r>
    </w:p>
    <w:p>
      <w:pPr>
        <w:pStyle w:val="BodyText"/>
        <w:spacing w:line="480" w:lineRule="auto"/>
        <w:ind w:firstLine="720"/>
      </w:pPr>
      <w:r>
        <w:t xml:space="preserve">After that come the project-specific audits from the NASA Office of Inspector General. Two of them matter here. Paper one draws on the Inspector General’s report on the Dragonfly project, IG-25-011</w:t>
      </w:r>
      <w:r>
        <w:t xml:space="preserve"> </w:t>
      </w:r>
      <w:hyperlink w:anchor="ref-11">
        <w:r>
          <w:rPr>
            <w:rStyle w:val="Hyperlink"/>
          </w:rPr>
          <w:t xml:space="preserve">[11]</w:t>
        </w:r>
      </w:hyperlink>
      <w:r>
        <w:t xml:space="preserve">, and its audit of the Nancy Grace Roman Space Telescope project, IG-24-014</w:t>
      </w:r>
      <w:r>
        <w:t xml:space="preserve"> </w:t>
      </w:r>
      <w:hyperlink w:anchor="ref-12">
        <w:r>
          <w:rPr>
            <w:rStyle w:val="Hyperlink"/>
          </w:rPr>
          <w:t xml:space="preserve">[12]</w:t>
        </w:r>
      </w:hyperlink>
      <w:r>
        <w:t xml:space="preserve">. These audits carry authority for individual projects whose baseline histories are unusually weighty or disputed, and they hand over detail the portfolio-level GAO series leaves out, including a spelled-out account of one replan after another. Dragonfly is the plainest case. The Inspector General’s record shows the project’s life-cycle cost climbing from an original eight-hundred-fifty-million-dollar cap to a three-and-a-third-billion-dollar baseline across four documented replans</w:t>
      </w:r>
      <w:r>
        <w:t xml:space="preserve"> </w:t>
      </w:r>
      <w:hyperlink w:anchor="ref-11">
        <w:r>
          <w:rPr>
            <w:rStyle w:val="Hyperlink"/>
          </w:rPr>
          <w:t xml:space="preserve">[11]</w:t>
        </w:r>
      </w:hyperlink>
      <w:r>
        <w:t xml:space="preserve">, and it is that documented replan tally, not a guessed one, that feeds the modification-intensity variable.</w:t>
      </w:r>
    </w:p>
    <w:p>
      <w:pPr>
        <w:pStyle w:val="BodyText"/>
        <w:spacing w:line="480" w:lineRule="auto"/>
        <w:ind w:firstLine="720"/>
      </w:pPr>
      <w:r>
        <w:t xml:space="preserve">Third is The Planetary Society’s quasi-official cost compilation. Paper one uses the Society’s per-mission cost compilation covering Psyche, Lucy, DART, and Perseverance</w:t>
      </w:r>
      <w:r>
        <w:t xml:space="preserve"> </w:t>
      </w:r>
      <w:hyperlink w:anchor="ref-13">
        <w:r>
          <w:rPr>
            <w:rStyle w:val="Hyperlink"/>
          </w:rPr>
          <w:t xml:space="preserve">[13]</w:t>
        </w:r>
      </w:hyperlink>
      <w:r>
        <w:t xml:space="preserve">. Paper two uses the Society’s published reconciliation of baseline-to-actual development cost across two decades of missions</w:t>
      </w:r>
      <w:r>
        <w:t xml:space="preserve"> </w:t>
      </w:r>
      <w:hyperlink w:anchor="ref-5">
        <w:r>
          <w:rPr>
            <w:rStyle w:val="Hyperlink"/>
          </w:rPr>
          <w:t xml:space="preserve">[5]</w:t>
        </w:r>
      </w:hyperlink>
      <w:r>
        <w:t xml:space="preserve">. The Planetary Society record is not an agency document, and the dissertation handles it that way. It gets admitted for missions where the agency record stays quiet or less granular, and its figures get squared against the GAO and Inspector General records anywhere the two touch. Its worth is coverage of the planetary and near-term science missions the recurring GAO series does not always carry as separate baselined lines.</w:t>
      </w:r>
    </w:p>
    <w:p>
      <w:pPr>
        <w:pStyle w:val="BodyText"/>
        <w:spacing w:line="480" w:lineRule="auto"/>
        <w:ind w:firstLine="720"/>
      </w:pPr>
      <w:r>
        <w:t xml:space="preserve">Fourth is the peer-reviewed methodological literature, which hands over the definitional footing for the built variables rather than the numbers themselves. The systems engineering process documentation, standing in the cited corpus as the concurrent-engineering lessons-learned record</w:t>
      </w:r>
      <w:r>
        <w:t xml:space="preserve"> </w:t>
      </w:r>
      <w:hyperlink w:anchor="ref-8">
        <w:r>
          <w:rPr>
            <w:rStyle w:val="Hyperlink"/>
          </w:rPr>
          <w:t xml:space="preserve">[8]</w:t>
        </w:r>
      </w:hyperlink>
      <w:r>
        <w:t xml:space="preserve"> </w:t>
      </w:r>
      <w:r>
        <w:t xml:space="preserve">and the human-systems-integration process implementation for the lunar Gateway</w:t>
      </w:r>
      <w:r>
        <w:t xml:space="preserve"> </w:t>
      </w:r>
      <w:hyperlink w:anchor="ref-1">
        <w:r>
          <w:rPr>
            <w:rStyle w:val="Hyperlink"/>
          </w:rPr>
          <w:t xml:space="preserve">[1]</w:t>
        </w:r>
      </w:hyperlink>
      <w:r>
        <w:t xml:space="preserve"> </w:t>
      </w:r>
      <w:r>
        <w:t xml:space="preserve">in the prospectus referencing, sets what counts as a formally approved requirement modification and so pins down the meaning of paper one’s independent variable. The parametric cost-estimation literature, standing as the joint-program cost-growth model</w:t>
      </w:r>
      <w:r>
        <w:t xml:space="preserve"> </w:t>
      </w:r>
      <w:hyperlink w:anchor="ref-6">
        <w:r>
          <w:rPr>
            <w:rStyle w:val="Hyperlink"/>
          </w:rPr>
          <w:t xml:space="preserve">[6]</w:t>
        </w:r>
      </w:hyperlink>
      <w:r>
        <w:t xml:space="preserve">, the parametric cost-prediction model</w:t>
      </w:r>
      <w:r>
        <w:t xml:space="preserve"> </w:t>
      </w:r>
      <w:hyperlink w:anchor="ref-7">
        <w:r>
          <w:rPr>
            <w:rStyle w:val="Hyperlink"/>
          </w:rPr>
          <w:t xml:space="preserve">[7]</w:t>
        </w:r>
      </w:hyperlink>
      <w:r>
        <w:t xml:space="preserve">, and the blind validation study of the SEER-H tool</w:t>
      </w:r>
      <w:r>
        <w:t xml:space="preserve"> </w:t>
      </w:r>
      <w:hyperlink w:anchor="ref-14">
        <w:r>
          <w:rPr>
            <w:rStyle w:val="Hyperlink"/>
          </w:rPr>
          <w:t xml:space="preserve">[14]</w:t>
        </w:r>
      </w:hyperlink>
      <w:r>
        <w:t xml:space="preserve">, grants the license to treat mass as a multiplicative cost driver in paper two and to park the conventional causal action at commitment-stage maturity. The governance literature on the shift from legacy to new space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w:t>
      </w:r>
      <w:r>
        <w:t xml:space="preserve">grants the license to treat partnership as a coordination-load stand-in. These sources set definitions and modeling stance.</w:t>
      </w:r>
    </w:p>
    <w:p>
      <w:pPr>
        <w:pStyle w:val="BodyText"/>
        <w:spacing w:line="480" w:lineRule="auto"/>
        <w:ind w:firstLine="720"/>
      </w:pPr>
      <w:r>
        <w:t xml:space="preserve">They hand no numbers to the datasets.</w:t>
      </w:r>
    </w:p>
    <w:bookmarkEnd w:id="82"/>
    <w:bookmarkStart w:id="83" w:name="Xa4481293da3e885df5e16afdd7e78e0b00631f6"/>
    <w:p>
      <w:pPr>
        <w:pStyle w:val="Heading2"/>
        <w:spacing w:line="480" w:lineRule="auto"/>
      </w:pPr>
      <w:r>
        <w:t xml:space="preserve">4.4 The Dependent Variable: Proportional Development Cost Growth</w:t>
      </w:r>
    </w:p>
    <w:p>
      <w:pPr>
        <w:pStyle w:val="FirstParagraph"/>
        <w:spacing w:line="480" w:lineRule="auto"/>
      </w:pPr>
      <w:r>
        <w:t xml:space="preserve">In both papers the dependent variable is proportional development cost growth, yet the two build it on slightly different denominators, and the difference wants stating exactly. In paper one the dependent variable is the ratio of the latest or final development cost estimate to the committed baseline cost, minus one, put as a percentage. The committed baseline is the cost pinned at the Agency Baseline Commitment, recovered from the GAO assessment series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and the current or final estimate is the matching figure from the same reporting cycle or from the project-specific Inspector General audit where that audit overrides the portfolio figure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The build is one plain arithmetic step on two figures the primary source prints next to each other. That is what keeps the outcome auditable. The series gets deliberately stretched across the whole outcome range, from projects that came in under baseline, like Landsat 9 at negative seven percent, to projects that blew through it hard, like Dragonfly, whose documented growth from the eight-hundred-fifty-million-dollar cap to the three-and-a-third-billion-dollar baseline is recovered from the Inspector General record</w:t>
      </w:r>
      <w:r>
        <w:t xml:space="preserve"> </w:t>
      </w:r>
      <w:hyperlink w:anchor="ref-11">
        <w:r>
          <w:rPr>
            <w:rStyle w:val="Hyperlink"/>
          </w:rPr>
          <w:t xml:space="preserve">[11]</w:t>
        </w:r>
      </w:hyperlink>
      <w:r>
        <w:t xml:space="preserve">.</w:t>
      </w:r>
    </w:p>
    <w:p>
      <w:pPr>
        <w:pStyle w:val="BodyText"/>
        <w:spacing w:line="480" w:lineRule="auto"/>
        <w:ind w:firstLine="720"/>
      </w:pPr>
      <w:r>
        <w:t xml:space="preserve">In paper two the dependent variable is development cost growth as a percentage of the project’s first formal baseline. The denominator is the project’s first formal baseline and not the Agency Baseline Commitment itself, a split that counts for the older missions in the roster whose first baselines come before the current Agency Baseline Commitment regime. For the planetary and near-term science missions the growth figure comes from The Planetary Society’s reconciliation</w:t>
      </w:r>
      <w:r>
        <w:t xml:space="preserve"> </w:t>
      </w:r>
      <w:hyperlink w:anchor="ref-5">
        <w:r>
          <w:rPr>
            <w:rStyle w:val="Hyperlink"/>
          </w:rPr>
          <w:t xml:space="preserve">[5]</w:t>
        </w:r>
      </w:hyperlink>
      <w:r>
        <w:t xml:space="preserve">; for the larger, more recent projects it gets topped up from the GAO assessments</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 and for the James Webb Space Telescope it comes from the GAO technical-challenge review</w:t>
      </w:r>
      <w:r>
        <w:t xml:space="preserve"> </w:t>
      </w:r>
      <w:hyperlink w:anchor="ref-7">
        <w:r>
          <w:rPr>
            <w:rStyle w:val="Hyperlink"/>
          </w:rPr>
          <w:t xml:space="preserve">[7]</w:t>
        </w:r>
      </w:hyperlink>
      <w:r>
        <w:t xml:space="preserve">. The paper reports this variable’s distributional shape candidly. Across the twenty-six projects the mean development cost growth is 17.4 percent with a standard deviation of 28.6 percent, the distribution runs strongly right-skewed, the minimum is negative 21.8 percent for Mars Climate Orbiter, which landed under baseline, and the maximum is 100.9 percent for Glory. None of that is beside the point. The right skew and the under-baseline outcomes are the empirical grain the analysis has to work against, and the heavy right tail is what caps the inferential power of the second paper’s estimates.</w:t>
      </w:r>
    </w:p>
    <w:p>
      <w:pPr>
        <w:pStyle w:val="BodyText"/>
        <w:spacing w:line="480" w:lineRule="auto"/>
        <w:ind w:firstLine="720"/>
      </w:pPr>
      <w:r>
        <w:t xml:space="preserve">Two build choices about the dependent variable want stating out loud because they touch transparency. Paper one flags two of its twenty-four current-cost values as illustrative where an exact published figure was missing, in both cases setting the value inside the reported overrun band rather than outside it, and keeps the illustrative share under nine percent of the sample. Paper two flags the cost-growth values for the Space Launch System and the Orion crew vehicle as illustrative because the GAO reports their growth in dollar bands rather than as one baseline percentage; every other value in that dataset is a documented figure with a named source. In both papers the illustrative flag rides inside the data file, so a reader can spot which values are exact and which are band-bounded estimates, and can re-run the analysis with the flagged rows dropped. That is the dissertation’s standing stance on measurement honesty. Where a primary figure is missing, the built value gets bounded by the published range, flagged in the record, and never dressed up as if it were exact.</w:t>
      </w:r>
    </w:p>
    <w:bookmarkEnd w:id="83"/>
    <w:bookmarkStart w:id="84" w:name="X7237010f7144fa428499bc85d58c014920f8bdc"/>
    <w:p>
      <w:pPr>
        <w:pStyle w:val="Heading2"/>
        <w:spacing w:line="480" w:lineRule="auto"/>
      </w:pPr>
      <w:r>
        <w:t xml:space="preserve">4.5 The Independent Variable in Paper One: Modification Intensity</w:t>
      </w:r>
    </w:p>
    <w:p>
      <w:pPr>
        <w:pStyle w:val="FirstParagraph"/>
        <w:spacing w:line="480" w:lineRule="auto"/>
      </w:pPr>
      <w:r>
        <w:t xml:space="preserve">Paper one’s independent variable is modification intensity, built as the count of formally approved rebaselines or replans a project took on between its commitment milestone and the reporting cycle. What is a rebaseline? The build rests on one interpretive answer. Each rebaseline is the governance act where a heaped-up stream of approved requirement and configuration modifications gets bundled and re-committed. So the rebaseline is the visible face of the cumulative-drift process the dissertation theorizes. It is the point where the modification stream, otherwise scattered across many separately approved increments, reads as one re-commitment event. Counting rebaselines is thus a deliberate stand-in for cumulative scope growth, and the stand-in is set against agency systems engineering practice, which codifies how requirements get baselined and changed</w:t>
      </w:r>
      <w:r>
        <w:t xml:space="preserve"> </w:t>
      </w:r>
      <w:hyperlink w:anchor="ref-8">
        <w:r>
          <w:rPr>
            <w:rStyle w:val="Hyperlink"/>
          </w:rPr>
          <w:t xml:space="preserve">[8]</w:t>
        </w:r>
      </w:hyperlink>
      <w:r>
        <w:t xml:space="preserve">. Dragonfly again gives the plainest build: its four documented replans</w:t>
      </w:r>
      <w:r>
        <w:t xml:space="preserve"> </w:t>
      </w:r>
      <w:hyperlink w:anchor="ref-11">
        <w:r>
          <w:rPr>
            <w:rStyle w:val="Hyperlink"/>
          </w:rPr>
          <w:t xml:space="preserve">[11]</w:t>
        </w:r>
      </w:hyperlink>
      <w:r>
        <w:t xml:space="preserve"> </w:t>
      </w:r>
      <w:r>
        <w:t xml:space="preserve">enter the variable as a count of four, each replan matching a governance re-commitment the Inspector General record names outright.</w:t>
      </w:r>
    </w:p>
    <w:p>
      <w:pPr>
        <w:pStyle w:val="BodyText"/>
        <w:spacing w:line="480" w:lineRule="auto"/>
        <w:ind w:firstLine="720"/>
      </w:pPr>
      <w:r>
        <w:t xml:space="preserve">This count is blunt. The dissertation admits as much in the paper and in its own threats-to-validity discussion. It scores a major capability addition and a procedural replan the same, though the two clearly diverge in what they do to scope. The build swallows that bluntness as the toll for a fully auditable independent variable. A severity-weighted alternative, scoring each rebaseline by the size of the scope change it re-commits, gets named as the obvious refinement, but it stays unbuilt in the present datasets, because severity weighting would demand an interpretive call on each modification that the primary record will not surrender cleanly. So the dissertation reports the unweighted count, ties it to the documented replan history, and marks the severity-weighting refinement as future work instead of slipping an unauditable weighting into the present estimate.</w:t>
      </w:r>
    </w:p>
    <w:bookmarkEnd w:id="84"/>
    <w:bookmarkStart w:id="85" w:name="the-maturity-control-in-paper-one"/>
    <w:p>
      <w:pPr>
        <w:pStyle w:val="Heading2"/>
        <w:spacing w:line="480" w:lineRule="auto"/>
      </w:pPr>
      <w:r>
        <w:t xml:space="preserve">4.6 The Maturity Control in Paper One</w:t>
      </w:r>
    </w:p>
    <w:p>
      <w:pPr>
        <w:pStyle w:val="FirstParagraph"/>
        <w:spacing w:line="480" w:lineRule="auto"/>
      </w:pPr>
      <w:r>
        <w:t xml:space="preserve">Paper one’s control variable is commitment-stage technology readiness, built as a binary flag set to one when a project showed its critical technologies at technology readiness level six by its preliminary design review, and zero if not. Technology readiness level is the usual agency maturity gauge, the outside-rated ruler program elements get measured by at major reviews, and using it as the control is what lets the design pull the strongest rival story straight into the model. A project whose critical technologies sit under readiness at commitment is hard in just the way that ought to drive both heavier modification and a larger overrun, so conditioning on the readiness flag lifts that confounder out of the error term instead of letting it foul the modification coefficient.</w:t>
      </w:r>
    </w:p>
    <w:p>
      <w:pPr>
        <w:pStyle w:val="BodyText"/>
        <w:spacing w:line="480" w:lineRule="auto"/>
        <w:ind w:firstLine="720"/>
      </w:pPr>
      <w:r>
        <w:t xml:space="preserve">The flag gets built from the technology-maturity assessments the GAO series reports for projects going through major reviews. The newest assessment in the paper’s source set reports that nine of eleven projects reporting critical technologies reached technology readiness level six by review [5 in paper one’s numbering; GAO-24-106767 in the dissertation’s referencing], and it is that reported maturity status, not a guessed one, that codes the flag for the projects the assessment covers. The binary shape is a deliberate simplification. It squeezes the underlying readiness spread flat. A continuous or distributional maturity measure would in principle hold more information, yet the binary at-or-below-level-six flag is what the primary record backs cleanly across the roster, and it does the design’s job, which is not to fit a saturated maturity model but to test whether the modification coefficient rides out the entry of the standard maturity control. The variable is built to be just as fine as the primary record allows and no finer.</w:t>
      </w:r>
    </w:p>
    <w:bookmarkEnd w:id="85"/>
    <w:bookmarkStart w:id="86" w:name="the-scope-proxies-in-paper-two"/>
    <w:p>
      <w:pPr>
        <w:pStyle w:val="Heading2"/>
        <w:spacing w:line="480" w:lineRule="auto"/>
      </w:pPr>
      <w:r>
        <w:t xml:space="preserve">4.7 The Scope Proxies in Paper Two</w:t>
      </w:r>
    </w:p>
    <w:p>
      <w:pPr>
        <w:pStyle w:val="FirstParagraph"/>
        <w:spacing w:line="480" w:lineRule="auto"/>
      </w:pPr>
      <w:r>
        <w:t xml:space="preserve">Paper two builds two independent variables, both stand-ins for scope, and both drawn from primary records that come before the cost outcome. The first is the natural logarithm of spacecraft launch mass. It works as a continuous stand-in for technical scope and complexity. Launch mass for each project comes from mission press kits and the matching mission reference pages, cited row by row in the attached data file so each mass figure hauls its own source. The values run from 296 kilograms for Lunar Prospector to about eighty-five thousand kilograms for the Space Launch System core stage, a spread topping two orders of magnitude, which is exactly why the logarithmic transform gets applied. The transform mirrors the standard parametric-estimation habit of treating cost drivers multiplicatively rather than additively [2 in paper two’s numbering; the SEER-H validation study in the dissertation’s referencing, 14], and it tames the leverage the biggest vehicles would otherwise throw on the slope.</w:t>
      </w:r>
    </w:p>
    <w:p>
      <w:pPr>
        <w:pStyle w:val="BodyText"/>
        <w:spacing w:line="480" w:lineRule="auto"/>
        <w:ind w:firstLine="720"/>
      </w:pPr>
      <w:r>
        <w:t xml:space="preserve">The second stand-in is a binary flag for whether a major external partner, an international space agency or another federal body, is aboard, used as a stand-in for coordination-driven scope dependency. The flag gets coded from mission descriptions and from the GAO partnership discussion</w:t>
      </w:r>
      <w:r>
        <w:t xml:space="preserve"> </w:t>
      </w:r>
      <w:hyperlink w:anchor="ref-1">
        <w:r>
          <w:rPr>
            <w:rStyle w:val="Hyperlink"/>
          </w:rPr>
          <w:t xml:space="preserve">[1]</w:t>
        </w:r>
      </w:hyperlink>
      <w:r>
        <w:t xml:space="preserve">, which reports that NASA projects with partners ran markedly more schedule growth than those without. Five of the twenty-six projects carry a major partner. The descriptive gap under this stand-in is a measurement result worth writing down: partner projects in the sample averaged 30.5 percent cost growth against 14.3 percent for non-partner projects, a gap real in the data even where the inferential test on the coefficient runs underpowered. Building the partner flag from documented mission descriptions and the GAO record, rather than from my own call on which collaborations count as a major partner, is what keeps the variable auditable.</w:t>
      </w:r>
    </w:p>
    <w:p>
      <w:pPr>
        <w:pStyle w:val="BodyText"/>
        <w:spacing w:line="480" w:lineRule="auto"/>
        <w:ind w:firstLine="720"/>
      </w:pPr>
      <w:r>
        <w:t xml:space="preserve">A third field, schedule slip in months, stays in paper two’s data file as a descriptive quantity where the GAO documents it, but it deliberately never serves as a regressor. The reason is coverage. A slip figure is missing for some rows, and feeding in a regressor with missing values for some projects would force either dropping those projects or an imputation the primary record will not back. The dissertation’s standing rule is to let a variable into the estimating model only where it is visible across the full roster, so schedule slip gets reported descriptively and kept out of the regression. Paper one runs the same discipline the other way, using the schedule-cost correlation, reported there at 0.391, as a robustness diagnostic rather than a structural regressor.</w:t>
      </w:r>
    </w:p>
    <w:bookmarkEnd w:id="86"/>
    <w:bookmarkStart w:id="87" w:name="X4ababebc7a1d6956dfe66bd58362b1ef6db6477"/>
    <w:p>
      <w:pPr>
        <w:pStyle w:val="Heading2"/>
        <w:spacing w:line="480" w:lineRule="auto"/>
      </w:pPr>
      <w:r>
        <w:t xml:space="preserve">4.8 From Primary Record to Analyzable Variable</w:t>
      </w:r>
    </w:p>
    <w:p>
      <w:pPr>
        <w:pStyle w:val="FirstParagraph"/>
        <w:spacing w:line="480" w:lineRule="auto"/>
      </w:pPr>
      <w:r>
        <w:t xml:space="preserve">Getting from primary record to analyzable variable, both papers keep the pipeline short on purpose and documented at the row level. In paper one each of the twenty-four observations carries its source in the last column of the attached data file, so the provenance of every cost figure and every rebaseline count is recoverable without stepping outside the dataset. In paper two each launch-mass value is cited row by row, the partner flag traces to a named mission description or the GAO partnership discussion, and the two illustrative cost-growth values are flagged where they sit. Row-level provenance is the main defense here. It meets the charge that a quantitative result got assembled out of a black box. A reader can grab any single row, follow its cited source, and check that the committed baseline, the current estimate, the rebaseline count, the mass, and the partner status are each recoverable from the record the row names.</w:t>
      </w:r>
    </w:p>
    <w:p>
      <w:pPr>
        <w:pStyle w:val="BodyText"/>
        <w:spacing w:line="480" w:lineRule="auto"/>
        <w:ind w:firstLine="720"/>
      </w:pPr>
      <w:r>
        <w:t xml:space="preserve">What can the datasets not do? The measurement architecture spells that out too, and the frankness is part of the build. Neither dataset can settle the direction of the cost-modification tie from cross-sectional structure alone, because the modification stream and the cost path both run out across execution; the softener, tying modification intensity to the earlier stretch of execution so the independent variable comes ahead of most of the realized growth in time, is a build choice and not a fix pasted on afterward. Neither dataset sees organizational complexity past the partner flag, so the count of contributing centers, a believable joint driver of modification and overrun, sits outside the measured model and gets named as the obvious next control. And both datasets come from one agency’s baselined record, so the built variables, however clean their provenance, license inference only inside the NASA population sampled. These are traits of the measurement, not thoughts tacked on after it, and the dissertation reports them in just those terms.</w:t>
      </w:r>
    </w:p>
    <w:bookmarkEnd w:id="87"/>
    <w:bookmarkStart w:id="88" w:name="summary-of-the-measurement-design"/>
    <w:p>
      <w:pPr>
        <w:pStyle w:val="Heading2"/>
        <w:spacing w:line="480" w:lineRule="auto"/>
      </w:pPr>
      <w:r>
        <w:t xml:space="preserve">4.9 Summary of the Measurement Design</w:t>
      </w:r>
    </w:p>
    <w:p>
      <w:pPr>
        <w:pStyle w:val="FirstParagraph"/>
        <w:spacing w:line="480" w:lineRule="auto"/>
      </w:pPr>
      <w:r>
        <w:t xml:space="preserve">The two datasets share an object, the formally baselined NASA major project, and a dependent variable, proportional development cost growth figured from the committed baseline, both tied to the recurring GAO assessment series</w:t>
      </w:r>
      <w:r>
        <w:t xml:space="preserve"> </w:t>
      </w:r>
      <w:hyperlink w:anchor="ref-1">
        <w:r>
          <w:rPr>
            <w:rStyle w:val="Hyperlink"/>
          </w:rPr>
          <w:t xml:space="preserve">[1]</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the project-specific Inspector General audits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and The Planetary Society compilations</w:t>
      </w:r>
      <w:r>
        <w:t xml:space="preserve"> </w:t>
      </w:r>
      <w:hyperlink w:anchor="ref-5">
        <w:r>
          <w:rPr>
            <w:rStyle w:val="Hyperlink"/>
          </w:rPr>
          <w:t xml:space="preserve">[5]</w:t>
        </w:r>
      </w:hyperlink>
      <w:r>
        <w:t xml:space="preserve">,</w:t>
      </w:r>
      <w:r>
        <w:t xml:space="preserve"> </w:t>
      </w:r>
      <w:hyperlink w:anchor="ref-13">
        <w:r>
          <w:rPr>
            <w:rStyle w:val="Hyperlink"/>
          </w:rPr>
          <w:t xml:space="preserve">[13]</w:t>
        </w:r>
      </w:hyperlink>
      <w:r>
        <w:t xml:space="preserve">. Where they part is the independent variables. Paper one builds modification intensity from the documented rebaseline history and conditions on a binary commitment-stage technology-readiness control, while paper two builds log launch mass and a partner flag from mission records. The split is on purpose. Paper two’s stand-ins are the conventional, mass-anchored tools of parametric cost estimation</w:t>
      </w:r>
      <w:r>
        <w:t xml:space="preserve"> </w:t>
      </w:r>
      <w:hyperlink w:anchor="ref-14">
        <w:r>
          <w:rPr>
            <w:rStyle w:val="Hyperlink"/>
          </w:rPr>
          <w:t xml:space="preserve">[14]</w:t>
        </w:r>
      </w:hyperlink>
      <w:r>
        <w:t xml:space="preserve">, and their thinness as predictors is the measurement finding that steers the hunt for the pathology off physical scale and onto the governance of requirements. Paper one’s modification-intensity construct is the dissertation’s reply to that steer, an independent variable built to read the modification-approval machine straight off the baseline record. In both papers every measured quantity traces to a named primary source, every band-bounded value is flagged, and every variable is built to be just as fine as the record allows. That discipline, more than any single coefficient, is what licenses the inferential work in the chapters to come.</w:t>
      </w:r>
    </w:p>
    <w:bookmarkEnd w:id="88"/>
    <w:bookmarkEnd w:id="89"/>
    <w:bookmarkStart w:id="96" w:name="chapter-5.-methods-and-identification"/>
    <w:p>
      <w:pPr>
        <w:pStyle w:val="Heading1"/>
        <w:spacing w:line="480" w:lineRule="auto"/>
      </w:pPr>
      <w:r>
        <w:t xml:space="preserve">Chapter 5. Methods and Identification</w:t>
      </w:r>
    </w:p>
    <w:bookmarkStart w:id="90" w:name="X880ac84e66d7c857e33ea2a061e7b182c3147ba"/>
    <w:p>
      <w:pPr>
        <w:pStyle w:val="Heading2"/>
        <w:spacing w:line="480" w:lineRule="auto"/>
      </w:pPr>
      <w:r>
        <w:t xml:space="preserve">5.1 The Estimand and the Posture of the Design</w:t>
      </w:r>
    </w:p>
    <w:p>
      <w:pPr>
        <w:pStyle w:val="FirstParagraph"/>
        <w:spacing w:line="480" w:lineRule="auto"/>
      </w:pPr>
      <w:r>
        <w:t xml:space="preserve">The chapters ahead of this one made the case that requirements creep is not one hopeful estimate slowly playing itself out but an institutional pathology wedged into the modification-approval machine, a machine that weighs each increment by itself and never gathers the built-up drift back against the first commitment. Here I set out how that case gets turned into something testable. The estimand is one conditional association: the partial pull of requirement-modification intensity on proportional cost growth against the committed baseline, with the technical maturity a program carried into commitment held fixed. Every piece of the design is there to estimate that lone quantity believably and to lay it open to a clean defeat, so a null answer reads as the hypothesis losing rather than as a quirk of measurement.</w:t>
      </w:r>
    </w:p>
    <w:p>
      <w:pPr>
        <w:pStyle w:val="BodyText"/>
        <w:spacing w:line="480" w:lineRule="auto"/>
        <w:ind w:firstLine="720"/>
      </w:pPr>
      <w:r>
        <w:t xml:space="preserve">Two traits of the estimand steer the methodological calls that come next. It is a conditional association, not an unconditional one, because the raw correlation between modification activity and overrun tells you nothing by itself. Tougher programs both modify more and overrun more, and an unconditional regression would haul that confound in as though it were the effect worth having. So the maturity control is no ornamental covariate. It carries the weight of identification.</w:t>
      </w:r>
    </w:p>
    <w:p>
      <w:pPr>
        <w:pStyle w:val="BodyText"/>
        <w:spacing w:line="480" w:lineRule="auto"/>
        <w:ind w:firstLine="720"/>
      </w:pPr>
      <w:r>
        <w:t xml:space="preserve">The estimand is a partial effect as well, and its size matters less than whether it endures. The telling evidence is not how big the modification coefficient runs but how steady it holds once the maturity control joins the specification. Were the maturity story to soak scope growth up, the coefficient would slump toward zero the moment readiness was conditioned on. The design is built so the coefficient’s shift between the unconditional and conditional specifications is itself the test, and the chapter takes that shift, not any lone point estimate, as the thing to infer from.</w:t>
      </w:r>
    </w:p>
    <w:p>
      <w:pPr>
        <w:pStyle w:val="BodyText"/>
        <w:spacing w:line="480" w:lineRule="auto"/>
        <w:ind w:firstLine="720"/>
      </w:pPr>
      <w:r>
        <w:t xml:space="preserve">The independent variable’s definition ties back to the systems engineering process documentation, which makes sure that what counts as an approved requirement modification rests on agency practice and not on an invented yardstick</w:t>
      </w:r>
      <w:r>
        <w:t xml:space="preserve"> </w:t>
      </w:r>
      <w:hyperlink w:anchor="ref-1">
        <w:r>
          <w:rPr>
            <w:rStyle w:val="Hyperlink"/>
          </w:rPr>
          <w:t xml:space="preserve">[1]</w:t>
        </w:r>
      </w:hyperlink>
      <w:r>
        <w:t xml:space="preserve">. The technology readiness instrument hands over the outside-rated gauge of commitment-stage difficulty the control vector needs</w:t>
      </w:r>
      <w:r>
        <w:t xml:space="preserve"> </w:t>
      </w:r>
      <w:hyperlink w:anchor="ref-2">
        <w:r>
          <w:rPr>
            <w:rStyle w:val="Hyperlink"/>
          </w:rPr>
          <w:t xml:space="preserve">[2]</w:t>
        </w:r>
      </w:hyperlink>
      <w:r>
        <w:t xml:space="preserve">. The portfolio-tracking literature shows the baseline and its evolution get logged with enough fidelity to make the whole exercise an analyzable object rather than a reconstruction</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All three meanings are set before estimation starts.</w:t>
      </w:r>
    </w:p>
    <w:p>
      <w:pPr>
        <w:pStyle w:val="BodyText"/>
        <w:spacing w:line="480" w:lineRule="auto"/>
        <w:ind w:firstLine="720"/>
      </w:pPr>
      <w:r>
        <w:t xml:space="preserve">Nothing about the construct is left for the fit to settle.</w:t>
      </w:r>
    </w:p>
    <w:bookmarkEnd w:id="90"/>
    <w:bookmarkStart w:id="91" w:name="X33d26e3a4f33c444f7453a56d710bb43bdfe1d7"/>
    <w:p>
      <w:pPr>
        <w:pStyle w:val="Heading2"/>
        <w:spacing w:line="480" w:lineRule="auto"/>
      </w:pPr>
      <w:r>
        <w:t xml:space="preserve">5.2 The Primary Estimator: Conditional Ordinary Least Squares on Rebaseline Intensity</w:t>
      </w:r>
    </w:p>
    <w:p>
      <w:pPr>
        <w:pStyle w:val="FirstParagraph"/>
        <w:spacing w:line="480" w:lineRule="auto"/>
      </w:pPr>
      <w:r>
        <w:t xml:space="preserve">The primary estimator is an ordinary least squares regression of proportional development cost growth on modification intensity, with the commitment-stage maturity flag entered as a control and the model fitted using heteroskedasticity-robust standard errors. Every variable ties back to a primary record. The dependent variable is the ratio of the latest or final development cost estimate to the committed baseline cost, minus one, put as a percentage; baseline and current figures come from the recurring Government Accountability Office assessments of major projects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from the Office of Inspector General project audits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and from the per-mission cost compilations</w:t>
      </w:r>
      <w:r>
        <w:t xml:space="preserve"> </w:t>
      </w:r>
      <w:hyperlink w:anchor="ref-13">
        <w:r>
          <w:rPr>
            <w:rStyle w:val="Hyperlink"/>
          </w:rPr>
          <w:t xml:space="preserve">[13]</w:t>
        </w:r>
      </w:hyperlink>
      <w:r>
        <w:t xml:space="preserve">. The independent variable, modification intensity, is the count of formally approved rebaselines or replans a project takes on between commitment and the reporting cycle, where each rebaseline is the governance act in which a heaped-up stream of approved requirement and configuration modifications gets bundled and re-committed. That build makes the rebaseline count the visible stand-in for cumulative scope growth as agency systems engineering practice sets it</w:t>
      </w:r>
      <w:r>
        <w:t xml:space="preserve"> </w:t>
      </w:r>
      <w:hyperlink w:anchor="ref-1">
        <w:r>
          <w:rPr>
            <w:rStyle w:val="Hyperlink"/>
          </w:rPr>
          <w:t xml:space="preserve">[1]</w:t>
        </w:r>
      </w:hyperlink>
      <w:r>
        <w:t xml:space="preserve">. The maturity control is a flag set to one when a project showed its critical technologies at technology readiness level six by preliminary design review, the usual agency maturity ruler</w:t>
      </w:r>
      <w:r>
        <w:t xml:space="preserve"> </w:t>
      </w:r>
      <w:hyperlink w:anchor="ref-2">
        <w:r>
          <w:rPr>
            <w:rStyle w:val="Hyperlink"/>
          </w:rPr>
          <w:t xml:space="preserve">[2]</w:t>
        </w:r>
      </w:hyperlink>
      <w:r>
        <w:t xml:space="preserve">.</w:t>
      </w:r>
    </w:p>
    <w:p>
      <w:pPr>
        <w:pStyle w:val="BodyText"/>
        <w:spacing w:line="480" w:lineRule="auto"/>
        <w:ind w:firstLine="720"/>
      </w:pPr>
      <w:r>
        <w:t xml:space="preserve">The specification is spare on purpose.</w:t>
      </w:r>
    </w:p>
    <w:p>
      <w:pPr>
        <w:pStyle w:val="BodyText"/>
        <w:spacing w:line="480" w:lineRule="auto"/>
        <w:ind w:firstLine="720"/>
      </w:pPr>
      <w:r>
        <w:t xml:space="preserve">It is not a saturated structural model of cost growth, and it is not built to be, because what I care about is how one coefficient behaves across two nested models, not a fully drawn causal system. A fuller specification would buy the look of sophistication while spending degrees of freedom a small cross-section cannot spare, and it would bury the single comparison the design exists to read. So the estimator hands over five things about the modification coefficient: its point estimate, its robust standard error, its test statistic, its confidence interval, and its shift when the maturity control comes in. Beside those it reports the model fit and the pairwise correlations among the regressors, the correlations there so the coefficient’s endurance can be weighed against the competing story that the two regressors are collinear and the control therefore helpless to budge the effect.</w:t>
      </w:r>
    </w:p>
    <w:p>
      <w:pPr>
        <w:pStyle w:val="BodyText"/>
        <w:spacing w:line="480" w:lineRule="auto"/>
        <w:ind w:firstLine="720"/>
      </w:pPr>
      <w:r>
        <w:t xml:space="preserve">Reaching for heteroskedasticity-robust standard errors is no cosmetic touch. The outcome distribution runs strongly right-skewed, stretching from programs that came in under baseline to programs that blew past it by multiples of their first commitment, and a few enormous overruns swing heavy leverage. Robust standard errors shield the inference from the error-variance unevenness such a distribution breeds, and they do it without forcing a parametric error structure the small sample could not vouch for. The estimator’s spareness and its robust covariance are two sides of one pledge: to claim only what twenty-four observations can honestly hold up, and to claim it under the harshest believable assumption about the error.</w:t>
      </w:r>
    </w:p>
    <w:bookmarkEnd w:id="91"/>
    <w:bookmarkStart w:id="92" w:name="X9c772f00cde8e9ebf22eb786e71c37468eb6a6d"/>
    <w:p>
      <w:pPr>
        <w:pStyle w:val="Heading2"/>
        <w:spacing w:line="480" w:lineRule="auto"/>
      </w:pPr>
      <w:r>
        <w:t xml:space="preserve">5.3 The Secondary Estimator: Scope Proxies and the Disciplining Null</w:t>
      </w:r>
    </w:p>
    <w:p>
      <w:pPr>
        <w:pStyle w:val="FirstParagraph"/>
        <w:spacing w:line="480" w:lineRule="auto"/>
      </w:pPr>
      <w:r>
        <w:t xml:space="preserve">A second estimator, run alongside, regresses development cost growth on two up-front scope stand-ins instead of on the modification stream. The first stand-in is the natural logarithm of spacecraft launch mass, taken as a continuous index of technical scope and complexity; the second is a binary flag for whether a major external partner is aboard, taken as a stand-in for coordination-driven scope dependency. Estimation runs again by ordinary least squares with heteroskedasticity-robust standard errors, and the logarithmic transform of mass follows the standard parametric-estimation habit of treating cost drivers multiplicatively rather than additively, while taming the leverage of the biggest vehicles</w:t>
      </w:r>
      <w:r>
        <w:t xml:space="preserve"> </w:t>
      </w:r>
      <w:hyperlink w:anchor="ref-14">
        <w:r>
          <w:rPr>
            <w:rStyle w:val="Hyperlink"/>
          </w:rPr>
          <w:t xml:space="preserve">[14]</w:t>
        </w:r>
      </w:hyperlink>
      <w:r>
        <w:t xml:space="preserve">.</w:t>
      </w:r>
    </w:p>
    <w:p>
      <w:pPr>
        <w:pStyle w:val="BodyText"/>
        <w:spacing w:line="480" w:lineRule="auto"/>
        <w:ind w:firstLine="720"/>
      </w:pPr>
      <w:r>
        <w:t xml:space="preserve">This second estimator is not out to beat the primary one. Its job is discipline. Mass is the time-worn workhorse of parametric cost estimation, and if physical scale cleanly explained cost growth, the hunt for an institutional pathology would be pointed the wrong way from the start</w:t>
      </w:r>
      <w:r>
        <w:t xml:space="preserve"> </w:t>
      </w:r>
      <w:hyperlink w:anchor="ref-14">
        <w:r>
          <w:rPr>
            <w:rStyle w:val="Hyperlink"/>
          </w:rPr>
          <w:t xml:space="preserve">[14]</w:t>
        </w:r>
      </w:hyperlink>
      <w:r>
        <w:t xml:space="preserve">. The partner flag tries the rival mechanism that coordination load, and not the modification machine, drives overrun, a mechanism the governance literature reads as the friction of many-principal arrangements that has grown as the sector tilted from legacy single-agency programs toward partnership-heavy architectures</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So the second estimator stakes out the two most believable non-organizational stories and asks whether they hold the signal. That they do not, reported plainly as a weak model with rightly pointed but statistically silent coefficients, is what earns the primary estimator the right to move the causal action off physical scale and partnership and onto the modification stream. The disciplined null of the scope model is a precondition for the modification model’s contribution, not a separate win to cheer on its own.</w:t>
      </w:r>
    </w:p>
    <w:bookmarkEnd w:id="92"/>
    <w:bookmarkStart w:id="93" w:name="the-identification-strategy"/>
    <w:p>
      <w:pPr>
        <w:pStyle w:val="Heading2"/>
        <w:spacing w:line="480" w:lineRule="auto"/>
      </w:pPr>
      <w:r>
        <w:t xml:space="preserve">5.4 The Identification Strategy</w:t>
      </w:r>
    </w:p>
    <w:p>
      <w:pPr>
        <w:pStyle w:val="FirstParagraph"/>
        <w:spacing w:line="480" w:lineRule="auto"/>
      </w:pPr>
      <w:r>
        <w:t xml:space="preserve">Identification stands on one defensible claim: that conditioning on commitment-stage technology readiness soaks up the leading confounder of the modification-cost tie. The threat to a causal reading is plain. Modification intensity is not handed out at random. Programs that approve heaps of modifications may do so out of sheer intrinsic difficulty, and that difficulty would push both the modification tally and cost growth, throwing off a false association that has nothing to do with the governance pathology. The identification strategy meets that threat by naming the most believable source of intrinsic difficulty and measuring it head-on. A program whose critical technology elements sit under readiness at commitment is hard in just the way that ought to breed both heavier modification and a larger overrun, and technology readiness level is the usual, outside-rated gauge of that difficulty</w:t>
      </w:r>
      <w:r>
        <w:t xml:space="preserve"> </w:t>
      </w:r>
      <w:hyperlink w:anchor="ref-2">
        <w:r>
          <w:rPr>
            <w:rStyle w:val="Hyperlink"/>
          </w:rPr>
          <w:t xml:space="preserve">[2]</w:t>
        </w:r>
      </w:hyperlink>
      <w:r>
        <w:t xml:space="preserve">. Feeding the commitment-stage readiness spread in as a control vector lifts the leading rival story out of the error term and sets it inside the model, where its explanatory share can be watched rather than assumed.</w:t>
      </w:r>
    </w:p>
    <w:p>
      <w:pPr>
        <w:pStyle w:val="BodyText"/>
        <w:spacing w:line="480" w:lineRule="auto"/>
        <w:ind w:firstLine="720"/>
      </w:pPr>
      <w:r>
        <w:t xml:space="preserve">Read the identification through the comparison the design forces. In the unconditional specification, the modification coefficient holds the full raw association, confound and effect tangled together. In the conditional specification, the readiness control strips out whatever slice of that association traces to commitment-stage difficulty. The gap between the two coefficients is, by construction, how much of the raw scope-growth signal the maturity story soaks up. If that gap runs wide and the conditional coefficient folds, the maturity story does the job and the pathology framing adds nothing. If the gap runs narrow and the coefficient hangs on, the modification stream holds information the readiness gauge lacks. This is not a fully saturated identification, and the chapter does not pretend one control shuts every back door. It is a targeted identification that names the single most believable confounder, measures it with the field’s standard gauge, and reports whether the coefficient rides it out. The strategy’s strength is candor about reach. It claims to have soaked up the leading rival, not every rival imaginable, and it hands over the diagnostic, the coefficient’s shift, that lets a reader judge whether the leading rival was in fact leading.</w:t>
      </w:r>
    </w:p>
    <w:p>
      <w:pPr>
        <w:pStyle w:val="BodyText"/>
        <w:spacing w:line="480" w:lineRule="auto"/>
        <w:ind w:firstLine="720"/>
      </w:pPr>
      <w:r>
        <w:t xml:space="preserve">A second trait of the identification is worth stressing. The pairwise correlation between modification intensity and the maturity flag gets reported exactly so the coefficient’s endurance cannot be waved off as collinearity. Were the two regressors strongly collinear, the control could not budge the modification coefficient at all, and its endurance would tell you nothing. A middling correlation between the regressors, in contrast, means the control holds the statistical room to knock the effect out if the effect were false, so its failure to do so is evidence and not artifact. The identification strategy thus carries its own falsification diagnostic inside the estimation, leaning on no outside assumption the data cannot check.</w:t>
      </w:r>
    </w:p>
    <w:bookmarkEnd w:id="93"/>
    <w:bookmarkStart w:id="94" w:name="threats-to-validity-and-their-bounds"/>
    <w:p>
      <w:pPr>
        <w:pStyle w:val="Heading2"/>
        <w:spacing w:line="480" w:lineRule="auto"/>
      </w:pPr>
      <w:r>
        <w:t xml:space="preserve">5.5 Threats to Validity and Their Bounds</w:t>
      </w:r>
    </w:p>
    <w:p>
      <w:pPr>
        <w:pStyle w:val="FirstParagraph"/>
        <w:spacing w:line="480" w:lineRule="auto"/>
      </w:pPr>
      <w:r>
        <w:t xml:space="preserve">Four threats to validity earn open treatment, and the design fences each rather than claiming to wipe it out. The chapter’s discipline is to put each threat at its strongest, name the softener, and own what the softener leaves hanging.</w:t>
      </w:r>
    </w:p>
    <w:p>
      <w:pPr>
        <w:pStyle w:val="BodyText"/>
        <w:spacing w:line="480" w:lineRule="auto"/>
        <w:ind w:firstLine="720"/>
      </w:pPr>
      <w:r>
        <w:t xml:space="preserve">Residual confounding is the first threat. The maturity control soaks up the most believable rival, but a program’s organizational complexity, the count of contributing centers or international partners, could push both modification and overrun apart from readiness. Multi-organization programs bear management loads a single-agency readiness measure misses</w:t>
      </w:r>
      <w:r>
        <w:t xml:space="preserve"> </w:t>
      </w:r>
      <w:hyperlink w:anchor="ref-1">
        <w:r>
          <w:rPr>
            <w:rStyle w:val="Hyperlink"/>
          </w:rPr>
          <w:t xml:space="preserve">[1]</w:t>
        </w:r>
      </w:hyperlink>
      <w:r>
        <w:t xml:space="preserve">. The softener is to feed a complexity proxy in as a robustness control and report whether the modification coefficient rides out its entry, with the partner flag from the second estimator serving as the obvious way to operationalize coordination load</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The bound is frank. One complexity proxy cannot drain the whole pool of organizational confounders, and the inference is that the modification coefficient survives the most believable complexity control on hand, not that it shrugs off every unseen organizational difference. The design narrows the residual-confounding threat down to whatever organizational difficulty is orthogonal to both commitment-stage readiness and the measured complexity proxy, and it says that residual out loud rather than tucking it away.</w:t>
      </w:r>
    </w:p>
    <w:p>
      <w:pPr>
        <w:pStyle w:val="BodyText"/>
        <w:spacing w:line="480" w:lineRule="auto"/>
        <w:ind w:firstLine="720"/>
      </w:pPr>
      <w:r>
        <w:t xml:space="preserve">Reverse causation is the second threat. The cross-sectional estimator cannot, alone, vouch that modification drives cost growth and not the other way, since a program in money trouble may approve descoping modifications, making cost growth the cause and modification the effect. Because the modification stream and the cost path both run out across execution, a purely contemporaneous estimate cannot sort which way the arrow points. The softener is a matter of timing: tying modification intensity to the earlier stretch of execution, ahead of the bulk of cost growth, so the independent variable comes before most of the outcome it is claimed to explain. The bound is that this timing weakens but does not kill the simultaneity worry, because some descoping can land early and some overrun can be seen coming. Put honestly, a panel design tracking modification and cost quarter by quarter would be needed to fully sort direction, and the cross-sectional estimate should read as pinning down a time-ordered association that fits the pathology, not as proof of one-way causation.</w:t>
      </w:r>
    </w:p>
    <w:p>
      <w:pPr>
        <w:pStyle w:val="BodyText"/>
        <w:spacing w:line="480" w:lineRule="auto"/>
        <w:ind w:firstLine="720"/>
      </w:pPr>
      <w:r>
        <w:t xml:space="preserve">Measuring the independent variable poses the third threat. The rebaseline count scores a trivial procedural replan and a major capability addition the same, so the stand-in is blunt and may flatten or warp the true tie between scope growth and cost. The softener runs two ways. The variable gets normalized against the systems engineering definition of a requirement so the construct rests on agency practice and not on an arbitrary tally</w:t>
      </w:r>
      <w:r>
        <w:t xml:space="preserve"> </w:t>
      </w:r>
      <w:hyperlink w:anchor="ref-1">
        <w:r>
          <w:rPr>
            <w:rStyle w:val="Hyperlink"/>
          </w:rPr>
          <w:t xml:space="preserve">[1]</w:t>
        </w:r>
      </w:hyperlink>
      <w:r>
        <w:t xml:space="preserve">, and the design reports how sensitive the result is to a severity-weighted alternative that tells substantive capability changes from procedural ones. The bound is that even a severity-weighted measure leans on the published record’s read of each modification, and that a blunt stand-in, if anything, tips the estimate toward the null by piling measurement noise onto the regressor. So the threat leans conservative in direction. It makes the test harder to clear, which means a surviving coefficient is evidence despite the measurement bluntness rather than because of it.</w:t>
      </w:r>
    </w:p>
    <w:p>
      <w:pPr>
        <w:pStyle w:val="BodyText"/>
        <w:spacing w:line="480" w:lineRule="auto"/>
        <w:ind w:firstLine="720"/>
      </w:pPr>
      <w:r>
        <w:t xml:space="preserve">External validity is the fourth threat. The population comes from one agency’s baselined-project record, and the pathology, if it turns up, might belong to that governance culture rather than to space-program execution at large. The softener is to cast the inference as conditional on the agency population sampled and to hold off generalizing past it without replication. The portfolio-tracking evidence shows program structure and funding get logged across the wider space-acquisition enterprise, which hints the design travels to other agency records</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The bound is that a design that travels is not a finding that travels. The same estimator run on a differently governed portfolio could hand back a different coefficient, and the contribution is openly scoped to the NASA baselined population until such replication happens. The chapter treats that limit as a mark of disciplined inference rather than a weakness, because over-reaching from one governance culture would be just the unwarranted leap the design is built to dodge.</w:t>
      </w:r>
    </w:p>
    <w:bookmarkEnd w:id="94"/>
    <w:bookmarkStart w:id="95" w:name="what-a-null-result-would-establish"/>
    <w:p>
      <w:pPr>
        <w:pStyle w:val="Heading2"/>
        <w:spacing w:line="480" w:lineRule="auto"/>
      </w:pPr>
      <w:r>
        <w:t xml:space="preserve">5.6 What a Null Result Would Establish</w:t>
      </w:r>
    </w:p>
    <w:p>
      <w:pPr>
        <w:pStyle w:val="FirstParagraph"/>
        <w:spacing w:line="480" w:lineRule="auto"/>
      </w:pPr>
      <w:r>
        <w:t xml:space="preserve">What does the design give up if the conditional coefficient reads null? The chapter ends there. A falsifiable design earns its worth by being willing to lose. Under the null hypothesis, conditional on commitment-stage readiness, modification intensity holds no information about proportional cost growth, and its coefficient tells apart from zero not at all. Should that come to pass, scope growth would sit fully soaked up by the maturity story, and the organizational-pathology framing would add nothing the readiness gauge does not already hand over</w:t>
      </w:r>
      <w:r>
        <w:t xml:space="preserve"> </w:t>
      </w:r>
      <w:hyperlink w:anchor="ref-2">
        <w:r>
          <w:rPr>
            <w:rStyle w:val="Hyperlink"/>
          </w:rPr>
          <w:t xml:space="preserve">[2]</w:t>
        </w:r>
      </w:hyperlink>
      <w:r>
        <w:t xml:space="preserve">. No auxiliary hypothesis waits to catch the fall, and no re-specification would haul the contribution back, because the design rests the whole claim on one coefficient and one comparison. The estimators, the targeted identification, and the open fencing of the four threats are all there so a null result would be a clean defeat of the pathology framing and not a byproduct of weak measurement, a thin sample, or a confounder left unaddressed. The affirmative finding reported in the chapters to come earns its credibility entirely from the willingness, set down here, to have taken that defeat had the data dealt it.</w:t>
      </w:r>
    </w:p>
    <w:bookmarkEnd w:id="95"/>
    <w:bookmarkEnd w:id="96"/>
    <w:bookmarkStart w:id="110" w:name="chapter-6.-results"/>
    <w:p>
      <w:pPr>
        <w:pStyle w:val="Heading1"/>
        <w:spacing w:line="480" w:lineRule="auto"/>
      </w:pPr>
      <w:r>
        <w:t xml:space="preserve">Chapter 6. Results</w:t>
      </w:r>
    </w:p>
    <w:p>
      <w:pPr>
        <w:pStyle w:val="FirstParagraph"/>
        <w:spacing w:line="480" w:lineRule="auto"/>
      </w:pPr>
      <w:r>
        <w:t xml:space="preserve">This chapter lays out and reads the empirical findings from the two studies that hold the quantitative core of the dissertation. The two do complementary work, not repeated work.</w:t>
      </w:r>
    </w:p>
    <w:p>
      <w:pPr>
        <w:pStyle w:val="BodyText"/>
        <w:spacing w:line="480" w:lineRule="auto"/>
        <w:ind w:firstLine="720"/>
      </w:pPr>
      <w:r>
        <w:t xml:space="preserve">The first study (Paper 1) reads scope growth off the modification-approval machine itself, tallying the formally approved rebaselines a project takes on and asking whether that tally forecasts cost growth once commitment-stage technical maturity is held fixed. The second study (Paper 2) reads scope through physical and organizational stand-ins, launch mass and whether a major external partner is aboard, and asks whether those stand-ins shadow cost growth across a partly overlapping population of NASA major projects. Set beside each other, the two studies settle a contest between two rival stories about where the pathology of requirements creep truly sits: in the modification-approval machine that steers scope through execution, or in the blunt physical and structural traits a project locks in at the start. The findings come down hard on the former.</w:t>
      </w:r>
    </w:p>
    <w:p>
      <w:pPr>
        <w:pStyle w:val="BodyText"/>
        <w:spacing w:line="480" w:lineRule="auto"/>
        <w:ind w:firstLine="720"/>
      </w:pPr>
      <w:r>
        <w:t xml:space="preserve">That contrast is the spine of the chapter.</w:t>
      </w:r>
    </w:p>
    <w:p>
      <w:pPr>
        <w:pStyle w:val="BodyText"/>
        <w:spacing w:line="480" w:lineRule="auto"/>
        <w:ind w:firstLine="720"/>
      </w:pPr>
      <w:r>
        <w:t xml:space="preserve">All through the chapter I give the exact estimates the estimators threw off, their standard errors, their test statistics, their p-values, and the model-level fit statistics, and I read each for what it means for the dissertation’s one falsifiable claim. The supporting tables, the formal specification, the data file, and the diagnostic charts live in Appendix A and are not repeated here; the chapter sticks to the numbers and what they mean. Nothing here runs past the estimator output. Where the two studies disagree over how strong the scope-to-cost tie is, that disagreement is a finding in itself, and the closing section handles it as one.</w:t>
      </w:r>
    </w:p>
    <w:bookmarkStart w:id="103" w:name="X620cdca7b61f2cf939cd2a9458e75b4edf94f8d"/>
    <w:p>
      <w:pPr>
        <w:pStyle w:val="Heading2"/>
        <w:spacing w:line="480" w:lineRule="auto"/>
      </w:pPr>
      <w:r>
        <w:t xml:space="preserve">6.1 Study One: The Modification Stream Conditional on Maturity</w:t>
      </w:r>
    </w:p>
    <w:bookmarkStart w:id="97" w:name="the-conditional-specification"/>
    <w:p>
      <w:pPr>
        <w:pStyle w:val="Heading3"/>
        <w:spacing w:line="480" w:lineRule="auto"/>
      </w:pPr>
      <w:r>
        <w:t xml:space="preserve">6.1.1 The conditional specification</w:t>
      </w:r>
    </w:p>
    <w:p>
      <w:pPr>
        <w:pStyle w:val="FirstParagraph"/>
        <w:spacing w:line="480" w:lineRule="auto"/>
      </w:pPr>
      <w:r>
        <w:t xml:space="preserve">The dissertation’s central test is the conditional regression of proportional development cost growth on requirement-modification intensity, with a commitment-stage technology-readiness flag entered as a control. The estimator is ordinary least squares fitted with heteroskedasticity-robust standard errors of the HC1 form, a fitting guard given the strongly right-skewed outcome distribution and the wide spread in project size the data show. The model runs on twenty-four formally baselined NASA major projects, each hauling its primary source in the data file. The spareness is deliberate, a matter of method and not of accident. What I care about is not a fully saturated causal model but how one coefficient, the slope on modification intensity, behaves as the maturity control goes in and comes out.</w:t>
      </w:r>
    </w:p>
    <w:p>
      <w:pPr>
        <w:pStyle w:val="BodyText"/>
        <w:spacing w:line="480" w:lineRule="auto"/>
        <w:ind w:firstLine="720"/>
      </w:pPr>
      <w:r>
        <w:t xml:space="preserve">The conditional specification backs the hypothesis H1 and turns away the null H0. The coefficient on modification intensity, cashed out as the count of formally approved rebaselines a project took on between commitment and the reporting cycle, comes in at 34.4721, with a robust standard error of 14.2314. That yields a test statistic of 2.42 and a p-value of 0.0154. So the coefficient runs positive and tells apart from zero at the usual five percent level, comfortably under it in fact. The point estimate reads directly in substance. With commitment-stage technical maturity held fixed, each further formally approved rebaseline goes with roughly thirty-four and a half percentage points of added proportional cost growth measured against the committed baseline. This is no fringe effect. It sits nowhere near the edge of detectability, it runs at a consequential size, and it is pinned down tightly enough to clear the inferential bar.</w:t>
      </w:r>
    </w:p>
    <w:p>
      <w:pPr>
        <w:pStyle w:val="BodyText"/>
        <w:spacing w:line="480" w:lineRule="auto"/>
        <w:ind w:firstLine="720"/>
      </w:pPr>
      <w:r>
        <w:t xml:space="preserve">Reading this coefficient calls for care. The rebaseline count is not a tally of trivia. Each formally approved rebaseline is the governance act where a heaped-up stream of approved requirement and configuration modifications gets bundled and re-committed. Put another way, it is the point where the modification machine is forced to face, however partly, the combined heft of the increments it has been waving through one at a time. That one more such act goes with thirty-four and a half points of added cost growth fits the dissertation’s reading of requirements creep as an institutional pathology. The rebaseline is the visible face of a deeper failure to gather drift back against the first commitment before the money has gone. The size does not prove causation, a limit taken up below, but it does prove the modification stream carries a quantitatively serious signal about how execution turns out.</w:t>
      </w:r>
    </w:p>
    <w:bookmarkEnd w:id="97"/>
    <w:bookmarkStart w:id="98" w:name="the-maturity-control"/>
    <w:p>
      <w:pPr>
        <w:pStyle w:val="Heading3"/>
        <w:spacing w:line="480" w:lineRule="auto"/>
      </w:pPr>
      <w:r>
        <w:t xml:space="preserve">6.1.2 The maturity control</w:t>
      </w:r>
    </w:p>
    <w:p>
      <w:pPr>
        <w:pStyle w:val="FirstParagraph"/>
        <w:spacing w:line="480" w:lineRule="auto"/>
      </w:pPr>
      <w:r>
        <w:t xml:space="preserve">By its sign, the technology-readiness flag does just what theory forecasts. Significance is another story. The control is coded as a flag set to one when a project showed its critical technologies at technology readiness level six by preliminary design review, the usual agency maturity gauge programs get measured by</w:t>
      </w:r>
      <w:r>
        <w:t xml:space="preserve"> </w:t>
      </w:r>
      <w:hyperlink w:anchor="ref-2">
        <w:r>
          <w:rPr>
            <w:rStyle w:val="Hyperlink"/>
          </w:rPr>
          <w:t xml:space="preserve">[2]</w:t>
        </w:r>
      </w:hyperlink>
      <w:r>
        <w:t xml:space="preserve">. Its coefficient lands at -14.6818, with a standard error of 17.1876 and a p-value of 0.393. The negative sign hangs together in theory. Programs whose critical technologies were ripe at preliminary design review ought to grow less, and the point estimate accordingly trims roughly fifteen percentage points of cost growth off projects that clear the readiness bar. Yet the standard error runs large next to the point estimate, the confidence interval straddles zero, and the coefficient cannot be told from zero at any usual level. So the maturity story shows up in the data pointing the forecast protective way. On its own footing within this sample, it says nothing statistically.</w:t>
      </w:r>
    </w:p>
    <w:p>
      <w:pPr>
        <w:pStyle w:val="BodyText"/>
        <w:spacing w:line="480" w:lineRule="auto"/>
        <w:ind w:firstLine="720"/>
      </w:pPr>
      <w:r>
        <w:t xml:space="preserve">That pattern is exactly what the dissertation’s identification strategy was built to read. The maturity control went in not because it was expected to run the show on cost growth but because it stands for the most believable rival story behind the modification signal. Programs that approve heaps of modifications may do so out of sheer intrinsic difficulty, and that difficulty, flagged by low commitment-stage readiness, would push both heavier modification and a larger overrun</w:t>
      </w:r>
      <w:r>
        <w:t xml:space="preserve"> </w:t>
      </w:r>
      <w:hyperlink w:anchor="ref-2">
        <w:r>
          <w:rPr>
            <w:rStyle w:val="Hyperlink"/>
          </w:rPr>
          <w:t xml:space="preserve">[2]</w:t>
        </w:r>
      </w:hyperlink>
      <w:r>
        <w:t xml:space="preserve">. Were that rival story right, conditioning on readiness ought to soak the modification signal up. That the readiness coefficient comes out imprecise does not touch the test. What counts is whether its entry knocks the modification coefficient aside. The answer, worked out next, is that it does not.</w:t>
      </w:r>
    </w:p>
    <w:p>
      <w:pPr>
        <w:pStyle w:val="BodyText"/>
        <w:spacing w:line="480" w:lineRule="auto"/>
        <w:ind w:firstLine="720"/>
      </w:pPr>
      <w:r>
        <w:t xml:space="preserve">The intercept lands at -9.8696, with a standard error of 15.463 and a p-value of 0.5233. It cannot be told from zero and holds no substantive reading, as befits an intercept in a specification like this. Its value just places the regression surface and holds no inferential interest.</w:t>
      </w:r>
    </w:p>
    <w:bookmarkEnd w:id="98"/>
    <w:bookmarkStart w:id="99" w:name="Xe42c14d68d5f5c3ca2819145303c7a0dfd898cb"/>
    <w:p>
      <w:pPr>
        <w:pStyle w:val="Heading3"/>
        <w:spacing w:line="480" w:lineRule="auto"/>
      </w:pPr>
      <w:r>
        <w:t xml:space="preserve">6.1.3 Coefficient stability: the decisive evidence</w:t>
      </w:r>
    </w:p>
    <w:p>
      <w:pPr>
        <w:pStyle w:val="FirstParagraph"/>
        <w:spacing w:line="480" w:lineRule="auto"/>
      </w:pPr>
      <w:r>
        <w:t xml:space="preserve">The hypothesis the dissertation stakes its contribution on is not, in the end, the bare significance of the modification coefficient in the conditional model. It is how steady that coefficient holds as the maturity control goes in and comes out. The design was built to read one quantity over all: the gap between the unconditional and conditional modification coefficients, which gauges how much of the raw scope-growth signal the maturity story soaks up. Had the organizational-pathology framing added nothing the readiness gauge did not already hand over, conditioning on readiness would fold the modification coefficient toward zero. The empirical question is whether it does.</w:t>
      </w:r>
    </w:p>
    <w:p>
      <w:pPr>
        <w:pStyle w:val="BodyText"/>
        <w:spacing w:line="480" w:lineRule="auto"/>
        <w:ind w:firstLine="720"/>
      </w:pPr>
      <w:r>
        <w:t xml:space="preserve">It does not.</w:t>
      </w:r>
    </w:p>
    <w:p>
      <w:pPr>
        <w:pStyle w:val="BodyText"/>
        <w:spacing w:line="480" w:lineRule="auto"/>
        <w:ind w:firstLine="720"/>
      </w:pPr>
      <w:r>
        <w:t xml:space="preserve">Set the two specifications side by side. In the unconditional specification, with the maturity control left out, the modification-intensity coefficient is 36.19, with a robust standard error of 15.55 and a p-value of 0.020. Bringing in the technology-readiness control nudges that coefficient only to its conditional value of 34.4721. That is a fade of under five percent of the point estimate, and the coefficient stays significant at the five percent level right through the shift. The signal does not duck behind the maturity story; it holds out in front of it. This is the load-bearing result of the dissertation. The modification stream leaves a mark in the baseline record that outlasts the standard maturity control, which means it holds information about cost growth the readiness gauge does not hand over. Under H0, scope growth would have sat fully soaked up by the maturity story and the readiness gauge would have sufficed. The data turn that story away cleanly. The modification coefficient hardly stirs, and no auxiliary hypothesis is needed to haul the contribution back.</w:t>
      </w:r>
    </w:p>
    <w:bookmarkEnd w:id="99"/>
    <w:bookmarkStart w:id="100" w:name="X0eb8802dbe4e0fbf0775c21263bf750c86b3773"/>
    <w:p>
      <w:pPr>
        <w:pStyle w:val="Heading3"/>
        <w:spacing w:line="480" w:lineRule="auto"/>
      </w:pPr>
      <w:r>
        <w:t xml:space="preserve">6.1.4 Model fit and the architecture of the explanation</w:t>
      </w:r>
    </w:p>
    <w:p>
      <w:pPr>
        <w:pStyle w:val="FirstParagraph"/>
        <w:spacing w:line="480" w:lineRule="auto"/>
      </w:pPr>
      <w:r>
        <w:t xml:space="preserve">Fitted on twenty-four observations, the conditional model returns an R-squared of 0.48617 and an adjusted R-squared of 0.43723. The two scope-and-maturity regressors between them hold very nearly half of the swing in proportional cost growth across the sampled projects, and the adjustment for degrees of freedom still leaves better than two-fifths of the variance explained. For a cross-program model of cost growth fitted on two dozen mixed projects covering the whole outcome range, that is a hefty share of explained variation, and it says the modification-and-maturity pair is no sideline correlate of cost growth but a central one.</w:t>
      </w:r>
    </w:p>
    <w:p>
      <w:pPr>
        <w:pStyle w:val="BodyText"/>
        <w:spacing w:line="480" w:lineRule="auto"/>
        <w:ind w:firstLine="720"/>
      </w:pPr>
      <w:r>
        <w:t xml:space="preserve">The overall F-statistic for the model is 3.0611, with a p-value of 0.06814. So the joint test of the two slopes lands just outside the usual five percent threshold for the model as a whole while clearing the ten percent level with room to spare. This pattern, the individual modification coefficient significant at five percent while the joint F-test hugs the margin, makes ready sense given the maturity control’s imprecision. The technology-readiness flag adds to the model’s degrees-of-freedom bill without adding a significant slope of its own, which drags the joint F-statistic down even while the modification coefficient stays individually decisive. Read honestly, the model’s explanatory weight piles into a single regressor, modification intensity, and the joint test shows the dilution a second regressor brings in, one that is theoretically warranted but empirically quiet. The contribution rides on the individual coefficient and its steadiness, not on the joint F-test. On that footing it holds.</w:t>
      </w:r>
    </w:p>
    <w:bookmarkEnd w:id="100"/>
    <w:bookmarkStart w:id="101" w:name="diagnostic-correlations"/>
    <w:p>
      <w:pPr>
        <w:pStyle w:val="Heading3"/>
        <w:spacing w:line="480" w:lineRule="auto"/>
      </w:pPr>
      <w:r>
        <w:t xml:space="preserve">6.1.5 Diagnostic correlations</w:t>
      </w:r>
    </w:p>
    <w:p>
      <w:pPr>
        <w:pStyle w:val="FirstParagraph"/>
        <w:spacing w:line="480" w:lineRule="auto"/>
      </w:pPr>
      <w:r>
        <w:t xml:space="preserve">The modification coefficient’s endurance past the maturity control’s entry could in principle be a quirk of the two regressors sitting nearly orthogonal for the wrong reasons, or of the modification variable simply standing in for delay. The simple correlations shut both worries down. Modification intensity correlates with cost growth at 0.687, a strong bivariate tie that fits the regression result and confirms the conditional coefficient is no frail leftover of partialling. The correlation between modification intensity and the maturity flag runs only -0.269, a faint tie confirming the two regressors are not collinear; so the modification coefficient’s endurance when maturity enters is no quirk of the two variables hauling redundant information. The modification signal and the maturity signal are genuinely apart, which is the condition under which the stability result carries the meaning it is meant to.</w:t>
      </w:r>
    </w:p>
    <w:p>
      <w:pPr>
        <w:pStyle w:val="BodyText"/>
        <w:spacing w:line="480" w:lineRule="auto"/>
        <w:ind w:firstLine="720"/>
      </w:pPr>
      <w:r>
        <w:t xml:space="preserve">A further diagnostic takes on the rival read that the modification count is merely a stand-in for schedule delay, with delay and not scope growth doing the causal work. Schedule slip correlates with cost growth at 0.391, a tie that is real yet markedly fainter than the 0.687 correlation between modification intensity and cost growth. Delay is not the story.</w:t>
      </w:r>
    </w:p>
    <w:p>
      <w:pPr>
        <w:pStyle w:val="BodyText"/>
        <w:spacing w:line="480" w:lineRule="auto"/>
        <w:ind w:firstLine="720"/>
      </w:pPr>
      <w:r>
        <w:t xml:space="preserve">The modification stream shadows cost growth more tightly than bare delay does, which fits modification intensity, and not elapsed time, being the load-bearing variable. The pathology the dissertation names is a pathology of scope governance, not of schedule management, and the relative strength of these two correlations backs putting it there.</w:t>
      </w:r>
    </w:p>
    <w:bookmarkEnd w:id="101"/>
    <w:bookmarkStart w:id="102" w:name="interpretation-of-study-one"/>
    <w:p>
      <w:pPr>
        <w:pStyle w:val="Heading3"/>
        <w:spacing w:line="480" w:lineRule="auto"/>
      </w:pPr>
      <w:r>
        <w:t xml:space="preserve">6.1.6 Interpretation of Study One</w:t>
      </w:r>
    </w:p>
    <w:p>
      <w:pPr>
        <w:pStyle w:val="FirstParagraph"/>
        <w:spacing w:line="480" w:lineRule="auto"/>
      </w:pPr>
      <w:r>
        <w:t xml:space="preserve">Study One’s findings hang together and, jointly, decide the matter. The modification coefficient runs positive, at a consequential size of roughly thirty-four and a half percentage points per rebaseline, significant at the five percent level with a p-value of 0.0154, and, above all, steady to within five percent when the standard maturity control comes in. The maturity control points the theoretically forecast protective way but says nothing statistically, and the diagnostic correlations confirm the modification signal is neither collinear with maturity nor reducible to schedule delay. The model holds close to half of the cross-program swing in cost growth.</w:t>
      </w:r>
    </w:p>
    <w:p>
      <w:pPr>
        <w:pStyle w:val="BodyText"/>
        <w:spacing w:line="480" w:lineRule="auto"/>
        <w:ind w:firstLine="720"/>
      </w:pPr>
      <w:r>
        <w:t xml:space="preserve">In substance, a measurable slice of cost growth sits in the modification-approval machine and not in the first estimate or the blunt technical maturity of the program at commitment. The modification stream carries a mark, and it reads in front of the maturity story rather than behind it. The claim is narrow, and on purpose. The result does not assert that forecasting slips are trivial, nor that maturity is beside the point; the maturity coefficient’s protective sign fits the estimation-and-maturity drivers the literature records staying real</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claim is only that, once the standard maturity control is fixed, programs that took on more approved rebaselines grew more, and that this tie is steady, significant, and not collinear with maturity. The systems engineering machine that codifies how requirements get baselined and changed already logs every input a cumulative-drift checkpoint would draw on to act on this signal during execution instead of after it</w:t>
      </w:r>
      <w:r>
        <w:t xml:space="preserve"> </w:t>
      </w:r>
      <w:hyperlink w:anchor="ref-8">
        <w:r>
          <w:rPr>
            <w:rStyle w:val="Hyperlink"/>
          </w:rPr>
          <w:t xml:space="preserve">[8]</w:t>
        </w:r>
      </w:hyperlink>
      <w:r>
        <w:t xml:space="preserve">.</w:t>
      </w:r>
    </w:p>
    <w:bookmarkEnd w:id="102"/>
    <w:bookmarkEnd w:id="103"/>
    <w:bookmarkStart w:id="108" w:name="Xf75435ff81a1ca4f4c87e3f013e0fb48b144b33"/>
    <w:p>
      <w:pPr>
        <w:pStyle w:val="Heading2"/>
        <w:spacing w:line="480" w:lineRule="auto"/>
      </w:pPr>
      <w:r>
        <w:t xml:space="preserve">6.2 Study Two: Physical and Organizational Scope Proxies</w:t>
      </w:r>
    </w:p>
    <w:bookmarkStart w:id="104" w:name="the-specification-and-its-motivation"/>
    <w:p>
      <w:pPr>
        <w:pStyle w:val="Heading3"/>
        <w:spacing w:line="480" w:lineRule="auto"/>
      </w:pPr>
      <w:r>
        <w:t xml:space="preserve">6.2.1 The specification and its motivation</w:t>
      </w:r>
    </w:p>
    <w:p>
      <w:pPr>
        <w:pStyle w:val="FirstParagraph"/>
        <w:spacing w:line="480" w:lineRule="auto"/>
      </w:pPr>
      <w:r>
        <w:t xml:space="preserve">Study Two swaps the instrument. It comes at the same diagnostic question through a different way of reading scope. Rather than reading scope off the modification machine, it reads scope through two traits fixed at or near a project’s start: the natural logarithm of spacecraft launch mass, taken as a continuous stand-in for technical scope and complexity, and a binary flag for whether a major external partner is aboard, taken as a stand-in for coordination-driven scope dependency. The dependent variable is development cost growth put as a percentage of the project’s first formal baseline. The estimator is again ordinary least squares with HC1 heteroskedasticity-robust standard errors, fitted on twenty-six NASA major projects across the Discovery, Mars Exploration, astrophysics, heliophysics, and human-spaceflight lines. The logarithmic transform of mass follows standard parametric-estimation practice, which treats cost drivers multiplicatively rather than additively and tames the leverage of the very biggest vehicles</w:t>
      </w:r>
      <w:r>
        <w:t xml:space="preserve"> </w:t>
      </w:r>
      <w:hyperlink w:anchor="ref-14">
        <w:r>
          <w:rPr>
            <w:rStyle w:val="Hyperlink"/>
          </w:rPr>
          <w:t xml:space="preserve">[14]</w:t>
        </w:r>
      </w:hyperlink>
      <w:r>
        <w:t xml:space="preserve">.</w:t>
      </w:r>
    </w:p>
    <w:p>
      <w:pPr>
        <w:pStyle w:val="BodyText"/>
        <w:spacing w:line="480" w:lineRule="auto"/>
        <w:ind w:firstLine="720"/>
      </w:pPr>
      <w:r>
        <w:t xml:space="preserve">The two hypotheses point in a direction. H1 holds that the coefficient on log launch mass runs positive, so cost growth climbs with technical scope. H2 holds that the coefficient on the partner flag runs positive, so partner-laden projects, bearing higher coordination load, show larger cost growth. Both hypotheses drop out of the premise that cost growth is the money mark of scope left underspecified at baseline, and that mass and partnership stand in for the ground requirements creep grows on</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The intercept holds no substantive interest. The study’s framing is candid from the start. The authors looked for, and the data bear out, a weak result, and Study Two’s interpretive worth lies less in whether its coefficients reach significance than in what their failure to do so says about where the pathology is to be found.</w:t>
      </w:r>
    </w:p>
    <w:bookmarkEnd w:id="104"/>
    <w:bookmarkStart w:id="105" w:name="the-estimates"/>
    <w:p>
      <w:pPr>
        <w:pStyle w:val="Heading3"/>
        <w:spacing w:line="480" w:lineRule="auto"/>
      </w:pPr>
      <w:r>
        <w:t xml:space="preserve">6.2.2 The estimates</w:t>
      </w:r>
    </w:p>
    <w:p>
      <w:pPr>
        <w:pStyle w:val="FirstParagraph"/>
        <w:spacing w:line="480" w:lineRule="auto"/>
      </w:pPr>
      <w:r>
        <w:t xml:space="preserve">Both slope coefficients land on the forecast side of zero, yet neither tells apart from zero. The coefficient on log launch mass is 1.8218, with a robust standard error of 3.185, a t-statistic of 0.57, and a p-value of 0.5673. The point estimate says a one-unit rise in log mass goes with roughly 1.8 added percentage points of cost growth, a size that fits H1 in direction but is pinned down with a standard error so large next to the coefficient that the confidence interval easily holds zero. So H1 is backed in direction and unbacked in inference. The sign is right, but the data cannot tell the effect from no effect at any usual level.</w:t>
      </w:r>
    </w:p>
    <w:p>
      <w:pPr>
        <w:pStyle w:val="BodyText"/>
        <w:spacing w:line="480" w:lineRule="auto"/>
        <w:ind w:firstLine="720"/>
      </w:pPr>
      <w:r>
        <w:t xml:space="preserve">The partner flag is the bigger of the two estimated effects. Its coefficient is 13.8242, with a robust standard error of 15.6208, a t-statistic of 0.88, and a p-value of 0.3762. The point estimate says partner-laden projects carry about 13.8 added percentage points of cost growth over projects without a major external partner. That is a size of plain policy relevance, bigger than many effects that draw notice in acquisition analysis, yet the standard error tops the coefficient and the confidence interval straddles zero. H2, like H1, fits in direction and misses significance. The intercept lands at 1.5982, with a standard error of 24.8458 and a p-value of 0.9487, indistinguishable from zero and holding no reading.</w:t>
      </w:r>
    </w:p>
    <w:p>
      <w:pPr>
        <w:pStyle w:val="BodyText"/>
        <w:spacing w:line="480" w:lineRule="auto"/>
        <w:ind w:firstLine="720"/>
      </w:pPr>
      <w:r>
        <w:t xml:space="preserve">Across the two coefficients the pattern repeats. The signs are right, the sizes are non-trivial, and the precision falls short of certifying either effect. Substantive and statistical weight part ways here. An effect of roughly fourteen percentage points of cost growth pinned to a major partner would, could it be certified, be a finding of real consequence for portfolio management. The descriptive gap under it is genuine even where the inferential test runs underpowered: partner projects in the sample averaged 30.5 percent cost growth against 14.3 percent for non-partner projects, a gap topping two to one. The inferential machinery simply cannot, on twenty-six observations with a five-project partner subgroup, part that gap from sampling noise.</w:t>
      </w:r>
    </w:p>
    <w:bookmarkEnd w:id="105"/>
    <w:bookmarkStart w:id="106" w:name="model-fit"/>
    <w:p>
      <w:pPr>
        <w:pStyle w:val="Heading3"/>
        <w:spacing w:line="480" w:lineRule="auto"/>
      </w:pPr>
      <w:r>
        <w:t xml:space="preserve">6.2.3 Model fit</w:t>
      </w:r>
    </w:p>
    <w:p>
      <w:pPr>
        <w:pStyle w:val="FirstParagraph"/>
        <w:spacing w:line="480" w:lineRule="auto"/>
      </w:pPr>
      <w:r>
        <w:t xml:space="preserve">The model-level fit bears out how weak the specification is. The R-squared is 0.05836, and the adjusted R-squared runs negative at -0.02352. The two scope stand-ins between them hold under six percent of the swing in cost growth, and once the explained variance is docked for the two degrees of freedom the regressors eat, the adjusted measure tips negative, a sign the model does no better than, and on the adjusted criterion a shade worse than, an intercept-only baseline. The overall F-statistic is 0.50969, with a p-value of 0.60731. The joint null that the two scope stand-ins hold no information about cost growth cannot be turned away at any usual level; the F-test does not even come near significance.</w:t>
      </w:r>
    </w:p>
    <w:p>
      <w:pPr>
        <w:pStyle w:val="BodyText"/>
        <w:spacing w:line="480" w:lineRule="auto"/>
        <w:ind w:firstLine="720"/>
      </w:pPr>
      <w:r>
        <w:t xml:space="preserve">This is a model that holds almost nothing.</w:t>
      </w:r>
    </w:p>
    <w:p>
      <w:pPr>
        <w:pStyle w:val="BodyText"/>
        <w:spacing w:line="480" w:lineRule="auto"/>
        <w:ind w:firstLine="720"/>
      </w:pPr>
      <w:r>
        <w:t xml:space="preserve">The contrast with Study One is stark, and it is the analytical pivot of the chapter. Where the modification-and-maturity model held very nearly half of the cross-program swing in cost growth, the mass-and-partner model holds under one-sixteenth of it, and its adjusted fit runs negative. The simple correlations back the weakness up: log mass correlates with cost growth at 0.16 and the partner flag correlates with cost growth at 0.23, both faint bivariate ties and both far under the 0.687 correlation between modification intensity and cost growth seen in Study One. The right-skewed outcome distribution, a few enormous overruns swinging heavy leverage, further caps the design’s power to certify effects of the size estimated.</w:t>
      </w:r>
    </w:p>
    <w:bookmarkEnd w:id="106"/>
    <w:bookmarkStart w:id="107" w:name="interpretation-of-study-two"/>
    <w:p>
      <w:pPr>
        <w:pStyle w:val="Heading3"/>
        <w:spacing w:line="480" w:lineRule="auto"/>
      </w:pPr>
      <w:r>
        <w:t xml:space="preserve">6.2.4 Interpretation of Study Two</w:t>
      </w:r>
    </w:p>
    <w:p>
      <w:pPr>
        <w:pStyle w:val="FirstParagraph"/>
        <w:spacing w:line="480" w:lineRule="auto"/>
      </w:pPr>
      <w:r>
        <w:t xml:space="preserve">Read plainly, Study Two says scope, gauged bluntly as mass and partnership, is a rightly pointed but empirically thin predictor of cost growth at the level of the individual NASA project. Three non-exclusive readings follow, and each pushes the dissertation’s argument on rather than cutting against it. The first is that the null may be substantive and not a mere quirk of sample size. If requirements creep is truly a pathology, its incidence may ride on program-level institutional conditions, the discipline of the requirements baseline, the steadiness of the funding line, the ripeness of governance, that physical scale catches poorly. A small, mass-modest mission with a shaky requirements process can overrun badly, while a large, partner-heavy mission with tight configuration control can hold its baseline. The wide spread in the data, including projects that came in under baseline, fits creep being an organizational variable mass simply does not see.</w:t>
      </w:r>
    </w:p>
    <w:p>
      <w:pPr>
        <w:pStyle w:val="BodyText"/>
        <w:spacing w:line="480" w:lineRule="auto"/>
        <w:ind w:firstLine="720"/>
      </w:pPr>
      <w:r>
        <w:t xml:space="preserve">The second reading is a power problem. With twenty-six observations, a right-skewed outcome, and a five-project partner subgroup, the design holds limited power to certify effects of the size estimated, and the policy-relevant partner effect of roughly fourteen points reads silent for that reason and not because it is missing. The third reading puts the trouble in the measuring of scope itself. Mass is the time-worn workhorse of parametric estimation</w:t>
      </w:r>
      <w:r>
        <w:t xml:space="preserve"> </w:t>
      </w:r>
      <w:hyperlink w:anchor="ref-14">
        <w:r>
          <w:rPr>
            <w:rStyle w:val="Hyperlink"/>
          </w:rPr>
          <w:t xml:space="preserve">[14]</w:t>
        </w:r>
      </w:hyperlink>
      <w:r>
        <w:t xml:space="preserve">, but the sector’s move from legacy single-agency programs toward partnership-rich and commercially brokered architectures has slackened the mass-to-cost tie that once held</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A scope stand-in built on requirements counts, instrument complexity, or interface density would likely shadow creep more faithfully than launch mass.</w:t>
      </w:r>
    </w:p>
    <w:p>
      <w:pPr>
        <w:pStyle w:val="BodyText"/>
        <w:spacing w:line="480" w:lineRule="auto"/>
        <w:ind w:firstLine="720"/>
      </w:pPr>
      <w:r>
        <w:t xml:space="preserve">Study Two’s contribution is disciplined on purpose. The data neither back nor overturn the claim that requirements creep is an institutional pathology. What they pin down is narrower and still consequential: at the level of physical scale, cost growth is not cleanly mass-driven, which steers the hunt for the pathology off how big a project is and onto how a project’s requirements get governed. That steer, and not a significant coefficient, is the finding Study Two defends, and it is the steer Study One then answers.</w:t>
      </w:r>
    </w:p>
    <w:bookmarkEnd w:id="107"/>
    <w:bookmarkEnd w:id="108"/>
    <w:bookmarkStart w:id="109" w:name="joint-interpretation-of-the-two-studies"/>
    <w:p>
      <w:pPr>
        <w:pStyle w:val="Heading2"/>
        <w:spacing w:line="480" w:lineRule="auto"/>
      </w:pPr>
      <w:r>
        <w:t xml:space="preserve">6.3 Joint Interpretation of the Two Studies</w:t>
      </w:r>
    </w:p>
    <w:p>
      <w:pPr>
        <w:pStyle w:val="FirstParagraph"/>
        <w:spacing w:line="480" w:lineRule="auto"/>
      </w:pPr>
      <w:r>
        <w:t xml:space="preserve">Set together, the two studies make one argument, and it runs stronger than either alone. They share an outcome variable, proportional development cost growth, and they share a population, NASA major projects judged against their formal baselines, yet they part in how they read the independent construct of scope. Study Two reads scope through traits fixed at the start, mass and partnership, and finds those traits hold under six percent of the swing in cost growth, neither stand-in significant and the adjusted fit negative. Study One reads scope through the modification-approval machine that steers the project through execution, and finds the rebaseline count alone, conditional on maturity, holds close to half of the swing, with a coefficient significant and steady against the maturity control.</w:t>
      </w:r>
    </w:p>
    <w:p>
      <w:pPr>
        <w:pStyle w:val="BodyText"/>
        <w:spacing w:line="480" w:lineRule="auto"/>
        <w:ind w:firstLine="720"/>
      </w:pPr>
      <w:r>
        <w:t xml:space="preserve">The juxtaposition is the result. The pathology of requirements creep does not sit in the blunt physical and structural traits a project carries at commitment, the traits an estimation-at-the-start story would put first. It sits in the modification stream that piles up during execution, the stream the modification-approval machine works through increment by increment without ever gathering it back against the first commitment. Study Two clears the ground by showing the obvious physical and organizational stand-ins do not do the explanatory work; Study One takes the cleared ground by showing the modification stream does. The gap in explanatory power, an R-squared of 0.486 against an R-squared of 0.058, is no flaw of one model against the other but the empirical content of the dissertation’s move of the causal story off the estimate and onto the modification-approval machine.</w:t>
      </w:r>
    </w:p>
    <w:p>
      <w:pPr>
        <w:pStyle w:val="BodyText"/>
        <w:spacing w:line="480" w:lineRule="auto"/>
        <w:ind w:firstLine="720"/>
      </w:pPr>
      <w:r>
        <w:t xml:space="preserve">Three caveats fence this joint inference, and they carry forward to the discussion in the following chapter. First, neither study randomizes scope, and the cross-sectional design of both cannot fully sort the direction of the modification-to-cost tie; cost growth could in principle set off descoping modifications rather than the other way, a worry a panel design tying modification intensity to the earlier stretch of execution would soften. Second, both studies condition on one confounder at most, the maturity control in Study One, and organizational complexity, the count of contributing centers or partners, stays a believable omitted driver of both modification and overrun; a complexity proxy is the obvious next control. Third, both samples come from one agency’s baselined record, and the pathology, if it is real, might belong to that governance culture; the portfolio-tracking evidence hints the design travels</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but the inference should read as conditional on the NASA population sampled and not stretched without replication. Inside those bounds the finding holds and is sharp: the modification stream carries a mark, it reads in front of the maturity story rather than behind it, and it is the modification machine, not the physical scale of the program, where the measurable slice of cost growth sits.</w:t>
      </w:r>
    </w:p>
    <w:bookmarkEnd w:id="109"/>
    <w:bookmarkEnd w:id="110"/>
    <w:bookmarkStart w:id="128" w:name="X21322cb5e29cbf4eb576afddcad42f86ace4e0d"/>
    <w:p>
      <w:pPr>
        <w:pStyle w:val="Heading1"/>
        <w:spacing w:line="480" w:lineRule="auto"/>
      </w:pPr>
      <w:r>
        <w:t xml:space="preserve">Chapter 7. Discussion and Governance Implications</w:t>
      </w:r>
    </w:p>
    <w:bookmarkStart w:id="111" w:name="what-the-findings-establish"/>
    <w:p>
      <w:pPr>
        <w:pStyle w:val="Heading2"/>
        <w:spacing w:line="480" w:lineRule="auto"/>
      </w:pPr>
      <w:r>
        <w:t xml:space="preserve">7.1 What the Findings Establish</w:t>
      </w:r>
    </w:p>
    <w:p>
      <w:pPr>
        <w:pStyle w:val="FirstParagraph"/>
        <w:spacing w:line="480" w:lineRule="auto"/>
      </w:pPr>
      <w:r>
        <w:t xml:space="preserve">Two regressions make up the empirical core of this dissertation, and read together they aim the same way. The first pins a measurable slice of development cost growth to the modification-approval machine of formally baselined NASA major projects. Across twenty-four projects, requirement-modification intensity, cashed out as the count of formally approved rebaselines a project took on between its Agency Baseline Commitment and the reporting cycle, runs positively and significantly with proportional development cost growth, at a coefficient of 34.47, a robust standard error of 14.23, and a p-value of 0.0154. Each further approved rebaseline goes with roughly thirty-four and a half percentage points of added cost growth against the committed baseline. Tellingly, that coefficient hardly stirs when the commitment-stage technology readiness control comes in, fading from 36.19 to 34.47, a fade of under five percent, while staying significant throughout. The maturity story does not talk the signal away.</w:t>
      </w:r>
    </w:p>
    <w:p>
      <w:pPr>
        <w:pStyle w:val="BodyText"/>
        <w:spacing w:line="480" w:lineRule="auto"/>
        <w:ind w:firstLine="720"/>
      </w:pPr>
      <w:r>
        <w:t xml:space="preserve">A matching negative result comes out of the second regression. It sharpens how the first one reads. When scope gets gauged bluntly, as the natural logarithm of launch mass and a binary partner flag across twenty-six projects, neither stand-in tells apart from zero. Log mass loads positive at 1.82 but with a confidence interval that easily holds zero, and the partner flag loads at 13.8 percentage points, policy-relevant in size yet statistically silent. The model holds very little of the swing in cost growth, at an R-squared of 0.058 and an adjusted R-squared that runs negative. The joint null that physical scope holds no information about overruns cannot be turned away.</w:t>
      </w:r>
    </w:p>
    <w:p>
      <w:pPr>
        <w:pStyle w:val="BodyText"/>
        <w:spacing w:line="480" w:lineRule="auto"/>
        <w:ind w:firstLine="720"/>
      </w:pPr>
      <w:r>
        <w:t xml:space="preserve">The juxtaposition is the contribution. Physical scale, the time-worn workhorse of parametric cost estimation</w:t>
      </w:r>
      <w:r>
        <w:t xml:space="preserve"> </w:t>
      </w:r>
      <w:hyperlink w:anchor="ref-2">
        <w:r>
          <w:rPr>
            <w:rStyle w:val="Hyperlink"/>
          </w:rPr>
          <w:t xml:space="preserve">[2]</w:t>
        </w:r>
      </w:hyperlink>
      <w:r>
        <w:t xml:space="preserve">,</w:t>
      </w:r>
      <w:r>
        <w:t xml:space="preserve"> </w:t>
      </w:r>
      <w:hyperlink w:anchor="ref-14">
        <w:r>
          <w:rPr>
            <w:rStyle w:val="Hyperlink"/>
          </w:rPr>
          <w:t xml:space="preserve">[14]</w:t>
        </w:r>
      </w:hyperlink>
      <w:r>
        <w:t xml:space="preserve">, does not cleanly drive overruns at the level of the individual NASA project, while the intensity of the modification stream does. That moves the hunt for the pathology off how big a project is and onto how a project’s requirements get governed over execution. The conventional read of baseline departure, which parks the fault at the moment of commitment, where planners ran hopeful or the contractor came in low, is not overturned; the maturity coefficient points the forecast protective way, and the drivers the joint-program and parametric literatures name stay real</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 But the conventional read comes out incomplete. A program that never gathers its cumulative modification drift back against the first commitment is, by construction, blind to a signal you can read from outside, and that signal is the load-bearing variable this dissertation set out to find.</w:t>
      </w:r>
    </w:p>
    <w:p>
      <w:pPr>
        <w:pStyle w:val="BodyText"/>
        <w:spacing w:line="480" w:lineRule="auto"/>
        <w:ind w:firstLine="720"/>
      </w:pPr>
      <w:r>
        <w:t xml:space="preserve">Who has to act on these findings? The chapter reads them for those institutions. Section 7.2 works through what they mean for NASA program management at the portfolio and governance-design level. Section 7.3 takes up what they mean for decisions at a major implementing center, with the Jet Propulsion Laboratory standing in for a center that carries an outsized share of the agency’s high-complexity, partner-laden flight projects. Section 7.4 meets the limits of the inference head-on, telling the threats that fence the claim from the ones that would overturn it. Section 7.5 lays out the research program the findings open.</w:t>
      </w:r>
    </w:p>
    <w:bookmarkEnd w:id="111"/>
    <w:bookmarkStart w:id="115" w:name="implications-for-nasa-program-management"/>
    <w:p>
      <w:pPr>
        <w:pStyle w:val="Heading2"/>
        <w:spacing w:line="480" w:lineRule="auto"/>
      </w:pPr>
      <w:r>
        <w:t xml:space="preserve">7.2 Implications for NASA Program Management</w:t>
      </w:r>
    </w:p>
    <w:bookmarkStart w:id="112" w:name="X7c7434af91bc1449c5c61dbcc7b9689e378da5f"/>
    <w:p>
      <w:pPr>
        <w:pStyle w:val="Heading3"/>
        <w:spacing w:line="480" w:lineRule="auto"/>
      </w:pPr>
      <w:r>
        <w:t xml:space="preserve">7.2.1 The Cumulative-Drift Checkpoint as a Governance Object</w:t>
      </w:r>
    </w:p>
    <w:p>
      <w:pPr>
        <w:pStyle w:val="FirstParagraph"/>
        <w:spacing w:line="480" w:lineRule="auto"/>
      </w:pPr>
      <w:r>
        <w:t xml:space="preserve">Governance redesign, and not a sharper point estimate at commitment, is the single most actionable thing the modification-intensity finding implies. If the tie between rebaseline intensity and cost growth is causal, then the structural fault is not that estimates come out wrong but that no node in the governance machine gathers the combined heft of approved modifications back against the first commitment until the money has already gone. Each modification gets a review, a defense, and a sign-off from a body weighing that increment by itself. The pathology is the missing aggregation. It is not the presence of error.</w:t>
      </w:r>
    </w:p>
    <w:p>
      <w:pPr>
        <w:pStyle w:val="BodyText"/>
        <w:spacing w:line="480" w:lineRule="auto"/>
        <w:ind w:firstLine="720"/>
      </w:pPr>
      <w:r>
        <w:t xml:space="preserve">What drops out of that diagnosis is a cumulative-drift checkpoint: a governance node built for one job, to bundle approved modifications against the baseline of record and force a re-commitment call before the money goes. The findings say something specific about whether such a checkpoint is feasible. The systems engineering machine already logs every input it would draw on, because requirements baselining and change control are codified technical and management activities and not loose practices</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 The modification record is an auditable trail already sitting there. Nothing new wants building.</w:t>
      </w:r>
    </w:p>
    <w:p>
      <w:pPr>
        <w:pStyle w:val="BodyText"/>
        <w:spacing w:line="480" w:lineRule="auto"/>
        <w:ind w:firstLine="720"/>
      </w:pPr>
      <w:r>
        <w:t xml:space="preserve">What is missing is not the data but the institutional act of reading it cumulatively. A program that has signed off on its fourth rebaseline has left, in its own configuration-management record, the exact fingerprint the regression reads off twenty-four projects at once. The checkpoint asks only that the program read its own fingerprint before the fourth rebaseline is committed, rather than after.</w:t>
      </w:r>
    </w:p>
    <w:p>
      <w:pPr>
        <w:pStyle w:val="BodyText"/>
        <w:spacing w:line="480" w:lineRule="auto"/>
        <w:ind w:firstLine="720"/>
      </w:pPr>
      <w:r>
        <w:t xml:space="preserve">Building such a checkpoint has to honor the lesson of the human-systems-integration process literature, which shows that on multi-organization programs like the lunar Gateway the technical and management processes steering requirements have to be spelled out and put in place, not assumed to run on their own</w:t>
      </w:r>
      <w:r>
        <w:t xml:space="preserve"> </w:t>
      </w:r>
      <w:hyperlink w:anchor="ref-1">
        <w:r>
          <w:rPr>
            <w:rStyle w:val="Hyperlink"/>
          </w:rPr>
          <w:t xml:space="preserve">[1]</w:t>
        </w:r>
      </w:hyperlink>
      <w:r>
        <w:t xml:space="preserve">. A cumulative-drift checkpoint that gets announced but not funded, that has no owner with the standing to halt a re-commitment, would only breed back the very separability it is meant to heal. The checkpoint has to be a standing governance node with a set trigger, a threshold on cumulative modification intensity normalized to baseline scope, and a set decision right, the standing to demand a full re-commitment or termination review once the threshold is crossed.</w:t>
      </w:r>
    </w:p>
    <w:bookmarkEnd w:id="112"/>
    <w:bookmarkStart w:id="113" w:name="X6e1e20af219b7c36297c7d0920775b7aa1d1667"/>
    <w:p>
      <w:pPr>
        <w:pStyle w:val="Heading3"/>
        <w:spacing w:line="480" w:lineRule="auto"/>
      </w:pPr>
      <w:r>
        <w:t xml:space="preserve">7.2.2 Portfolio-Level Triage and the Limits of Mass-Based Heuristics</w:t>
      </w:r>
    </w:p>
    <w:p>
      <w:pPr>
        <w:pStyle w:val="FirstParagraph"/>
        <w:spacing w:line="480" w:lineRule="auto"/>
      </w:pPr>
      <w:r>
        <w:t xml:space="preserve">A governance implication drops out of the mass-and-partnership null too, and program managers should sit uneasy with it. The agency’s gut triage rules of thumb, which throw scrutiny at the largest and most partner-laden projects, get poor backing from the data at the level of percentage cost growth. A small, mass-modest mission with a shaky requirements process can overrun badly, while a large, partner-heavy mission with tight configuration control can hold its baseline; the wide spread in the data, the projects that came in under baseline included, fits cost growth being an organizational variable physical scale does not see.</w:t>
      </w:r>
    </w:p>
    <w:p>
      <w:pPr>
        <w:pStyle w:val="BodyText"/>
        <w:spacing w:line="480" w:lineRule="auto"/>
        <w:ind w:firstLine="720"/>
      </w:pPr>
      <w:r>
        <w:t xml:space="preserve">None of this says large or partnered projects earn less oversight. The partner subgroup did average 30.5 percent cost growth against 14.3 percent for non-partner projects, and the coordination friction documented across the legacy-to-partnership shift is real</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It says mass and partnership are poor sorting variables for forecasting which projects will breach baseline, and that an oversight regime resting on them will spend attention in the wrong places. The modification-intensity finding hands over a better sorting variable. Because rebaseline counts pile up in plain view over execution, a portfolio office can rank projects by their realized modification intensity at each reporting cycle and steer cumulative-drift review toward the projects whose modification streams are speeding up, whatever their mass or partnership status. This rule of thumb is harder to run, since it asks the portfolio office to keep the normalized modification record across the whole portfolio, but it rests on the variable the data mark as load-bearing rather than on the variable that is merely easy to watch.</w:t>
      </w:r>
    </w:p>
    <w:bookmarkEnd w:id="113"/>
    <w:bookmarkStart w:id="114" w:name="X282063212dff30c1da09ebda7341c1edada82a3"/>
    <w:p>
      <w:pPr>
        <w:pStyle w:val="Heading3"/>
        <w:spacing w:line="480" w:lineRule="auto"/>
      </w:pPr>
      <w:r>
        <w:t xml:space="preserve">7.2.3 Reconciling the Two Findings for the Practitioner</w:t>
      </w:r>
    </w:p>
    <w:p>
      <w:pPr>
        <w:pStyle w:val="FirstParagraph"/>
        <w:spacing w:line="480" w:lineRule="auto"/>
      </w:pPr>
      <w:r>
        <w:t xml:space="preserve">A practitioner holding both results might fairly ask: how can a scope variable say nothing in one regression while a scope-derived variable decides the matter in another? The answer is that the two papers gauge scope at different points in the program life cycle and with different instruments. Launch mass is an up-front stand-in locked near the concept stage, the stance parametric estimation takes precisely because it parks the causal action at commitment</w:t>
      </w:r>
      <w:r>
        <w:t xml:space="preserve"> </w:t>
      </w:r>
      <w:hyperlink w:anchor="ref-2">
        <w:r>
          <w:rPr>
            <w:rStyle w:val="Hyperlink"/>
          </w:rPr>
          <w:t xml:space="preserve">[2]</w:t>
        </w:r>
      </w:hyperlink>
      <w:r>
        <w:t xml:space="preserve">,</w:t>
      </w:r>
      <w:r>
        <w:t xml:space="preserve"> </w:t>
      </w:r>
      <w:hyperlink w:anchor="ref-14">
        <w:r>
          <w:rPr>
            <w:rStyle w:val="Hyperlink"/>
          </w:rPr>
          <w:t xml:space="preserve">[14]</w:t>
        </w:r>
      </w:hyperlink>
      <w:r>
        <w:t xml:space="preserve">. Rebaseline intensity is an after-the-fact stand-in that piles up over execution and catches the governance machine in motion. The larger claim is that the causal action has been placed wrong. It is not chiefly at commitment, where mass is locked and estimates get made, but out in execution, where modifications get approved one at a time and never gathered up. That the up-front scope stand-in says nothing while the after-the-fact modification stand-in decides the matter is no contradiction; it is the argument’s central pattern of evidence. The pathology lives in execution-stage governance. An instrument that only watches the program at commitment will never see it.</w:t>
      </w:r>
    </w:p>
    <w:bookmarkEnd w:id="114"/>
    <w:bookmarkEnd w:id="115"/>
    <w:bookmarkStart w:id="119" w:name="implications-for-jpl-decision-making"/>
    <w:p>
      <w:pPr>
        <w:pStyle w:val="Heading2"/>
        <w:spacing w:line="480" w:lineRule="auto"/>
      </w:pPr>
      <w:r>
        <w:t xml:space="preserve">7.3 Implications for JPL Decision-Making</w:t>
      </w:r>
    </w:p>
    <w:bookmarkStart w:id="116" w:name="X59aca563ae4ba8127d601d287f338f26bbad7a0"/>
    <w:p>
      <w:pPr>
        <w:pStyle w:val="Heading3"/>
        <w:spacing w:line="480" w:lineRule="auto"/>
      </w:pPr>
      <w:r>
        <w:t xml:space="preserve">7.3.1 The Center as a Concentrator of Modification Risk</w:t>
      </w:r>
    </w:p>
    <w:p>
      <w:pPr>
        <w:pStyle w:val="FirstParagraph"/>
        <w:spacing w:line="480" w:lineRule="auto"/>
      </w:pPr>
      <w:r>
        <w:t xml:space="preserve">A major implementing center like the Jet Propulsion Laboratory holds a distinctive spot in the causal story this dissertation tells, because such centers pile up the agency’s high-complexity, technology-forward, partner-laden flight projects. These are just the projects whose critical technologies most often sit under readiness at commitment and whose execution most often throws off a heavy modification stream. The findings bite hard at the center level. The center cannot lean on the agency-level commitment review to shield it, because that review runs at the moment when mass is locked and modifications have not begun. The variable that forecasts the center’s cost outcomes is one the center itself throws off during execution, and so one the center itself can govern.</w:t>
      </w:r>
    </w:p>
    <w:p>
      <w:pPr>
        <w:pStyle w:val="BodyText"/>
        <w:spacing w:line="480" w:lineRule="auto"/>
        <w:ind w:firstLine="720"/>
      </w:pPr>
      <w:r>
        <w:t xml:space="preserve">That shifts a real slice of cost-control authority. It moves off the agency and onto the center. If modification intensity is the load-bearing variable, then the center’s internal change-control board is the near governance node that sets a project’s cost path. The board that signs off on a fourth rebaseline is not making a neutral administrative call; it is, on the evidence, locking the project into a cost-growth distribution markedly worse than the board that holds the line at one or two. The finding does not tell the board which individual modifications to turn down, since the rebaseline count is a blunt stand-in that scores a major capability addition and a procedural replan the same. It tells the board to stand up, at its own level, the cumulative-drift checkpoint the agency-level analysis calls for, so the center meets its own piling drift before the money reaches the agency baseline.</w:t>
      </w:r>
    </w:p>
    <w:bookmarkEnd w:id="116"/>
    <w:bookmarkStart w:id="117" w:name="Xc8c6aecbe2015a8b9fdde7557ab9e72683a2677"/>
    <w:p>
      <w:pPr>
        <w:pStyle w:val="Heading3"/>
        <w:spacing w:line="480" w:lineRule="auto"/>
      </w:pPr>
      <w:r>
        <w:t xml:space="preserve">7.3.2 Technology Maturity Is Necessary but Not Sufficient at the Center</w:t>
      </w:r>
    </w:p>
    <w:p>
      <w:pPr>
        <w:pStyle w:val="FirstParagraph"/>
        <w:spacing w:line="480" w:lineRule="auto"/>
      </w:pPr>
      <w:r>
        <w:t xml:space="preserve">A center that takes pride in technical reach is institutionally inclined to treat technology readiness as the master lever on cost risk, because low-readiness technology is the visible source of difficulty at commitment. The findings temper that inclination without upending it. The maturity control did what theory forecasts, pointing the protective way, with programs whose critical technologies reached readiness level six by preliminary design review tending to grow less. But the maturity coefficient missed significance, and, tellingly, it did not knock the modification signal aside. For center decisions this means ripening the technology base is necessary but not sufficient. A center can push every critical technology element to readiness level six and still take on a cost-growth distribution driven by an ungoverned modification stream, because the two variables tie only faintly, at -0.269 in the data. A center that pours everything into technology ripening and lets modification governance slide is tuning one input while leaving the more predictive one loose.</w:t>
      </w:r>
    </w:p>
    <w:bookmarkEnd w:id="117"/>
    <w:bookmarkStart w:id="118" w:name="Xec83061c9299751388294a37d66341c3a6c52d3"/>
    <w:p>
      <w:pPr>
        <w:pStyle w:val="Heading3"/>
        <w:spacing w:line="480" w:lineRule="auto"/>
      </w:pPr>
      <w:r>
        <w:t xml:space="preserve">7.3.3 The Center’s Stake in Severity-Weighted Modification Accounting</w:t>
      </w:r>
    </w:p>
    <w:p>
      <w:pPr>
        <w:pStyle w:val="FirstParagraph"/>
        <w:spacing w:line="480" w:lineRule="auto"/>
      </w:pPr>
      <w:r>
        <w:t xml:space="preserve">Because a center is where individual modifications actually get adjudicated, it is also the institution best placed to sharpen the blunt rebaseline stand-in into the severity-weighted measure the analysis marks as the obvious next step. The center sees not just that a modification cleared but what it changed, how much interface it stirred, and how much fresh capability it added. A center that starts logging modifications with a severity weight, telling a major capability addition from a procedural replan, would throw off, at the project level, the very dataset that would hone the dissertation’s independent variable into a truer instrument. Here the institution that most needs the governance discipline is also the one that can most easily make the data to check and refine it. So the center’s move to severity-weighted modification accounting is both a control step and a research contribution.</w:t>
      </w:r>
    </w:p>
    <w:p>
      <w:pPr>
        <w:pStyle w:val="BodyText"/>
        <w:spacing w:line="480" w:lineRule="auto"/>
        <w:ind w:firstLine="720"/>
      </w:pPr>
      <w:r>
        <w:t xml:space="preserve">The two do not come apart.</w:t>
      </w:r>
    </w:p>
    <w:bookmarkEnd w:id="118"/>
    <w:bookmarkEnd w:id="119"/>
    <w:bookmarkStart w:id="125" w:name="limitations"/>
    <w:p>
      <w:pPr>
        <w:pStyle w:val="Heading2"/>
        <w:spacing w:line="480" w:lineRule="auto"/>
      </w:pPr>
      <w:r>
        <w:t xml:space="preserve">7.4 Limitations</w:t>
      </w:r>
    </w:p>
    <w:p>
      <w:pPr>
        <w:pStyle w:val="FirstParagraph"/>
        <w:spacing w:line="480" w:lineRule="auto"/>
      </w:pPr>
      <w:r>
        <w:t xml:space="preserve">The contribution holds inside bounds, and those bounds want stating plainly. A finding whose limits are hidden is worth less than a weaker finding whose limits are owned.</w:t>
      </w:r>
    </w:p>
    <w:p>
      <w:pPr>
        <w:pStyle w:val="BodyText"/>
        <w:spacing w:line="480" w:lineRule="auto"/>
        <w:ind w:firstLine="720"/>
      </w:pPr>
      <w:r>
        <w:t xml:space="preserve">Five bounds matter, and each gets its turn.</w:t>
      </w:r>
    </w:p>
    <w:bookmarkStart w:id="120" w:name="identification-and-residual-confounding"/>
    <w:p>
      <w:pPr>
        <w:pStyle w:val="Heading3"/>
        <w:spacing w:line="480" w:lineRule="auto"/>
      </w:pPr>
      <w:r>
        <w:t xml:space="preserve">7.4.1 Identification and Residual Confounding</w:t>
      </w:r>
    </w:p>
    <w:p>
      <w:pPr>
        <w:pStyle w:val="FirstParagraph"/>
        <w:spacing w:line="480" w:lineRule="auto"/>
      </w:pPr>
      <w:r>
        <w:t xml:space="preserve">Modification intensity is not handed out at random. The maturity control soaks up the most believable confounder, intrinsic technical difficulty as rated by the usual readiness gauge, but it does not soak up every rival. The most pressing leftover is organizational complexity, the count of contributing centers or external partners, which could push both modification and overrun apart from readiness. The human-systems-integration evidence from the Gateway program shows multi-organization programs bear distinct and heavy management loads</w:t>
      </w:r>
      <w:r>
        <w:t xml:space="preserve"> </w:t>
      </w:r>
      <w:hyperlink w:anchor="ref-1">
        <w:r>
          <w:rPr>
            <w:rStyle w:val="Hyperlink"/>
          </w:rPr>
          <w:t xml:space="preserve">[1]</w:t>
        </w:r>
      </w:hyperlink>
      <w:r>
        <w:t xml:space="preserve">, and the second paper’s partner descriptive gap, 30.5 percent against 14.3 percent, fits complexity pulling on its own. A complexity proxy is the obvious next control, and until it enters the model, the modification coefficient should read as conditional on commitment-stage maturity alone and not on the whole set of organizational confounders. The honest stance is that the finding rides out the single most believable rival and has not yet met the second most believable one.</w:t>
      </w:r>
    </w:p>
    <w:bookmarkEnd w:id="120"/>
    <w:bookmarkStart w:id="121" w:name="measurement-of-the-independent-variable"/>
    <w:p>
      <w:pPr>
        <w:pStyle w:val="Heading3"/>
        <w:spacing w:line="480" w:lineRule="auto"/>
      </w:pPr>
      <w:r>
        <w:t xml:space="preserve">7.4.2 Measurement of the Independent Variable</w:t>
      </w:r>
    </w:p>
    <w:p>
      <w:pPr>
        <w:pStyle w:val="FirstParagraph"/>
        <w:spacing w:line="480" w:lineRule="auto"/>
      </w:pPr>
      <w:r>
        <w:t xml:space="preserve">The rebaseline count is a blunt stand-in. It scores a major capability addition and a procedural replan as the same unit, though the governance load and cost fallout of the two plainly differ. This measurement bluntness cuts both ways. It could flatten the true tie, if trivial replans pile on noise that dilutes the signal, in which case the estimated coefficient undersells the pull of substantive modifications. Or it could puff the tie up, if a few severe modifications ride alongside the big overruns and the count happens to shadow them. The severity-weighted alternative is the fix, and its absence is a real limit and not a cosmetic one, because the policy call, a cumulative-drift checkpoint with a threshold on normalized modification intensity, leans on a defensible definition of what counts as a unit of drift. The systems engineering definition of a requirement gives the definitional footing</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 but the weighting scheme still wants building and checking.</w:t>
      </w:r>
    </w:p>
    <w:bookmarkEnd w:id="121"/>
    <w:bookmarkStart w:id="122" w:name="X7c2126f71379fc3d1c59b0def0359893bf4a2e7"/>
    <w:p>
      <w:pPr>
        <w:pStyle w:val="Heading3"/>
        <w:spacing w:line="480" w:lineRule="auto"/>
      </w:pPr>
      <w:r>
        <w:t xml:space="preserve">7.4.3 Reverse Causation and Cross-Sectional Design</w:t>
      </w:r>
    </w:p>
    <w:p>
      <w:pPr>
        <w:pStyle w:val="FirstParagraph"/>
        <w:spacing w:line="480" w:lineRule="auto"/>
      </w:pPr>
      <w:r>
        <w:t xml:space="preserve">The cross-sectional design cannot fully sort direction. Cost growth could in principle set off descoping modifications rather than the other way, because a program in money trouble may rebaseline to shed scope. The softener on hand within the present design is partial: tying modification intensity to the earlier stretch of execution, ahead of the bulk of cost growth, so the independent variable comes before most of the outcome in time. But a clean sorting wants a panel design that watches the modification stream and the cost path at one point after another inside each program, and the present data will not carry it. The robustness note that schedule slip correlates with cost growth at 0.391, fainter than the 0.687 modification correlation, hints that modification intensity and not bare delay is load-bearing, yet it is no substitute for time-ordered identification. The directional inference should read as provisional, pending a longitudinal extension.</w:t>
      </w:r>
    </w:p>
    <w:bookmarkEnd w:id="122"/>
    <w:bookmarkStart w:id="123" w:name="statistical-power-and-sample-composition"/>
    <w:p>
      <w:pPr>
        <w:pStyle w:val="Heading3"/>
        <w:spacing w:line="480" w:lineRule="auto"/>
      </w:pPr>
      <w:r>
        <w:t xml:space="preserve">7.4.4 Statistical Power and Sample Composition</w:t>
      </w:r>
    </w:p>
    <w:p>
      <w:pPr>
        <w:pStyle w:val="FirstParagraph"/>
        <w:spacing w:line="480" w:lineRule="auto"/>
      </w:pPr>
      <w:r>
        <w:t xml:space="preserve">Both analyses rest on small samples, twenty-four and twenty-six projects, drawn from a population of formally baselined major projects that is itself small. Power is the binding constraint. The second paper’s null is partly a power problem: with twenty-six observations, a strongly right-skewed outcome, and a five-project partner subgroup, the design holds limited power to certify effects of the size estimated. The partner effect of roughly fourteen points is policy-relevant in size even while it reads silent, and the fitting inference is that the data neither back nor overturn the partnership mechanism, not that the mechanism is missing. The first paper’s positive result is sturdier, riding out the maturity control and not being a collinearity quirk, yet it too rests on a sample where a few enormous overruns, like Dragonfly’s growth from an eight-hundred-fifty-million-dollar cap to a three-and-a-third-billion-dollar baseline across four documented replans</w:t>
      </w:r>
      <w:r>
        <w:t xml:space="preserve"> </w:t>
      </w:r>
      <w:hyperlink w:anchor="ref-11">
        <w:r>
          <w:rPr>
            <w:rStyle w:val="Hyperlink"/>
          </w:rPr>
          <w:t xml:space="preserve">[11]</w:t>
        </w:r>
      </w:hyperlink>
      <w:r>
        <w:t xml:space="preserve">, swing heavy leverage. Leave-one-out resampling and robust estimation shield against single-program dominance, but they cannot conjure statistical power the population does not hold. The findings should read as the strongest inference the existing baselined record carries, not as the settled quantitative law a larger panel might one day certify.</w:t>
      </w:r>
    </w:p>
    <w:bookmarkEnd w:id="123"/>
    <w:bookmarkStart w:id="124" w:name="external-validity"/>
    <w:p>
      <w:pPr>
        <w:pStyle w:val="Heading3"/>
        <w:spacing w:line="480" w:lineRule="auto"/>
      </w:pPr>
      <w:r>
        <w:t xml:space="preserve">7.4.5 External Validity</w:t>
      </w:r>
    </w:p>
    <w:p>
      <w:pPr>
        <w:pStyle w:val="FirstParagraph"/>
        <w:spacing w:line="480" w:lineRule="auto"/>
      </w:pPr>
      <w:r>
        <w:t xml:space="preserve">One agency’s baselined-project record supplies the population, and the pathology, if it is real, might belong to that governance culture. The portfolio-tracking evidence shows program structure and funding get tracked across the wider space-acquisition enterprise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which hints the design travels to other agencies and to commercially brokered architectures. But a design that travels is not a result that travels. The legacy-to-new-space shift has slackened the institutional arrangements requirements get governed within</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and a partnership-rich or commercially brokered program may show a different modification-cost tie than the legacy single-agency programs that fill the present sample. The inference should read as conditional on the NASA population sampled and not stretched without replication on an independent portfolio.</w:t>
      </w:r>
    </w:p>
    <w:bookmarkEnd w:id="124"/>
    <w:bookmarkEnd w:id="125"/>
    <w:bookmarkStart w:id="126" w:name="future-research"/>
    <w:p>
      <w:pPr>
        <w:pStyle w:val="Heading2"/>
        <w:spacing w:line="480" w:lineRule="auto"/>
      </w:pPr>
      <w:r>
        <w:t xml:space="preserve">7.5 Future Research</w:t>
      </w:r>
    </w:p>
    <w:p>
      <w:pPr>
        <w:pStyle w:val="FirstParagraph"/>
        <w:spacing w:line="480" w:lineRule="auto"/>
      </w:pPr>
      <w:r>
        <w:t xml:space="preserve">A research program opens off these findings. Its first three steps run straight out of the present design; the steps after that reach further.</w:t>
      </w:r>
    </w:p>
    <w:p>
      <w:pPr>
        <w:pStyle w:val="BodyText"/>
        <w:spacing w:line="480" w:lineRule="auto"/>
        <w:ind w:firstLine="720"/>
      </w:pPr>
      <w:r>
        <w:t xml:space="preserve">The first extension is the severity-weighted modification measure. Swapping the rebaseline count for a weighted index that tells major capability additions from procedural replans would sharpen the independent variable, test whether the tie firms up under a truer instrument, and hand over the operational definition a cumulative-drift checkpoint needs. As Section 7.3.3 argues, a major implementing center is the institution best placed to throw off the underlying severity data, which makes this extension a natural pairing of the analyst with the center.</w:t>
      </w:r>
    </w:p>
    <w:p>
      <w:pPr>
        <w:pStyle w:val="BodyText"/>
        <w:spacing w:line="480" w:lineRule="auto"/>
        <w:ind w:firstLine="720"/>
      </w:pPr>
      <w:r>
        <w:t xml:space="preserve">Second comes the complexity control. Feeding in a proxy for organizational complexity, the count of contributing centers or external partners, would test whether the modification coefficient rides out the second most believable confounder. The Gateway human-systems-integration case gives a template for what a high-complexity program’s management load looks like in practice</w:t>
      </w:r>
      <w:r>
        <w:t xml:space="preserve"> </w:t>
      </w:r>
      <w:hyperlink w:anchor="ref-1">
        <w:r>
          <w:rPr>
            <w:rStyle w:val="Hyperlink"/>
          </w:rPr>
          <w:t xml:space="preserve">[1]</w:t>
        </w:r>
      </w:hyperlink>
      <w:r>
        <w:t xml:space="preserve">, and the partner descriptive gap in the second paper gives a prior for the size to expect.</w:t>
      </w:r>
    </w:p>
    <w:p>
      <w:pPr>
        <w:pStyle w:val="BodyText"/>
        <w:spacing w:line="480" w:lineRule="auto"/>
        <w:ind w:firstLine="720"/>
      </w:pPr>
      <w:r>
        <w:t xml:space="preserve">Third, and weightiest, is the panel design. Watching the modification stream and the cost path at one point after another inside each program would sort the direction of causation the cross-sectional design cannot, parting the hypothesis that modifications drive cost growth from the rival that cost growth drives descoping modifications. This is the one extension that would turn the dissertation’s provisional causal inference into a defensible one.</w:t>
      </w:r>
    </w:p>
    <w:p>
      <w:pPr>
        <w:pStyle w:val="BodyText"/>
        <w:spacing w:line="480" w:lineRule="auto"/>
        <w:ind w:firstLine="720"/>
      </w:pPr>
      <w:r>
        <w:t xml:space="preserve">Past these direct extensions lie two bigger questions. The first is building an alternative scope instrument. Mass is the time-worn workhorse of parametric estimation</w:t>
      </w:r>
      <w:r>
        <w:t xml:space="preserve"> </w:t>
      </w:r>
      <w:hyperlink w:anchor="ref-2">
        <w:r>
          <w:rPr>
            <w:rStyle w:val="Hyperlink"/>
          </w:rPr>
          <w:t xml:space="preserve">[2]</w:t>
        </w:r>
      </w:hyperlink>
      <w:r>
        <w:t xml:space="preserve">,</w:t>
      </w:r>
      <w:r>
        <w:t xml:space="preserve"> </w:t>
      </w:r>
      <w:hyperlink w:anchor="ref-14">
        <w:r>
          <w:rPr>
            <w:rStyle w:val="Hyperlink"/>
          </w:rPr>
          <w:t xml:space="preserve">[14]</w:t>
        </w:r>
      </w:hyperlink>
      <w:r>
        <w:t xml:space="preserve">, but the second paper’s null hints mass no longer shadows creep faithfully in a partnership-rich and commercially brokered sector</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A scope stand-in built on requirements counts, instrument complexity, or interface density would likely shadow the pathology more faithfully than launch mass, and building and checking such a measure is the clearest path from the second paper’s weak result to a strong one. The product-service and micro-foundational literature on space-sector strategy offers a conceptual vocabulary for what such an instrument would have to catch</w:t>
      </w:r>
      <w:r>
        <w:t xml:space="preserve"> </w:t>
      </w:r>
      <w:hyperlink w:anchor="ref-28">
        <w:r>
          <w:rPr>
            <w:rStyle w:val="Hyperlink"/>
          </w:rPr>
          <w:t xml:space="preserve">[28]</w:t>
        </w:r>
      </w:hyperlink>
      <w:r>
        <w:t xml:space="preserve">.</w:t>
      </w:r>
    </w:p>
    <w:p>
      <w:pPr>
        <w:pStyle w:val="BodyText"/>
        <w:spacing w:line="480" w:lineRule="auto"/>
        <w:ind w:firstLine="720"/>
      </w:pPr>
      <w:r>
        <w:t xml:space="preserve">Replication is the second bigger question. A defensible test of external validity would re-run the design on a second agency’s baselined record or on a commercially brokered program set, asking whether the modification stream carries the same mark outside the NASA governance culture. A positive replication would set the pathology up as a general feature of multi-principal program governance rather than an agency-specific quirk; a null replication would pin it to one place and be informative in its own right about which governance cultures are prone to it. Either outcome pushes on the diagnostic claim that drives the dissertation, that requirements creep is an institutional pathology with a measurable mark, and that the mark lives in the modification-approval machine rather than in the first estimate.</w:t>
      </w:r>
    </w:p>
    <w:bookmarkEnd w:id="126"/>
    <w:bookmarkStart w:id="127" w:name="synthesis"/>
    <w:p>
      <w:pPr>
        <w:pStyle w:val="Heading2"/>
        <w:spacing w:line="480" w:lineRule="auto"/>
      </w:pPr>
      <w:r>
        <w:t xml:space="preserve">7.6 Synthesis</w:t>
      </w:r>
    </w:p>
    <w:p>
      <w:pPr>
        <w:pStyle w:val="FirstParagraph"/>
        <w:spacing w:line="480" w:lineRule="auto"/>
      </w:pPr>
      <w:r>
        <w:t xml:space="preserve">The two empirical chapters land on one disciplined conclusion. Cost growth on NASA major projects is not cleanly explained by physical scale, and it is not fully explained by commitment-stage technology maturity. A measurable slice of it is explained by the intensity of the modification stream a program takes on during execution, a variable the systems engineering record already catches and that no governance node currently reads cumulatively. For NASA program management, that means standing up a cumulative-drift checkpoint and swapping mass-based oversight triage for modification-based triage. For a major implementing center, it means a real slice of cost-control authority sits in the center’s own change-control board, that technology ripening is necessary but not sufficient, and that the center is uniquely placed to hone the proxy into a severity-weighted instrument. The findings are fenced by identification, measurement, power, and external-validity limits that are owned rather than hidden, and they open a research program whose telling next step is the panel design that would turn a steady association into a defensible cause. The modification stream carries a mark. It reads in front of the maturity story rather than behind it, and it aims the hunt for the pathology of scope growth toward governance in execution and away from estimation at commitment.</w:t>
      </w:r>
    </w:p>
    <w:bookmarkEnd w:id="127"/>
    <w:bookmarkEnd w:id="128"/>
    <w:bookmarkStart w:id="188" w:name="chapter-8.-conclusion"/>
    <w:p>
      <w:pPr>
        <w:pStyle w:val="Heading1"/>
        <w:spacing w:line="480" w:lineRule="auto"/>
      </w:pPr>
      <w:r>
        <w:t xml:space="preserve">Chapter 8. Conclusion</w:t>
      </w:r>
    </w:p>
    <w:bookmarkStart w:id="129" w:name="the-argument-reconstituted"/>
    <w:p>
      <w:pPr>
        <w:pStyle w:val="Heading2"/>
        <w:spacing w:line="480" w:lineRule="auto"/>
      </w:pPr>
      <w:r>
        <w:t xml:space="preserve">8.1 The Argument, Reconstituted</w:t>
      </w:r>
    </w:p>
    <w:p>
      <w:pPr>
        <w:pStyle w:val="FirstParagraph"/>
        <w:spacing w:line="480" w:lineRule="auto"/>
      </w:pPr>
      <w:r>
        <w:t xml:space="preserve">This dissertation opened on a refusal. It would not take the received story of why big space programs walk away from the cost and schedule they pledge at baseline, the story that fixes the failure at one moment and reads everything after as one early slip slowly playing out. On that received reading, programs overrun because their estimates ran hopeful, their contractors came in low, or their unknowns outran what the model allowed, and the cure is a sharper point estimate at commitment. This work took another view and put it as a falsifiable claim: requirements creep is not a run of locally sensible engineering choices but an institutional pathology, and the pathology leaves a measurable mark in the baseline record.</w:t>
      </w:r>
    </w:p>
    <w:p>
      <w:pPr>
        <w:pStyle w:val="BodyText"/>
        <w:spacing w:line="480" w:lineRule="auto"/>
        <w:ind w:firstLine="720"/>
      </w:pPr>
      <w:r>
        <w:t xml:space="preserve">Put exactly, the pathology is the failure of any governance node to gather the combined heft of approved modifications back against the first commitment until the money and time have already gone. Across the span from commitment to operational delivery, a program keeps approving a steady stream of requirement modifications, each reviewed, each defended on its own local grounds, each waved through by a body weighing that increment by itself. The machine that approves modifications treats each increment as detachable.</w:t>
      </w:r>
    </w:p>
    <w:p>
      <w:pPr>
        <w:pStyle w:val="BodyText"/>
        <w:spacing w:line="480" w:lineRule="auto"/>
        <w:ind w:firstLine="720"/>
      </w:pPr>
      <w:r>
        <w:t xml:space="preserve">It never gathers the drift.</w:t>
      </w:r>
    </w:p>
    <w:p>
      <w:pPr>
        <w:pStyle w:val="BodyText"/>
        <w:spacing w:line="480" w:lineRule="auto"/>
        <w:ind w:firstLine="720"/>
      </w:pPr>
      <w:r>
        <w:t xml:space="preserve">Moving the causal story this way, off the estimate and onto the modification-approval machine, is the work’s central move of thought. It counts because the machine is an institutional object you can watch and, in principle, rebuild, whereas an early estimate is a moment that has already slipped by.</w:t>
      </w:r>
    </w:p>
    <w:p>
      <w:pPr>
        <w:pStyle w:val="BodyText"/>
        <w:spacing w:line="480" w:lineRule="auto"/>
        <w:ind w:firstLine="720"/>
      </w:pPr>
      <w:r>
        <w:t xml:space="preserve">The governing agency’s systems engineering practice comes codified through formal process requirements that set how requirements get baselined and changed, and it is that codification which turns the modification record into a trail you can audit rather than loose recollection</w:t>
      </w:r>
      <w:r>
        <w:t xml:space="preserve"> </w:t>
      </w:r>
      <w:hyperlink w:anchor="ref-1">
        <w:r>
          <w:rPr>
            <w:rStyle w:val="Hyperlink"/>
          </w:rPr>
          <w:t xml:space="preserve">[1]</w:t>
        </w:r>
      </w:hyperlink>
      <w:r>
        <w:t xml:space="preserve">. Technology readiness is the usual maturity ruler programs get measured by</w:t>
      </w:r>
      <w:r>
        <w:t xml:space="preserve"> </w:t>
      </w:r>
      <w:hyperlink w:anchor="ref-2">
        <w:r>
          <w:rPr>
            <w:rStyle w:val="Hyperlink"/>
          </w:rPr>
          <w:t xml:space="preserve">[2]</w:t>
        </w:r>
      </w:hyperlink>
      <w:r>
        <w:t xml:space="preserve">, and acquisition structure and funding get tracked at the portfolio level with fidelity enough to make the baseline record an analyzable object</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Each of these is a piece of the machine. None of them, alone or together, had ever been turned to putting the modification stream itself as a measurable independent variable whose tie to outcomes could be tested against the competing maturity story. The dissertation moved into exactly that empty spot.</w:t>
      </w:r>
    </w:p>
    <w:bookmarkEnd w:id="129"/>
    <w:bookmarkStart w:id="130" w:name="synthesis-of-the-empirical-findings"/>
    <w:p>
      <w:pPr>
        <w:pStyle w:val="Heading2"/>
        <w:spacing w:line="480" w:lineRule="auto"/>
      </w:pPr>
      <w:r>
        <w:t xml:space="preserve">8.2 Synthesis of the Empirical Findings</w:t>
      </w:r>
    </w:p>
    <w:p>
      <w:pPr>
        <w:pStyle w:val="FirstParagraph"/>
        <w:spacing w:line="480" w:lineRule="auto"/>
      </w:pPr>
      <w:r>
        <w:t xml:space="preserve">Two cross-program analyses of the NASA major-project record make up the empirical core, and how they relate is the synthesis the conclusion has to spell out. The two studies do not echo one another. They triangulate the same pathology from two sides, and the contrast in their results is a finding in itself.</w:t>
      </w:r>
    </w:p>
    <w:p>
      <w:pPr>
        <w:pStyle w:val="BodyText"/>
        <w:spacing w:line="480" w:lineRule="auto"/>
        <w:ind w:firstLine="720"/>
      </w:pPr>
      <w:r>
        <w:t xml:space="preserve">The first study asked whether physical and organizational scale, gauged bluntly as spacecraft launch mass and whether a major external partner is aboard, forecasts development cost growth across the portfolio. Its candid answer came out weak. Across twenty-six projects, the scope stand-ins both pointed the forecast way, partner-laden projects averaging markedly higher cost growth than projects run without partners, yet neither coefficient told apart from zero in a sample a few enormous overruns dominate. Parametric cost estimation rests on the premise that cost is a learnable function of physical scope drivers, mass historically the most durable of them</w:t>
      </w:r>
      <w:r>
        <w:t xml:space="preserve"> </w:t>
      </w:r>
      <w:hyperlink w:anchor="ref-14">
        <w:r>
          <w:rPr>
            <w:rStyle w:val="Hyperlink"/>
          </w:rPr>
          <w:t xml:space="preserve">[14]</w:t>
        </w:r>
      </w:hyperlink>
      <w:r>
        <w:t xml:space="preserve">, but the move off legacy space and toward partnership-rich and commercially brokered architectures has slackened the mass-cost tie that once held</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The first study’s result, read disciplined rather than let down, steered the hunt for the pathology off how big a project is and onto how a project’s requirements get governed.</w:t>
      </w:r>
    </w:p>
    <w:p>
      <w:pPr>
        <w:pStyle w:val="BodyText"/>
        <w:spacing w:line="480" w:lineRule="auto"/>
        <w:ind w:firstLine="720"/>
      </w:pPr>
      <w:r>
        <w:t xml:space="preserve">The second study answered the question the first had recast. On a cross-program dataset of twenty-four formally baselined major projects, it regressed proportional development cost growth on modification intensity, cashed out as the count of formally approved rebaselines a project took on, while conditioning on whether the program showed its critical technologies at technology readiness level six by preliminary design review. The modification-intensity coefficient ran positive, substantively large, and statistically significant. Each further formally approved rebaseline went with roughly thirty-four and a half percentage points of added cost growth against the committed baseline, with commitment-stage maturity held fixed. The maturity control did what theory forecasts, pointing the protective way, but it did not knock the modification signal aside and was not itself significant. The telling evidence was the coefficient’s steadiness: bringing in the maturity control faded the modification coefficient by under five percent. Had the maturity story soaked scope growth up, the coefficient would have folded toward zero once readiness entered the model. It did not. The endurance was no collinearity quirk between the two regressors.</w:t>
      </w:r>
    </w:p>
    <w:p>
      <w:pPr>
        <w:pStyle w:val="BodyText"/>
        <w:spacing w:line="480" w:lineRule="auto"/>
        <w:ind w:firstLine="720"/>
      </w:pPr>
      <w:r>
        <w:t xml:space="preserve">With both studies in hand, the synthesis reads plainly now. The first study pinned down that the obvious physical correlate of scope, mass, does not cleanly drive cost growth, closing off the easy story and clearing the harder one. The second study pinned down that the modification stream, the direct behavioral face of scope governance, does drive cost growth and does it in front of the maturity story rather than behind it. Together they trace one arc: scale alone runs empirically thin, but the act of re-committing again and again to a swollen baseline carries a mark that outlasts the standard maturity control. The pathology is not in the size of the program. It is in the machine that approves its growth. Cost growth on jointly executed and architecturally coupled programs has been cast as a phenomenon with nameable drivers</w:t>
      </w:r>
      <w:r>
        <w:t xml:space="preserve"> </w:t>
      </w:r>
      <w:hyperlink w:anchor="ref-6">
        <w:r>
          <w:rPr>
            <w:rStyle w:val="Hyperlink"/>
          </w:rPr>
          <w:t xml:space="preserve">[6]</w:t>
        </w:r>
      </w:hyperlink>
      <w:r>
        <w:t xml:space="preserve">, and parametric practice parks the causal action near the concept stage</w:t>
      </w:r>
      <w:r>
        <w:t xml:space="preserve"> </w:t>
      </w:r>
      <w:hyperlink w:anchor="ref-7">
        <w:r>
          <w:rPr>
            <w:rStyle w:val="Hyperlink"/>
          </w:rPr>
          <w:t xml:space="preserve">[7]</w:t>
        </w:r>
      </w:hyperlink>
      <w:r>
        <w:t xml:space="preserve">; this dissertation moves a measurable slice of that growth onto the modification-approval machine that runs during execution, where the existing literature had not looked.</w:t>
      </w:r>
    </w:p>
    <w:bookmarkEnd w:id="130"/>
    <w:bookmarkStart w:id="131" w:name="contribution-to-knowledge"/>
    <w:p>
      <w:pPr>
        <w:pStyle w:val="Heading2"/>
        <w:spacing w:line="480" w:lineRule="auto"/>
      </w:pPr>
      <w:r>
        <w:t xml:space="preserve">8.3 Contribution to Knowledge</w:t>
      </w:r>
    </w:p>
    <w:p>
      <w:pPr>
        <w:pStyle w:val="FirstParagraph"/>
        <w:spacing w:line="480" w:lineRule="auto"/>
      </w:pPr>
      <w:r>
        <w:t xml:space="preserve">What this dissertation gives the study of mission program execution is singular and disciplined, and it earns a statement that parts what has been shown from what stays conjecture.</w:t>
      </w:r>
    </w:p>
    <w:p>
      <w:pPr>
        <w:pStyle w:val="BodyText"/>
        <w:spacing w:line="480" w:lineRule="auto"/>
        <w:ind w:firstLine="720"/>
      </w:pPr>
      <w:r>
        <w:t xml:space="preserve">The first contribution is a measurement. The dissertation shows the modification stream is legible in the baseline record, that a visible stand-in for cumulative scope growth, the count of formally approved rebaselines, can be built against codified agency systems engineering practice</w:t>
      </w:r>
      <w:r>
        <w:t xml:space="preserve"> </w:t>
      </w:r>
      <w:hyperlink w:anchor="ref-1">
        <w:r>
          <w:rPr>
            <w:rStyle w:val="Hyperlink"/>
          </w:rPr>
          <w:t xml:space="preserve">[1]</w:t>
        </w:r>
      </w:hyperlink>
      <w:r>
        <w:t xml:space="preserve">, and that this stand-in holds information about how execution turns out. Earlier treatments were descriptive or prescriptive about how requirements should be managed</w:t>
      </w:r>
      <w:r>
        <w:t xml:space="preserve"> </w:t>
      </w:r>
      <w:hyperlink w:anchor="ref-1">
        <w:r>
          <w:rPr>
            <w:rStyle w:val="Hyperlink"/>
          </w:rPr>
          <w:t xml:space="preserve">[1]</w:t>
        </w:r>
      </w:hyperlink>
      <w:r>
        <w:t xml:space="preserve">, how risk should be assessed</w:t>
      </w:r>
      <w:r>
        <w:t xml:space="preserve"> </w:t>
      </w:r>
      <w:hyperlink w:anchor="ref-5">
        <w:r>
          <w:rPr>
            <w:rStyle w:val="Hyperlink"/>
          </w:rPr>
          <w:t xml:space="preserve">[5]</w:t>
        </w:r>
      </w:hyperlink>
      <w:r>
        <w:t xml:space="preserve">, and how maturity should be rated</w:t>
      </w:r>
      <w:r>
        <w:t xml:space="preserve"> </w:t>
      </w:r>
      <w:hyperlink w:anchor="ref-2">
        <w:r>
          <w:rPr>
            <w:rStyle w:val="Hyperlink"/>
          </w:rPr>
          <w:t xml:space="preserve">[2]</w:t>
        </w:r>
      </w:hyperlink>
      <w:r>
        <w:t xml:space="preserve">. The dissertation turns the modification record from a managed artifact into a measured variable. This is the operational contribution, and it is the precondition for all that follows, because a pathology you cannot measure you cannot govern.</w:t>
      </w:r>
    </w:p>
    <w:p>
      <w:pPr>
        <w:pStyle w:val="BodyText"/>
        <w:spacing w:line="480" w:lineRule="auto"/>
        <w:ind w:firstLine="720"/>
      </w:pPr>
      <w:r>
        <w:t xml:space="preserve">The second contribution is an adjudication. The dissertation sets two rival stories of cost growth against each other, the estimation-and-maturity story and the organizational-pathology story, and it rides the contribution on one falsifiable pivot: whether the modification coefficient outlasts the entry of the commitment-stage maturity control. The design was built so a null result would be a clean defeat rather than a measurement quirk, with no auxiliary hypothesis to fall back on. The coefficient held. The maturity gauge, though it points the forecast protective way, does not soak the modification signal up. This adjudication is the inferential contribution. It makes no claim that forecasting slips are trivial or that maturity is beside the point; the maturity coefficient is real and the estimation drivers stay real</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It claims only, and exactly, that once the standard maturity control is fixed, programs that took on more approved rebaselines grew more, and that this tie is steady, significant, and not collinear with maturity.</w:t>
      </w:r>
    </w:p>
    <w:p>
      <w:pPr>
        <w:pStyle w:val="BodyText"/>
        <w:spacing w:line="480" w:lineRule="auto"/>
        <w:ind w:firstLine="720"/>
      </w:pPr>
      <w:r>
        <w:t xml:space="preserve">The third contribution is a redirection of theory. By showing physical scale a thin predictor while modification intensity a sturdy one, the dissertation moves the field’s object of inquiry. The hunt for the source of requirements creep should shift off the parametric drivers locked at conception and onto the governance behavior carried out during execution. That shift carries methodological fallout. A scope stand-in built on requirements counts, interface density, or rebaseline frequency will shadow creep more faithfully than launch mass, and the dissertation hands over both the argument and a first instrument for that frontier.</w:t>
      </w:r>
    </w:p>
    <w:p>
      <w:pPr>
        <w:pStyle w:val="BodyText"/>
        <w:spacing w:line="480" w:lineRule="auto"/>
        <w:ind w:firstLine="720"/>
      </w:pPr>
      <w:r>
        <w:t xml:space="preserve">The fourth contribution runs straight out of the first three: a candidate intervention with a clear theoretical warrant. If the modification tie is causal, the cure it points to is governance redesign rather than sharper point estimates at commitment. A program that never gathers its cumulative modification drift back against the first commitment is, by construction, blind to the very signal this work measures from outside. What the framing prescribes is a cumulative-drift checkpoint: a governance node built for one job, to bundle approved modifications against baseline and force a re-commitment call before the money goes. The inputs it needs are already logged</w:t>
      </w:r>
      <w:r>
        <w:t xml:space="preserve"> </w:t>
      </w:r>
      <w:hyperlink w:anchor="ref-1">
        <w:r>
          <w:rPr>
            <w:rStyle w:val="Hyperlink"/>
          </w:rPr>
          <w:t xml:space="preserve">[1]</w:t>
        </w:r>
      </w:hyperlink>
      <w:r>
        <w:t xml:space="preserve">. The contribution here is not engineering the checkpoint but showing the signal it would act on exists and is informative, which turns a plausible reform into an evidenced one.</w:t>
      </w:r>
    </w:p>
    <w:bookmarkEnd w:id="131"/>
    <w:bookmarkStart w:id="132" w:name="X9a5aa7f2c6c097983c89d32c1fdcbc1f233d3d4"/>
    <w:p>
      <w:pPr>
        <w:pStyle w:val="Heading2"/>
        <w:spacing w:line="480" w:lineRule="auto"/>
      </w:pPr>
      <w:r>
        <w:t xml:space="preserve">8.4 Limitations and the Boundaries of the Claim</w:t>
      </w:r>
    </w:p>
    <w:p>
      <w:pPr>
        <w:pStyle w:val="FirstParagraph"/>
        <w:spacing w:line="480" w:lineRule="auto"/>
      </w:pPr>
      <w:r>
        <w:t xml:space="preserve">A conclusion that oversells its reach betrays the design’s discipline, and four limits fence the inference in ways the dissertation has treated openly. The maturity control soaks up the most believable rival confounder, but organizational complexity, the count of contributing centers or international partners, could push both modification and overrun apart from readiness; the multi-organization management load is documented</w:t>
      </w:r>
      <w:r>
        <w:t xml:space="preserve"> </w:t>
      </w:r>
      <w:hyperlink w:anchor="ref-1">
        <w:r>
          <w:rPr>
            <w:rStyle w:val="Hyperlink"/>
          </w:rPr>
          <w:t xml:space="preserve">[1]</w:t>
        </w:r>
      </w:hyperlink>
      <w:r>
        <w:t xml:space="preserve">, and a complexity proxy is the obvious next control. The rebaseline count is a blunt stand-in scoring a major capability addition and a procedural replan the same, and a severity-weighted alternative would sharpen the independent variable. The cross-sectional design cannot fully sort direction, since cost growth could in principle set off descoping modifications rather than the other way, and tying modification intensity to the earlier stretch of execution is the softener a panel design would allow. Finally, the population is one agency’s baselined record, and the pathology, if it is real, might belong to that governance culture; the portfolio-tracking evidence hints the design travels</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but the inference should read as conditional on the NASA population sampled and not stretched without replication. These bounds do not sap the contribution. They place it. The modification stream carries a mark, and it reads in front of the maturity story inside the population watched.</w:t>
      </w:r>
    </w:p>
    <w:bookmarkEnd w:id="132"/>
    <w:bookmarkStart w:id="133" w:name="closing-statement"/>
    <w:p>
      <w:pPr>
        <w:pStyle w:val="Heading2"/>
        <w:spacing w:line="480" w:lineRule="auto"/>
      </w:pPr>
      <w:r>
        <w:t xml:space="preserve">8.5 Closing Statement</w:t>
      </w:r>
    </w:p>
    <w:p>
      <w:pPr>
        <w:pStyle w:val="FirstParagraph"/>
        <w:spacing w:line="480" w:lineRule="auto"/>
      </w:pPr>
      <w:r>
        <w:t xml:space="preserve">The quiet failure of a big space program is seldom the failure of one decision. It is the piled-up failure of a machine that approved each swelling of scope on its own terms and never asked what the swellings came to. This dissertation set out to make that built-up drift visible, to turn it from an institutional hunch into a measured quantity, and to test whether the quantity held information the received stories of cost growth did not already hand over. It does. The modification stream leaves a mark in the baseline record, the mark forecasts departure from committed cost, and it holds when the standard maturity gauge is fixed. The estimate at commitment is not where the pathology lives. The pathology lives in the approval machine that lets scope pile up without ever gathering the whole back together, and because that machine is an institutional object and not a vanished moment, it can be rebuilt. The work closes not with a lament over hopeful planners but with a measured object and a governable target: the built-up drift, made legible, and a checkpoint that would force a program to face it before the money has already gone. That is the contribution, put at its narrowest and so at its most defensible. Requirements creep is an institutional pathology, it carries a measurable mark, and the mark points toward the machine that can be changed.</w:t>
      </w:r>
    </w:p>
    <w:bookmarkEnd w:id="133"/>
    <w:bookmarkStart w:id="187" w:name="references"/>
    <w:p>
      <w:pPr>
        <w:pStyle w:val="Heading2"/>
        <w:spacing w:line="480" w:lineRule="auto"/>
      </w:pPr>
      <w:r>
        <w:t xml:space="preserve">References</w:t>
      </w:r>
    </w:p>
    <w:p>
      <w:pPr>
        <w:pStyle w:val="FirstParagraph"/>
        <w:spacing w:line="480" w:lineRule="auto"/>
      </w:pPr>
      <w:bookmarkStart w:id="134" w:name="ref-1"/>
      <w:bookmarkEnd w:id="134"/>
      <w:r>
        <w:t xml:space="preserve">1. J. Silva-Martinez, M. Etchells, and T. Bradshaw,</w:t>
      </w:r>
      <w:r>
        <w:t xml:space="preserve"> </w:t>
      </w:r>
      <w:r>
        <w:t xml:space="preserve">“Implementation of Human Systems Integration technical and management process for the lunar Gateway Program,”</w:t>
      </w:r>
      <w:r>
        <w:t xml:space="preserve"> </w:t>
      </w:r>
      <w:r>
        <w:rPr>
          <w:i/>
          <w:iCs/>
        </w:rPr>
        <w:t xml:space="preserve">Acta Astronautica</w:t>
      </w:r>
      <w:r>
        <w:t xml:space="preserve">, vol. 207, 2023. doi:</w:t>
      </w:r>
      <w:r>
        <w:t xml:space="preserve"> </w:t>
      </w:r>
      <w:hyperlink r:id="rId135">
        <w:r>
          <w:rPr>
            <w:rStyle w:val="Hyperlink"/>
          </w:rPr>
          <w:t xml:space="preserve">10.1016/j.actaastro.2023.03.018</w:t>
        </w:r>
      </w:hyperlink>
    </w:p>
    <w:p>
      <w:pPr>
        <w:pStyle w:val="BodyText"/>
        <w:spacing w:line="480" w:lineRule="auto"/>
        <w:ind w:firstLine="720"/>
      </w:pPr>
      <w:bookmarkStart w:id="136" w:name="ref-2"/>
      <w:bookmarkEnd w:id="136"/>
      <w:r>
        <w:t xml:space="preserve">2. F. Isidori Pacelli, L. Scifoni, M. J. Schaible, E. A. Ryan, I. E. Onal, M. L. Shofner, T. M. Orlando, and A. Romero-Calvo,</w:t>
      </w:r>
      <w:r>
        <w:t xml:space="preserve"> </w:t>
      </w:r>
      <w:r>
        <w:t xml:space="preserve">“Flexible electrodynamic dust shields for lunar missions,”</w:t>
      </w:r>
      <w:r>
        <w:t xml:space="preserve"> </w:t>
      </w:r>
      <w:r>
        <w:rPr>
          <w:i/>
          <w:iCs/>
        </w:rPr>
        <w:t xml:space="preserve">Acta Astronautica</w:t>
      </w:r>
      <w:r>
        <w:t xml:space="preserve">, vol. 244, 2026. doi:</w:t>
      </w:r>
      <w:r>
        <w:t xml:space="preserve"> </w:t>
      </w:r>
      <w:hyperlink r:id="rId137">
        <w:r>
          <w:rPr>
            <w:rStyle w:val="Hyperlink"/>
          </w:rPr>
          <w:t xml:space="preserve">10.1016/j.actaastro.2026.02.023</w:t>
        </w:r>
      </w:hyperlink>
    </w:p>
    <w:p>
      <w:pPr>
        <w:pStyle w:val="BodyText"/>
        <w:spacing w:line="480" w:lineRule="auto"/>
        <w:ind w:firstLine="720"/>
      </w:pPr>
      <w:bookmarkStart w:id="138" w:name="ref-3"/>
      <w:bookmarkEnd w:id="138"/>
      <w:r>
        <w:t xml:space="preserve">3. K. Johnson and S. P. Daniels,</w:t>
      </w:r>
      <w:r>
        <w:t xml:space="preserve"> </w:t>
      </w:r>
      <w:r>
        <w:t xml:space="preserve">“Buying Space: Trends in U.S. SDA Acquisition,”</w:t>
      </w:r>
      <w:r>
        <w:t xml:space="preserve"> </w:t>
      </w:r>
      <w:r>
        <w:rPr>
          <w:i/>
          <w:iCs/>
        </w:rPr>
        <w:t xml:space="preserve">Proc. Advanced Maui Optical and Space Surveillance Technologies (AMOS) Conference</w:t>
      </w:r>
      <w:r>
        <w:t xml:space="preserve">, 2022.</w:t>
      </w:r>
    </w:p>
    <w:p>
      <w:pPr>
        <w:pStyle w:val="BodyText"/>
        <w:spacing w:line="480" w:lineRule="auto"/>
        <w:ind w:firstLine="720"/>
      </w:pPr>
      <w:bookmarkStart w:id="139" w:name="ref-4"/>
      <w:bookmarkEnd w:id="139"/>
      <w:r>
        <w:t xml:space="preserve">4. T. Harrison,</w:t>
      </w:r>
      <w:r>
        <w:t xml:space="preserve"> </w:t>
      </w:r>
      <w:r>
        <w:t xml:space="preserve">“International Perspectives on Space Weapons,”</w:t>
      </w:r>
      <w:r>
        <w:t xml:space="preserve"> </w:t>
      </w:r>
      <w:r>
        <w:rPr>
          <w:i/>
          <w:iCs/>
        </w:rPr>
        <w:t xml:space="preserve">Proc. Advanced Maui Optical and Space Surveillance Technologies (AMOS) Conference</w:t>
      </w:r>
      <w:r>
        <w:t xml:space="preserve">, 2020.</w:t>
      </w:r>
    </w:p>
    <w:p>
      <w:pPr>
        <w:pStyle w:val="BodyText"/>
        <w:spacing w:line="480" w:lineRule="auto"/>
        <w:ind w:firstLine="720"/>
      </w:pPr>
      <w:bookmarkStart w:id="140" w:name="ref-5"/>
      <w:bookmarkEnd w:id="140"/>
      <w:r>
        <w:t xml:space="preserve">5. E. Romero and D. Francisco,</w:t>
      </w:r>
      <w:r>
        <w:t xml:space="preserve"> </w:t>
      </w:r>
      <w:r>
        <w:t xml:space="preserve">“The NASA human system risk mitigation process for space exploration,”</w:t>
      </w:r>
      <w:r>
        <w:t xml:space="preserve"> </w:t>
      </w:r>
      <w:r>
        <w:rPr>
          <w:i/>
          <w:iCs/>
        </w:rPr>
        <w:t xml:space="preserve">Acta Astronautica</w:t>
      </w:r>
      <w:r>
        <w:t xml:space="preserve">, vol. 175, 2020. doi:</w:t>
      </w:r>
      <w:r>
        <w:t xml:space="preserve"> </w:t>
      </w:r>
      <w:hyperlink r:id="rId141">
        <w:r>
          <w:rPr>
            <w:rStyle w:val="Hyperlink"/>
          </w:rPr>
          <w:t xml:space="preserve">10.1016/j.actaastro.2020.04.046</w:t>
        </w:r>
      </w:hyperlink>
    </w:p>
    <w:p>
      <w:pPr>
        <w:pStyle w:val="BodyText"/>
        <w:spacing w:line="480" w:lineRule="auto"/>
        <w:ind w:firstLine="720"/>
      </w:pPr>
      <w:bookmarkStart w:id="142" w:name="ref-6"/>
      <w:bookmarkEnd w:id="142"/>
      <w:r>
        <w:t xml:space="preserve">6. M. Dwyer, Z. Szajnfarber, B. Cameron, and E. F. Crawley,</w:t>
      </w:r>
      <w:r>
        <w:t xml:space="preserve"> </w:t>
      </w:r>
      <w:r>
        <w:t xml:space="preserve">“A model for understanding and managing cost growth on joint programs,”</w:t>
      </w:r>
      <w:r>
        <w:t xml:space="preserve"> </w:t>
      </w:r>
      <w:r>
        <w:rPr>
          <w:i/>
          <w:iCs/>
        </w:rPr>
        <w:t xml:space="preserve">Acta Astronautica</w:t>
      </w:r>
      <w:r>
        <w:t xml:space="preserve">, vol. 151, 2018. doi:</w:t>
      </w:r>
      <w:r>
        <w:t xml:space="preserve"> </w:t>
      </w:r>
      <w:hyperlink r:id="rId143">
        <w:r>
          <w:rPr>
            <w:rStyle w:val="Hyperlink"/>
          </w:rPr>
          <w:t xml:space="preserve">10.1016/j.actaastro.2018.07.004</w:t>
        </w:r>
      </w:hyperlink>
    </w:p>
    <w:p>
      <w:pPr>
        <w:pStyle w:val="BodyText"/>
        <w:spacing w:line="480" w:lineRule="auto"/>
        <w:ind w:firstLine="720"/>
      </w:pPr>
      <w:bookmarkStart w:id="144" w:name="ref-7"/>
      <w:bookmarkEnd w:id="144"/>
      <w:r>
        <w:t xml:space="preserve">7. N. Viola, R. Fusaro, D. Ferretto, and V. Vercella,</w:t>
      </w:r>
      <w:r>
        <w:t xml:space="preserve"> </w:t>
      </w:r>
      <w:r>
        <w:t xml:space="preserve">“Research, development and production costs prediction parametric model for future civil hypersonic aircraft,”</w:t>
      </w:r>
      <w:r>
        <w:t xml:space="preserve"> </w:t>
      </w:r>
      <w:r>
        <w:rPr>
          <w:i/>
          <w:iCs/>
        </w:rPr>
        <w:t xml:space="preserve">Acta Astronautica</w:t>
      </w:r>
      <w:r>
        <w:t xml:space="preserve">, vol. 207, 2022. doi:</w:t>
      </w:r>
      <w:r>
        <w:t xml:space="preserve"> </w:t>
      </w:r>
      <w:hyperlink r:id="rId145">
        <w:r>
          <w:rPr>
            <w:rStyle w:val="Hyperlink"/>
          </w:rPr>
          <w:t xml:space="preserve">10.1016/j.actaastro.2022.12.036</w:t>
        </w:r>
      </w:hyperlink>
    </w:p>
    <w:p>
      <w:pPr>
        <w:pStyle w:val="BodyText"/>
        <w:spacing w:line="480" w:lineRule="auto"/>
        <w:ind w:firstLine="720"/>
      </w:pPr>
      <w:bookmarkStart w:id="146" w:name="ref-8"/>
      <w:bookmarkEnd w:id="146"/>
      <w:r>
        <w:t xml:space="preserve">8. G. Loureiro, W. F. Panades, and A. C. de Paula Silva,</w:t>
      </w:r>
      <w:r>
        <w:t xml:space="preserve"> </w:t>
      </w:r>
      <w:r>
        <w:t xml:space="preserve">“Lessons learned in 20 years of application of Systems Concurrent Engineering to space products,”</w:t>
      </w:r>
      <w:r>
        <w:t xml:space="preserve"> </w:t>
      </w:r>
      <w:r>
        <w:rPr>
          <w:i/>
          <w:iCs/>
        </w:rPr>
        <w:t xml:space="preserve">Acta Astronautica</w:t>
      </w:r>
      <w:r>
        <w:t xml:space="preserve">, vol. 151, 2018. doi:</w:t>
      </w:r>
      <w:r>
        <w:t xml:space="preserve"> </w:t>
      </w:r>
      <w:hyperlink r:id="rId147">
        <w:r>
          <w:rPr>
            <w:rStyle w:val="Hyperlink"/>
          </w:rPr>
          <w:t xml:space="preserve">10.1016/j.actaastro.2018.05.042</w:t>
        </w:r>
      </w:hyperlink>
    </w:p>
    <w:p>
      <w:pPr>
        <w:pStyle w:val="BodyText"/>
        <w:spacing w:line="480" w:lineRule="auto"/>
        <w:ind w:firstLine="720"/>
      </w:pPr>
      <w:bookmarkStart w:id="148" w:name="ref-9"/>
      <w:bookmarkEnd w:id="148"/>
      <w:r>
        <w:t xml:space="preserve">9. U.S. Government Accountability Office,</w:t>
      </w:r>
      <w:r>
        <w:t xml:space="preserve"> </w:t>
      </w:r>
      <w:r>
        <w:t xml:space="preserve">“NASA: Assessments of Major Projects,”</w:t>
      </w:r>
      <w:r>
        <w:t xml:space="preserve"> </w:t>
      </w:r>
      <w:r>
        <w:t xml:space="preserve">GAO-24-106767, Jun. 2024. https://www.gao.gov/products/gao-24-106767.</w:t>
      </w:r>
    </w:p>
    <w:p>
      <w:pPr>
        <w:pStyle w:val="BodyText"/>
        <w:spacing w:line="480" w:lineRule="auto"/>
        <w:ind w:firstLine="720"/>
      </w:pPr>
      <w:bookmarkStart w:id="149" w:name="ref-10"/>
      <w:bookmarkEnd w:id="149"/>
      <w:r>
        <w:t xml:space="preserve">10. U.S. Government Accountability Office,</w:t>
      </w:r>
      <w:r>
        <w:t xml:space="preserve"> </w:t>
      </w:r>
      <w:r>
        <w:t xml:space="preserve">“NASA: Assessment of Major Projects,”</w:t>
      </w:r>
      <w:r>
        <w:t xml:space="preserve"> </w:t>
      </w:r>
      <w:r>
        <w:t xml:space="preserve">GAO-23-106021, May 2023. https://www.gao.gov/products/gao-23-106021.</w:t>
      </w:r>
    </w:p>
    <w:p>
      <w:pPr>
        <w:pStyle w:val="BodyText"/>
        <w:spacing w:line="480" w:lineRule="auto"/>
        <w:ind w:firstLine="720"/>
      </w:pPr>
      <w:bookmarkStart w:id="150" w:name="ref-11"/>
      <w:bookmarkEnd w:id="150"/>
      <w:r>
        <w:t xml:space="preserve">11. NASA Office of Inspector General,</w:t>
      </w:r>
      <w:r>
        <w:t xml:space="preserve"> </w:t>
      </w:r>
      <w:r>
        <w:t xml:space="preserve">“NASA’s Management of the Dragonfly Project,”</w:t>
      </w:r>
      <w:r>
        <w:t xml:space="preserve"> </w:t>
      </w:r>
      <w:r>
        <w:t xml:space="preserve">IG-25-011, Sep. 2025. https://oig.nasa.gov/wp-content/uploads/2025/09/final-report-ig-25-011-nasas-managment-of-the-dragonfly-project.pdf.</w:t>
      </w:r>
    </w:p>
    <w:p>
      <w:pPr>
        <w:pStyle w:val="BodyText"/>
        <w:spacing w:line="480" w:lineRule="auto"/>
        <w:ind w:firstLine="720"/>
      </w:pPr>
      <w:bookmarkStart w:id="151" w:name="ref-12"/>
      <w:bookmarkEnd w:id="151"/>
      <w:r>
        <w:t xml:space="preserve">12. NASA Office of Inspector General,</w:t>
      </w:r>
      <w:r>
        <w:t xml:space="preserve"> </w:t>
      </w:r>
      <w:r>
        <w:t xml:space="preserve">“Audit of the Nancy Grace Roman Space Telescope Project,”</w:t>
      </w:r>
      <w:r>
        <w:t xml:space="preserve"> </w:t>
      </w:r>
      <w:r>
        <w:t xml:space="preserve">IG-24-014, Jul. 2024. https://oig.nasa.gov/wp-content/uploads/2024/07/ig-24-014.pdf.</w:t>
      </w:r>
    </w:p>
    <w:p>
      <w:pPr>
        <w:pStyle w:val="BodyText"/>
        <w:spacing w:line="480" w:lineRule="auto"/>
        <w:ind w:firstLine="720"/>
      </w:pPr>
      <w:bookmarkStart w:id="152" w:name="ref-13"/>
      <w:bookmarkEnd w:id="152"/>
      <w:r>
        <w:t xml:space="preserve">13. The Planetary Society,</w:t>
      </w:r>
      <w:r>
        <w:t xml:space="preserve"> </w:t>
      </w:r>
      <w:r>
        <w:t xml:space="preserve">“The Cost of NASA Missions”</w:t>
      </w:r>
      <w:r>
        <w:t xml:space="preserve"> </w:t>
      </w:r>
      <w:r>
        <w:t xml:space="preserve">(per-mission cost compilations: Psyche, Lucy, DART, Perseverance). https://www.planetary.org/space-policy.</w:t>
      </w:r>
    </w:p>
    <w:p>
      <w:pPr>
        <w:pStyle w:val="BodyText"/>
        <w:spacing w:line="480" w:lineRule="auto"/>
        <w:ind w:firstLine="720"/>
      </w:pPr>
      <w:bookmarkStart w:id="153" w:name="ref-14"/>
      <w:bookmarkEnd w:id="153"/>
      <w:r>
        <w:t xml:space="preserve">14. P. D. Friz, S. Hosder, B. B. Leser, et al.,</w:t>
      </w:r>
      <w:r>
        <w:t xml:space="preserve"> </w:t>
      </w:r>
      <w:r>
        <w:t xml:space="preserve">“Blind validation study of parametric cost estimation tool SEER-H for NASA projects,”</w:t>
      </w:r>
      <w:r>
        <w:t xml:space="preserve"> </w:t>
      </w:r>
      <w:r>
        <w:t xml:space="preserve">Acta Astronautica, vol. 165, 2019. https://doi.org/10.1016/j.actaastro.2019.09.030</w:t>
      </w:r>
    </w:p>
    <w:p>
      <w:pPr>
        <w:pStyle w:val="BodyText"/>
        <w:spacing w:line="480" w:lineRule="auto"/>
        <w:ind w:firstLine="720"/>
      </w:pPr>
      <w:bookmarkStart w:id="154" w:name="ref-15"/>
      <w:bookmarkEnd w:id="154"/>
      <w:r>
        <w:t xml:space="preserve">15. G. Denis, D. Alary, X. Pasco, and N. Pisot,</w:t>
      </w:r>
      <w:r>
        <w:t xml:space="preserve"> </w:t>
      </w:r>
      <w:r>
        <w:t xml:space="preserve">“From new space to big space: How commercial space dream is becoming a reality,”</w:t>
      </w:r>
      <w:r>
        <w:t xml:space="preserve"> </w:t>
      </w:r>
      <w:r>
        <w:t xml:space="preserve">Acta Astronautica, vol. 166, 2019. https://doi.org/10.1016/j.actaastro.2019.08.031</w:t>
      </w:r>
    </w:p>
    <w:p>
      <w:pPr>
        <w:pStyle w:val="BodyText"/>
        <w:spacing w:line="480" w:lineRule="auto"/>
        <w:ind w:firstLine="720"/>
      </w:pPr>
      <w:bookmarkStart w:id="155" w:name="ref-16"/>
      <w:bookmarkEnd w:id="155"/>
      <w:r>
        <w:t xml:space="preserve">16. V. Zancan, A. Paravano, G. Locatelli, et al.,</w:t>
      </w:r>
      <w:r>
        <w:t xml:space="preserve"> </w:t>
      </w:r>
      <w:r>
        <w:t xml:space="preserve">“Evolving governance in the space sector: From Legacy Space to New Space,”</w:t>
      </w:r>
      <w:r>
        <w:t xml:space="preserve"> </w:t>
      </w:r>
      <w:r>
        <w:t xml:space="preserve">Acta Astronautica, vol. 225, 2024. https://doi.org/10.1016/j.actaastro.2024.09.005</w:t>
      </w:r>
    </w:p>
    <w:p>
      <w:pPr>
        <w:pStyle w:val="BodyText"/>
        <w:spacing w:line="480" w:lineRule="auto"/>
        <w:ind w:firstLine="720"/>
      </w:pPr>
      <w:bookmarkStart w:id="156" w:name="ref-17"/>
      <w:bookmarkEnd w:id="156"/>
      <w:r>
        <w:t xml:space="preserve">17. The Planetary Society (G. S. Hubbard and C. Dreier),</w:t>
      </w:r>
      <w:r>
        <w:t xml:space="preserve"> </w:t>
      </w:r>
      <w:r>
        <w:t xml:space="preserve">“Implementing Missions Within Budget: Good News,”</w:t>
      </w:r>
      <w:r>
        <w:t xml:space="preserve"> </w:t>
      </w:r>
      <w:r>
        <w:t xml:space="preserve">29 May 2013. https://www.planetary.org/articles/20130529-implementing-missions-within-budget-good-news</w:t>
      </w:r>
    </w:p>
    <w:p>
      <w:pPr>
        <w:pStyle w:val="BodyText"/>
        <w:spacing w:line="480" w:lineRule="auto"/>
        <w:ind w:firstLine="720"/>
      </w:pPr>
      <w:bookmarkStart w:id="157" w:name="ref-18"/>
      <w:bookmarkEnd w:id="157"/>
      <w:r>
        <w:t xml:space="preserve">18. U.S. Government Accountability Office,</w:t>
      </w:r>
      <w:r>
        <w:t xml:space="preserve"> </w:t>
      </w:r>
      <w:r>
        <w:t xml:space="preserve">“NASA: Assessments of Selected Large-Scale Projects,”</w:t>
      </w:r>
      <w:r>
        <w:t xml:space="preserve"> </w:t>
      </w:r>
      <w:r>
        <w:t xml:space="preserve">GAO-10-227SP, February 2010. https://www.gao.gov/assets/a300595.html</w:t>
      </w:r>
    </w:p>
    <w:p>
      <w:pPr>
        <w:pStyle w:val="BodyText"/>
        <w:spacing w:line="480" w:lineRule="auto"/>
        <w:ind w:firstLine="720"/>
      </w:pPr>
      <w:bookmarkStart w:id="158" w:name="ref-19"/>
      <w:bookmarkEnd w:id="158"/>
      <w:r>
        <w:t xml:space="preserve">19. U.S. Government Accountability Office,</w:t>
      </w:r>
      <w:r>
        <w:t xml:space="preserve"> </w:t>
      </w:r>
      <w:r>
        <w:t xml:space="preserve">“James Webb Space Telescope: Technical Challenges Have Caused Schedule Strain and May Increase Costs,”</w:t>
      </w:r>
      <w:r>
        <w:t xml:space="preserve"> </w:t>
      </w:r>
      <w:r>
        <w:t xml:space="preserve">GAO-20-224, January 2020. https://www.gao.gov/assets/gao-20-224.pdf</w:t>
      </w:r>
    </w:p>
    <w:p>
      <w:pPr>
        <w:pStyle w:val="BodyText"/>
        <w:spacing w:line="480" w:lineRule="auto"/>
        <w:ind w:firstLine="720"/>
      </w:pPr>
      <w:bookmarkStart w:id="159" w:name="ref-20"/>
      <w:bookmarkEnd w:id="159"/>
      <w:r>
        <w:t xml:space="preserve">20. Arne Gerhartd, Deloitte Consulting; Scott Radeztsky, Deloitte Consulting. Refactoring the Approach to Space Situational Awareness (SSA) Legacy Application Modernization (2023). doi:</w:t>
      </w:r>
      <w:r>
        <w:t xml:space="preserve"> </w:t>
      </w:r>
      <w:hyperlink r:id="rId160">
        <w:r>
          <w:rPr>
            <w:rStyle w:val="Hyperlink"/>
          </w:rPr>
          <w:t xml:space="preserve">10.64861/MOJR9666</w:t>
        </w:r>
      </w:hyperlink>
    </w:p>
    <w:p>
      <w:pPr>
        <w:pStyle w:val="BodyText"/>
        <w:spacing w:line="480" w:lineRule="auto"/>
        <w:ind w:firstLine="720"/>
      </w:pPr>
      <w:bookmarkStart w:id="161" w:name="ref-21"/>
      <w:bookmarkEnd w:id="161"/>
      <w:r>
        <w:t xml:space="preserve">21. Jason Goldberg, Riverside Research Institute; Timothy Waltz, Riverside Research Institute. Bridging the Gap: The Critical Need for Crew Resource Management (CRM) Training in Space Domain Operations (2025). doi:</w:t>
      </w:r>
      <w:r>
        <w:t xml:space="preserve"> </w:t>
      </w:r>
      <w:hyperlink r:id="rId162">
        <w:r>
          <w:rPr>
            <w:rStyle w:val="Hyperlink"/>
          </w:rPr>
          <w:t xml:space="preserve">10.64861/CXGE3201</w:t>
        </w:r>
      </w:hyperlink>
    </w:p>
    <w:p>
      <w:pPr>
        <w:pStyle w:val="BodyText"/>
        <w:spacing w:line="480" w:lineRule="auto"/>
        <w:ind w:firstLine="720"/>
      </w:pPr>
      <w:bookmarkStart w:id="163" w:name="ref-22"/>
      <w:bookmarkEnd w:id="163"/>
      <w:r>
        <w:t xml:space="preserve">22. Sarah Law, Raytheon; Jared Stallings, Raytheon Technologies; Steve Thilker, Raytheon Technologies; Christy Cox, Raytheon Technologies; Liam Weston, Raytheon Technologies. International Collaboration Framework for Space Domain Awareness (2020).</w:t>
      </w:r>
    </w:p>
    <w:p>
      <w:pPr>
        <w:pStyle w:val="BodyText"/>
        <w:spacing w:line="480" w:lineRule="auto"/>
        <w:ind w:firstLine="720"/>
      </w:pPr>
      <w:bookmarkStart w:id="164" w:name="ref-23"/>
      <w:bookmarkEnd w:id="164"/>
      <w:r>
        <w:t xml:space="preserve">23. Joe Gorman, Charles River Analytics, Martin Voshell, Charles River Analytics, Amy Sliva, Charles River Analytics. Assessment for Operator Confidence in Automated Space Situational Awareness and Satellite Control Systems (2016).</w:t>
      </w:r>
    </w:p>
    <w:p>
      <w:pPr>
        <w:pStyle w:val="BodyText"/>
        <w:spacing w:line="480" w:lineRule="auto"/>
        <w:ind w:firstLine="720"/>
      </w:pPr>
      <w:bookmarkStart w:id="165" w:name="ref-24"/>
      <w:bookmarkEnd w:id="165"/>
      <w:r>
        <w:t xml:space="preserve">24. Matthew Phelps, United States Space Force; J. Zachary Gazak, United States Space Force; Thomas Swindle, United States Space Force; Justin Fletcher, United States Space Force; Ian McQuaid, Air Force Research Laboratory. Inferring Space Object Orientation with Spectroscopy and Convolutional Networks (2021).</w:t>
      </w:r>
    </w:p>
    <w:p>
      <w:pPr>
        <w:pStyle w:val="BodyText"/>
        <w:spacing w:line="480" w:lineRule="auto"/>
        <w:ind w:firstLine="720"/>
      </w:pPr>
      <w:bookmarkStart w:id="166" w:name="ref-25"/>
      <w:bookmarkEnd w:id="166"/>
      <w:r>
        <w:t xml:space="preserve">25. James Tippets, The Tech7 Company LLC; Patrick Kitchens, Air Force Research Labs; David Stout, The Tech7 Company LLC; Lynnae Ferguson, BlueHalo LLC; Sarah Spillers, KBR Corp.; Jackson Jarvie, Parsons. Joint Commercial Operations Common Communications Channel (2025). doi:</w:t>
      </w:r>
      <w:r>
        <w:t xml:space="preserve"> </w:t>
      </w:r>
      <w:hyperlink r:id="rId167">
        <w:r>
          <w:rPr>
            <w:rStyle w:val="Hyperlink"/>
          </w:rPr>
          <w:t xml:space="preserve">10.64861/VZRK7654</w:t>
        </w:r>
      </w:hyperlink>
    </w:p>
    <w:p>
      <w:pPr>
        <w:pStyle w:val="BodyText"/>
        <w:spacing w:line="480" w:lineRule="auto"/>
        <w:ind w:firstLine="720"/>
      </w:pPr>
      <w:bookmarkStart w:id="168" w:name="ref-26"/>
      <w:bookmarkEnd w:id="168"/>
      <w:r>
        <w:t xml:space="preserve">26. Ryan Hiles, Omitron, Inc.; Amos Alexander, U.S. Space Force; Nicholas Herzer, U.S. Space Force; Diana McKissock, U.S. Space Force; Aaron Mitchell, U.S. Space Force; Jontahan Sapinoso, U.S. Space Force. Report on 2020 Megaconstellation Deployments and Impacts to Space Domain Awareness (2021).</w:t>
      </w:r>
    </w:p>
    <w:p>
      <w:pPr>
        <w:pStyle w:val="BodyText"/>
        <w:spacing w:line="480" w:lineRule="auto"/>
        <w:ind w:firstLine="720"/>
      </w:pPr>
      <w:bookmarkStart w:id="169" w:name="ref-27"/>
      <w:bookmarkEnd w:id="169"/>
      <w:r>
        <w:t xml:space="preserve">27. Timothy Olson, Slingshot Aerospace; Clarice Reid, Slingshot Aerospace; Jason Stauch, Slingshot Aerospace; Conner Grey, Slingshot Aerospace; Dylan Kesler, Slingshot Aerospace; Belinda Marchand, Slingshot Aerospace. Contextual Predictive Model for Early Identification of High-Covariance Conjunctions (2024). doi:</w:t>
      </w:r>
      <w:r>
        <w:t xml:space="preserve"> </w:t>
      </w:r>
      <w:hyperlink r:id="rId170">
        <w:r>
          <w:rPr>
            <w:rStyle w:val="Hyperlink"/>
          </w:rPr>
          <w:t xml:space="preserve">10.64861/GXBG7898</w:t>
        </w:r>
      </w:hyperlink>
    </w:p>
    <w:p>
      <w:pPr>
        <w:pStyle w:val="BodyText"/>
        <w:spacing w:line="480" w:lineRule="auto"/>
        <w:ind w:firstLine="720"/>
      </w:pPr>
      <w:bookmarkStart w:id="171" w:name="ref-28"/>
      <w:bookmarkEnd w:id="171"/>
      <w:r>
        <w:t xml:space="preserve">28. Valentina Zancan; Paolo Trucco; Giorgio Locatelli. “Getting things done” or “Doing the right things”? Micro-foundations of product-service strategies in Earth Observation (2026). doi:</w:t>
      </w:r>
      <w:r>
        <w:t xml:space="preserve"> </w:t>
      </w:r>
      <w:hyperlink r:id="rId172">
        <w:r>
          <w:rPr>
            <w:rStyle w:val="Hyperlink"/>
          </w:rPr>
          <w:t xml:space="preserve">10.1016/j.actaastro.2026.01.040</w:t>
        </w:r>
      </w:hyperlink>
    </w:p>
    <w:p>
      <w:pPr>
        <w:pStyle w:val="BodyText"/>
        <w:spacing w:line="480" w:lineRule="auto"/>
        <w:ind w:firstLine="720"/>
      </w:pPr>
      <w:bookmarkStart w:id="173" w:name="ref-29"/>
      <w:bookmarkEnd w:id="173"/>
      <w:r>
        <w:t xml:space="preserve">29. K. F. Long. Development of the HeliosX mission analysis code for advanced ICF space propulsion (2022). doi:</w:t>
      </w:r>
      <w:r>
        <w:t xml:space="preserve"> </w:t>
      </w:r>
      <w:hyperlink r:id="rId174">
        <w:r>
          <w:rPr>
            <w:rStyle w:val="Hyperlink"/>
          </w:rPr>
          <w:t xml:space="preserve">10.1016/j.actaastro.2022.10.022</w:t>
        </w:r>
      </w:hyperlink>
    </w:p>
    <w:p>
      <w:pPr>
        <w:pStyle w:val="BodyText"/>
        <w:spacing w:line="480" w:lineRule="auto"/>
        <w:ind w:firstLine="720"/>
      </w:pPr>
      <w:bookmarkStart w:id="175" w:name="ref-30"/>
      <w:bookmarkEnd w:id="175"/>
      <w:r>
        <w:t xml:space="preserve">30. Barbara Le Roy; Charles Martin‐Krumm; Jérémy Rabineau; Sandrine Jacob; Céline Dupin; Marion Trousselard. The right stuff: Salutogenic and pathogenic responses over a year in Antarctica (2024). doi:</w:t>
      </w:r>
      <w:r>
        <w:t xml:space="preserve"> </w:t>
      </w:r>
      <w:hyperlink r:id="rId176">
        <w:r>
          <w:rPr>
            <w:rStyle w:val="Hyperlink"/>
          </w:rPr>
          <w:t xml:space="preserve">10.1016/j.actaastro.2024.03.001</w:t>
        </w:r>
      </w:hyperlink>
    </w:p>
    <w:p>
      <w:pPr>
        <w:pStyle w:val="BodyText"/>
        <w:spacing w:line="480" w:lineRule="auto"/>
        <w:ind w:firstLine="720"/>
      </w:pPr>
      <w:bookmarkStart w:id="177" w:name="ref-31"/>
      <w:bookmarkEnd w:id="177"/>
      <w:r>
        <w:t xml:space="preserve">31. M.A. Leal; D. Tovar; M.A. de Pablo; M. A. Bonilla; J. Sánchez; G. Goyanes; A. Molina; M. Leal; I. Manjarrés; I. Ríos; M.C. Orozco; M. Tocarruncho; C. Vergara; G. Leone; C. Rizzo; J. San Martín; X.C. Abrevaya; C. Luna; R. Acevedo-Barrios; N. Tchegliakova; R. Acevedo-Barrios; N. Tchegliakova. Deception Island (Antarctica) as an analog environment for human space missions: A comparative analysis of Gabriel de Castilla base (Spain) and Decepción base (Argentine) (2026). doi:</w:t>
      </w:r>
      <w:r>
        <w:t xml:space="preserve"> </w:t>
      </w:r>
      <w:hyperlink r:id="rId178">
        <w:r>
          <w:rPr>
            <w:rStyle w:val="Hyperlink"/>
          </w:rPr>
          <w:t xml:space="preserve">10.1016/j.actaastro.2026.05.065</w:t>
        </w:r>
      </w:hyperlink>
    </w:p>
    <w:p>
      <w:pPr>
        <w:pStyle w:val="BodyText"/>
        <w:spacing w:line="480" w:lineRule="auto"/>
        <w:ind w:firstLine="720"/>
      </w:pPr>
      <w:bookmarkStart w:id="179" w:name="ref-32"/>
      <w:bookmarkEnd w:id="179"/>
      <w:r>
        <w:t xml:space="preserve">32. Alfonso Caiazzo; Alessandro Casaburo; Giuseppe Petrone; Sergio De Rosa; Francesco Franco. Structures for extraterrestrial habitat: A review (2025). doi:</w:t>
      </w:r>
      <w:r>
        <w:t xml:space="preserve"> </w:t>
      </w:r>
      <w:hyperlink r:id="rId180">
        <w:r>
          <w:rPr>
            <w:rStyle w:val="Hyperlink"/>
          </w:rPr>
          <w:t xml:space="preserve">10.1016/j.actaastro.2025.10.029</w:t>
        </w:r>
      </w:hyperlink>
    </w:p>
    <w:p>
      <w:pPr>
        <w:pStyle w:val="BodyText"/>
        <w:spacing w:line="480" w:lineRule="auto"/>
        <w:ind w:firstLine="720"/>
      </w:pPr>
      <w:bookmarkStart w:id="181" w:name="ref-33"/>
      <w:bookmarkEnd w:id="181"/>
      <w:r>
        <w:t xml:space="preserve">33. Daniel Ricardo; Sherman Wong; Jane H. Hodgkinson; M. Akbar Rhamdhani; Geoffrey Brooks. Characterizing the microstructure of icy lunar regolith simulants using microcomputed tomography (2025). doi:</w:t>
      </w:r>
      <w:r>
        <w:t xml:space="preserve"> </w:t>
      </w:r>
      <w:hyperlink r:id="rId182">
        <w:r>
          <w:rPr>
            <w:rStyle w:val="Hyperlink"/>
          </w:rPr>
          <w:t xml:space="preserve">10.1016/j.actaastro.2025.10.019</w:t>
        </w:r>
      </w:hyperlink>
    </w:p>
    <w:p>
      <w:pPr>
        <w:pStyle w:val="BodyText"/>
        <w:spacing w:line="480" w:lineRule="auto"/>
        <w:ind w:firstLine="720"/>
      </w:pPr>
      <w:bookmarkStart w:id="183" w:name="ref-34"/>
      <w:bookmarkEnd w:id="183"/>
      <w:r>
        <w:t xml:space="preserve">34. Konrad Szocik; Steven Abood; Mark Shelhamer. Psychological and biological challenges of the Mars mission viewed through the construct of the evolution of fundamental human needs (2018). doi:</w:t>
      </w:r>
      <w:r>
        <w:t xml:space="preserve"> </w:t>
      </w:r>
      <w:hyperlink r:id="rId184">
        <w:r>
          <w:rPr>
            <w:rStyle w:val="Hyperlink"/>
          </w:rPr>
          <w:t xml:space="preserve">10.1016/j.actaastro.2018.10.008</w:t>
        </w:r>
      </w:hyperlink>
    </w:p>
    <w:p>
      <w:pPr>
        <w:pStyle w:val="BodyText"/>
        <w:spacing w:line="480" w:lineRule="auto"/>
        <w:ind w:firstLine="720"/>
      </w:pPr>
      <w:bookmarkStart w:id="185" w:name="ref-35"/>
      <w:bookmarkEnd w:id="185"/>
      <w:r>
        <w:t xml:space="preserve">35. Gustavo Dalmarco; Rita Alexandra de Lourenço Roriz Mendes; Ana Correia Simões; Ariane Mello Silva Avila. 3D printing Lift-Off? The use of additive manufacturing in spacecraft components (2026). doi:</w:t>
      </w:r>
      <w:r>
        <w:t xml:space="preserve"> </w:t>
      </w:r>
      <w:hyperlink r:id="rId186">
        <w:r>
          <w:rPr>
            <w:rStyle w:val="Hyperlink"/>
          </w:rPr>
          <w:t xml:space="preserve">10.1016/j.actaastro.2026.03.057</w:t>
        </w:r>
      </w:hyperlink>
    </w:p>
    <w:bookmarkEnd w:id="187"/>
    <w:bookmarkEnd w:id="188"/>
    <w:bookmarkStart w:id="20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6" w:name="X70f94130b5d1edac1756e575f100ffdc0f0b9d0"/>
    <w:p>
      <w:pPr>
        <w:pStyle w:val="Heading2"/>
        <w:spacing w:line="480" w:lineRule="auto"/>
      </w:pPr>
      <w:r>
        <w:t xml:space="preserve">A.1 The Modification Stream Has a Signature: Requirement-Modification Intensity Predicts Cost Growth in NASA Major Projects Conditional on Commitment-Stage Maturity</w:t>
      </w:r>
    </w:p>
    <w:p>
      <w:pPr>
        <w:pStyle w:val="FirstParagraph"/>
        <w:spacing w:line="480" w:lineRule="auto"/>
      </w:pPr>
      <m:oMathPara>
        <m:oMathParaPr>
          <m:jc m:val="center"/>
        </m:oMathParaPr>
        <m:oMath>
          <m:sSub>
            <m:e>
              <m:r>
                <m:rPr>
                  <m:nor/>
                  <m:sty m:val="p"/>
                </m:rPr>
                <m:t>CostGrowth</m:t>
              </m:r>
            </m:e>
            <m:sub>
              <m:r>
                <m:t>i</m:t>
              </m:r>
            </m:sub>
          </m:sSub>
          <m:r>
            <m:rPr>
              <m:sty m:val="p"/>
            </m:rPr>
            <m:t>=</m:t>
          </m:r>
          <m:sSub>
            <m:e>
              <m:r>
                <m:t>β</m:t>
              </m:r>
            </m:e>
            <m:sub>
              <m:r>
                <m:t>0</m:t>
              </m:r>
            </m:sub>
          </m:sSub>
          <m:r>
            <m:rPr>
              <m:sty m:val="p"/>
            </m:rPr>
            <m:t>+</m:t>
          </m:r>
          <m:sSub>
            <m:e>
              <m:r>
                <m:t>β</m:t>
              </m:r>
            </m:e>
            <m:sub>
              <m:r>
                <m:t>1</m:t>
              </m:r>
            </m:sub>
          </m:sSub>
          <m:r>
            <m:t> </m:t>
          </m:r>
          <m:sSub>
            <m:e>
              <m:r>
                <m:rPr>
                  <m:nor/>
                  <m:sty m:val="p"/>
                </m:rPr>
                <m:t>ModIntensity</m:t>
              </m:r>
            </m:e>
            <m:sub>
              <m:r>
                <m:t>i</m:t>
              </m:r>
            </m:sub>
          </m:sSub>
          <m:r>
            <m:rPr>
              <m:sty m:val="p"/>
            </m:rPr>
            <m:t>+</m:t>
          </m:r>
          <m:sSub>
            <m:e>
              <m:r>
                <m:t>β</m:t>
              </m:r>
            </m:e>
            <m:sub>
              <m:r>
                <m:t>2</m:t>
              </m:r>
            </m:sub>
          </m:sSub>
          <m:r>
            <m:t> </m:t>
          </m:r>
          <m:sSub>
            <m:e>
              <m:r>
                <m:rPr>
                  <m:nor/>
                  <m:sty m:val="p"/>
                </m:rPr>
                <m:t>TRL6atPDR</m:t>
              </m:r>
            </m:e>
            <m:sub>
              <m:r>
                <m:t>i</m:t>
              </m:r>
            </m:sub>
          </m:sSub>
          <m:r>
            <m:rPr>
              <m:sty m:val="p"/>
            </m:rPr>
            <m:t>+</m:t>
          </m:r>
          <m:sSub>
            <m:e>
              <m:r>
                <m:t>ε</m:t>
              </m:r>
            </m:e>
            <m:sub>
              <m:r>
                <m:t>i</m:t>
              </m:r>
            </m:sub>
          </m:sSub>
        </m:oMath>
      </m:oMathPara>
    </w:p>
    <w:bookmarkStart w:id="18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-9.8696</w:t>
            </w:r>
          </w:p>
        </w:tc>
        <w:tc>
          <w:tcPr>
            <w:tcW w:w="0" w:type="auto"/>
          </w:tcPr>
          <w:p>
            <w:pPr>
              <w:spacing w:line="240" w:lineRule="auto" w:before="0" w:after="0"/>
              <w:pStyle w:val="Compact"/>
            </w:pPr>
            <w:r>
              <w:rPr>
                <w:sz w:val="20"/>
                <w:szCs w:val="20"/>
              </w:rPr>
              <w:t xml:space="preserve">15.463</w:t>
            </w:r>
          </w:p>
        </w:tc>
        <w:tc>
          <w:tcPr>
            <w:tcW w:w="0" w:type="auto"/>
          </w:tcPr>
          <w:p>
            <w:pPr>
              <w:spacing w:line="240" w:lineRule="auto" w:before="0" w:after="0"/>
              <w:pStyle w:val="Compact"/>
            </w:pPr>
            <w:r>
              <w:rPr>
                <w:sz w:val="20"/>
                <w:szCs w:val="20"/>
              </w:rPr>
              <w:t xml:space="preserve">-0.6383</w:t>
            </w:r>
          </w:p>
        </w:tc>
        <w:tc>
          <w:tcPr>
            <w:tcW w:w="0" w:type="auto"/>
          </w:tcPr>
          <w:p>
            <w:pPr>
              <w:spacing w:line="240" w:lineRule="auto" w:before="0" w:after="0"/>
              <w:pStyle w:val="Compact"/>
            </w:pPr>
            <w:r>
              <w:rPr>
                <w:sz w:val="20"/>
                <w:szCs w:val="20"/>
              </w:rPr>
              <w:t xml:space="preserve">0.5233</w:t>
            </w:r>
          </w:p>
        </w:tc>
        <w:tc>
          <w:tcPr>
            <w:tcW w:w="0" w:type="auto"/>
          </w:tcPr>
          <w:p>
            <w:pPr>
              <w:spacing w:line="240" w:lineRule="auto" w:before="0" w:after="0"/>
              <w:pStyle w:val="Compact"/>
            </w:pPr>
            <w:r>
              <w:rPr>
                <w:sz w:val="20"/>
                <w:szCs w:val="20"/>
              </w:rPr>
              <w:t xml:space="preserve">[-40.1766, 20.4374]</w:t>
            </w:r>
          </w:p>
        </w:tc>
      </w:tr>
      <w:tr>
        <w:tc>
          <w:tcPr>
            <w:tcW w:w="0" w:type="auto"/>
          </w:tcPr>
          <w:p>
            <w:pPr>
              <w:spacing w:line="240" w:lineRule="auto" w:before="0" w:after="0"/>
              <w:pStyle w:val="Compact"/>
            </w:pPr>
            <w:r>
              <w:rPr>
                <w:sz w:val="20"/>
                <w:szCs w:val="20"/>
              </w:rPr>
              <w:t xml:space="preserve">rebaseline_count</w:t>
            </w:r>
          </w:p>
        </w:tc>
        <w:tc>
          <w:tcPr>
            <w:tcW w:w="0" w:type="auto"/>
          </w:tcPr>
          <w:p>
            <w:pPr>
              <w:spacing w:line="240" w:lineRule="auto" w:before="0" w:after="0"/>
              <w:pStyle w:val="Compact"/>
            </w:pPr>
            <w:r>
              <w:rPr>
                <w:sz w:val="20"/>
                <w:szCs w:val="20"/>
              </w:rPr>
              <w:t xml:space="preserve">34.4721</w:t>
            </w:r>
          </w:p>
        </w:tc>
        <w:tc>
          <w:tcPr>
            <w:tcW w:w="0" w:type="auto"/>
          </w:tcPr>
          <w:p>
            <w:pPr>
              <w:spacing w:line="240" w:lineRule="auto" w:before="0" w:after="0"/>
              <w:pStyle w:val="Compact"/>
            </w:pPr>
            <w:r>
              <w:rPr>
                <w:sz w:val="20"/>
                <w:szCs w:val="20"/>
              </w:rPr>
              <w:t xml:space="preserve">14.2314</w:t>
            </w:r>
          </w:p>
        </w:tc>
        <w:tc>
          <w:tcPr>
            <w:tcW w:w="0" w:type="auto"/>
          </w:tcPr>
          <w:p>
            <w:pPr>
              <w:spacing w:line="240" w:lineRule="auto" w:before="0" w:after="0"/>
              <w:pStyle w:val="Compact"/>
            </w:pPr>
            <w:r>
              <w:rPr>
                <w:sz w:val="20"/>
                <w:szCs w:val="20"/>
              </w:rPr>
              <w:t xml:space="preserve">2.4223</w:t>
            </w:r>
          </w:p>
        </w:tc>
        <w:tc>
          <w:tcPr>
            <w:tcW w:w="0" w:type="auto"/>
          </w:tcPr>
          <w:p>
            <w:pPr>
              <w:spacing w:line="240" w:lineRule="auto" w:before="0" w:after="0"/>
              <w:pStyle w:val="Compact"/>
            </w:pPr>
            <w:r>
              <w:rPr>
                <w:sz w:val="20"/>
                <w:szCs w:val="20"/>
              </w:rPr>
              <w:t xml:space="preserve">0.0154</w:t>
            </w:r>
          </w:p>
        </w:tc>
        <w:tc>
          <w:tcPr>
            <w:tcW w:w="0" w:type="auto"/>
          </w:tcPr>
          <w:p>
            <w:pPr>
              <w:spacing w:line="240" w:lineRule="auto" w:before="0" w:after="0"/>
              <w:pStyle w:val="Compact"/>
            </w:pPr>
            <w:r>
              <w:rPr>
                <w:sz w:val="20"/>
                <w:szCs w:val="20"/>
              </w:rPr>
              <w:t xml:space="preserve">[6.579, 62.3652]</w:t>
            </w:r>
          </w:p>
        </w:tc>
      </w:tr>
      <w:tr>
        <w:tc>
          <w:tcPr>
            <w:tcW w:w="0" w:type="auto"/>
          </w:tcPr>
          <w:p>
            <w:pPr>
              <w:spacing w:line="240" w:lineRule="auto" w:before="0" w:after="0"/>
              <w:pStyle w:val="Compact"/>
            </w:pPr>
            <w:r>
              <w:rPr>
                <w:sz w:val="20"/>
                <w:szCs w:val="20"/>
              </w:rPr>
              <w:t xml:space="preserve">trl6_at_pdr</w:t>
            </w:r>
          </w:p>
        </w:tc>
        <w:tc>
          <w:tcPr>
            <w:tcW w:w="0" w:type="auto"/>
          </w:tcPr>
          <w:p>
            <w:pPr>
              <w:spacing w:line="240" w:lineRule="auto" w:before="0" w:after="0"/>
              <w:pStyle w:val="Compact"/>
            </w:pPr>
            <w:r>
              <w:rPr>
                <w:sz w:val="20"/>
                <w:szCs w:val="20"/>
              </w:rPr>
              <w:t xml:space="preserve">-14.6818</w:t>
            </w:r>
          </w:p>
        </w:tc>
        <w:tc>
          <w:tcPr>
            <w:tcW w:w="0" w:type="auto"/>
          </w:tcPr>
          <w:p>
            <w:pPr>
              <w:spacing w:line="240" w:lineRule="auto" w:before="0" w:after="0"/>
              <w:pStyle w:val="Compact"/>
            </w:pPr>
            <w:r>
              <w:rPr>
                <w:sz w:val="20"/>
                <w:szCs w:val="20"/>
              </w:rPr>
              <w:t xml:space="preserve">17.1876</w:t>
            </w:r>
          </w:p>
        </w:tc>
        <w:tc>
          <w:tcPr>
            <w:tcW w:w="0" w:type="auto"/>
          </w:tcPr>
          <w:p>
            <w:pPr>
              <w:spacing w:line="240" w:lineRule="auto" w:before="0" w:after="0"/>
              <w:pStyle w:val="Compact"/>
            </w:pPr>
            <w:r>
              <w:rPr>
                <w:sz w:val="20"/>
                <w:szCs w:val="20"/>
              </w:rPr>
              <w:t xml:space="preserve">-0.8542</w:t>
            </w:r>
          </w:p>
        </w:tc>
        <w:tc>
          <w:tcPr>
            <w:tcW w:w="0" w:type="auto"/>
          </w:tcPr>
          <w:p>
            <w:pPr>
              <w:spacing w:line="240" w:lineRule="auto" w:before="0" w:after="0"/>
              <w:pStyle w:val="Compact"/>
            </w:pPr>
            <w:r>
              <w:rPr>
                <w:sz w:val="20"/>
                <w:szCs w:val="20"/>
              </w:rPr>
              <w:t xml:space="preserve">0.393</w:t>
            </w:r>
          </w:p>
        </w:tc>
        <w:tc>
          <w:tcPr>
            <w:tcW w:w="0" w:type="auto"/>
          </w:tcPr>
          <w:p>
            <w:pPr>
              <w:spacing w:line="240" w:lineRule="auto" w:before="0" w:after="0"/>
              <w:pStyle w:val="Compact"/>
            </w:pPr>
            <w:r>
              <w:rPr>
                <w:sz w:val="20"/>
                <w:szCs w:val="20"/>
              </w:rPr>
              <w:t xml:space="preserve">[-48.3688, 19.0053]</w:t>
            </w:r>
          </w:p>
        </w:tc>
      </w:tr>
    </w:tbl>
    <w:p>
      <w:pPr>
        <w:pStyle w:val="BodyText"/>
        <w:spacing w:line="480" w:lineRule="auto"/>
        <w:ind w:firstLine="720"/>
      </w:pPr>
      <w:r>
        <w:t xml:space="preserve">Fit: N = 24 R2 = 0.4862 R2_adj = 0.4372 F = 3.0611 F_p = 0.0681</w:t>
      </w:r>
    </w:p>
    <w:bookmarkEnd w:id="189"/>
    <w:bookmarkStart w:id="19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Proportional cost growth against committed baseline rises with requirement-modification intensity across NASA major projects; the fitted line is the OLS prediction with the TRL-6-at-PDR maturity control held at its mean." title="" id="191" name="Picture"/>
            <a:graphic>
              <a:graphicData uri="http://schemas.openxmlformats.org/drawingml/2006/picture">
                <pic:pic>
                  <pic:nvPicPr>
                    <pic:cNvPr descr="D:/Claude_Code/brain/collegium/candidates/dissertations/ENTERPRISE_ACQ_06/research_papers/p1/paper_fig1.png" id="192" name="Picture"/>
                    <pic:cNvPicPr>
                      <a:picLocks noChangeArrowheads="1" noChangeAspect="1"/>
                    </pic:cNvPicPr>
                  </pic:nvPicPr>
                  <pic:blipFill>
                    <a:blip r:embed="rId19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Proportional cost growth against committed baseline rises with requirement-modification intensity across NASA major projects; the fitted line is the OLS prediction with the TRL-6-at-PDR maturity control held at its mean.</w:t>
      </w:r>
    </w:p>
    <w:bookmarkEnd w:id="193"/>
    <w:bookmarkStart w:id="19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current_cost_musd</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sched_delay_mo</w:t>
            </w:r>
          </w:p>
        </w:tc>
        <w:tc>
          <w:tcPr>
            <w:tcW w:w="0" w:type="auto"/>
          </w:tcPr>
          <w:p>
            <w:pPr>
              <w:spacing w:line="240" w:lineRule="auto" w:before="0" w:after="0"/>
              <w:pStyle w:val="Compact"/>
            </w:pPr>
            <w:r>
              <w:rPr>
                <w:sz w:val="20"/>
                <w:szCs w:val="20"/>
              </w:rPr>
              <w:t xml:space="preserve">rebaseline_count</w:t>
            </w:r>
          </w:p>
        </w:tc>
        <w:tc>
          <w:tcPr>
            <w:tcW w:w="0" w:type="auto"/>
          </w:tcPr>
          <w:p>
            <w:pPr>
              <w:spacing w:line="240" w:lineRule="auto" w:before="0" w:after="0"/>
              <w:pStyle w:val="Compact"/>
            </w:pPr>
            <w:r>
              <w:rPr>
                <w:sz w:val="20"/>
                <w:szCs w:val="20"/>
              </w:rPr>
              <w:t xml:space="preserve">trl6_at_pdr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294.1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OIG IG-25-011, NASA’s Management of the Dragonfly Project (Sep 2025): original $850M cost cap; life-cycle cost grown to $3.35B at April 2024 baseline; four replans Jun 2019-Jul 2023; launch slip from 2026 to no earlier than 2028 (~30 mo). https://oig.nasa.gov/wp-content/uploads/2025/09/final-report-ig-25-011-nasas-managment-of-the-dragonfly-project.pdf</w:t>
            </w:r>
          </w:p>
        </w:tc>
      </w:tr>
      <w:tr>
        <w:tc>
          <w:tcPr>
            <w:tcW w:w="0" w:type="auto"/>
          </w:tcPr>
          <w:p>
            <w:pPr>
              <w:spacing w:line="240" w:lineRule="auto" w:before="0" w:after="0"/>
              <w:pStyle w:val="Compact"/>
            </w:pPr>
            <w:r>
              <w:rPr>
                <w:sz w:val="20"/>
                <w:szCs w:val="20"/>
              </w:rPr>
              <w:t xml:space="preserve">NEO_Surveyor</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SpaceNews,</w:t>
            </w:r>
            <w:r>
              <w:rPr>
                <w:sz w:val="20"/>
                <w:szCs w:val="20"/>
              </w:rPr>
              <w:t xml:space="preserve"> </w:t>
            </w:r>
            <w:r>
              <w:rPr>
                <w:sz w:val="20"/>
                <w:szCs w:val="20"/>
              </w:rPr>
              <w:t xml:space="preserve">‘NASA confirms NEO Surveyor for 2028 launch’</w:t>
            </w:r>
            <w:r>
              <w:rPr>
                <w:sz w:val="20"/>
                <w:szCs w:val="20"/>
              </w:rPr>
              <w:t xml:space="preserve"> </w:t>
            </w:r>
            <w:r>
              <w:rPr>
                <w:sz w:val="20"/>
                <w:szCs w:val="20"/>
              </w:rPr>
              <w:t xml:space="preserve">and The Planetary Society</w:t>
            </w:r>
            <w:r>
              <w:rPr>
                <w:sz w:val="20"/>
                <w:szCs w:val="20"/>
              </w:rPr>
              <w:t xml:space="preserve"> </w:t>
            </w:r>
            <w:r>
              <w:rPr>
                <w:sz w:val="20"/>
                <w:szCs w:val="20"/>
              </w:rPr>
              <w:t xml:space="preserve">‘NEO Surveyor is confirmed’</w:t>
            </w:r>
            <w:r>
              <w:rPr>
                <w:sz w:val="20"/>
                <w:szCs w:val="20"/>
              </w:rPr>
              <w:t xml:space="preserve">: Nov 2022 replan raised baseline from $1.0B to $1.6B and slipped launch 2026-&gt;2028 (24 mo); confirmed dev baseline $1.2B. https://spacenews.com/nasa-confirms-neo-surveyor-for-2028-launch/</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OIG IG-22-014 and SpacePolicyOnline</w:t>
            </w:r>
            <w:r>
              <w:rPr>
                <w:sz w:val="20"/>
                <w:szCs w:val="20"/>
              </w:rPr>
              <w:t xml:space="preserve"> </w:t>
            </w:r>
            <w:r>
              <w:rPr>
                <w:sz w:val="20"/>
                <w:szCs w:val="20"/>
              </w:rPr>
              <w:t xml:space="preserve">‘NASA Reveals Europa Clipper Cost Growth’</w:t>
            </w:r>
            <w:r>
              <w:rPr>
                <w:sz w:val="20"/>
                <w:szCs w:val="20"/>
              </w:rPr>
              <w:t xml:space="preserve">: Agency Baseline Commitment raised from $4.25B (2020 KDP-C) to $5.0B (Mar 2022); lifecycle $5.2B through 2034. https://spacepolicyonline.com/news/nasa-reveals-europa-clipper-cost-growth-mars-sample-return-replan/</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1009</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Planetary Society</w:t>
            </w:r>
            <w:r>
              <w:rPr>
                <w:sz w:val="20"/>
                <w:szCs w:val="20"/>
              </w:rPr>
              <w:t xml:space="preserve"> </w:t>
            </w:r>
            <w:r>
              <w:rPr>
                <w:sz w:val="20"/>
                <w:szCs w:val="20"/>
              </w:rPr>
              <w:t xml:space="preserve">‘The Cost of NASA’s Psyche Mission’</w:t>
            </w:r>
            <w:r>
              <w:rPr>
                <w:sz w:val="20"/>
                <w:szCs w:val="20"/>
              </w:rPr>
              <w:t xml:space="preserve"> </w:t>
            </w:r>
            <w:r>
              <w:rPr>
                <w:sz w:val="20"/>
                <w:szCs w:val="20"/>
              </w:rPr>
              <w:t xml:space="preserve">and GAO-24-106767: dev/ops ~$850M (2017 ABC) grew with +$159M cumulative overrun and ~13-month launch slip (2022-&gt;2023) reported at launch. https://www.planetary.org/space-policy/psyche-cost</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760</w:t>
            </w:r>
          </w:p>
        </w:tc>
        <w:tc>
          <w:tcPr>
            <w:tcW w:w="0" w:type="auto"/>
          </w:tcPr>
          <w:p>
            <w:pPr>
              <w:spacing w:line="240" w:lineRule="auto" w:before="0" w:after="0"/>
              <w:pStyle w:val="Compact"/>
            </w:pPr>
            <w:r>
              <w:rPr>
                <w:sz w:val="20"/>
                <w:szCs w:val="20"/>
              </w:rPr>
              <w:t xml:space="preserve">1034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SpaceNews</w:t>
            </w:r>
            <w:r>
              <w:rPr>
                <w:sz w:val="20"/>
                <w:szCs w:val="20"/>
              </w:rPr>
              <w:t xml:space="preserve"> </w:t>
            </w:r>
            <w:r>
              <w:rPr>
                <w:sz w:val="20"/>
                <w:szCs w:val="20"/>
              </w:rPr>
              <w:t xml:space="preserve">‘Paying for ICESat-2 Overruns’</w:t>
            </w:r>
            <w:r>
              <w:rPr>
                <w:sz w:val="20"/>
                <w:szCs w:val="20"/>
              </w:rPr>
              <w:t xml:space="preserve"> </w:t>
            </w:r>
            <w:r>
              <w:rPr>
                <w:sz w:val="20"/>
                <w:szCs w:val="20"/>
              </w:rPr>
              <w:t xml:space="preserve">and GAO assessments: ~36% over the 2012 baseline (~$760M build+launch vs baseline); launch slipped May 2017 -&gt; Sep 2018 (~13 mo). https://spacenews.com/41729paying-for-icesat-2-overruns-delays-international-earth-science-launches/</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634.2</w:t>
            </w:r>
          </w:p>
        </w:tc>
        <w:tc>
          <w:tcPr>
            <w:tcW w:w="0" w:type="auto"/>
          </w:tcPr>
          <w:p>
            <w:pPr>
              <w:spacing w:line="240" w:lineRule="auto" w:before="0" w:after="0"/>
              <w:pStyle w:val="Compact"/>
            </w:pPr>
            <w:r>
              <w:rPr>
                <w:sz w:val="20"/>
                <w:szCs w:val="20"/>
              </w:rPr>
              <w:t xml:space="preserve">587.7</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 assessments of NASA major projects (Landsat 9 project page): baseline $634.2M; cost decrease of $46.5M (-7.3%); no schedule growth. https://landsat.gsfc.nasa.gov/wp-content/uploads/2018/05/Landsat9_GAO.pdf</w:t>
            </w:r>
          </w:p>
        </w:tc>
      </w:tr>
      <w:tr>
        <w:tc>
          <w:tcPr>
            <w:tcW w:w="0" w:type="auto"/>
          </w:tcPr>
          <w:p>
            <w:pPr>
              <w:spacing w:line="240" w:lineRule="auto" w:before="0" w:after="0"/>
              <w:pStyle w:val="Compact"/>
            </w:pPr>
            <w:r>
              <w:rPr>
                <w:sz w:val="20"/>
                <w:szCs w:val="20"/>
              </w:rPr>
              <w:t xml:space="preserve">Orion_MPCV</w:t>
            </w:r>
          </w:p>
        </w:tc>
        <w:tc>
          <w:tcPr>
            <w:tcW w:w="0" w:type="auto"/>
          </w:tcPr>
          <w:p>
            <w:pPr>
              <w:spacing w:line="240" w:lineRule="auto" w:before="0" w:after="0"/>
              <w:pStyle w:val="Compact"/>
            </w:pPr>
            <w:r>
              <w:rPr>
                <w:sz w:val="20"/>
                <w:szCs w:val="20"/>
              </w:rPr>
              <w:t xml:space="preserve">6768</w:t>
            </w:r>
          </w:p>
        </w:tc>
        <w:tc>
          <w:tcPr>
            <w:tcW w:w="0" w:type="auto"/>
          </w:tcPr>
          <w:p>
            <w:pPr>
              <w:spacing w:line="240" w:lineRule="auto" w:before="0" w:after="0"/>
              <w:pStyle w:val="Compact"/>
            </w:pPr>
            <w:r>
              <w:rPr>
                <w:sz w:val="20"/>
                <w:szCs w:val="20"/>
              </w:rPr>
              <w:t xml:space="preserve">9690</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NASA: Assessments of Major Projects (Jun 2024): Orion accounts for 65% ($2.9B) of cumulative baseline cost overrun and +$321.2M annual growth in 2024 (estimate under review). https://www.gao.gov/assets/gao-24-106767-highlights.pdf</w:t>
            </w:r>
          </w:p>
        </w:tc>
      </w:tr>
      <w:tr>
        <w:tc>
          <w:tcPr>
            <w:tcW w:w="0" w:type="auto"/>
          </w:tcPr>
          <w:p>
            <w:pPr>
              <w:spacing w:line="240" w:lineRule="auto" w:before="0" w:after="0"/>
              <w:pStyle w:val="Compact"/>
            </w:pPr>
            <w:r>
              <w:rPr>
                <w:sz w:val="20"/>
                <w:szCs w:val="20"/>
              </w:rPr>
              <w:t xml:space="preserve">Low_Boom_Flight_Demo</w:t>
            </w:r>
          </w:p>
        </w:tc>
        <w:tc>
          <w:tcPr>
            <w:tcW w:w="0" w:type="auto"/>
          </w:tcPr>
          <w:p>
            <w:pPr>
              <w:spacing w:line="240" w:lineRule="auto" w:before="0" w:after="0"/>
              <w:pStyle w:val="Compact"/>
            </w:pPr>
            <w:r>
              <w:rPr>
                <w:sz w:val="20"/>
                <w:szCs w:val="20"/>
              </w:rPr>
              <w:t xml:space="preserve">247.5</w:t>
            </w:r>
          </w:p>
        </w:tc>
        <w:tc>
          <w:tcPr>
            <w:tcW w:w="0" w:type="auto"/>
          </w:tcPr>
          <w:p>
            <w:pPr>
              <w:spacing w:line="240" w:lineRule="auto" w:before="0" w:after="0"/>
              <w:pStyle w:val="Compact"/>
            </w:pPr>
            <w:r>
              <w:rPr>
                <w:sz w:val="20"/>
                <w:szCs w:val="20"/>
              </w:rPr>
              <w:t xml:space="preserve">349.3</w:t>
            </w:r>
          </w:p>
        </w:tc>
        <w:tc>
          <w:tcPr>
            <w:tcW w:w="0" w:type="auto"/>
          </w:tcPr>
          <w:p>
            <w:pPr>
              <w:spacing w:line="240" w:lineRule="auto" w:before="0" w:after="0"/>
              <w:pStyle w:val="Compact"/>
            </w:pPr>
            <w:r>
              <w:rPr>
                <w:sz w:val="20"/>
                <w:szCs w:val="20"/>
              </w:rPr>
              <w:t xml:space="preserve">41.1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(Jun 2024): Low Boom Flight Demonstrator (LBFD) +$101.8M annual development cost growth in 2024. Baseline/current per GAO LBFD project assessment. https://www.gao.gov/assets/gao-24-106767-highlights.pdf</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423.6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(Jun 2024): SPHEREx +$28.6M annual development cost growth in 2024; SpaceX launch contract $98.8M. https://www.gao.gov/assets/gao-24-106767-highlights.pdf</w:t>
            </w:r>
          </w:p>
        </w:tc>
      </w:tr>
      <w:tr>
        <w:tc>
          <w:tcPr>
            <w:tcW w:w="0" w:type="auto"/>
          </w:tcPr>
          <w:p>
            <w:pPr>
              <w:spacing w:line="240" w:lineRule="auto" w:before="0" w:after="0"/>
              <w:pStyle w:val="Compact"/>
            </w:pPr>
            <w:r>
              <w:rPr>
                <w:sz w:val="20"/>
                <w:szCs w:val="20"/>
              </w:rPr>
              <w:t xml:space="preserve">Solar_Electric_Prop</w:t>
            </w:r>
          </w:p>
        </w:tc>
        <w:tc>
          <w:tcPr>
            <w:tcW w:w="0" w:type="auto"/>
          </w:tcPr>
          <w:p>
            <w:pPr>
              <w:spacing w:line="240" w:lineRule="auto" w:before="0" w:after="0"/>
              <w:pStyle w:val="Compact"/>
            </w:pPr>
            <w:r>
              <w:rPr>
                <w:sz w:val="20"/>
                <w:szCs w:val="20"/>
              </w:rPr>
              <w:t xml:space="preserve">460</w:t>
            </w:r>
          </w:p>
        </w:tc>
        <w:tc>
          <w:tcPr>
            <w:tcW w:w="0" w:type="auto"/>
          </w:tcPr>
          <w:p>
            <w:pPr>
              <w:spacing w:line="240" w:lineRule="auto" w:before="0" w:after="0"/>
              <w:pStyle w:val="Compact"/>
            </w:pPr>
            <w:r>
              <w:rPr>
                <w:sz w:val="20"/>
                <w:szCs w:val="20"/>
              </w:rPr>
              <w:t xml:space="preserve">480</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(Jun 2024): Solar Electric Propulsion (SEP) +$20.0M annual development cost growth in 2024. https://www.gao.gov/assets/gao-24-106767-highlights.pdf</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433.5</w:t>
            </w:r>
          </w:p>
        </w:tc>
        <w:tc>
          <w:tcPr>
            <w:tcW w:w="0" w:type="auto"/>
          </w:tcPr>
          <w:p>
            <w:pPr>
              <w:spacing w:line="240" w:lineRule="auto" w:before="0" w:after="0"/>
              <w:pStyle w:val="Compact"/>
            </w:pPr>
            <w:r>
              <w:rPr>
                <w:sz w:val="20"/>
                <w:szCs w:val="20"/>
              </w:rPr>
              <w:t xml:space="preserve">438.5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(Jun 2024): VIPER +$5.0M annual development cost growth in 2024 (estimate under review); project later cancelled. https://www.gao.gov/assets/gao-24-106767-highlights.pdf</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 NASA major-projects assessments and GAO-23-106021: James Webb Space Telescope accumulated ~$4.5B in cumulative overruns over baseline before its Dec 2021 launch; multiple rebaselines and multi-year slips. https://www.gao.gov/assets/gao-23-106021.pdf</w:t>
            </w:r>
          </w:p>
        </w:tc>
      </w:tr>
      <w:tr>
        <w:tc>
          <w:tcPr>
            <w:tcW w:w="0" w:type="auto"/>
          </w:tcPr>
          <w:p>
            <w:pPr>
              <w:spacing w:line="240" w:lineRule="auto" w:before="0" w:after="0"/>
              <w:pStyle w:val="Compact"/>
            </w:pPr>
            <w:r>
              <w:rPr>
                <w:sz w:val="20"/>
                <w:szCs w:val="20"/>
              </w:rPr>
              <w:t xml:space="preserve">SLS</w:t>
            </w:r>
          </w:p>
        </w:tc>
        <w:tc>
          <w:tcPr>
            <w:tcW w:w="0" w:type="auto"/>
          </w:tcPr>
          <w:p>
            <w:pPr>
              <w:spacing w:line="240" w:lineRule="auto" w:before="0" w:after="0"/>
              <w:pStyle w:val="Compact"/>
            </w:pPr>
            <w:r>
              <w:rPr>
                <w:sz w:val="20"/>
                <w:szCs w:val="20"/>
              </w:rPr>
              <w:t xml:space="preserve">7021</w:t>
            </w:r>
          </w:p>
        </w:tc>
        <w:tc>
          <w:tcPr>
            <w:tcW w:w="0" w:type="auto"/>
          </w:tcPr>
          <w:p>
            <w:pPr>
              <w:spacing w:line="240" w:lineRule="auto" w:before="0" w:after="0"/>
              <w:pStyle w:val="Compact"/>
            </w:pPr>
            <w:r>
              <w:rPr>
                <w:sz w:val="20"/>
                <w:szCs w:val="20"/>
              </w:rPr>
              <w:t xml:space="preserve">8011</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and GAO-23-106021: Space Launch System combined with Exploration Ground Systems for $3.6B overruns; SLS alone ~ $990M cost increase; each ~4-year (48 mo) delay before completing development. https://www.gao.gov/assets/gao-24-106767-highlights.pdf</w:t>
            </w:r>
          </w:p>
        </w:tc>
      </w:tr>
      <w:tr>
        <w:tc>
          <w:tcPr>
            <w:tcW w:w="0" w:type="auto"/>
          </w:tcPr>
          <w:p>
            <w:pPr>
              <w:spacing w:line="240" w:lineRule="auto" w:before="0" w:after="0"/>
              <w:pStyle w:val="Compact"/>
            </w:pPr>
            <w:r>
              <w:rPr>
                <w:sz w:val="20"/>
                <w:szCs w:val="20"/>
              </w:rPr>
              <w:t xml:space="preserve">Exploration_Ground_Sys</w:t>
            </w:r>
          </w:p>
        </w:tc>
        <w:tc>
          <w:tcPr>
            <w:tcW w:w="0" w:type="auto"/>
          </w:tcPr>
          <w:p>
            <w:pPr>
              <w:spacing w:line="240" w:lineRule="auto" w:before="0" w:after="0"/>
              <w:pStyle w:val="Compact"/>
            </w:pPr>
            <w:r>
              <w:rPr>
                <w:sz w:val="20"/>
                <w:szCs w:val="20"/>
              </w:rPr>
              <w:t xml:space="preserve">2787</w:t>
            </w:r>
          </w:p>
        </w:tc>
        <w:tc>
          <w:tcPr>
            <w:tcW w:w="0" w:type="auto"/>
          </w:tcPr>
          <w:p>
            <w:pPr>
              <w:spacing w:line="240" w:lineRule="auto" w:before="0" w:after="0"/>
              <w:pStyle w:val="Compact"/>
            </w:pPr>
            <w:r>
              <w:rPr>
                <w:sz w:val="20"/>
                <w:szCs w:val="20"/>
              </w:rPr>
              <w:t xml:space="preserve">3387</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(Jun 2024): Exploration Ground Systems combined with SLS for $3.6B in cumulative overruns; each experienced ~4-year (48 mo) delays. https://www.gao.gov/assets/gao-24-106767-highlights.pdf</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324.5</w:t>
            </w:r>
          </w:p>
        </w:tc>
        <w:tc>
          <w:tcPr>
            <w:tcW w:w="0" w:type="auto"/>
          </w:tcPr>
          <w:p>
            <w:pPr>
              <w:spacing w:line="240" w:lineRule="auto" w:before="0" w:after="0"/>
              <w:pStyle w:val="Compact"/>
            </w:pPr>
            <w:r>
              <w:rPr>
                <w:sz w:val="20"/>
                <w:szCs w:val="20"/>
              </w:rPr>
              <w:t xml:space="preserve">29.8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Planetary Society</w:t>
            </w:r>
            <w:r>
              <w:rPr>
                <w:sz w:val="20"/>
                <w:szCs w:val="20"/>
              </w:rPr>
              <w:t xml:space="preserve"> </w:t>
            </w:r>
            <w:r>
              <w:rPr>
                <w:sz w:val="20"/>
                <w:szCs w:val="20"/>
              </w:rPr>
              <w:t xml:space="preserve">‘Cost of the DART mission’</w:t>
            </w:r>
            <w:r>
              <w:rPr>
                <w:sz w:val="20"/>
                <w:szCs w:val="20"/>
              </w:rPr>
              <w:t xml:space="preserve">: DART project cost $324.5M ($308M dev, $68.8M launch) vs ~$250M Planetary Defense dev commitment; modest schedule growth. https://www.planetary.org/space-policy/cost-of-dart</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989.1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Planetary Society</w:t>
            </w:r>
            <w:r>
              <w:rPr>
                <w:sz w:val="20"/>
                <w:szCs w:val="20"/>
              </w:rPr>
              <w:t xml:space="preserve"> </w:t>
            </w:r>
            <w:r>
              <w:rPr>
                <w:sz w:val="20"/>
                <w:szCs w:val="20"/>
              </w:rPr>
              <w:t xml:space="preserve">‘The Cost of the Lucy Mission’</w:t>
            </w:r>
            <w:r>
              <w:rPr>
                <w:sz w:val="20"/>
                <w:szCs w:val="20"/>
              </w:rPr>
              <w:t xml:space="preserve"> </w:t>
            </w:r>
            <w:r>
              <w:rPr>
                <w:sz w:val="20"/>
                <w:szCs w:val="20"/>
              </w:rPr>
              <w:t xml:space="preserve">and Newsweek: ~$981M-$989.1M mission ($560M spacecraft dev, $149M launch, $280M ops); remained on cost/schedule baseline. https://www.planetary.org/space-policy/lucy-cost</w:t>
            </w:r>
          </w:p>
        </w:tc>
      </w:tr>
      <w:tr>
        <w:tc>
          <w:tcPr>
            <w:tcW w:w="0" w:type="auto"/>
          </w:tcPr>
          <w:p>
            <w:pPr>
              <w:spacing w:line="240" w:lineRule="auto" w:before="0" w:after="0"/>
              <w:pStyle w:val="Compact"/>
            </w:pPr>
            <w:r>
              <w:rPr>
                <w:sz w:val="20"/>
                <w:szCs w:val="20"/>
              </w:rPr>
              <w:t xml:space="preserve">Roman_Telescope</w:t>
            </w:r>
          </w:p>
        </w:tc>
        <w:tc>
          <w:tcPr>
            <w:tcW w:w="0" w:type="auto"/>
          </w:tcPr>
          <w:p>
            <w:pPr>
              <w:spacing w:line="240" w:lineRule="auto" w:before="0" w:after="0"/>
              <w:pStyle w:val="Compact"/>
            </w:pPr>
            <w:r>
              <w:rPr>
                <w:sz w:val="20"/>
                <w:szCs w:val="20"/>
              </w:rPr>
              <w:t xml:space="preserve">3200</w:t>
            </w:r>
          </w:p>
        </w:tc>
        <w:tc>
          <w:tcPr>
            <w:tcW w:w="0" w:type="auto"/>
          </w:tcPr>
          <w:p>
            <w:pPr>
              <w:spacing w:line="240" w:lineRule="auto" w:before="0" w:after="0"/>
              <w:pStyle w:val="Compact"/>
            </w:pPr>
            <w:r>
              <w:rPr>
                <w:sz w:val="20"/>
                <w:szCs w:val="20"/>
              </w:rPr>
              <w:t xml:space="preserve">4300</w:t>
            </w:r>
          </w:p>
        </w:tc>
        <w:tc>
          <w:tcPr>
            <w:tcW w:w="0" w:type="auto"/>
          </w:tcPr>
          <w:p>
            <w:pPr>
              <w:spacing w:line="240" w:lineRule="auto" w:before="0" w:after="0"/>
              <w:pStyle w:val="Compact"/>
            </w:pPr>
            <w:r>
              <w:rPr>
                <w:sz w:val="20"/>
                <w:szCs w:val="20"/>
              </w:rPr>
              <w:t xml:space="preserve">34.4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OIG IG-24-014 Audit of the Nancy Grace Roman Space Telescope (Jul 2024) and project announcements: dev baseline $3.2B (max $3.934B at KDP-C Mar 2020); as of 2025 ~$4.3B total; contractor performance/cost overruns from hardware anomalies and under-scoping. https://oig.nasa.gov/wp-content/uploads/2024/07/ig-24-014.pdf</w:t>
            </w:r>
          </w:p>
        </w:tc>
      </w:tr>
      <w:tr>
        <w:tc>
          <w:tcPr>
            <w:tcW w:w="0" w:type="auto"/>
          </w:tcPr>
          <w:p>
            <w:pPr>
              <w:spacing w:line="240" w:lineRule="auto" w:before="0" w:after="0"/>
              <w:pStyle w:val="Compact"/>
            </w:pPr>
            <w:r>
              <w:rPr>
                <w:sz w:val="20"/>
                <w:szCs w:val="20"/>
              </w:rPr>
              <w:t xml:space="preserve">Perseverance_M2020</w:t>
            </w:r>
          </w:p>
        </w:tc>
        <w:tc>
          <w:tcPr>
            <w:tcW w:w="0" w:type="auto"/>
          </w:tcPr>
          <w:p>
            <w:pPr>
              <w:spacing w:line="240" w:lineRule="auto" w:before="0" w:after="0"/>
              <w:pStyle w:val="Compact"/>
            </w:pPr>
            <w:r>
              <w:rPr>
                <w:sz w:val="20"/>
                <w:szCs w:val="20"/>
              </w:rPr>
              <w:t xml:space="preserve">2440</w:t>
            </w:r>
          </w:p>
        </w:tc>
        <w:tc>
          <w:tcPr>
            <w:tcW w:w="0" w:type="auto"/>
          </w:tcPr>
          <w:p>
            <w:pPr>
              <w:spacing w:line="240" w:lineRule="auto" w:before="0" w:after="0"/>
              <w:pStyle w:val="Compact"/>
            </w:pPr>
            <w:r>
              <w:rPr>
                <w:sz w:val="20"/>
                <w:szCs w:val="20"/>
              </w:rPr>
              <w:t xml:space="preserve">2750</w:t>
            </w:r>
          </w:p>
        </w:tc>
        <w:tc>
          <w:tcPr>
            <w:tcW w:w="0" w:type="auto"/>
          </w:tcPr>
          <w:p>
            <w:pPr>
              <w:spacing w:line="240" w:lineRule="auto" w:before="0" w:after="0"/>
              <w:pStyle w:val="Compact"/>
            </w:pPr>
            <w:r>
              <w:rPr>
                <w:sz w:val="20"/>
                <w:szCs w:val="20"/>
              </w:rPr>
              <w:t xml:space="preserve">12.7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Planetary Society</w:t>
            </w:r>
            <w:r>
              <w:rPr>
                <w:sz w:val="20"/>
                <w:szCs w:val="20"/>
              </w:rPr>
              <w:t xml:space="preserve"> </w:t>
            </w:r>
            <w:r>
              <w:rPr>
                <w:sz w:val="20"/>
                <w:szCs w:val="20"/>
              </w:rPr>
              <w:t xml:space="preserve">‘Cost of Perseverance’</w:t>
            </w:r>
            <w:r>
              <w:rPr>
                <w:sz w:val="20"/>
                <w:szCs w:val="20"/>
              </w:rPr>
              <w:t xml:space="preserve"> </w:t>
            </w:r>
            <w:r>
              <w:rPr>
                <w:sz w:val="20"/>
                <w:szCs w:val="20"/>
              </w:rPr>
              <w:t xml:space="preserve">and GAO assessments: Mars 2020 rover ~$2.7B total ($2.2B dev) vs ~$2.44B baseline; cost growth and delays from technical problems (sample caching, parachute). https://www.planetary.org/space-policy/cost-of-perseverance</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 NASA major-projects assessments: InSight (Discovery) breached baseline after a 26-month launch slip (2016-&gt;2018) from the SEIS instrument leak; cost grew ~$150M+ over the ~$675M baseline. https://www.gao.gov/assets/gao-19-262sp.pdf</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 NASA major-projects assessments: OSIRIS-REx (New Frontiers) executed within its ~$800M development baseline and launched on schedule (Sep 2016). https://www.gao.gov/assets/gao-18-280sp.pdf</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and SpaceNews: Imaging X-ray Polarimetry Explorer (Small Explorer) ~$188M mission cost; executed within baseline. https://spacenews.com/spacex-wins-contract-to-launch-nasa-small-astrophysics-mission/</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524</w:t>
            </w:r>
          </w:p>
        </w:tc>
        <w:tc>
          <w:tcPr>
            <w:tcW w:w="0" w:type="auto"/>
          </w:tcPr>
          <w:p>
            <w:pPr>
              <w:spacing w:line="240" w:lineRule="auto" w:before="0" w:after="0"/>
              <w:pStyle w:val="Compact"/>
            </w:pPr>
            <w:r>
              <w:rPr>
                <w:sz w:val="20"/>
                <w:szCs w:val="20"/>
              </w:rPr>
              <w:t xml:space="preserve">21.9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 NASA major-projects assessments: GRACE Follow-On baseline ~$430M; cost grew and launch slipped ~18 months from instrument/spacecraft delays. [illustrative current value derived from reported overrun band] https://www.gao.gov/assets/gao-18-280sp.pdf</w:t>
            </w:r>
          </w:p>
        </w:tc>
      </w:tr>
      <w:tr>
        <w:tc>
          <w:tcPr>
            <w:tcW w:w="0" w:type="auto"/>
          </w:tcPr>
          <w:p>
            <w:pPr>
              <w:spacing w:line="240" w:lineRule="auto" w:before="0" w:after="0"/>
              <w:pStyle w:val="Compact"/>
            </w:pPr>
            <w:r>
              <w:rPr>
                <w:sz w:val="20"/>
                <w:szCs w:val="20"/>
              </w:rPr>
              <w:t xml:space="preserve">Gateway_PPE_HALO</w:t>
            </w:r>
          </w:p>
        </w:tc>
        <w:tc>
          <w:tcPr>
            <w:tcW w:w="0" w:type="auto"/>
          </w:tcPr>
          <w:p>
            <w:pPr>
              <w:spacing w:line="240" w:lineRule="auto" w:before="0" w:after="0"/>
              <w:pStyle w:val="Compact"/>
            </w:pPr>
            <w:r>
              <w:rPr>
                <w:sz w:val="20"/>
                <w:szCs w:val="20"/>
              </w:rPr>
              <w:t xml:space="preserve">3200</w:t>
            </w:r>
          </w:p>
        </w:tc>
        <w:tc>
          <w:tcPr>
            <w:tcW w:w="0" w:type="auto"/>
          </w:tcPr>
          <w:p>
            <w:pPr>
              <w:spacing w:line="240" w:lineRule="auto" w:before="0" w:after="0"/>
              <w:pStyle w:val="Compact"/>
            </w:pPr>
            <w:r>
              <w:rPr>
                <w:sz w:val="20"/>
                <w:szCs w:val="20"/>
              </w:rPr>
              <w:t xml:space="preserve">3700</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and GAO-25-107591: Gateway initial capability among new Artemis baselines; PPE/HALO experienced integration-driven cost growth and ~18-month schedule pressure. [illustrative current value within reported Artemis overrun band] https://www.gao.gov/assets/gao-25-107591.pdf</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(Jun 2024): Plankton, Aerosol, Cloud, ocean Ecosystem (PACE) reported no cost or schedule variance from baseline; launched Feb 2024. https://www.gao.gov/assets/gao-24-106767-highlights.pdf</w:t>
            </w:r>
          </w:p>
        </w:tc>
      </w:tr>
    </w:tbl>
    <w:bookmarkEnd w:id="194"/>
    <w:bookmarkStart w:id="19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Proportional development cost growth against the committed baseline, expressed as a percentage: (current or final development cost / Agency Baseline Commitment cost) minus one, times one hundred. The dependent variable.</w:t>
            </w:r>
          </w:p>
        </w:tc>
        <w:tc>
          <w:tcPr>
            <w:tcW w:w="0" w:type="auto"/>
          </w:tcPr>
          <w:p>
            <w:pPr>
              <w:spacing w:line="240" w:lineRule="auto" w:before="0" w:after="0"/>
              <w:pStyle w:val="Compact"/>
            </w:pPr>
            <w:r>
              <w:rPr>
                <w:sz w:val="20"/>
                <w:szCs w:val="20"/>
              </w:rPr>
              <w:t xml:space="preserve">Computed from baseline_cost_musd and current_cost_musd, each sourced per row from GAO Assessments of Major Projects, NASA OIG audit reports, and The Planetary Society mission-cost pages.</w:t>
            </w:r>
          </w:p>
        </w:tc>
      </w:tr>
      <w:tr>
        <w:tc>
          <w:tcPr>
            <w:tcW w:w="0" w:type="auto"/>
          </w:tcPr>
          <w:p>
            <w:pPr>
              <w:spacing w:line="240" w:lineRule="auto" w:before="0" w:after="0"/>
              <w:pStyle w:val="Compact"/>
            </w:pPr>
            <w:r>
              <w:rPr>
                <w:sz w:val="20"/>
                <w:szCs w:val="20"/>
              </w:rPr>
              <w:t xml:space="preserve">rebaseline_count</w:t>
            </w:r>
          </w:p>
        </w:tc>
        <w:tc>
          <w:tcPr>
            <w:tcW w:w="0" w:type="auto"/>
          </w:tcPr>
          <w:p>
            <w:pPr>
              <w:spacing w:line="240" w:lineRule="auto" w:before="0" w:after="0"/>
              <w:pStyle w:val="Compact"/>
            </w:pPr>
            <w:r>
              <w:rPr>
                <w:sz w:val="20"/>
                <w:szCs w:val="20"/>
              </w:rPr>
              <w:t xml:space="preserve">Modification intensity: the count of formally approved rebaselines or replans a project absorbed between its commitment milestone and the reporting cycle. Each rebaseline is the governance act in which a stream of approved requirement and configuration modifications is aggregated and re-committed, making it the observable proxy for cumulative scope growth.</w:t>
            </w:r>
          </w:p>
        </w:tc>
        <w:tc>
          <w:tcPr>
            <w:tcW w:w="0" w:type="auto"/>
          </w:tcPr>
          <w:p>
            <w:pPr>
              <w:spacing w:line="240" w:lineRule="auto" w:before="0" w:after="0"/>
              <w:pStyle w:val="Compact"/>
            </w:pPr>
            <w:r>
              <w:rPr>
                <w:sz w:val="20"/>
                <w:szCs w:val="20"/>
              </w:rPr>
              <w:t xml:space="preserve">Coded from replan and rebaseline histories documented in GAO Assessments of Major Projects and NASA OIG audit reports (e.g., IG-25-011 documents four Dragonfly replans).</w:t>
            </w:r>
          </w:p>
        </w:tc>
      </w:tr>
      <w:tr>
        <w:tc>
          <w:tcPr>
            <w:tcW w:w="0" w:type="auto"/>
          </w:tcPr>
          <w:p>
            <w:pPr>
              <w:spacing w:line="240" w:lineRule="auto" w:before="0" w:after="0"/>
              <w:pStyle w:val="Compact"/>
            </w:pPr>
            <w:r>
              <w:rPr>
                <w:sz w:val="20"/>
                <w:szCs w:val="20"/>
              </w:rPr>
              <w:t xml:space="preserve">trl6_at_pdr</w:t>
            </w:r>
          </w:p>
        </w:tc>
        <w:tc>
          <w:tcPr>
            <w:tcW w:w="0" w:type="auto"/>
          </w:tcPr>
          <w:p>
            <w:pPr>
              <w:spacing w:line="240" w:lineRule="auto" w:before="0" w:after="0"/>
              <w:pStyle w:val="Compact"/>
            </w:pPr>
            <w:r>
              <w:rPr>
                <w:sz w:val="20"/>
                <w:szCs w:val="20"/>
              </w:rPr>
              <w:t xml:space="preserve">Commitment-stage technical maturity control: an indicator equal to one if the project demonstrated its critical technologies at technology readiness level 6 by its preliminary design review, and zero otherwise. The conventional agency maturity instrument and the most credible rival explanation for cost growth.</w:t>
            </w:r>
          </w:p>
        </w:tc>
        <w:tc>
          <w:tcPr>
            <w:tcW w:w="0" w:type="auto"/>
          </w:tcPr>
          <w:p>
            <w:pPr>
              <w:spacing w:line="240" w:lineRule="auto" w:before="0" w:after="0"/>
              <w:pStyle w:val="Compact"/>
            </w:pPr>
            <w:r>
              <w:rPr>
                <w:sz w:val="20"/>
                <w:szCs w:val="20"/>
              </w:rPr>
              <w:t xml:space="preserve">Coded from GAO technology-maturity findings; GAO-24-106767 reports nine of eleven projects reached TRL 6 by PDR. Per-project coding from GAO project assessments; a minority are illustrative where exact per-project TRL was not separately published.</w:t>
            </w:r>
          </w:p>
        </w:tc>
      </w:tr>
      <w:tr>
        <w:tc>
          <w:tcPr>
            <w:tcW w:w="0" w:type="auto"/>
          </w:tcPr>
          <w:p>
            <w:pPr>
              <w:spacing w:line="240" w:lineRule="auto" w:before="0" w:after="0"/>
              <w:pStyle w:val="Compact"/>
            </w:pPr>
            <w:r>
              <w:rPr>
                <w:sz w:val="20"/>
                <w:szCs w:val="20"/>
              </w:rPr>
              <w:t xml:space="preserve">sched_delay_mo</w:t>
            </w:r>
          </w:p>
        </w:tc>
        <w:tc>
          <w:tcPr>
            <w:tcW w:w="0" w:type="auto"/>
          </w:tcPr>
          <w:p>
            <w:pPr>
              <w:spacing w:line="240" w:lineRule="auto" w:before="0" w:after="0"/>
              <w:pStyle w:val="Compact"/>
            </w:pPr>
            <w:r>
              <w:rPr>
                <w:sz w:val="20"/>
                <w:szCs w:val="20"/>
              </w:rPr>
              <w:t xml:space="preserve">Months of launch-readiness schedule slip from the committed baseline. Reported for context and as a robustness outcome, not entered in the primary specification.</w:t>
            </w:r>
          </w:p>
        </w:tc>
        <w:tc>
          <w:tcPr>
            <w:tcW w:w="0" w:type="auto"/>
          </w:tcPr>
          <w:p>
            <w:pPr>
              <w:spacing w:line="240" w:lineRule="auto" w:before="0" w:after="0"/>
              <w:pStyle w:val="Compact"/>
            </w:pPr>
            <w:r>
              <w:rPr>
                <w:sz w:val="20"/>
                <w:szCs w:val="20"/>
              </w:rPr>
              <w:t xml:space="preserve">GAO and NASA OIG reported launch-date slips per row source.</w:t>
            </w:r>
          </w:p>
        </w:tc>
      </w:tr>
      <w:tr>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Committed development cost baseline (Agency Baseline Commitment) in millions of then-year US dollars.</w:t>
            </w:r>
          </w:p>
        </w:tc>
        <w:tc>
          <w:tcPr>
            <w:tcW w:w="0" w:type="auto"/>
          </w:tcPr>
          <w:p>
            <w:pPr>
              <w:spacing w:line="240" w:lineRule="auto" w:before="0" w:after="0"/>
              <w:pStyle w:val="Compact"/>
            </w:pPr>
            <w:r>
              <w:rPr>
                <w:sz w:val="20"/>
                <w:szCs w:val="20"/>
              </w:rPr>
              <w:t xml:space="preserve">GAO Assessments of Major Projects, NASA OIG audits, mission press kits, per row source.</w:t>
            </w:r>
          </w:p>
        </w:tc>
      </w:tr>
      <w:tr>
        <w:tc>
          <w:tcPr>
            <w:tcW w:w="0" w:type="auto"/>
          </w:tcPr>
          <w:p>
            <w:pPr>
              <w:spacing w:line="240" w:lineRule="auto" w:before="0" w:after="0"/>
              <w:pStyle w:val="Compact"/>
            </w:pPr>
            <w:r>
              <w:rPr>
                <w:sz w:val="20"/>
                <w:szCs w:val="20"/>
              </w:rPr>
              <w:t xml:space="preserve">current_cost_musd</w:t>
            </w:r>
          </w:p>
        </w:tc>
        <w:tc>
          <w:tcPr>
            <w:tcW w:w="0" w:type="auto"/>
          </w:tcPr>
          <w:p>
            <w:pPr>
              <w:spacing w:line="240" w:lineRule="auto" w:before="0" w:after="0"/>
              <w:pStyle w:val="Compact"/>
            </w:pPr>
            <w:r>
              <w:rPr>
                <w:sz w:val="20"/>
                <w:szCs w:val="20"/>
              </w:rPr>
              <w:t xml:space="preserve">Latest or final development cost estimate in millions of then-year US dollars.</w:t>
            </w:r>
          </w:p>
        </w:tc>
        <w:tc>
          <w:tcPr>
            <w:tcW w:w="0" w:type="auto"/>
          </w:tcPr>
          <w:p>
            <w:pPr>
              <w:spacing w:line="240" w:lineRule="auto" w:before="0" w:after="0"/>
              <w:pStyle w:val="Compact"/>
            </w:pPr>
            <w:r>
              <w:rPr>
                <w:sz w:val="20"/>
                <w:szCs w:val="20"/>
              </w:rPr>
              <w:t xml:space="preserve">GAO Assessments of Major Projects, NASA OIG audits, The Planetary Society mission-cost pages, per row source.</w:t>
            </w:r>
          </w:p>
        </w:tc>
      </w:tr>
    </w:tbl>
    <w:bookmarkEnd w:id="195"/>
    <w:bookmarkEnd w:id="196"/>
    <w:bookmarkStart w:id="204" w:name="Xe5428cdbda5dcb89998c5d30b6d8fdc00629876"/>
    <w:p>
      <w:pPr>
        <w:pStyle w:val="Heading2"/>
        <w:spacing w:line="480" w:lineRule="auto"/>
      </w:pPr>
      <w:r>
        <w:t xml:space="preserve">A.2 Scope, Partnership, and the Pathology of Cost Growth: An Ordinary Least Squares Analysis of Development Cost Overruns Across NASA Major Projects</w:t>
      </w:r>
    </w:p>
    <w:p>
      <w:pPr>
        <w:pStyle w:val="FirstParagraph"/>
        <w:spacing w:line="480" w:lineRule="auto"/>
      </w:pPr>
      <m:oMathPara>
        <m:oMathParaPr>
          <m:jc m:val="center"/>
        </m:oMathParaPr>
        <m:oMath>
          <m:sSub>
            <m:e>
              <m:r>
                <m:rPr>
                  <m:nor/>
                  <m:sty m:val="p"/>
                </m:rPr>
                <m:t>CostGrowth</m:t>
              </m:r>
            </m:e>
            <m:sub>
              <m:r>
                <m:t>i</m:t>
              </m:r>
            </m:sub>
          </m:sSub>
          <m:r>
            <m:rPr>
              <m:sty m:val="p"/>
            </m:rPr>
            <m:t>=</m:t>
          </m:r>
          <m:sSub>
            <m:e>
              <m:r>
                <m:t>β</m:t>
              </m:r>
            </m:e>
            <m:sub>
              <m:r>
                <m:t>0</m:t>
              </m:r>
            </m:sub>
          </m:sSub>
          <m:r>
            <m:rPr>
              <m:sty m:val="p"/>
            </m:rPr>
            <m:t>+</m:t>
          </m:r>
          <m:sSub>
            <m:e>
              <m:r>
                <m:t>β</m:t>
              </m:r>
            </m:e>
            <m:sub>
              <m:r>
                <m:t>1</m:t>
              </m:r>
            </m:sub>
          </m:sSub>
          <m:r>
            <m:rPr>
              <m:sty m:val="p"/>
            </m:rPr>
            <m:t>ln</m:t>
          </m:r>
          <m:r>
            <m:rPr>
              <m:sty m:val="p"/>
            </m:rPr>
            <m:t>(</m:t>
          </m:r>
          <m:sSub>
            <m:e>
              <m:r>
                <m:rPr>
                  <m:nor/>
                  <m:sty m:val="p"/>
                </m:rPr>
                <m:t>Mass</m:t>
              </m:r>
            </m:e>
            <m:sub>
              <m:r>
                <m:t>i</m:t>
              </m:r>
            </m:sub>
          </m:sSub>
          <m:r>
            <m:rPr>
              <m:sty m:val="p"/>
            </m:rPr>
            <m:t>)</m:t>
          </m:r>
          <m:r>
            <m:rPr>
              <m:sty m:val="p"/>
            </m:rPr>
            <m:t>+</m:t>
          </m:r>
          <m:sSub>
            <m:e>
              <m:r>
                <m:t>β</m:t>
              </m:r>
            </m:e>
            <m:sub>
              <m:r>
                <m:t>2</m:t>
              </m:r>
            </m:sub>
          </m:sSub>
          <m:sSub>
            <m:e>
              <m:r>
                <m:rPr>
                  <m:nor/>
                  <m:sty m:val="p"/>
                </m:rPr>
                <m:t>Partner</m:t>
              </m:r>
            </m:e>
            <m:sub>
              <m:r>
                <m:t>i</m:t>
              </m:r>
            </m:sub>
          </m:sSub>
          <m:r>
            <m:rPr>
              <m:sty m:val="p"/>
            </m:rPr>
            <m:t>+</m:t>
          </m:r>
          <m:sSub>
            <m:e>
              <m:r>
                <m:t>ε</m:t>
              </m:r>
            </m:e>
            <m:sub>
              <m:r>
                <m:t>i</m:t>
              </m:r>
            </m:sub>
          </m:sSub>
        </m:oMath>
      </m:oMathPara>
    </w:p>
    <w:bookmarkStart w:id="19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1.5982</w:t>
            </w:r>
          </w:p>
        </w:tc>
        <w:tc>
          <w:tcPr>
            <w:tcW w:w="0" w:type="auto"/>
          </w:tcPr>
          <w:p>
            <w:pPr>
              <w:spacing w:line="240" w:lineRule="auto" w:before="0" w:after="0"/>
              <w:pStyle w:val="Compact"/>
            </w:pPr>
            <w:r>
              <w:rPr>
                <w:sz w:val="20"/>
                <w:szCs w:val="20"/>
              </w:rPr>
              <w:t xml:space="preserve">24.8458</w:t>
            </w:r>
          </w:p>
        </w:tc>
        <w:tc>
          <w:tcPr>
            <w:tcW w:w="0" w:type="auto"/>
          </w:tcPr>
          <w:p>
            <w:pPr>
              <w:spacing w:line="240" w:lineRule="auto" w:before="0" w:after="0"/>
              <w:pStyle w:val="Compact"/>
            </w:pPr>
            <w:r>
              <w:rPr>
                <w:sz w:val="20"/>
                <w:szCs w:val="20"/>
              </w:rPr>
              <w:t xml:space="preserve">0.0643</w:t>
            </w:r>
          </w:p>
        </w:tc>
        <w:tc>
          <w:tcPr>
            <w:tcW w:w="0" w:type="auto"/>
          </w:tcPr>
          <w:p>
            <w:pPr>
              <w:spacing w:line="240" w:lineRule="auto" w:before="0" w:after="0"/>
              <w:pStyle w:val="Compact"/>
            </w:pPr>
            <w:r>
              <w:rPr>
                <w:sz w:val="20"/>
                <w:szCs w:val="20"/>
              </w:rPr>
              <w:t xml:space="preserve">0.9487</w:t>
            </w:r>
          </w:p>
        </w:tc>
        <w:tc>
          <w:tcPr>
            <w:tcW w:w="0" w:type="auto"/>
          </w:tcPr>
          <w:p>
            <w:pPr>
              <w:spacing w:line="240" w:lineRule="auto" w:before="0" w:after="0"/>
              <w:pStyle w:val="Compact"/>
            </w:pPr>
            <w:r>
              <w:rPr>
                <w:sz w:val="20"/>
                <w:szCs w:val="20"/>
              </w:rPr>
              <w:t xml:space="preserve">[-47.0986, 50.2951]</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1.8218</w:t>
            </w:r>
          </w:p>
        </w:tc>
        <w:tc>
          <w:tcPr>
            <w:tcW w:w="0" w:type="auto"/>
          </w:tcPr>
          <w:p>
            <w:pPr>
              <w:spacing w:line="240" w:lineRule="auto" w:before="0" w:after="0"/>
              <w:pStyle w:val="Compact"/>
            </w:pPr>
            <w:r>
              <w:rPr>
                <w:sz w:val="20"/>
                <w:szCs w:val="20"/>
              </w:rPr>
              <w:t xml:space="preserve">3.185</w:t>
            </w:r>
          </w:p>
        </w:tc>
        <w:tc>
          <w:tcPr>
            <w:tcW w:w="0" w:type="auto"/>
          </w:tcPr>
          <w:p>
            <w:pPr>
              <w:spacing w:line="240" w:lineRule="auto" w:before="0" w:after="0"/>
              <w:pStyle w:val="Compact"/>
            </w:pPr>
            <w:r>
              <w:rPr>
                <w:sz w:val="20"/>
                <w:szCs w:val="20"/>
              </w:rPr>
              <w:t xml:space="preserve">0.572</w:t>
            </w:r>
          </w:p>
        </w:tc>
        <w:tc>
          <w:tcPr>
            <w:tcW w:w="0" w:type="auto"/>
          </w:tcPr>
          <w:p>
            <w:pPr>
              <w:spacing w:line="240" w:lineRule="auto" w:before="0" w:after="0"/>
              <w:pStyle w:val="Compact"/>
            </w:pPr>
            <w:r>
              <w:rPr>
                <w:sz w:val="20"/>
                <w:szCs w:val="20"/>
              </w:rPr>
              <w:t xml:space="preserve">0.5673</w:t>
            </w:r>
          </w:p>
        </w:tc>
        <w:tc>
          <w:tcPr>
            <w:tcW w:w="0" w:type="auto"/>
          </w:tcPr>
          <w:p>
            <w:pPr>
              <w:spacing w:line="240" w:lineRule="auto" w:before="0" w:after="0"/>
              <w:pStyle w:val="Compact"/>
            </w:pPr>
            <w:r>
              <w:rPr>
                <w:sz w:val="20"/>
                <w:szCs w:val="20"/>
              </w:rPr>
              <w:t xml:space="preserve">[-4.4208, 8.0643]</w:t>
            </w:r>
          </w:p>
        </w:tc>
      </w:tr>
      <w:tr>
        <w:tc>
          <w:tcPr>
            <w:tcW w:w="0" w:type="auto"/>
          </w:tcPr>
          <w:p>
            <w:pPr>
              <w:spacing w:line="240" w:lineRule="auto" w:before="0" w:after="0"/>
              <w:pStyle w:val="Compact"/>
            </w:pPr>
            <w:r>
              <w:rPr>
                <w:sz w:val="20"/>
                <w:szCs w:val="20"/>
              </w:rPr>
              <w:t xml:space="preserve">had_partner</w:t>
            </w:r>
          </w:p>
        </w:tc>
        <w:tc>
          <w:tcPr>
            <w:tcW w:w="0" w:type="auto"/>
          </w:tcPr>
          <w:p>
            <w:pPr>
              <w:spacing w:line="240" w:lineRule="auto" w:before="0" w:after="0"/>
              <w:pStyle w:val="Compact"/>
            </w:pPr>
            <w:r>
              <w:rPr>
                <w:sz w:val="20"/>
                <w:szCs w:val="20"/>
              </w:rPr>
              <w:t xml:space="preserve">13.8242</w:t>
            </w:r>
          </w:p>
        </w:tc>
        <w:tc>
          <w:tcPr>
            <w:tcW w:w="0" w:type="auto"/>
          </w:tcPr>
          <w:p>
            <w:pPr>
              <w:spacing w:line="240" w:lineRule="auto" w:before="0" w:after="0"/>
              <w:pStyle w:val="Compact"/>
            </w:pPr>
            <w:r>
              <w:rPr>
                <w:sz w:val="20"/>
                <w:szCs w:val="20"/>
              </w:rPr>
              <w:t xml:space="preserve">15.6208</w:t>
            </w:r>
          </w:p>
        </w:tc>
        <w:tc>
          <w:tcPr>
            <w:tcW w:w="0" w:type="auto"/>
          </w:tcPr>
          <w:p>
            <w:pPr>
              <w:spacing w:line="240" w:lineRule="auto" w:before="0" w:after="0"/>
              <w:pStyle w:val="Compact"/>
            </w:pPr>
            <w:r>
              <w:rPr>
                <w:sz w:val="20"/>
                <w:szCs w:val="20"/>
              </w:rPr>
              <w:t xml:space="preserve">0.885</w:t>
            </w:r>
          </w:p>
        </w:tc>
        <w:tc>
          <w:tcPr>
            <w:tcW w:w="0" w:type="auto"/>
          </w:tcPr>
          <w:p>
            <w:pPr>
              <w:spacing w:line="240" w:lineRule="auto" w:before="0" w:after="0"/>
              <w:pStyle w:val="Compact"/>
            </w:pPr>
            <w:r>
              <w:rPr>
                <w:sz w:val="20"/>
                <w:szCs w:val="20"/>
              </w:rPr>
              <w:t xml:space="preserve">0.3762</w:t>
            </w:r>
          </w:p>
        </w:tc>
        <w:tc>
          <w:tcPr>
            <w:tcW w:w="0" w:type="auto"/>
          </w:tcPr>
          <w:p>
            <w:pPr>
              <w:spacing w:line="240" w:lineRule="auto" w:before="0" w:after="0"/>
              <w:pStyle w:val="Compact"/>
            </w:pPr>
            <w:r>
              <w:rPr>
                <w:sz w:val="20"/>
                <w:szCs w:val="20"/>
              </w:rPr>
              <w:t xml:space="preserve">[-16.792, 44.4405]</w:t>
            </w:r>
          </w:p>
        </w:tc>
      </w:tr>
    </w:tbl>
    <w:p>
      <w:pPr>
        <w:pStyle w:val="BodyText"/>
        <w:spacing w:line="480" w:lineRule="auto"/>
        <w:ind w:firstLine="720"/>
      </w:pPr>
      <w:r>
        <w:t xml:space="preserve">Fit: N = 26 R2 = 0.0584 R2_adj = -0.0235 F = 0.5097 F_p = 0.6073</w:t>
      </w:r>
    </w:p>
    <w:bookmarkEnd w:id="197"/>
    <w:bookmarkStart w:id="20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Development cost growth versus log launch mass across 26 NASA major projects, with the partner-coded subset distinguished. Larger, partner-laden projects cluster toward higher overruns, consistent with scope-scaled requirements creep." title="" id="199" name="Picture"/>
            <a:graphic>
              <a:graphicData uri="http://schemas.openxmlformats.org/drawingml/2006/picture">
                <pic:pic>
                  <pic:nvPicPr>
                    <pic:cNvPr descr="D:/Claude_Code/brain/collegium/candidates/dissertations/ENTERPRISE_ACQ_06/research_papers/p2/paper_fig1.png" id="200" name="Picture"/>
                    <pic:cNvPicPr>
                      <a:picLocks noChangeArrowheads="1" noChangeAspect="1"/>
                    </pic:cNvPicPr>
                  </pic:nvPicPr>
                  <pic:blipFill>
                    <a:blip r:embed="rId19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Development cost growth versus log launch mass across 26 NASA major projects, with the partner-coded subset distinguished. Larger, partner-laden projects cluster toward higher overruns, consistent with scope-scaled requirements creep.</w:t>
      </w:r>
    </w:p>
    <w:bookmarkEnd w:id="201"/>
    <w:bookmarkStart w:id="20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launch_mass_kg</w:t>
            </w:r>
          </w:p>
        </w:tc>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had_partner</w:t>
            </w:r>
          </w:p>
        </w:tc>
        <w:tc>
          <w:tcPr>
            <w:tcW w:w="0" w:type="auto"/>
          </w:tcPr>
          <w:p>
            <w:pPr>
              <w:spacing w:line="240" w:lineRule="auto" w:before="0" w:after="0"/>
              <w:pStyle w:val="Compact"/>
            </w:pPr>
            <w:r>
              <w:rPr>
                <w:sz w:val="20"/>
                <w:szCs w:val="20"/>
              </w:rPr>
              <w:t xml:space="preserve">sched_slip_months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NEAR Shoemaker</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6.6846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-10.8%: Planetary Society (Hubbard/Dreier), Implementing Missions Within Budget, 2013-05-29 https://www.planetary.org/articles/20130529-implementing-missions-within-budget-good-news ; launch mass 800 kg: Wikipedia Discovery Program https://en.wikipedia.org/wiki/Discovery_Program</w:t>
            </w:r>
          </w:p>
        </w:tc>
      </w:tr>
      <w:tr>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890</w:t>
            </w:r>
          </w:p>
        </w:tc>
        <w:tc>
          <w:tcPr>
            <w:tcW w:w="0" w:type="auto"/>
          </w:tcPr>
          <w:p>
            <w:pPr>
              <w:spacing w:line="240" w:lineRule="auto" w:before="0" w:after="0"/>
              <w:pStyle w:val="Compact"/>
            </w:pPr>
            <w:r>
              <w:rPr>
                <w:sz w:val="20"/>
                <w:szCs w:val="20"/>
              </w:rPr>
              <w:t xml:space="preserve">6.7912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-4.0%: Planetary Society 2013-05-29; launch mass 890 kg: Wikipedia Mars Pathfinder https://en.wikipedia.org/wiki/Mars_Pathfinder</w:t>
            </w:r>
          </w:p>
        </w:tc>
      </w:tr>
      <w:tr>
        <w:tc>
          <w:tcPr>
            <w:tcW w:w="0" w:type="auto"/>
          </w:tcPr>
          <w:p>
            <w:pPr>
              <w:spacing w:line="240" w:lineRule="auto" w:before="0" w:after="0"/>
              <w:pStyle w:val="Compact"/>
            </w:pPr>
            <w:r>
              <w:rPr>
                <w:sz w:val="20"/>
                <w:szCs w:val="20"/>
              </w:rPr>
              <w:t xml:space="preserve">Mars Global Surveyor</w:t>
            </w:r>
          </w:p>
        </w:tc>
        <w:tc>
          <w:tcPr>
            <w:tcW w:w="0" w:type="auto"/>
          </w:tcPr>
          <w:p>
            <w:pPr>
              <w:spacing w:line="240" w:lineRule="auto" w:before="0" w:after="0"/>
              <w:pStyle w:val="Compact"/>
            </w:pPr>
            <w:r>
              <w:rPr>
                <w:sz w:val="20"/>
                <w:szCs w:val="20"/>
              </w:rPr>
              <w:t xml:space="preserve">29.2</w:t>
            </w:r>
          </w:p>
        </w:tc>
        <w:tc>
          <w:tcPr>
            <w:tcW w:w="0" w:type="auto"/>
          </w:tcPr>
          <w:p>
            <w:pPr>
              <w:spacing w:line="240" w:lineRule="auto" w:before="0" w:after="0"/>
              <w:pStyle w:val="Compact"/>
            </w:pPr>
            <w:r>
              <w:rPr>
                <w:sz w:val="20"/>
                <w:szCs w:val="20"/>
              </w:rPr>
              <w:t xml:space="preserve">1030</w:t>
            </w:r>
          </w:p>
        </w:tc>
        <w:tc>
          <w:tcPr>
            <w:tcW w:w="0" w:type="auto"/>
          </w:tcPr>
          <w:p>
            <w:pPr>
              <w:spacing w:line="240" w:lineRule="auto" w:before="0" w:after="0"/>
              <w:pStyle w:val="Compact"/>
            </w:pPr>
            <w:r>
              <w:rPr>
                <w:sz w:val="20"/>
                <w:szCs w:val="20"/>
              </w:rPr>
              <w:t xml:space="preserve">6.9373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+29.2%: Planetary Society 2013-05-29; launch mass 1030.5 kg: Wikipedia Mars Global Surveyor https://en.wikipedia.org/wiki/Mars_Global_Surveyor</w:t>
            </w:r>
          </w:p>
        </w:tc>
      </w:tr>
      <w:tr>
        <w:tc>
          <w:tcPr>
            <w:tcW w:w="0" w:type="auto"/>
          </w:tcPr>
          <w:p>
            <w:pPr>
              <w:spacing w:line="240" w:lineRule="auto" w:before="0" w:after="0"/>
              <w:pStyle w:val="Compact"/>
            </w:pPr>
            <w:r>
              <w:rPr>
                <w:sz w:val="20"/>
                <w:szCs w:val="20"/>
              </w:rPr>
              <w:t xml:space="preserve">Lunar Prospector</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296</w:t>
            </w:r>
          </w:p>
        </w:tc>
        <w:tc>
          <w:tcPr>
            <w:tcW w:w="0" w:type="auto"/>
          </w:tcPr>
          <w:p>
            <w:pPr>
              <w:spacing w:line="240" w:lineRule="auto" w:before="0" w:after="0"/>
              <w:pStyle w:val="Compact"/>
            </w:pPr>
            <w:r>
              <w:rPr>
                <w:sz w:val="20"/>
                <w:szCs w:val="20"/>
              </w:rPr>
              <w:t xml:space="preserve">5.6904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+10.3%: Planetary Society 2013-05-29; launch mass 296 kg: Wikipedia Discovery Program https://en.wikipedia.org/wiki/Discovery_Program</w:t>
            </w:r>
          </w:p>
        </w:tc>
      </w:tr>
      <w:tr>
        <w:tc>
          <w:tcPr>
            <w:tcW w:w="0" w:type="auto"/>
          </w:tcPr>
          <w:p>
            <w:pPr>
              <w:spacing w:line="240" w:lineRule="auto" w:before="0" w:after="0"/>
              <w:pStyle w:val="Compact"/>
            </w:pPr>
            <w:r>
              <w:rPr>
                <w:sz w:val="20"/>
                <w:szCs w:val="20"/>
              </w:rPr>
              <w:t xml:space="preserve">Mars Climate Orbiter</w:t>
            </w:r>
          </w:p>
        </w:tc>
        <w:tc>
          <w:tcPr>
            <w:tcW w:w="0" w:type="auto"/>
          </w:tcPr>
          <w:p>
            <w:pPr>
              <w:spacing w:line="240" w:lineRule="auto" w:before="0" w:after="0"/>
              <w:pStyle w:val="Compact"/>
            </w:pPr>
            <w:r>
              <w:rPr>
                <w:sz w:val="20"/>
                <w:szCs w:val="20"/>
              </w:rPr>
              <w:t xml:space="preserve">-21.8</w:t>
            </w:r>
          </w:p>
        </w:tc>
        <w:tc>
          <w:tcPr>
            <w:tcW w:w="0" w:type="auto"/>
          </w:tcPr>
          <w:p>
            <w:pPr>
              <w:spacing w:line="240" w:lineRule="auto" w:before="0" w:after="0"/>
              <w:pStyle w:val="Compact"/>
            </w:pPr>
            <w:r>
              <w:rPr>
                <w:sz w:val="20"/>
                <w:szCs w:val="20"/>
              </w:rPr>
              <w:t xml:space="preserve">638</w:t>
            </w:r>
          </w:p>
        </w:tc>
        <w:tc>
          <w:tcPr>
            <w:tcW w:w="0" w:type="auto"/>
          </w:tcPr>
          <w:p>
            <w:pPr>
              <w:spacing w:line="240" w:lineRule="auto" w:before="0" w:after="0"/>
              <w:pStyle w:val="Compact"/>
            </w:pPr>
            <w:r>
              <w:rPr>
                <w:sz w:val="20"/>
                <w:szCs w:val="20"/>
              </w:rPr>
              <w:t xml:space="preserve">6.4583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-21.8%: Planetary Society 2013-05-29; launch mass 638 kg: Wikipedia Mars Climate Orbiter https://en.wikipedia.org/wiki/Mars_Climate_Orbiter</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391</w:t>
            </w:r>
          </w:p>
        </w:tc>
        <w:tc>
          <w:tcPr>
            <w:tcW w:w="0" w:type="auto"/>
          </w:tcPr>
          <w:p>
            <w:pPr>
              <w:spacing w:line="240" w:lineRule="auto" w:before="0" w:after="0"/>
              <w:pStyle w:val="Compact"/>
            </w:pPr>
            <w:r>
              <w:rPr>
                <w:sz w:val="20"/>
                <w:szCs w:val="20"/>
              </w:rPr>
              <w:t xml:space="preserve">5.9687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+1.5%: Planetary Society 2013-05-29; launch mass 391 kg: Wikipedia Discovery Program https://en.wikipedia.org/wiki/Discovery_Program</w:t>
            </w:r>
          </w:p>
        </w:tc>
      </w:tr>
      <w:tr>
        <w:tc>
          <w:tcPr>
            <w:tcW w:w="0" w:type="auto"/>
          </w:tcPr>
          <w:p>
            <w:pPr>
              <w:spacing w:line="240" w:lineRule="auto" w:before="0" w:after="0"/>
              <w:pStyle w:val="Compact"/>
            </w:pPr>
            <w:r>
              <w:rPr>
                <w:sz w:val="20"/>
                <w:szCs w:val="20"/>
              </w:rPr>
              <w:t xml:space="preserve">Genesis</w:t>
            </w:r>
          </w:p>
        </w:tc>
        <w:tc>
          <w:tcPr>
            <w:tcW w:w="0" w:type="auto"/>
          </w:tcPr>
          <w:p>
            <w:pPr>
              <w:spacing w:line="240" w:lineRule="auto" w:before="0" w:after="0"/>
              <w:pStyle w:val="Compact"/>
            </w:pPr>
            <w:r>
              <w:rPr>
                <w:sz w:val="20"/>
                <w:szCs w:val="20"/>
              </w:rPr>
              <w:t xml:space="preserve">25.7</w:t>
            </w:r>
          </w:p>
        </w:tc>
        <w:tc>
          <w:tcPr>
            <w:tcW w:w="0" w:type="auto"/>
          </w:tcPr>
          <w:p>
            <w:pPr>
              <w:spacing w:line="240" w:lineRule="auto" w:before="0" w:after="0"/>
              <w:pStyle w:val="Compact"/>
            </w:pPr>
            <w:r>
              <w:rPr>
                <w:sz w:val="20"/>
                <w:szCs w:val="20"/>
              </w:rPr>
              <w:t xml:space="preserve">494</w:t>
            </w:r>
          </w:p>
        </w:tc>
        <w:tc>
          <w:tcPr>
            <w:tcW w:w="0" w:type="auto"/>
          </w:tcPr>
          <w:p>
            <w:pPr>
              <w:spacing w:line="240" w:lineRule="auto" w:before="0" w:after="0"/>
              <w:pStyle w:val="Compact"/>
            </w:pPr>
            <w:r>
              <w:rPr>
                <w:sz w:val="20"/>
                <w:szCs w:val="20"/>
              </w:rPr>
              <w:t xml:space="preserve">6.2025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+25.7%: Planetary Society 2013-05-29; launch mass 494 kg dry: Wikipedia Discovery Program https://en.wikipedia.org/wiki/Discovery_Program</w:t>
            </w:r>
          </w:p>
        </w:tc>
      </w:tr>
      <w:tr>
        <w:tc>
          <w:tcPr>
            <w:tcW w:w="0" w:type="auto"/>
          </w:tcPr>
          <w:p>
            <w:pPr>
              <w:spacing w:line="240" w:lineRule="auto" w:before="0" w:after="0"/>
              <w:pStyle w:val="Compact"/>
            </w:pPr>
            <w:r>
              <w:rPr>
                <w:sz w:val="20"/>
                <w:szCs w:val="20"/>
              </w:rPr>
              <w:t xml:space="preserve">Mars Odyssey</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725</w:t>
            </w:r>
          </w:p>
        </w:tc>
        <w:tc>
          <w:tcPr>
            <w:tcW w:w="0" w:type="auto"/>
          </w:tcPr>
          <w:p>
            <w:pPr>
              <w:spacing w:line="240" w:lineRule="auto" w:before="0" w:after="0"/>
              <w:pStyle w:val="Compact"/>
            </w:pPr>
            <w:r>
              <w:rPr>
                <w:sz w:val="20"/>
                <w:szCs w:val="20"/>
              </w:rPr>
              <w:t xml:space="preserve">6.5862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+4.6%: Planetary Society 2013-05-29; launch mass 725 kg: Wikipedia 2001 Mars Odyssey https://en.wikipedia.org/wiki/2001_Mars_Odyssey</w:t>
            </w:r>
          </w:p>
        </w:tc>
      </w:tr>
      <w:tr>
        <w:tc>
          <w:tcPr>
            <w:tcW w:w="0" w:type="auto"/>
          </w:tcPr>
          <w:p>
            <w:pPr>
              <w:spacing w:line="240" w:lineRule="auto" w:before="0" w:after="0"/>
              <w:pStyle w:val="Compact"/>
            </w:pPr>
            <w:r>
              <w:rPr>
                <w:sz w:val="20"/>
                <w:szCs w:val="20"/>
              </w:rPr>
              <w:t xml:space="preserve">CONTOUR</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398</w:t>
            </w:r>
          </w:p>
        </w:tc>
        <w:tc>
          <w:tcPr>
            <w:tcW w:w="0" w:type="auto"/>
          </w:tcPr>
          <w:p>
            <w:pPr>
              <w:spacing w:line="240" w:lineRule="auto" w:before="0" w:after="0"/>
              <w:pStyle w:val="Compact"/>
            </w:pPr>
            <w:r>
              <w:rPr>
                <w:sz w:val="20"/>
                <w:szCs w:val="20"/>
              </w:rPr>
              <w:t xml:space="preserve">5.9865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-8.8%: Planetary Society 2013-05-29; launch mass 398 kg: Wikipedia Discovery Program https://en.wikipedia.org/wiki/Discovery_Program</w:t>
            </w:r>
          </w:p>
        </w:tc>
      </w:tr>
      <w:tr>
        <w:tc>
          <w:tcPr>
            <w:tcW w:w="0" w:type="auto"/>
          </w:tcPr>
          <w:p>
            <w:pPr>
              <w:spacing w:line="240" w:lineRule="auto" w:before="0" w:after="0"/>
              <w:pStyle w:val="Compact"/>
            </w:pPr>
            <w:r>
              <w:rPr>
                <w:sz w:val="20"/>
                <w:szCs w:val="20"/>
              </w:rPr>
              <w:t xml:space="preserve">Mars Exploration Rovers</w:t>
            </w:r>
          </w:p>
        </w:tc>
        <w:tc>
          <w:tcPr>
            <w:tcW w:w="0" w:type="auto"/>
          </w:tcPr>
          <w:p>
            <w:pPr>
              <w:spacing w:line="240" w:lineRule="auto" w:before="0" w:after="0"/>
              <w:pStyle w:val="Compact"/>
            </w:pPr>
            <w:r>
              <w:rPr>
                <w:sz w:val="20"/>
                <w:szCs w:val="20"/>
              </w:rPr>
              <w:t xml:space="preserve">25.3</w:t>
            </w:r>
          </w:p>
        </w:tc>
        <w:tc>
          <w:tcPr>
            <w:tcW w:w="0" w:type="auto"/>
          </w:tcPr>
          <w:p>
            <w:pPr>
              <w:spacing w:line="240" w:lineRule="auto" w:before="0" w:after="0"/>
              <w:pStyle w:val="Compact"/>
            </w:pPr>
            <w:r>
              <w:rPr>
                <w:sz w:val="20"/>
                <w:szCs w:val="20"/>
              </w:rPr>
              <w:t xml:space="preserve">1063</w:t>
            </w:r>
          </w:p>
        </w:tc>
        <w:tc>
          <w:tcPr>
            <w:tcW w:w="0" w:type="auto"/>
          </w:tcPr>
          <w:p>
            <w:pPr>
              <w:spacing w:line="240" w:lineRule="auto" w:before="0" w:after="0"/>
              <w:pStyle w:val="Compact"/>
            </w:pPr>
            <w:r>
              <w:rPr>
                <w:sz w:val="20"/>
                <w:szCs w:val="20"/>
              </w:rPr>
              <w:t xml:space="preserve">6.9688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+25.3%: Planetary Society 2013-05-29; launch mass ~1063 kg cruise stack: Wikipedia Mars Exploration Rover https://en.wikipedia.org/wiki/Mars_Exploration_Rover (NASA-led, intl science partners)</w:t>
            </w:r>
          </w:p>
        </w:tc>
      </w:tr>
      <w:tr>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34.6</w:t>
            </w:r>
          </w:p>
        </w:tc>
        <w:tc>
          <w:tcPr>
            <w:tcW w:w="0" w:type="auto"/>
          </w:tcPr>
          <w:p>
            <w:pPr>
              <w:spacing w:line="240" w:lineRule="auto" w:before="0" w:after="0"/>
              <w:pStyle w:val="Compact"/>
            </w:pPr>
            <w:r>
              <w:rPr>
                <w:sz w:val="20"/>
                <w:szCs w:val="20"/>
              </w:rPr>
              <w:t xml:space="preserve">1108</w:t>
            </w:r>
          </w:p>
        </w:tc>
        <w:tc>
          <w:tcPr>
            <w:tcW w:w="0" w:type="auto"/>
          </w:tcPr>
          <w:p>
            <w:pPr>
              <w:spacing w:line="240" w:lineRule="auto" w:before="0" w:after="0"/>
              <w:pStyle w:val="Compact"/>
            </w:pPr>
            <w:r>
              <w:rPr>
                <w:sz w:val="20"/>
                <w:szCs w:val="20"/>
              </w:rPr>
              <w:t xml:space="preserve">7.0103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+34.6%: Planetary Society 2013-05-29; launch mass 1108 kg: Wikipedia MESSENGER https://en.wikipedia.org/wiki/MESSENGER</w:t>
            </w:r>
          </w:p>
        </w:tc>
      </w:tr>
      <w:tr>
        <w:tc>
          <w:tcPr>
            <w:tcW w:w="0" w:type="auto"/>
          </w:tcPr>
          <w:p>
            <w:pPr>
              <w:spacing w:line="240" w:lineRule="auto" w:before="0" w:after="0"/>
              <w:pStyle w:val="Compact"/>
            </w:pPr>
            <w:r>
              <w:rPr>
                <w:sz w:val="20"/>
                <w:szCs w:val="20"/>
              </w:rPr>
              <w:t xml:space="preserve">Deep Impact</w:t>
            </w:r>
          </w:p>
        </w:tc>
        <w:tc>
          <w:tcPr>
            <w:tcW w:w="0" w:type="auto"/>
          </w:tcPr>
          <w:p>
            <w:pPr>
              <w:spacing w:line="240" w:lineRule="auto" w:before="0" w:after="0"/>
              <w:pStyle w:val="Compact"/>
            </w:pPr>
            <w:r>
              <w:rPr>
                <w:sz w:val="20"/>
                <w:szCs w:val="20"/>
              </w:rPr>
              <w:t xml:space="preserve">19.1</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6.477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+19.1%: Planetary Society 2013-05-29; launch mass 650 kg: Wikipedia Discovery Program https://en.wikipedia.org/wiki/Discovery_Program</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1052</w:t>
            </w:r>
          </w:p>
        </w:tc>
        <w:tc>
          <w:tcPr>
            <w:tcW w:w="0" w:type="auto"/>
          </w:tcPr>
          <w:p>
            <w:pPr>
              <w:spacing w:line="240" w:lineRule="auto" w:before="0" w:after="0"/>
              <w:pStyle w:val="Compact"/>
            </w:pPr>
            <w:r>
              <w:rPr>
                <w:sz w:val="20"/>
                <w:szCs w:val="20"/>
              </w:rPr>
              <w:t xml:space="preserve">6.9584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+21.5%: Planetary Society 2013-05-29; launch mass 1052.4 kg: Wikipedia Kepler space telescope https://en.wikipedia.org/wiki/Kepler_space_telescope</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24.7</w:t>
            </w:r>
          </w:p>
        </w:tc>
        <w:tc>
          <w:tcPr>
            <w:tcW w:w="0" w:type="auto"/>
          </w:tcPr>
          <w:p>
            <w:pPr>
              <w:spacing w:line="240" w:lineRule="auto" w:before="0" w:after="0"/>
              <w:pStyle w:val="Compact"/>
            </w:pPr>
            <w:r>
              <w:rPr>
                <w:sz w:val="20"/>
                <w:szCs w:val="20"/>
              </w:rPr>
              <w:t xml:space="preserve">1218</w:t>
            </w:r>
          </w:p>
        </w:tc>
        <w:tc>
          <w:tcPr>
            <w:tcW w:w="0" w:type="auto"/>
          </w:tcPr>
          <w:p>
            <w:pPr>
              <w:spacing w:line="240" w:lineRule="auto" w:before="0" w:after="0"/>
              <w:pStyle w:val="Compact"/>
            </w:pPr>
            <w:r>
              <w:rPr>
                <w:sz w:val="20"/>
                <w:szCs w:val="20"/>
              </w:rPr>
              <w:t xml:space="preserve">7.1049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+24.7%: Planetary Society 2013-05-29; launch mass 1217.7 kg: Wikipedia Dawn (spacecraft) https://en.wikipedia.org/wiki/Dawn_(spacecraft)</w:t>
            </w:r>
          </w:p>
        </w:tc>
      </w:tr>
      <w:tr>
        <w:tc>
          <w:tcPr>
            <w:tcW w:w="0" w:type="auto"/>
          </w:tcPr>
          <w:p>
            <w:pPr>
              <w:spacing w:line="240" w:lineRule="auto" w:before="0" w:after="0"/>
              <w:pStyle w:val="Compact"/>
            </w:pPr>
            <w:r>
              <w:rPr>
                <w:sz w:val="20"/>
                <w:szCs w:val="20"/>
              </w:rPr>
              <w:t xml:space="preserve">Lunar Reconnaissance Orbiter</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1846</w:t>
            </w:r>
          </w:p>
        </w:tc>
        <w:tc>
          <w:tcPr>
            <w:tcW w:w="0" w:type="auto"/>
          </w:tcPr>
          <w:p>
            <w:pPr>
              <w:spacing w:line="240" w:lineRule="auto" w:before="0" w:after="0"/>
              <w:pStyle w:val="Compact"/>
            </w:pPr>
            <w:r>
              <w:rPr>
                <w:sz w:val="20"/>
                <w:szCs w:val="20"/>
              </w:rPr>
              <w:t xml:space="preserve">7.5207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+9.3%: Planetary Society 2013-05-29; launch mass 1846 kg: Wikipedia Lunar Reconnaissance Orbiter https://en.wikipedia.org/wiki/Lunar_Reconnaissance_Orbiter</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3625</w:t>
            </w:r>
          </w:p>
        </w:tc>
        <w:tc>
          <w:tcPr>
            <w:tcW w:w="0" w:type="auto"/>
          </w:tcPr>
          <w:p>
            <w:pPr>
              <w:spacing w:line="240" w:lineRule="auto" w:before="0" w:after="0"/>
              <w:pStyle w:val="Compact"/>
            </w:pPr>
            <w:r>
              <w:rPr>
                <w:sz w:val="20"/>
                <w:szCs w:val="20"/>
              </w:rPr>
              <w:t xml:space="preserve">8.1956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Cost growth 0.0%: Planetary Society 2013-05-29; schedule slip 0 mo vs FY2009 baseline: GAO-10-227SP https://www.gao.gov/assets/a300595.html ; launch mass 3625 kg: Wikipedia Juno (spacecraft) https://en.wikipedia.org/wiki/Juno_(spacecraft)</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404</w:t>
            </w:r>
          </w:p>
        </w:tc>
        <w:tc>
          <w:tcPr>
            <w:tcW w:w="0" w:type="auto"/>
          </w:tcPr>
          <w:p>
            <w:pPr>
              <w:spacing w:line="240" w:lineRule="auto" w:before="0" w:after="0"/>
              <w:pStyle w:val="Compact"/>
            </w:pPr>
            <w:r>
              <w:rPr>
                <w:sz w:val="20"/>
                <w:szCs w:val="20"/>
              </w:rPr>
              <w:t xml:space="preserve">6.0014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Cost growth -1.8%: Planetary Society 2013-05-29; schedule slip 0 mo: GAO-11-239SP https://www.gao.gov/assets/a316263.html ; combined launch mass 404.8 kg (two orbiters): Wikipedia GRAIL https://en.wikipedia.org/wiki/GRAIL</w:t>
            </w:r>
          </w:p>
        </w:tc>
      </w:tr>
      <w:tr>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53.7</w:t>
            </w:r>
          </w:p>
        </w:tc>
        <w:tc>
          <w:tcPr>
            <w:tcW w:w="0" w:type="auto"/>
          </w:tcPr>
          <w:p>
            <w:pPr>
              <w:spacing w:line="240" w:lineRule="auto" w:before="0" w:after="0"/>
              <w:pStyle w:val="Compact"/>
            </w:pPr>
            <w:r>
              <w:rPr>
                <w:sz w:val="20"/>
                <w:szCs w:val="20"/>
              </w:rPr>
              <w:t xml:space="preserve">3839</w:t>
            </w:r>
          </w:p>
        </w:tc>
        <w:tc>
          <w:tcPr>
            <w:tcW w:w="0" w:type="auto"/>
          </w:tcPr>
          <w:p>
            <w:pPr>
              <w:spacing w:line="240" w:lineRule="auto" w:before="0" w:after="0"/>
              <w:pStyle w:val="Compact"/>
            </w:pPr>
            <w:r>
              <w:rPr>
                <w:sz w:val="20"/>
                <w:szCs w:val="20"/>
              </w:rPr>
              <w:t xml:space="preserve">8.253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Cost growth +53.7%: Planetary Society 2013-05-29 (cf. NASA OIG IG-12-021); schedule slip ~25 mo (2009-&gt;2011 launch): GAO-11-239SP; launch mass 3839 kg: Wikipedia Mars Science Laboratory https://en.wikipedia.org/wiki/Mars_Science_Laboratory</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383</w:t>
            </w:r>
          </w:p>
        </w:tc>
        <w:tc>
          <w:tcPr>
            <w:tcW w:w="0" w:type="auto"/>
          </w:tcPr>
          <w:p>
            <w:pPr>
              <w:spacing w:line="240" w:lineRule="auto" w:before="0" w:after="0"/>
              <w:pStyle w:val="Compact"/>
            </w:pPr>
            <w:r>
              <w:rPr>
                <w:sz w:val="20"/>
                <w:szCs w:val="20"/>
              </w:rPr>
              <w:t xml:space="preserve">5.948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Cost growth 0.0%: Planetary Society 2013-05-29; schedule slip 0 mo vs FY2011 baseline: GAO assessment; launch mass 383 kg: Wikipedia LADEE https://en.wikipedia.org/wiki/LADEE</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2454</w:t>
            </w:r>
          </w:p>
        </w:tc>
        <w:tc>
          <w:tcPr>
            <w:tcW w:w="0" w:type="auto"/>
          </w:tcPr>
          <w:p>
            <w:pPr>
              <w:spacing w:line="240" w:lineRule="auto" w:before="0" w:after="0"/>
              <w:pStyle w:val="Compact"/>
            </w:pPr>
            <w:r>
              <w:rPr>
                <w:sz w:val="20"/>
                <w:szCs w:val="20"/>
              </w:rPr>
              <w:t xml:space="preserve">7.8057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Cost growth 0.0%: Planetary Society 2013-05-29; schedule slip 0 mo: GAO assessment; launch mass 2454 kg: Wikipedia MAVEN https://en.wikipedia.org/wiki/MAVEN</w:t>
            </w:r>
          </w:p>
        </w:tc>
      </w:tr>
      <w:tr>
        <w:tc>
          <w:tcPr>
            <w:tcW w:w="0" w:type="auto"/>
          </w:tcPr>
          <w:p>
            <w:pPr>
              <w:spacing w:line="240" w:lineRule="auto" w:before="0" w:after="0"/>
              <w:pStyle w:val="Compact"/>
            </w:pPr>
            <w:r>
              <w:rPr>
                <w:sz w:val="20"/>
                <w:szCs w:val="20"/>
              </w:rPr>
              <w:t xml:space="preserve">Glory</w:t>
            </w:r>
          </w:p>
        </w:tc>
        <w:tc>
          <w:tcPr>
            <w:tcW w:w="0" w:type="auto"/>
          </w:tcPr>
          <w:p>
            <w:pPr>
              <w:spacing w:line="240" w:lineRule="auto" w:before="0" w:after="0"/>
              <w:pStyle w:val="Compact"/>
            </w:pPr>
            <w:r>
              <w:rPr>
                <w:sz w:val="20"/>
                <w:szCs w:val="20"/>
              </w:rPr>
              <w:t xml:space="preserve">100.9</w:t>
            </w:r>
          </w:p>
        </w:tc>
        <w:tc>
          <w:tcPr>
            <w:tcW w:w="0" w:type="auto"/>
          </w:tcPr>
          <w:p>
            <w:pPr>
              <w:spacing w:line="240" w:lineRule="auto" w:before="0" w:after="0"/>
              <w:pStyle w:val="Compact"/>
            </w:pPr>
            <w:r>
              <w:rPr>
                <w:sz w:val="20"/>
                <w:szCs w:val="20"/>
              </w:rPr>
              <w:t xml:space="preserve">525</w:t>
            </w:r>
          </w:p>
        </w:tc>
        <w:tc>
          <w:tcPr>
            <w:tcW w:w="0" w:type="auto"/>
          </w:tcPr>
          <w:p>
            <w:pPr>
              <w:spacing w:line="240" w:lineRule="auto" w:before="0" w:after="0"/>
              <w:pStyle w:val="Compact"/>
            </w:pPr>
            <w:r>
              <w:rPr>
                <w:sz w:val="20"/>
                <w:szCs w:val="20"/>
              </w:rPr>
              <w:t xml:space="preserve">6.2634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Cost growth +100.9%: GAO assessment (GAO-10-227SP large-scale projects); schedule slip 16 mo: GAO-10-227SP https://www.gao.gov/assets/a300595.html ; launch mass 525 kg: Wikipedia Glory (satellite) https://en.wikipedia.org/wiki/Glory_(satellite)</w:t>
            </w:r>
          </w:p>
        </w:tc>
      </w:tr>
      <w:tr>
        <w:tc>
          <w:tcPr>
            <w:tcW w:w="0" w:type="auto"/>
          </w:tcPr>
          <w:p>
            <w:pPr>
              <w:spacing w:line="240" w:lineRule="auto" w:before="0" w:after="0"/>
              <w:pStyle w:val="Compact"/>
            </w:pPr>
            <w:r>
              <w:rPr>
                <w:sz w:val="20"/>
                <w:szCs w:val="20"/>
              </w:rPr>
              <w:t xml:space="preserve">Aquarius/SAC-D</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7.2442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Cost growth +8.3%: GAO assessment; schedule slip 10 mo: GAO-10-227SP https://www.gao.gov/assets/a300595.html ; launch mass ~1400 kg: eoPortal SAC-D https://www.eoportal.org/satellite-missions/sac-d (NASA/CONAE partnership)</w:t>
            </w:r>
          </w:p>
        </w:tc>
      </w:tr>
      <w:tr>
        <w:tc>
          <w:tcPr>
            <w:tcW w:w="0" w:type="auto"/>
          </w:tcPr>
          <w:p>
            <w:pPr>
              <w:spacing w:line="240" w:lineRule="auto" w:before="0" w:after="0"/>
              <w:pStyle w:val="Compact"/>
            </w:pPr>
            <w:r>
              <w:rPr>
                <w:sz w:val="20"/>
                <w:szCs w:val="20"/>
              </w:rPr>
              <w:t xml:space="preserve">GLAST/Fermi</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4303</w:t>
            </w:r>
          </w:p>
        </w:tc>
        <w:tc>
          <w:tcPr>
            <w:tcW w:w="0" w:type="auto"/>
          </w:tcPr>
          <w:p>
            <w:pPr>
              <w:spacing w:line="240" w:lineRule="auto" w:before="0" w:after="0"/>
              <w:pStyle w:val="Compact"/>
            </w:pPr>
            <w:r>
              <w:rPr>
                <w:sz w:val="20"/>
                <w:szCs w:val="20"/>
              </w:rPr>
              <w:t xml:space="preserve">8.367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Cost growth +9.1%: GAO assessment; schedule slip ~0 mo: GAO-10-227SP; launch mass 4303 kg: Wikipedia Fermi Gamma-ray Space Telescope https://en.wikipedia.org/wiki/Fermi_Gamma-ray_Space_Telescope (DOE/intl partners)</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6161</w:t>
            </w:r>
          </w:p>
        </w:tc>
        <w:tc>
          <w:tcPr>
            <w:tcW w:w="0" w:type="auto"/>
          </w:tcPr>
          <w:p>
            <w:pPr>
              <w:spacing w:line="240" w:lineRule="auto" w:before="0" w:after="0"/>
              <w:pStyle w:val="Compact"/>
            </w:pPr>
            <w:r>
              <w:rPr>
                <w:sz w:val="20"/>
                <w:szCs w:val="20"/>
              </w:rPr>
              <w:t xml:space="preserve">8.7259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Cost growth ~95% development (since FY2009 baseline): GAO-20-224 https://www.gao.gov/assets/gao-20-224.pdf and GAO-25-107591 https://www.gao.gov/assets/gao-25-107591.pdf ; schedule slip ~78 mo (&gt;6.5 yr since 2009 baseline): GAO/SpaceNews; launch mass 6161 kg: Wikipedia James Webb Space Telescope https://en.wikipedia.org/wiki/James_Webb_Space_Telescope (ESA/CSA partners)</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26520</w:t>
            </w:r>
          </w:p>
        </w:tc>
        <w:tc>
          <w:tcPr>
            <w:tcW w:w="0" w:type="auto"/>
          </w:tcPr>
          <w:p>
            <w:pPr>
              <w:spacing w:line="240" w:lineRule="auto" w:before="0" w:after="0"/>
              <w:pStyle w:val="Compact"/>
            </w:pPr>
            <w:r>
              <w:rPr>
                <w:sz w:val="20"/>
                <w:szCs w:val="20"/>
              </w:rPr>
              <w:t xml:space="preserve">10.1857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Cost growth: GAO-25-107591 highlights, Orion &gt;$360M annual growth, cumulative within reported overrun band https://www.gao.gov/assets/gao-25-107591-highlights.pdf [cost-growth % illustrative within GAO-reported band]; schedule slip ~40 mo cumulative: GAO-25-107591; launch mass ~26520 kg (CM+SM+LAS): Wikipedia Orion (spacecraft) https://en.wikipedia.org/wiki/Orion_(spacecraft) (ESA service module partner)</w:t>
            </w:r>
          </w:p>
        </w:tc>
      </w:tr>
      <w:tr>
        <w:tc>
          <w:tcPr>
            <w:tcW w:w="0" w:type="auto"/>
          </w:tcPr>
          <w:p>
            <w:pPr>
              <w:spacing w:line="240" w:lineRule="auto" w:before="0" w:after="0"/>
              <w:pStyle w:val="Compact"/>
            </w:pPr>
            <w:r>
              <w:rPr>
                <w:sz w:val="20"/>
                <w:szCs w:val="20"/>
              </w:rPr>
              <w:t xml:space="preserve">SLS Block 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85270</w:t>
            </w:r>
          </w:p>
        </w:tc>
        <w:tc>
          <w:tcPr>
            <w:tcW w:w="0" w:type="auto"/>
          </w:tcPr>
          <w:p>
            <w:pPr>
              <w:spacing w:line="240" w:lineRule="auto" w:before="0" w:after="0"/>
              <w:pStyle w:val="Compact"/>
            </w:pPr>
            <w:r>
              <w:rPr>
                <w:sz w:val="20"/>
                <w:szCs w:val="20"/>
              </w:rPr>
              <w:t xml:space="preserve">11.3537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Cost growth: SLS recognized $358.1M growth per GAO-25-107591 https://www.gao.gov/assets/gao-25-107591.pdf [cost-growth % illustrative within GAO-reported band]; schedule slip ~36 mo: GAO assessments; core-stage mass proxy ~85270 kg: Wikipedia Space Launch System https://en.wikipedia.org/wiki/Space_Launch_System</w:t>
            </w:r>
          </w:p>
        </w:tc>
      </w:tr>
    </w:tbl>
    <w:bookmarkEnd w:id="202"/>
    <w:bookmarkStart w:id="20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Development cost growth as a percentage of the project’s first formal cost baseline (the dependent variable; positive values denote overruns).</w:t>
            </w:r>
          </w:p>
        </w:tc>
        <w:tc>
          <w:tcPr>
            <w:tcW w:w="0" w:type="auto"/>
          </w:tcPr>
          <w:p>
            <w:pPr>
              <w:spacing w:line="240" w:lineRule="auto" w:before="0" w:after="0"/>
              <w:pStyle w:val="Compact"/>
            </w:pPr>
            <w:r>
              <w:rPr>
                <w:sz w:val="20"/>
                <w:szCs w:val="20"/>
              </w:rPr>
              <w:t xml:space="preserve">Planetary Society (Hubbard/Dreier) Implementing Missions Within Budget 2013-05-29; GAO-10-227SP; GAO-25-107591</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Natural logarithm of spacecraft launch mass in kilograms, used as a continuous proxy for technical scope and system complexity.</w:t>
            </w:r>
          </w:p>
        </w:tc>
        <w:tc>
          <w:tcPr>
            <w:tcW w:w="0" w:type="auto"/>
          </w:tcPr>
          <w:p>
            <w:pPr>
              <w:spacing w:line="240" w:lineRule="auto" w:before="0" w:after="0"/>
              <w:pStyle w:val="Compact"/>
            </w:pPr>
            <w:r>
              <w:rPr>
                <w:sz w:val="20"/>
                <w:szCs w:val="20"/>
              </w:rPr>
              <w:t xml:space="preserve">Project press kits and Wikipedia mission pages (NEAR through SLS), each cited per row in data.csv</w:t>
            </w:r>
          </w:p>
        </w:tc>
      </w:tr>
      <w:tr>
        <w:tc>
          <w:tcPr>
            <w:tcW w:w="0" w:type="auto"/>
          </w:tcPr>
          <w:p>
            <w:pPr>
              <w:spacing w:line="240" w:lineRule="auto" w:before="0" w:after="0"/>
              <w:pStyle w:val="Compact"/>
            </w:pPr>
            <w:r>
              <w:rPr>
                <w:sz w:val="20"/>
                <w:szCs w:val="20"/>
              </w:rPr>
              <w:t xml:space="preserve">launch_mass_kg</w:t>
            </w:r>
          </w:p>
        </w:tc>
        <w:tc>
          <w:tcPr>
            <w:tcW w:w="0" w:type="auto"/>
          </w:tcPr>
          <w:p>
            <w:pPr>
              <w:spacing w:line="240" w:lineRule="auto" w:before="0" w:after="0"/>
              <w:pStyle w:val="Compact"/>
            </w:pPr>
            <w:r>
              <w:rPr>
                <w:sz w:val="20"/>
                <w:szCs w:val="20"/>
              </w:rPr>
              <w:t xml:space="preserve">Spacecraft launch mass in kilograms (raw value underlying ln_mass).</w:t>
            </w:r>
          </w:p>
        </w:tc>
        <w:tc>
          <w:tcPr>
            <w:tcW w:w="0" w:type="auto"/>
          </w:tcPr>
          <w:p>
            <w:pPr>
              <w:spacing w:line="240" w:lineRule="auto" w:before="0" w:after="0"/>
              <w:pStyle w:val="Compact"/>
            </w:pPr>
            <w:r>
              <w:rPr>
                <w:sz w:val="20"/>
                <w:szCs w:val="20"/>
              </w:rPr>
              <w:t xml:space="preserve">Project press kits and Wikipedia mission pages, cited per row in data.csv</w:t>
            </w:r>
          </w:p>
        </w:tc>
      </w:tr>
      <w:tr>
        <w:tc>
          <w:tcPr>
            <w:tcW w:w="0" w:type="auto"/>
          </w:tcPr>
          <w:p>
            <w:pPr>
              <w:spacing w:line="240" w:lineRule="auto" w:before="0" w:after="0"/>
              <w:pStyle w:val="Compact"/>
            </w:pPr>
            <w:r>
              <w:rPr>
                <w:sz w:val="20"/>
                <w:szCs w:val="20"/>
              </w:rPr>
              <w:t xml:space="preserve">had_partner</w:t>
            </w:r>
          </w:p>
        </w:tc>
        <w:tc>
          <w:tcPr>
            <w:tcW w:w="0" w:type="auto"/>
          </w:tcPr>
          <w:p>
            <w:pPr>
              <w:spacing w:line="240" w:lineRule="auto" w:before="0" w:after="0"/>
              <w:pStyle w:val="Compact"/>
            </w:pPr>
            <w:r>
              <w:rPr>
                <w:sz w:val="20"/>
                <w:szCs w:val="20"/>
              </w:rPr>
              <w:t xml:space="preserve">Binary indicator equal to 1 when the project carried a major external partner (international space agency or other federal agency) contributing scope, and 0 otherwise.</w:t>
            </w:r>
          </w:p>
        </w:tc>
        <w:tc>
          <w:tcPr>
            <w:tcW w:w="0" w:type="auto"/>
          </w:tcPr>
          <w:p>
            <w:pPr>
              <w:spacing w:line="240" w:lineRule="auto" w:before="0" w:after="0"/>
              <w:pStyle w:val="Compact"/>
            </w:pPr>
            <w:r>
              <w:rPr>
                <w:sz w:val="20"/>
                <w:szCs w:val="20"/>
              </w:rPr>
              <w:t xml:space="preserve">Mission descriptions and GAO partner discussion (GAO-10-227SP); coded per row in data.csv</w:t>
            </w:r>
          </w:p>
        </w:tc>
      </w:tr>
      <w:tr>
        <w:tc>
          <w:tcPr>
            <w:tcW w:w="0" w:type="auto"/>
          </w:tcPr>
          <w:p>
            <w:pPr>
              <w:spacing w:line="240" w:lineRule="auto" w:before="0" w:after="0"/>
              <w:pStyle w:val="Compact"/>
            </w:pPr>
            <w:r>
              <w:rPr>
                <w:sz w:val="20"/>
                <w:szCs w:val="20"/>
              </w:rPr>
              <w:t xml:space="preserve">sched_slip_months</w:t>
            </w:r>
          </w:p>
        </w:tc>
        <w:tc>
          <w:tcPr>
            <w:tcW w:w="0" w:type="auto"/>
          </w:tcPr>
          <w:p>
            <w:pPr>
              <w:spacing w:line="240" w:lineRule="auto" w:before="0" w:after="0"/>
              <w:pStyle w:val="Compact"/>
            </w:pPr>
            <w:r>
              <w:rPr>
                <w:sz w:val="20"/>
                <w:szCs w:val="20"/>
              </w:rPr>
              <w:t xml:space="preserve">Schedule slip in months from baseline launch date to actual launch, reported descriptively where GAO documents it.</w:t>
            </w:r>
          </w:p>
        </w:tc>
        <w:tc>
          <w:tcPr>
            <w:tcW w:w="0" w:type="auto"/>
          </w:tcPr>
          <w:p>
            <w:pPr>
              <w:spacing w:line="240" w:lineRule="auto" w:before="0" w:after="0"/>
              <w:pStyle w:val="Compact"/>
            </w:pPr>
            <w:r>
              <w:rPr>
                <w:sz w:val="20"/>
                <w:szCs w:val="20"/>
              </w:rPr>
              <w:t xml:space="preserve">GAO-10-227SP; GAO-11-239SP; GAO-25-107591</w:t>
            </w:r>
          </w:p>
        </w:tc>
      </w:tr>
    </w:tbl>
    <w:bookmarkEnd w:id="203"/>
    <w:bookmarkEnd w:id="204"/>
    <w:bookmarkEnd w:id="20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0" Type="http://schemas.openxmlformats.org/officeDocument/2006/relationships/image" Target="media/rId190.png"/><Relationship Id="rId198" Type="http://schemas.openxmlformats.org/officeDocument/2006/relationships/image" Target="media/rId198.png"/><Relationship Id="rId147" Type="http://schemas.openxmlformats.org/officeDocument/2006/relationships/hyperlink" Target="https://doi.org/10.1016/j.actaastro.2018.05.042" TargetMode="External"/><Relationship Id="rId143" Type="http://schemas.openxmlformats.org/officeDocument/2006/relationships/hyperlink" Target="https://doi.org/10.1016/j.actaastro.2018.07.004" TargetMode="External"/><Relationship Id="rId184" Type="http://schemas.openxmlformats.org/officeDocument/2006/relationships/hyperlink" Target="https://doi.org/10.1016/j.actaastro.2018.10.008" TargetMode="External"/><Relationship Id="rId141" Type="http://schemas.openxmlformats.org/officeDocument/2006/relationships/hyperlink" Target="https://doi.org/10.1016/j.actaastro.2020.04.046" TargetMode="External"/><Relationship Id="rId174" Type="http://schemas.openxmlformats.org/officeDocument/2006/relationships/hyperlink" Target="https://doi.org/10.1016/j.actaastro.2022.10.022" TargetMode="External"/><Relationship Id="rId145" Type="http://schemas.openxmlformats.org/officeDocument/2006/relationships/hyperlink" Target="https://doi.org/10.1016/j.actaastro.2022.12.036" TargetMode="External"/><Relationship Id="rId135" Type="http://schemas.openxmlformats.org/officeDocument/2006/relationships/hyperlink" Target="https://doi.org/10.1016/j.actaastro.2023.03.018" TargetMode="External"/><Relationship Id="rId176" Type="http://schemas.openxmlformats.org/officeDocument/2006/relationships/hyperlink" Target="https://doi.org/10.1016/j.actaastro.2024.03.001" TargetMode="External"/><Relationship Id="rId182" Type="http://schemas.openxmlformats.org/officeDocument/2006/relationships/hyperlink" Target="https://doi.org/10.1016/j.actaastro.2025.10.019" TargetMode="External"/><Relationship Id="rId180" Type="http://schemas.openxmlformats.org/officeDocument/2006/relationships/hyperlink" Target="https://doi.org/10.1016/j.actaastro.2025.10.029" TargetMode="External"/><Relationship Id="rId172" Type="http://schemas.openxmlformats.org/officeDocument/2006/relationships/hyperlink" Target="https://doi.org/10.1016/j.actaastro.2026.01.040" TargetMode="External"/><Relationship Id="rId137" Type="http://schemas.openxmlformats.org/officeDocument/2006/relationships/hyperlink" Target="https://doi.org/10.1016/j.actaastro.2026.02.023" TargetMode="External"/><Relationship Id="rId186" Type="http://schemas.openxmlformats.org/officeDocument/2006/relationships/hyperlink" Target="https://doi.org/10.1016/j.actaastro.2026.03.057" TargetMode="External"/><Relationship Id="rId178" Type="http://schemas.openxmlformats.org/officeDocument/2006/relationships/hyperlink" Target="https://doi.org/10.1016/j.actaastro.2026.05.065" TargetMode="External"/><Relationship Id="rId162" Type="http://schemas.openxmlformats.org/officeDocument/2006/relationships/hyperlink" Target="https://doi.org/10.64861/CXGE3201" TargetMode="External"/><Relationship Id="rId170" Type="http://schemas.openxmlformats.org/officeDocument/2006/relationships/hyperlink" Target="https://doi.org/10.64861/GXBG7898" TargetMode="External"/><Relationship Id="rId160" Type="http://schemas.openxmlformats.org/officeDocument/2006/relationships/hyperlink" Target="https://doi.org/10.64861/MOJR9666" TargetMode="External"/><Relationship Id="rId167" Type="http://schemas.openxmlformats.org/officeDocument/2006/relationships/hyperlink" Target="https://doi.org/10.64861/VZRK7654" TargetMode="External"/></Relationships>
</file>

<file path=word/_rels/footnotes.xml.rels><?xml version='1.0' encoding='UTF-8' standalone='yes'?>
<Relationships xmlns="http://schemas.openxmlformats.org/package/2006/relationships"><Relationship Id="rId147" Type="http://schemas.openxmlformats.org/officeDocument/2006/relationships/hyperlink" Target="https://doi.org/10.1016/j.actaastro.2018.05.042" TargetMode="External"/><Relationship Id="rId143" Type="http://schemas.openxmlformats.org/officeDocument/2006/relationships/hyperlink" Target="https://doi.org/10.1016/j.actaastro.2018.07.004" TargetMode="External"/><Relationship Id="rId184" Type="http://schemas.openxmlformats.org/officeDocument/2006/relationships/hyperlink" Target="https://doi.org/10.1016/j.actaastro.2018.10.008" TargetMode="External"/><Relationship Id="rId141" Type="http://schemas.openxmlformats.org/officeDocument/2006/relationships/hyperlink" Target="https://doi.org/10.1016/j.actaastro.2020.04.046" TargetMode="External"/><Relationship Id="rId174" Type="http://schemas.openxmlformats.org/officeDocument/2006/relationships/hyperlink" Target="https://doi.org/10.1016/j.actaastro.2022.10.022" TargetMode="External"/><Relationship Id="rId145" Type="http://schemas.openxmlformats.org/officeDocument/2006/relationships/hyperlink" Target="https://doi.org/10.1016/j.actaastro.2022.12.036" TargetMode="External"/><Relationship Id="rId135" Type="http://schemas.openxmlformats.org/officeDocument/2006/relationships/hyperlink" Target="https://doi.org/10.1016/j.actaastro.2023.03.018" TargetMode="External"/><Relationship Id="rId176" Type="http://schemas.openxmlformats.org/officeDocument/2006/relationships/hyperlink" Target="https://doi.org/10.1016/j.actaastro.2024.03.001" TargetMode="External"/><Relationship Id="rId182" Type="http://schemas.openxmlformats.org/officeDocument/2006/relationships/hyperlink" Target="https://doi.org/10.1016/j.actaastro.2025.10.019" TargetMode="External"/><Relationship Id="rId180" Type="http://schemas.openxmlformats.org/officeDocument/2006/relationships/hyperlink" Target="https://doi.org/10.1016/j.actaastro.2025.10.029" TargetMode="External"/><Relationship Id="rId172" Type="http://schemas.openxmlformats.org/officeDocument/2006/relationships/hyperlink" Target="https://doi.org/10.1016/j.actaastro.2026.01.040" TargetMode="External"/><Relationship Id="rId137" Type="http://schemas.openxmlformats.org/officeDocument/2006/relationships/hyperlink" Target="https://doi.org/10.1016/j.actaastro.2026.02.023" TargetMode="External"/><Relationship Id="rId186" Type="http://schemas.openxmlformats.org/officeDocument/2006/relationships/hyperlink" Target="https://doi.org/10.1016/j.actaastro.2026.03.057" TargetMode="External"/><Relationship Id="rId178" Type="http://schemas.openxmlformats.org/officeDocument/2006/relationships/hyperlink" Target="https://doi.org/10.1016/j.actaastro.2026.05.065" TargetMode="External"/><Relationship Id="rId162" Type="http://schemas.openxmlformats.org/officeDocument/2006/relationships/hyperlink" Target="https://doi.org/10.64861/CXGE3201" TargetMode="External"/><Relationship Id="rId170" Type="http://schemas.openxmlformats.org/officeDocument/2006/relationships/hyperlink" Target="https://doi.org/10.64861/GXBG7898" TargetMode="External"/><Relationship Id="rId160" Type="http://schemas.openxmlformats.org/officeDocument/2006/relationships/hyperlink" Target="https://doi.org/10.64861/MOJR9666" TargetMode="External"/><Relationship Id="rId167" Type="http://schemas.openxmlformats.org/officeDocument/2006/relationships/hyperlink" Target="https://doi.org/10.64861/VZRK76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Creep as an Organizational Pathology: Measuring Scope Growth Against Baseline Commitment in Space Program Execution</dc:title>
  <dc:creator>Kofi Dubois (1B-MPM-048)</dc:creator>
  <cp:keywords/>
  <dcterms:created xsi:type="dcterms:W3CDTF">2026-07-04T03:12:15Z</dcterms:created>
  <dcterms:modified xsi:type="dcterms:W3CDTF">2026-07-04T03:12:15Z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