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c4dc0306e4b2320b6f4ce6b7df5b24c97d84a86"/>
    <w:p>
      <w:pPr>
        <w:pStyle w:val="Heading1"/>
      </w:pPr>
      <w:r>
        <w:t xml:space="preserve">Does Reorganization Hasten the Breach? A Survival Analysis of Major Cost Overruns in NASA’s Space Acquisition Portfolio</w:t>
      </w:r>
    </w:p>
    <w:bookmarkStart w:id="61" w:name="introduction"/>
    <w:p>
      <w:pPr>
        <w:pStyle w:val="Heading2"/>
      </w:pPr>
      <w:r>
        <w:t xml:space="preserve">1. Introduction</w:t>
      </w:r>
    </w:p>
    <w:p>
      <w:pPr>
        <w:pStyle w:val="FirstParagraph"/>
      </w:pPr>
      <w:r>
        <w:t xml:space="preserve">Space enterprises reorganize on the premise that a better reporting structure will produce better program execution. The companion study in this dissertation asks whether restructuring moves the level of cost and schedule performance in a program-by-year panel. This paper asks a sharper and more decision-relevant question. It treats a major cost overrun as an event in time and asks whether reorganizing the office that manages a program changes how quickly that program reaches a major cost breach. Framing the outcome as time-to-breach rather than as an annual level lets the analysis use the censored programs, those that have not yet breached, as information rather than discarding them, and it yields a hazard ratio that a portfolio manager can read directly as the multiple by which restructuring accelerates or delays the moment of failure.</w:t>
      </w:r>
    </w:p>
    <w:p>
      <w:pPr>
        <w:pStyle w:val="BodyText"/>
      </w:pPr>
      <w:r>
        <w:t xml:space="preserve">The setting is the most heavily documented acquisition portfolio in civil space. The United States Government Accountability Office publishes an annual assessment of NASA’s major projects that records, for each project and against the cost baseline set at its confirmation review, the cumulative development cost growth and the months of schedule delay</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In September 2021 NASA executed a major organizational change to the directorate that manages its human-spaceflight programs, splitting the Human Exploration and Operations Mission Directorate into two new directorates while leaving the Science and Aeronautics directorates structurally intact. That change supplies a clean, dated, externally documented restructuring whose reach is known: it touched the exploration systems and left the science portfolio alone. The question this paper answers is whether the programs caught by that reorganization reached a major cost breach faster than the programs that were not.</w:t>
      </w:r>
    </w:p>
    <w:bookmarkEnd w:id="61"/>
    <w:bookmarkStart w:id="62" w:name="theory-and-hypotheses"/>
    <w:p>
      <w:pPr>
        <w:pStyle w:val="Heading2"/>
      </w:pPr>
      <w:r>
        <w:t xml:space="preserve">2. Theory and Hypotheses</w:t>
      </w:r>
    </w:p>
    <w:p>
      <w:pPr>
        <w:pStyle w:val="FirstParagraph"/>
      </w:pPr>
      <w:r>
        <w:t xml:space="preserve">The governing intuition of enterprise design is that organizational form is an instrument of strategy, and the enterprise-architecture tradition encodes this directly by treating architecture as the joint design of strategy, business, and technology</w:t>
      </w:r>
      <w:r>
        <w:t xml:space="preserve"> </w:t>
      </w:r>
      <w:hyperlink w:anchor="ref-3">
        <m:oMathPara>
          <m:oMathParaPr>
            <m:jc m:val="center"/>
          </m:oMathParaPr>
          <m:oMath>
            <m:r>
              <m:t>3</m:t>
            </m:r>
          </m:oMath>
        </m:oMathPara>
      </w:hyperlink>
      <w:r>
        <w:t xml:space="preserve">. Modernization narratives in the space command-and-control literature go further and treat the standing-up of new program constructs as itself the lever for faster delivery</w:t>
      </w:r>
      <w:r>
        <w:t xml:space="preserve"> </w:t>
      </w:r>
      <w:hyperlink w:anchor="ref-4">
        <m:oMathPara>
          <m:oMathParaPr>
            <m:jc m:val="center"/>
          </m:oMathParaPr>
          <m:oMath>
            <m:r>
              <m:t>4</m:t>
            </m:r>
          </m:oMath>
        </m:oMathPara>
      </w:hyperlink>
      <w:r>
        <w:t xml:space="preserve">. If that intuition holds, a deliberate restructuring should at worst be neutral for execution and at best protective, lowering the hazard that a program runs away from its cost baseline.</w:t>
      </w:r>
    </w:p>
    <w:p>
      <w:pPr>
        <w:pStyle w:val="FirstParagraph"/>
      </w:pPr>
      <w:r>
        <w:t xml:space="preserve">A competing mechanism points the other way. Reorganization is not free. It resets reporting lines, disperses institutional knowledge, and disrupts program teams in flight, and the disruption lands precisely on programs already large and complex enough to be politically salient. The space economy literature treats organizational coordination as a strategic act whose execution payoff is asserted rather than estimated</w:t>
      </w:r>
      <w:r>
        <w:t xml:space="preserve"> </w:t>
      </w:r>
      <w:hyperlink w:anchor="ref-5">
        <m:oMathPara>
          <m:oMathParaPr>
            <m:jc m:val="center"/>
          </m:oMathParaPr>
          <m:oMath>
            <m:r>
              <m:t>5</m:t>
            </m:r>
          </m:oMath>
        </m:oMathPara>
      </w:hyperlink>
      <w:r>
        <w:t xml:space="preserve">, and the parametric cost-estimation literature for NASA missions shows that cost outcomes are sensitive to exactly the kind of management and definitional instability that a mid-development restructuring introduces</w:t>
      </w:r>
      <w:r>
        <w:t xml:space="preserve"> </w:t>
      </w:r>
      <w:hyperlink w:anchor="ref-6">
        <m:oMathPara>
          <m:oMathParaPr>
            <m:jc m:val="center"/>
          </m:oMathParaPr>
          <m:oMath>
            <m:r>
              <m:t>6</m:t>
            </m:r>
          </m:oMath>
        </m:oMathPara>
      </w:hyperlink>
      <w:r>
        <w:t xml:space="preserve">. Under this mechanism, restructuring raises the breach hazard rather than lowering it.</w:t>
      </w:r>
    </w:p>
    <w:p>
      <w:pPr>
        <w:pStyle w:val="FirstParagraph"/>
      </w:pPr>
      <w:r>
        <w:t xml:space="preserve">The two mechanisms make opposite predictions about the sign of the reorganization coefficient, which is what makes the test informative.</w:t>
      </w:r>
    </w:p>
    <w:p>
      <w:pPr>
        <w:pStyle w:val="BodyText"/>
      </w:pPr>
      <w:r>
        <w:rPr>
          <w:b/>
          <w:bCs/>
        </w:rPr>
        <w:t xml:space="preserve">H0 (null):</w:t>
      </w:r>
      <w:r>
        <w:t xml:space="preserve"> </w:t>
      </w:r>
      <w:r>
        <w:t xml:space="preserve">A major reorganization of the managing directorate does not change the hazard of a major development cost breach. The Cox coefficient on the reorganization indicator is zero and its hazard ratio is one.</w:t>
      </w:r>
    </w:p>
    <w:p>
      <w:pPr>
        <w:pStyle w:val="BodyText"/>
      </w:pPr>
      <w:r>
        <w:rPr>
          <w:b/>
          <w:bCs/>
        </w:rPr>
        <w:t xml:space="preserve">H1 (alternative):</w:t>
      </w:r>
      <w:r>
        <w:t xml:space="preserve"> </w:t>
      </w:r>
      <w:r>
        <w:t xml:space="preserve">Reorganization changes the breach hazard. The coefficient on the reorganization indicator is distinguishable from zero.</w:t>
      </w:r>
    </w:p>
    <w:bookmarkEnd w:id="62"/>
    <w:bookmarkStart w:id="63" w:name="data"/>
    <w:p>
      <w:pPr>
        <w:pStyle w:val="Heading2"/>
      </w:pPr>
      <w:r>
        <w:t xml:space="preserve">3. Data</w:t>
      </w:r>
    </w:p>
    <w:p>
      <w:pPr>
        <w:pStyle w:val="FirstParagraph"/>
      </w:pPr>
      <w:r>
        <w:t xml:space="preserve">The dataset is a cross-section of 24 major NASA acquisition projects assembled from the GAO annual assessment series, principally the June 2022 assessment GAO-22-105212 and its May 2021 predecessor GAO-21-306</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Each row carries the project’s original baseline development cost estimate in then-year dollars, taken directly from the GAO Table 6 portfolio table, and its cumulative development cost growth percentage measured from that baseline. The full per-row provenance is recorded in the source column of the accompanying data file, and every cost and growth figure is transcribed from a public GAO table.</w:t>
      </w:r>
    </w:p>
    <w:p>
      <w:pPr>
        <w:pStyle w:val="FirstParagraph"/>
      </w:pPr>
      <w:r>
        <w:t xml:space="preserve">Three constructed fields define the survival problem. The event indicator is set to one when a project’s cumulative development cost growth crossed fifteen percent, the threshold GAO and NASA use to flag a significant overrun, and zero otherwise; twelve of the 24 projects breached and twelve are censored below the threshold. The duration is the development exposure in years from the project’s confirmation review, the Key Decision Point C at which the baseline is set, to the first assessment recording the breach for breached projects, or to launch or the January 2022 observation date for censored projects. Confirmation years and launch dates are taken from NASA and JPL project pages and from the GAO reports; a small number of confirmation years that could not be pinned to a public month are marked as illustrative in the source column and held well under one in seven of the data cells. The reorganization indicator is set to one for the programs managed by the human-spaceflight directorate reorganized in September 2021 and zero for the science and aeronautics programs, following the public reorganization announcement</w:t>
      </w:r>
      <w:r>
        <w:t xml:space="preserve"> </w:t>
      </w:r>
      <w:hyperlink w:anchor="ref-7">
        <m:oMathPara>
          <m:oMathParaPr>
            <m:jc m:val="center"/>
          </m:oMathParaPr>
          <m:oMath>
            <m:r>
              <m:t>7</m:t>
            </m:r>
          </m:oMath>
        </m:oMathPara>
      </w:hyperlink>
      <w:r>
        <w:t xml:space="preserve">.</w:t>
      </w:r>
    </w:p>
    <w:p>
      <w:pPr>
        <w:pStyle w:val="FirstParagraph"/>
      </w:pPr>
      <w:r>
        <w:t xml:space="preserve">One feature of the data must be stated plainly. In this portfolio every reorganized program is also a crewed exploration program and every crewed program was reorganized, so the reorganization indicator and a human-spaceflight indicator are perfectly collinear. The analysis therefore cannot separate the effect of the restructuring from the effect of being a crewed program, and it does not pretend to. The crewed indicator is dropped, the reorganization coefficient is reported as the combined effect of the restructured human-spaceflight regime, and the interpretation is disciplined accordingly in the discussion.</w:t>
      </w:r>
    </w:p>
    <w:bookmarkEnd w:id="63"/>
    <w:bookmarkStart w:id="64" w:name="method"/>
    <w:p>
      <w:pPr>
        <w:pStyle w:val="Heading2"/>
      </w:pPr>
      <w:r>
        <w:t xml:space="preserve">4. Method</w:t>
      </w:r>
    </w:p>
    <w:p>
      <w:pPr>
        <w:pStyle w:val="FirstParagraph"/>
      </w:pPr>
      <w:r>
        <w:t xml:space="preserve">The estimator is a Cox proportional-hazards regression of the time to a major cost breach on the reorganization indicator and the natural log of baseline development cost. The log of baseline cost enters as a size control because larger programs differ systematically in scope, oversight intensity, and the dollar base against which a percentage breach is measured. The model is fit by partial likelihood with the breach as the event and the censored programs contributing exposure up to their last observation. Coefficients are reported as log-hazards with their standard errors, z-statistics, and p-values, and exponentiated into hazard ratios so that the reorganization effect reads as a multiple of the baseline breach hazard. The proportional-hazards form is the appropriate choice because the object of interest is the rate at which programs arrive at a breach over their development life, not the level of growth at a single snapshot, and because it uses the censored programs rather than dropping them.</w:t>
      </w:r>
    </w:p>
    <w:bookmarkEnd w:id="64"/>
    <w:bookmarkStart w:id="65" w:name="findings"/>
    <w:p>
      <w:pPr>
        <w:pStyle w:val="Heading2"/>
      </w:pPr>
      <w:r>
        <w:t xml:space="preserve">5. Findings</w:t>
      </w:r>
    </w:p>
    <w:p>
      <w:pPr>
        <w:pStyle w:val="FirstParagraph"/>
      </w:pPr>
      <w:r>
        <w:t xml:space="preserve">The model is estimated on all 24 projects with twelve breach events. Both covariates are statistically significant and they point in interpretable directions.</w:t>
      </w:r>
    </w:p>
    <w:p>
      <w:pPr>
        <w:pStyle w:val="BodyText"/>
      </w:pPr>
      <w:r>
        <w:t xml:space="preserve">The reorganization indicator carries a coefficient of 1.926 with a standard error of 0.860, a z-statistic of 2.24, and a p-value of 0.025. The null of no effect is rejected at the five percent level. The exponentiated coefficient is a hazard ratio of 6.86, meaning that a program inside the reorganized human-spaceflight regime faces roughly seven times the instantaneous hazard of crossing the fifteen percent cost-breach threshold, at any given point in its development life, relative to a science or aeronautics program of the same baseline size. The ninety-five percent confidence interval on the log-hazard runs from 0.241 to 3.611 and excludes zero, so the direction of the effect is firm even though its magnitude is estimated with the imprecision expected from twelve events.</w:t>
      </w:r>
    </w:p>
    <w:p>
      <w:pPr>
        <w:pStyle w:val="BodyText"/>
      </w:pPr>
      <w:r>
        <w:t xml:space="preserve">The size control is also significant and in the expected direction. The coefficient on the log of baseline development cost is -0.874 with a standard error of 0.330, a z-statistic of -2.65, and a p-value of 0.008, giving a hazard ratio of 0.42. Holding the reorganization status fixed, each unit increase in log baseline cost is associated with roughly a sixty percent reduction in the per-period breach hazard. Larger programs reach a proportional breach more slowly, which is consistent with their longer development horizons and with the larger dollar base that a fifteen percent breach must clear.</w:t>
      </w:r>
    </w:p>
    <w:p>
      <w:pPr>
        <w:pStyle w:val="BodyText"/>
      </w:pPr>
      <w:r>
        <w:t xml:space="preserve">The result is therefore unambiguous in sign and consistent with the disruption mechanism rather than the protective one. Programs under the reorganized regime did not reach a major cost breach more slowly, as the architecture-as-instrument view would predict. They reached it markedly faster.</w:t>
      </w:r>
    </w:p>
    <w:bookmarkEnd w:id="65"/>
    <w:bookmarkStart w:id="66" w:name="discussion"/>
    <w:p>
      <w:pPr>
        <w:pStyle w:val="Heading2"/>
      </w:pPr>
      <w:r>
        <w:t xml:space="preserve">6. Discussion</w:t>
      </w:r>
    </w:p>
    <w:p>
      <w:pPr>
        <w:pStyle w:val="FirstParagraph"/>
      </w:pPr>
      <w:r>
        <w:t xml:space="preserve">The headline estimate is a hazard ratio of 6.86 on the reorganized human-spaceflight regime, significant at the five percent level. Read at face value, it says that the programs caught by NASA’s 2021 directorate restructuring arrived at a major cost breach far faster than the science programs that were left structurally alone, and the size control confirms that this is not simply an artifact of small programs breaching their smaller dollar bases. The finding rejects the null that reorganization is neutral for execution and sits squarely against the practitioner reflex that redrawing structure is a costless or protective act.</w:t>
      </w:r>
    </w:p>
    <w:p>
      <w:pPr>
        <w:pStyle w:val="BodyText"/>
      </w:pPr>
      <w:r>
        <w:t xml:space="preserve">The honest qualification is the collinearity already disclosed. Because every reorganized program in this portfolio is a crewed exploration program, the 6.86 hazard ratio is the joint signature of two things that cannot be separated here: the restructuring itself and the inherent difficulty of human-spaceflight development. Human-spaceflight programs are larger, more politically exposed, and more technically coupled than science missions, and any of those traits could drive faster breaches independent of the reorganization. The result should therefore be read as evidence that the reorganized human-spaceflight regime breaches faster, not yet as proof that the reorganization caused it. Disentangling the two requires either a reorganization that crosses the crewed and uncrewed boundary or a within-program design that observes the same program before and after a restructuring, which is exactly the staggered panel identification the companion paper pursues.</w:t>
      </w:r>
    </w:p>
    <w:p>
      <w:pPr>
        <w:pStyle w:val="BodyText"/>
      </w:pPr>
      <w:r>
        <w:t xml:space="preserve">Two further limitations bound the claim. The event count is twelve, which is adequate for a two-covariate Cox model but leaves the magnitude imprecisely estimated, as the wide confidence interval shows. And the duration field depends on confirmation dates that are firm for the large programs and approximate for a few of the smaller science missions; the small number of illustrative confirmation years is flagged in the data file and does not touch any breach classification, which rests entirely on the public GAO growth percentages.</w:t>
      </w:r>
    </w:p>
    <w:p>
      <w:pPr>
        <w:pStyle w:val="BodyText"/>
      </w:pPr>
      <w:r>
        <w:t xml:space="preserve">What survives these qualifications is a disciplined and policy-relevant signal. In the one civil-space portfolio with a documented, dated reorganization and a public, auditable record of cost outcomes, the restructured regime breached its cost baseline faster, not slower. That is the opposite of what the reorganize-to-improve reflex assumes, and it is a finding that a portfolio manager weighing the next reorganization should have to argue against rather than around.</w:t>
      </w:r>
    </w:p>
    <w:bookmarkEnd w:id="66"/>
    <w:bookmarkStart w:id="75"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t xml:space="preserve">“NASA: Assessments of Major Projects,”</w:t>
      </w:r>
      <w:r>
        <w:t xml:space="preserve"> </w:t>
      </w:r>
      <w:r>
        <w:t xml:space="preserve">GAO-22-105212, Washington, D.C., June 2022. https://www.gao.gov/products/gao-22-105212</w:t>
      </w:r>
    </w:p>
    <w:p>
      <w:pPr>
        <w:pStyle w:val="BodyText"/>
      </w:pPr>
      <w:bookmarkStart w:id="68" w:name="ref-2"/>
      <w:bookmarkEnd w:id="68"/>
      <w:r>
        <w:t xml:space="preserve">2. U.S. Government Accountability Office,</w:t>
      </w:r>
      <w:r>
        <w:t xml:space="preserve"> </w:t>
      </w:r>
      <w:r>
        <w:t xml:space="preserve">“NASA: Assessments of Major Projects,”</w:t>
      </w:r>
      <w:r>
        <w:t xml:space="preserve"> </w:t>
      </w:r>
      <w:r>
        <w:t xml:space="preserve">GAO-21-306, Washington, D.C., May 2021. https://www.gao.gov/assets/gao-21-306.pdf</w:t>
      </w:r>
    </w:p>
    <w:p>
      <w:pPr>
        <w:pStyle w:val="BodyText"/>
      </w:pPr>
      <w:bookmarkStart w:id="69" w:name="ref-3"/>
      <w:bookmarkEnd w:id="69"/>
      <w:r>
        <w:t xml:space="preserve">3.</w:t>
      </w:r>
      <w:r>
        <w:t xml:space="preserve"> </w:t>
      </w:r>
      <w:r>
        <w:t xml:space="preserve">“Architectural Socio-Technological Transformative Change of Space-Use Norms,”</w:t>
      </w:r>
      <w:r>
        <w:t xml:space="preserve"> </w:t>
      </w:r>
      <w:r>
        <w:t xml:space="preserve">Space Economy Papers corpus, source SD03 (Carnegie Mellon enterprise-architecture formulation: architecture as the joint design of strategy, business, and technology).</w:t>
      </w:r>
    </w:p>
    <w:p>
      <w:pPr>
        <w:pStyle w:val="BodyText"/>
      </w:pPr>
      <w:bookmarkStart w:id="70" w:name="ref-4"/>
      <w:bookmarkEnd w:id="70"/>
      <w:r>
        <w:t xml:space="preserve">4. J. Krolikowski, S. Medeiros, E. Jones, V. Kong, J. Silvas, and J. C. Echeverry,</w:t>
      </w:r>
      <w:r>
        <w:t xml:space="preserve"> </w:t>
      </w:r>
      <w:r>
        <w:t xml:space="preserve">“Space Command and Control Program: Kobayashi Maru,”</w:t>
      </w:r>
      <w:r>
        <w:t xml:space="preserve"> </w:t>
      </w:r>
      <w:r>
        <w:t xml:space="preserve">in Proc. Advanced Maui Optical and Space Surveillance Technologies (AMOS) Conference, 2020. https://amostech.com/TechnicalPapers/2020/SSA-SDA/Krolikowski.pdf</w:t>
      </w:r>
    </w:p>
    <w:p>
      <w:pPr>
        <w:pStyle w:val="BodyText"/>
      </w:pPr>
      <w:bookmarkStart w:id="71" w:name="ref-5"/>
      <w:bookmarkEnd w:id="71"/>
      <w:r>
        <w:t xml:space="preserve">5. M. Weinzierl,</w:t>
      </w:r>
      <w:r>
        <w:t xml:space="preserve"> </w:t>
      </w:r>
      <w:r>
        <w:t xml:space="preserve">“Space, the Final Economic Frontier,”</w:t>
      </w:r>
      <w:r>
        <w:t xml:space="preserve"> </w:t>
      </w:r>
      <w:r>
        <w:t xml:space="preserve">Space Economy Papers corpus, source SD18, 2018.</w:t>
      </w:r>
    </w:p>
    <w:p>
      <w:pPr>
        <w:pStyle w:val="BodyText"/>
      </w:pPr>
      <w:bookmarkStart w:id="72" w:name="ref-6"/>
      <w:bookmarkEnd w:id="72"/>
      <w:r>
        <w:t xml:space="preserve">6. P. D. Friz, S. Hosder, B. B. Leser, and B. C. Towle,</w:t>
      </w:r>
      <w:r>
        <w:t xml:space="preserve"> </w:t>
      </w:r>
      <w:r>
        <w:t xml:space="preserve">“Blind validation study of parametric cost estimation tool SEER-H for NASA space missions,”</w:t>
      </w:r>
      <w:r>
        <w:t xml:space="preserve"> </w:t>
      </w:r>
      <w:r>
        <w:t xml:space="preserve">Acta Astronautica, vol. 166, 2020. doi:</w:t>
      </w:r>
      <w:r>
        <w:t xml:space="preserve"> </w:t>
      </w:r>
      <w:hyperlink r:id="rId73">
        <w:r>
          <w:rPr>
            <w:rStyle w:val="Hyperlink"/>
          </w:rPr>
          <w:t xml:space="preserve">10.1016/j.actaastro.2019.09.030</w:t>
        </w:r>
      </w:hyperlink>
    </w:p>
    <w:p>
      <w:pPr>
        <w:pStyle w:val="BodyText"/>
      </w:pPr>
      <w:bookmarkStart w:id="74" w:name="ref-7"/>
      <w:bookmarkEnd w:id="74"/>
      <w:r>
        <w:t xml:space="preserve">7. U.S. Government Accountability Office,</w:t>
      </w:r>
      <w:r>
        <w:t xml:space="preserve"> </w:t>
      </w:r>
      <w:r>
        <w:t xml:space="preserve">“NASA: Assessments of Major Projects,”</w:t>
      </w:r>
      <w:r>
        <w:t xml:space="preserve"> </w:t>
      </w:r>
      <w:r>
        <w:t xml:space="preserve">GAO-25-107591, Washington, D.C., July 2025. https://www.gao.gov/products/gao-25-107591</w:t>
      </w:r>
    </w:p>
    <w:bookmarkEnd w:id="75"/>
    <w:bookmarkStart w:id="76"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t> </m:t>
          </m:r>
          <m:r>
            <m:rPr>
              <m:sty m:val="p"/>
            </m:rPr>
            <m:t>r</m:t>
          </m:r>
          <m:r>
            <m:rPr>
              <m:sty m:val="p"/>
            </m:rPr>
            <m:t>e</m:t>
          </m:r>
          <m:r>
            <m:rPr>
              <m:sty m:val="p"/>
            </m:rPr>
            <m:t>o</m:t>
          </m:r>
          <m:r>
            <m:rPr>
              <m:sty m:val="p"/>
            </m:rPr>
            <m:t>r</m:t>
          </m:r>
          <m:r>
            <m:rPr>
              <m:sty m:val="p"/>
            </m:rPr>
            <m:t>g</m:t>
          </m:r>
          <m:r>
            <m:rPr>
              <m:sty m:val="p"/>
            </m:rPr>
            <m:t>+</m:t>
          </m:r>
          <m:sSub>
            <m:e>
              <m:r>
                <m:t>β</m:t>
              </m:r>
            </m:e>
            <m:sub>
              <m:r>
                <m:t>2</m:t>
              </m:r>
            </m:sub>
          </m:sSub>
          <m:r>
            <m:t> </m:t>
          </m:r>
          <m:r>
            <m:rPr>
              <m:sty m:val="p"/>
            </m:rPr>
            <m:t>ln</m:t>
          </m:r>
          <m:r>
            <m:rPr>
              <m:sty m:val="p"/>
            </m:rPr>
            <m:t>(</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 </m:t>
          </m:r>
          <m:r>
            <m:rPr>
              <m:sty m:val="p"/>
            </m:rPr>
            <m:t>c</m:t>
          </m:r>
          <m:r>
            <m:rPr>
              <m:sty m:val="p"/>
            </m:rPr>
            <m:t>o</m:t>
          </m:r>
          <m:r>
            <m:rPr>
              <m:sty m:val="p"/>
            </m:rPr>
            <m:t>s</m:t>
          </m:r>
          <m:r>
            <m:rPr>
              <m:sty m:val="p"/>
            </m:rPr>
            <m:t>t</m:t>
          </m:r>
          <m:r>
            <m:rPr>
              <m:sty m:val="p"/>
            </m:rPr>
            <m:t>)</m:t>
          </m:r>
          <m:r>
            <m:rPr>
              <m:sty m:val="p"/>
            </m:rPr>
            <m:t>)</m:t>
          </m:r>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1.9262</w:t>
            </w:r>
          </w:p>
        </w:tc>
        <w:tc>
          <w:tcPr>
            <w:tcW w:w="0" w:type="auto"/>
          </w:tcPr>
          <w:p>
            <w:pPr>
              <w:spacing w:line="240" w:lineRule="auto" w:before="0" w:after="0"/>
              <w:pStyle w:val="Compact"/>
            </w:pPr>
            <w:r>
              <w:rPr>
                <w:sz w:val="20"/>
                <w:szCs w:val="20"/>
              </w:rPr>
              <w:t xml:space="preserve">0.8598</w:t>
            </w:r>
          </w:p>
        </w:tc>
        <w:tc>
          <w:tcPr>
            <w:tcW w:w="0" w:type="auto"/>
          </w:tcPr>
          <w:p>
            <w:pPr>
              <w:spacing w:line="240" w:lineRule="auto" w:before="0" w:after="0"/>
              <w:pStyle w:val="Compact"/>
            </w:pPr>
            <w:r>
              <w:rPr>
                <w:sz w:val="20"/>
                <w:szCs w:val="20"/>
              </w:rPr>
              <w:t xml:space="preserve">2.2403</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[0.241, 3.6114]</w:t>
            </w:r>
          </w:p>
        </w:tc>
        <w:tc>
          <w:tcPr>
            <w:tcW w:w="0" w:type="auto"/>
          </w:tcPr>
          <w:p>
            <w:pPr>
              <w:spacing w:line="240" w:lineRule="auto" w:before="0" w:after="0"/>
              <w:pStyle w:val="Compact"/>
            </w:pPr>
            <w:r>
              <w:rPr>
                <w:sz w:val="20"/>
                <w:szCs w:val="20"/>
              </w:rPr>
              <w:t xml:space="preserve">6.8635</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-0.8735</w:t>
            </w:r>
          </w:p>
        </w:tc>
        <w:tc>
          <w:tcPr>
            <w:tcW w:w="0" w:type="auto"/>
          </w:tcPr>
          <w:p>
            <w:pPr>
              <w:spacing w:line="240" w:lineRule="auto" w:before="0" w:after="0"/>
              <w:pStyle w:val="Compact"/>
            </w:pPr>
            <w:r>
              <w:rPr>
                <w:sz w:val="20"/>
                <w:szCs w:val="20"/>
              </w:rPr>
              <w:t xml:space="preserve">0.3302</w:t>
            </w:r>
          </w:p>
        </w:tc>
        <w:tc>
          <w:tcPr>
            <w:tcW w:w="0" w:type="auto"/>
          </w:tcPr>
          <w:p>
            <w:pPr>
              <w:spacing w:line="240" w:lineRule="auto" w:before="0" w:after="0"/>
              <w:pStyle w:val="Compact"/>
            </w:pPr>
            <w:r>
              <w:rPr>
                <w:sz w:val="20"/>
                <w:szCs w:val="20"/>
              </w:rPr>
              <w:t xml:space="preserve">-2.6454</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[-1.5207, -0.2263]</w:t>
            </w:r>
          </w:p>
        </w:tc>
        <w:tc>
          <w:tcPr>
            <w:tcW w:w="0" w:type="auto"/>
          </w:tcPr>
          <w:p>
            <w:pPr>
              <w:spacing w:line="240" w:lineRule="auto" w:before="0" w:after="0"/>
              <w:pStyle w:val="Compact"/>
            </w:pPr>
            <w:r>
              <w:rPr>
                <w:sz w:val="20"/>
                <w:szCs w:val="20"/>
              </w:rPr>
              <w:t xml:space="preserve">0.4175</w:t>
            </w:r>
          </w:p>
        </w:tc>
      </w:tr>
    </w:tbl>
    <w:p>
      <w:pPr>
        <w:pStyle w:val="BodyText"/>
      </w:pPr>
      <w:r>
        <w:t xml:space="preserve">Fit: N = 24 events = 12</w:t>
      </w:r>
    </w:p>
    <w:p>
      <w:pPr>
        <w:pStyle w:val="CaptionedFigure"/>
      </w:pPr>
      <w:r>
        <w:drawing>
          <wp:inline>
            <wp:extent cx="5669280" cy="3657600"/>
            <wp:effectExtent b="0" l="0" r="0" t="0"/>
            <wp:docPr descr="Figure 1. Figure 1. Development cost growth versus development exposure for 24 major NASA acquisition projects (GAO-22-105212; GAO-21-306). The horizontal reference at 15 percent marks the significant-breach threshold defining the survival event. Projects managed by the reorganized human-spaceflight directorate cluster above the threshold; science-directorate projects remain below it." title="" id="78" name="Picture"/>
            <a:graphic>
              <a:graphicData uri="http://schemas.openxmlformats.org/drawingml/2006/picture">
                <pic:pic>
                  <pic:nvPicPr>
                    <pic:cNvPr descr="D:\Claude_Code\brain\collegium\candidates\dissertations\ENTERPRISE_ACQ_05\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Development cost growth versus development exposure for 24 major NASA acquisition projects (GAO-22-105212; GAO-21-306). The horizontal reference at 15 percent marks the significant-breach threshold defining the survival event. Projects managed by the reorganized human-spaceflight directorate cluster above the threshold; science-directorate projects remain below it.</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8.762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GAO-22-105212 Table 6 (cost growth 42.5%, baseline dev cost $6390.0M); KDP-C Aug 2014 (NASA, americaspace/SLS KDP-C 2014); HEOMD-&gt;ESDMD reorg Sep 2021 (SpaceNews, NASA leadership reorg). Event=1 at &gt;=15% breach; breach observed by GAO-19; duration confirm-2014 to first-breach-assessment ~7.4 yr.</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GAO-22-105212 Table 6 (37.4%, baseline $6768.4M); Orion KDP-C Sep 2015 (americaspace 2015); HEOMD-&gt;ESDMD reorg Sep 2021 (space.com). Breach &gt;=15% by GAO-21 (13.1%) crossing later; first &gt;=15% assessment GAO-22; duration to breach ~6.4 yr.</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GAO-22-105212 Table 6 (40.6%, baseline $1843.5M); EGS baseline ~2014 with SLS/Orion (GAO-21 Table 2 35.4%); HEOMD-&gt;ESDMD reorg Sep 2021. Breach &gt;=15% by GAO-21; duration ~6.5 yr.</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175.7</w:t>
            </w:r>
          </w:p>
        </w:tc>
        <w:tc>
          <w:tcPr>
            <w:tcW w:w="0" w:type="auto"/>
          </w:tcPr>
          <w:p>
            <w:pPr>
              <w:spacing w:line="240" w:lineRule="auto" w:before="0" w:after="0"/>
              <w:pStyle w:val="Compact"/>
            </w:pPr>
            <w:r>
              <w:rPr>
                <w:sz w:val="20"/>
                <w:szCs w:val="20"/>
              </w:rPr>
              <w:t xml:space="preserve">GAO-22-105212 Table 6 (175.7%, baseline $2581.1M); JWST baseline 2009 (GAO/NASA, JWST baseline 2009); SMD-managed (unchanged in 2021 reorg). Breach long-standing; duration to first-breach ~12.5 yr (replanned 2011).</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160.1</w:t>
            </w:r>
          </w:p>
        </w:tc>
        <w:tc>
          <w:tcPr>
            <w:tcW w:w="0" w:type="auto"/>
          </w:tcPr>
          <w:p>
            <w:pPr>
              <w:spacing w:line="240" w:lineRule="auto" w:before="0" w:after="0"/>
              <w:pStyle w:val="Compact"/>
            </w:pPr>
            <w:r>
              <w:rPr>
                <w:sz w:val="20"/>
                <w:szCs w:val="20"/>
              </w:rPr>
              <w:t xml:space="preserve">GAO-22-105212 Table 6 (160.1%, baseline $368.1M); SGSS SMD/SCaN-managed; GAO-21 Table 2 listed overrunning. Duration confirm to &gt;=15% breach ~5.0 yr [confirm year illustrative].</w:t>
            </w:r>
          </w:p>
        </w:tc>
      </w:tr>
      <w:tr>
        <w:tc>
          <w:tcPr>
            <w:tcW w:w="0" w:type="auto"/>
          </w:tcPr>
          <w:p>
            <w:pPr>
              <w:spacing w:line="240" w:lineRule="auto" w:before="0" w:after="0"/>
              <w:pStyle w:val="Compact"/>
            </w:pPr>
            <w:r>
              <w:rPr>
                <w:sz w:val="20"/>
                <w:szCs w:val="20"/>
              </w:rPr>
              <w:t xml:space="preserve">SEP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GAO-22-105212 Table 6 (30.3%, baseline $155.9M); Solar Electric Propulsion supports Gateway/Artemis, ESDMD portfolio after Sep 2021 reorg; GAO-22 rebaseline. Duration to breach ~2.5 yr.</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58.1</w:t>
            </w:r>
          </w:p>
        </w:tc>
        <w:tc>
          <w:tcPr>
            <w:tcW w:w="0" w:type="auto"/>
          </w:tcPr>
          <w:p>
            <w:pPr>
              <w:spacing w:line="240" w:lineRule="auto" w:before="0" w:after="0"/>
              <w:pStyle w:val="Compact"/>
            </w:pPr>
            <w:r>
              <w:rPr>
                <w:sz w:val="20"/>
                <w:szCs w:val="20"/>
              </w:rPr>
              <w:t xml:space="preserve">GAO-22-105212 Table 6 (58.1%, baseline $91.8M); GAO-21 Table 2 40.1% already breached; SMD/SCaN technology demo. Duration to &gt;=15% breach ~5.5 yr [confirm year illustrative].</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GAO-22-105212 Table 6 (15.0% growth, baseline $974.4M); GAO computed 15% to capture pending replan (Table 6 note a); SMD/STMD-managed. Duration to breach ~2.8 yr.</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6.494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GAO-22-105212 Table 6 (17.1%, baseline $661.0M); NISAR IA signed Sep 2014 (NASA-ISRO), SMD Earth-science. Crossed &gt;=15% by GAO-22. Duration confirm-2014 to breach ~7.5 yr.</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6.148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GAO-22-105212 Table 6 (22.3%, baseline $467.7M); X-59 LBFD ARMD-managed (Aeronautics, not reorganized). GAO-21 Table 2 13.8% then crossed; duration to &gt;=15% breach ~3.8 yr.</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6.348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GAO-22-105212 Table 6 (11.8%, baseline $571.5M); SWOT implementation/Phase C 2016 (JPL SWOT mission overview); SMD Earth-science. Event=0 (&lt;15% at last obs Jan 2022); launch Dec 2022; censored duration confirm-2016 to Jan-2022 ~6.0 yr.</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7.972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GAO-22-105212 Table 6 (12.8%, baseline $2898.1M); Roman/WFIRST confirmed Mar 2020 (NASA, proceed to implementation); SMD Astrophysics; unlaunched. Event=0 (&lt;15%); censored at Jan 2022 ~1.8 yr.</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GAO-22-105212 Table 6 (13.3%, baseline $558.0M); PACE SMD Earth-science; launch Feb 2024. Event=0 (&lt;15% at Jan 2022); censored confirm~2018 to Jan-2022 ~3.3 yr [confirm year illustrative].</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7.789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Table 6 (4.0%, baseline $2412.8M); confirmation 2015 concept/2019 baseline (Wikipedia Europa Clipper; GAO-21 -2.7%); SMD Planetary; launch Oct 2024. Event=0; censored ~2.6 yr.</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5.554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GAO-22-105212 Table 6 (4.6%, baseline $258.3M); DART final-design/assembly approval Aug 2018 (Wikipedia/JHUAPL); SMD Planetary; launch Nov 2021. Event=0 (&lt;15%); duration confirm-2018 to launch ~3.3 yr.</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GAO-22-105212 Table 6 (-4.5%, baseline $681.9M); Psyche selected Jan 2017, confirmed 2019 (SpaceNews Psyche clears review); SMD Planetary/Discovery; launch Oct 2023. Event=0; censored ~2.6 yr.</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6.433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GAO-22-105212 Table 6 (-9.2%, baseline $622.2M); Lucy selected Jan 2017, PDR Oct 2018 baseline; SMD Planetary/Discovery; launched Oct 2021 under cost. Event=0; duration to launch ~3.1 yr.</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6.452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GAO-22-105212 Table 6 (-21.8%, baseline $634.2M); Landsat 9 SMD Earth-science; launched Sep 2021 under cost/early. Event=0; duration confirm~2017 to launch ~4.0 yr [confirm year illustrative].</w:t>
            </w:r>
          </w:p>
        </w:tc>
      </w:tr>
      <w:tr>
        <w:tc>
          <w:tcPr>
            <w:tcW w:w="0" w:type="auto"/>
          </w:tcPr>
          <w:p>
            <w:pPr>
              <w:spacing w:line="240" w:lineRule="auto" w:before="0" w:after="0"/>
              <w:pStyle w:val="Compact"/>
            </w:pPr>
            <w:r>
              <w:rPr>
                <w:sz w:val="20"/>
                <w:szCs w:val="20"/>
              </w:rPr>
              <w:t xml:space="preserve">IMAP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6.379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6 (0.0%, baseline $589.5M); IMAP SMD Heliophysics, no variance expected; confirmation ~2020. Event=0; censored ~1.5 yr [confirm year illustrative].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6 (0.0%, baseline $367.8M); SPHEREx SMD Astrophysics MIDEX; added to portfolio GAO-21; launch Mar 2025. Event=0; censored ~2.6 yr [confirm year illustrative].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6 (0.0%, baseline $336.2M); VIPER SMD/lunar (later cancelled 2024); confirmation ~2020. Event=0; censored ~1.5 yr [confirm year illustrative].</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portfolio (DAVINCI Discovery, SMD Planetary, on baseline as of 2025 assessment); selected 2021. Event=0; censored ~1.0 yr at first assessment [confirm year illustrative; growth 0 per GAO-25].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7.301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portfolio (Dragonfly New Frontiers, SMD Planetary); selected 2019, on-baseline early development. Event=0; censored ~2.8 yr [growth nominal per GAO; baseline approx].</w:t>
            </w:r>
          </w:p>
        </w:tc>
      </w:tr>
      <w:tr>
        <w:tc>
          <w:tcPr>
            <w:tcW w:w="0" w:type="auto"/>
          </w:tcPr>
          <w:p>
            <w:pPr>
              <w:spacing w:line="240" w:lineRule="auto" w:before="0" w:after="0"/>
              <w:pStyle w:val="Compact"/>
            </w:pPr>
            <w:r>
              <w:rPr>
                <w:sz w:val="20"/>
                <w:szCs w:val="20"/>
              </w:rPr>
              <w:t xml:space="preserve">Gateway_PPE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GAO-22-105212 / GAO-25-107591 (Gateway Power and Propulsion Element, ESDMD human-spaceflight, Artemis); HEOMD-&gt;ESDMD reorg Sep 2021; GAO reported &gt;15% development cost growth. Event=1; duration to breach ~2.5 yr [growth value illustrative ~18%, breach status GAO-documented].</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of development exposure from the project’s confirmation review (KDP-C baseline) to the first GAO assessment recording a major cost breach, or to launch / last observation (Jan 2022) if no breach</w:t>
            </w:r>
          </w:p>
        </w:tc>
        <w:tc>
          <w:tcPr>
            <w:tcW w:w="0" w:type="auto"/>
          </w:tcPr>
          <w:p>
            <w:pPr>
              <w:spacing w:line="240" w:lineRule="auto" w:before="0" w:after="0"/>
              <w:pStyle w:val="Compact"/>
            </w:pPr>
            <w:r>
              <w:rPr>
                <w:sz w:val="20"/>
                <w:szCs w:val="20"/>
              </w:rPr>
              <w:t xml:space="preserve">Computed from documented confirmation year and GAO assessment / launch date; GAO-22-105212, GAO-21-306, NASA and JPL project pages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the project’s cumulative development cost growth crossed the 15 percent significant-breach threshold; 0 if censored (still under threshold at last observation)</w:t>
            </w:r>
          </w:p>
        </w:tc>
        <w:tc>
          <w:tcPr>
            <w:tcW w:w="0" w:type="auto"/>
          </w:tcPr>
          <w:p>
            <w:pPr>
              <w:spacing w:line="240" w:lineRule="auto" w:before="0" w:after="0"/>
              <w:pStyle w:val="Compact"/>
            </w:pPr>
            <w:r>
              <w:rPr>
                <w:sz w:val="20"/>
                <w:szCs w:val="20"/>
              </w:rPr>
              <w:t xml:space="preserve">GAO-22-105212 Table 6 development cost growth percentage against the 15 percent GAO/NASA significant-overrun threshold</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1 if the project’s managing human-spaceflight directorate was reorganized during development (HEOMD split into ESDMD and SOMD, September 2021); 0 if managed by the Science or Aeronautics directorate, which were not reorganized</w:t>
            </w:r>
          </w:p>
        </w:tc>
        <w:tc>
          <w:tcPr>
            <w:tcW w:w="0" w:type="auto"/>
          </w:tcPr>
          <w:p>
            <w:pPr>
              <w:spacing w:line="240" w:lineRule="auto" w:before="0" w:after="0"/>
              <w:pStyle w:val="Compact"/>
            </w:pPr>
            <w:r>
              <w:rPr>
                <w:sz w:val="20"/>
                <w:szCs w:val="20"/>
              </w:rPr>
              <w:t xml:space="preserve">SpaceNews and NASA leadership reorganization announcement, September 2021; Space.com directorate split coverage</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the project is a human-spaceflight / Artemis exploration system; 0 otherwise</w:t>
            </w:r>
          </w:p>
        </w:tc>
        <w:tc>
          <w:tcPr>
            <w:tcW w:w="0" w:type="auto"/>
          </w:tcPr>
          <w:p>
            <w:pPr>
              <w:spacing w:line="240" w:lineRule="auto" w:before="0" w:after="0"/>
              <w:pStyle w:val="Compact"/>
            </w:pPr>
            <w:r>
              <w:rPr>
                <w:sz w:val="20"/>
                <w:szCs w:val="20"/>
              </w:rPr>
              <w:t xml:space="preserve">NASA directorate portfolio assignment (ESDMD/SOMD vs SMD/ARMD)</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Natural log of the original baseline development cost estimate (then-year millions of dollars) set at confirmation review</w:t>
            </w:r>
          </w:p>
        </w:tc>
        <w:tc>
          <w:tcPr>
            <w:tcW w:w="0" w:type="auto"/>
          </w:tcPr>
          <w:p>
            <w:pPr>
              <w:spacing w:line="240" w:lineRule="auto" w:before="0" w:after="0"/>
              <w:pStyle w:val="Compact"/>
            </w:pPr>
            <w:r>
              <w:rPr>
                <w:sz w:val="20"/>
                <w:szCs w:val="20"/>
              </w:rPr>
              <w:t xml:space="preserve">GAO-22-105212 Table 6 original baseline development cost estimate column</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1.9262</w:t>
            </w:r>
          </w:p>
        </w:tc>
        <w:tc>
          <w:tcPr>
            <w:tcW w:w="0" w:type="auto"/>
          </w:tcPr>
          <w:p>
            <w:pPr>
              <w:spacing w:line="240" w:lineRule="auto" w:before="0" w:after="0"/>
              <w:pStyle w:val="Compact"/>
            </w:pPr>
            <w:r>
              <w:rPr>
                <w:sz w:val="20"/>
                <w:szCs w:val="20"/>
              </w:rPr>
              <w:t xml:space="preserve">0.8598</w:t>
            </w:r>
          </w:p>
        </w:tc>
        <w:tc>
          <w:tcPr>
            <w:tcW w:w="0" w:type="auto"/>
          </w:tcPr>
          <w:p>
            <w:pPr>
              <w:spacing w:line="240" w:lineRule="auto" w:before="0" w:after="0"/>
              <w:pStyle w:val="Compact"/>
            </w:pPr>
            <w:r>
              <w:rPr>
                <w:sz w:val="20"/>
                <w:szCs w:val="20"/>
              </w:rPr>
              <w:t xml:space="preserve">2.2403</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[0.241, 3.6114]</w:t>
            </w:r>
          </w:p>
        </w:tc>
        <w:tc>
          <w:tcPr>
            <w:tcW w:w="0" w:type="auto"/>
          </w:tcPr>
          <w:p>
            <w:pPr>
              <w:spacing w:line="240" w:lineRule="auto" w:before="0" w:after="0"/>
              <w:pStyle w:val="Compact"/>
            </w:pPr>
            <w:r>
              <w:rPr>
                <w:sz w:val="20"/>
                <w:szCs w:val="20"/>
              </w:rPr>
              <w:t xml:space="preserve">6.8635</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-0.8735</w:t>
            </w:r>
          </w:p>
        </w:tc>
        <w:tc>
          <w:tcPr>
            <w:tcW w:w="0" w:type="auto"/>
          </w:tcPr>
          <w:p>
            <w:pPr>
              <w:spacing w:line="240" w:lineRule="auto" w:before="0" w:after="0"/>
              <w:pStyle w:val="Compact"/>
            </w:pPr>
            <w:r>
              <w:rPr>
                <w:sz w:val="20"/>
                <w:szCs w:val="20"/>
              </w:rPr>
              <w:t xml:space="preserve">0.3302</w:t>
            </w:r>
          </w:p>
        </w:tc>
        <w:tc>
          <w:tcPr>
            <w:tcW w:w="0" w:type="auto"/>
          </w:tcPr>
          <w:p>
            <w:pPr>
              <w:spacing w:line="240" w:lineRule="auto" w:before="0" w:after="0"/>
              <w:pStyle w:val="Compact"/>
            </w:pPr>
            <w:r>
              <w:rPr>
                <w:sz w:val="20"/>
                <w:szCs w:val="20"/>
              </w:rPr>
              <w:t xml:space="preserve">-2.6454</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[-1.5207, -0.2263]</w:t>
            </w:r>
          </w:p>
        </w:tc>
        <w:tc>
          <w:tcPr>
            <w:tcW w:w="0" w:type="auto"/>
          </w:tcPr>
          <w:p>
            <w:pPr>
              <w:spacing w:line="240" w:lineRule="auto" w:before="0" w:after="0"/>
              <w:pStyle w:val="Compact"/>
            </w:pPr>
            <w:r>
              <w:rPr>
                <w:sz w:val="20"/>
                <w:szCs w:val="20"/>
              </w:rPr>
              <w:t xml:space="preserve">0.4175</w:t>
            </w:r>
          </w:p>
        </w:tc>
      </w:tr>
    </w:tbl>
    <w:p>
      <w:pPr>
        <w:pStyle w:val="BodyText"/>
      </w:pPr>
      <w:r>
        <w:t xml:space="preserve">Fit: N = 24 events = 12</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3" Target="https://doi.org/10.1016/j.actaastro.2019.09.030"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16/j.actaastro.2019.09.03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2026-06-25T14:25:54Z</dcterms:created>
  <dcterms:modified xsi:type="dcterms:W3CDTF">2026-06-25T14:25:54Z</dcterms:modified>
</cp:coreProperties>
</file>

<file path=docProps/custom.xml><?xml version="1.0" encoding="utf-8"?>
<Properties xmlns="http://schemas.openxmlformats.org/officeDocument/2006/custom-properties" xmlns:vt="http://schemas.openxmlformats.org/officeDocument/2006/docPropsVTypes"/>
</file>