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5.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3" w:name="X9ad7c6092399778cff6d5ff032a5669f41ff9d9"/>
    <w:p>
      <w:pPr>
        <w:pStyle w:val="Heading1"/>
      </w:pPr>
      <w:r>
        <w:t xml:space="preserve">Does Restructuring Hasten the Breach? A Cox Proportional-Hazards Analysis of Baseline-Breach Timing in NASA Major Space Projects</w:t>
      </w:r>
    </w:p>
    <w:bookmarkStart w:id="61" w:name="introduction"/>
    <w:p>
      <w:pPr>
        <w:pStyle w:val="Heading2"/>
      </w:pPr>
      <w:r>
        <w:t xml:space="preserve">1. Introduction</w:t>
      </w:r>
    </w:p>
    <w:p>
      <w:pPr>
        <w:pStyle w:val="FirstParagraph"/>
      </w:pPr>
      <w:r>
        <w:t xml:space="preserve">Space enterprises reorganize on the premise that better structure produces better execution. When a program office is rechartered, a directorate is realigned, or an institution is told to stand down its management teams and reform its processes, the implicit promise is that the program will subsequently run closer to its commitments. That promise is rarely tested against a clock. The companion panel study in this dissertation asks whether restructuring moves the level of cost and schedule outcomes. This paper asks a sharper and more decision-relevant question: does restructuring change the timing of failure? A space project either holds its committed baseline until launch or it breaches that baseline along the way, and the interval before a breach is itself the quantity managers most want to protect. Survival analysis is the natural tool, because it models the rate at which an at-risk program crosses the breach threshold while correctly handling programs that reach launch without ever breaching.</w:t>
      </w:r>
    </w:p>
    <w:p>
      <w:pPr>
        <w:pStyle w:val="BodyText"/>
      </w:pPr>
      <w:r>
        <w:t xml:space="preserve">The contribution is a single hazard estimate with one sign test. Holding the cost scale of the program and its mission class fixed, I estimate whether a documented organizational restructuring of the managing office raises or lowers the instantaneous hazard that a NASA major project breaches its committed cost or schedule baseline. The estimand is the hazard ratio on a restructuring indicator in a Cox proportional-hazards model fitted to a panel of twenty-four NASA Category 1 projects. The result is the coefficient, its standard error, and its confidence interval, interpreted honestly against what a small but fully documented sample can detect.</w:t>
      </w:r>
    </w:p>
    <w:bookmarkEnd w:id="61"/>
    <w:bookmarkStart w:id="62" w:name="theory-and-hypotheses"/>
    <w:p>
      <w:pPr>
        <w:pStyle w:val="Heading2"/>
      </w:pPr>
      <w:r>
        <w:t xml:space="preserve">2. Theory and Hypotheses</w:t>
      </w:r>
    </w:p>
    <w:p>
      <w:pPr>
        <w:pStyle w:val="FirstParagraph"/>
      </w:pPr>
      <w:r>
        <w:t xml:space="preserve">The governing intuition descends from the Chandlerian proposition that structure follows strategy and from the enterprise-architecture corollary that architecture is the joint design of strategy, business, and technology</w:t>
      </w:r>
      <w:r>
        <w:t xml:space="preserve"> </w:t>
      </w:r>
      <w:hyperlink w:anchor="ref-1">
        <m:oMathPara>
          <m:oMathParaPr>
            <m:jc m:val="center"/>
          </m:oMathParaPr>
          <m:oMath>
            <m:r>
              <m:t>1</m:t>
            </m:r>
          </m:oMath>
        </m:oMathPara>
      </w:hyperlink>
      <w:r>
        <w:t xml:space="preserve">. Carried into the space domain, this logic treats organizational form as an instrument that a leader tunes to mission need, and it has been operationalized in reference-architecture practice for space surveillance enterprises, where structure is documented precisely so that it can be redrawn</w:t>
      </w:r>
      <w:r>
        <w:t xml:space="preserve"> </w:t>
      </w:r>
      <w:hyperlink w:anchor="ref-2">
        <m:oMathPara>
          <m:oMathParaPr>
            <m:jc m:val="center"/>
          </m:oMathParaPr>
          <m:oMath>
            <m:r>
              <m:t>2</m:t>
            </m:r>
          </m:oMath>
        </m:oMathPara>
      </w:hyperlink>
      <w:r>
        <w:t xml:space="preserve">. The space command-and-control modernization literature goes further and treats the standing-up of new program constructs as itself the accelerant of delivery</w:t>
      </w:r>
      <w:r>
        <w:t xml:space="preserve"> </w:t>
      </w:r>
      <w:hyperlink w:anchor="ref-3">
        <m:oMathPara>
          <m:oMathParaPr>
            <m:jc m:val="center"/>
          </m:oMathParaPr>
          <m:oMath>
            <m:r>
              <m:t>3</m:t>
            </m:r>
          </m:oMath>
        </m:oMathPara>
      </w:hyperlink>
      <w:r>
        <w:t xml:space="preserve">, while system-of-systems treatments frame reconfiguration of how functions are organized as the lever for capability</w:t>
      </w:r>
      <w:r>
        <w:t xml:space="preserve"> </w:t>
      </w:r>
      <w:hyperlink w:anchor="ref-4">
        <m:oMathPara>
          <m:oMathParaPr>
            <m:jc m:val="center"/>
          </m:oMathParaPr>
          <m:oMath>
            <m:r>
              <m:t>4</m:t>
            </m:r>
          </m:oMath>
        </m:oMathPara>
      </w:hyperlink>
      <w:r>
        <w:t xml:space="preserve">. The space economy literature reinforces the reflex by casting organizational structure as a strategic and economic variable whose coordination is consequential for enterprise performance</w:t>
      </w:r>
      <w:r>
        <w:t xml:space="preserve"> </w:t>
      </w:r>
      <w:hyperlink w:anchor="ref-5">
        <m:oMathPara>
          <m:oMathParaPr>
            <m:jc m:val="center"/>
          </m:oMathParaPr>
          <m:oMath>
            <m:r>
              <m:t>5</m:t>
            </m:r>
          </m:oMath>
        </m:oMathPara>
      </w:hyperlink>
      <w:r>
        <w:t xml:space="preserve">,</w:t>
      </w:r>
      <w:r>
        <w:t xml:space="preserve"> </w:t>
      </w:r>
      <w:hyperlink w:anchor="ref-6">
        <m:oMathPara>
          <m:oMathParaPr>
            <m:jc m:val="center"/>
          </m:oMathParaPr>
          <m:oMath>
            <m:r>
              <m:t>6</m:t>
            </m:r>
          </m:oMath>
        </m:oMathPara>
      </w:hyperlink>
      <w:r>
        <w:t xml:space="preserve">.</w:t>
      </w:r>
    </w:p>
    <w:p>
      <w:pPr>
        <w:pStyle w:val="FirstParagraph"/>
      </w:pPr>
      <w:r>
        <w:t xml:space="preserve">Two rival mechanisms follow. Under the optimization mechanism, restructuring corrects a misaligned organization, so a restructured program should face a lower hazard of breach because the reform removes the institutional friction that was driving it toward trouble. Under the disruption mechanism, restructuring resets institutional knowledge, scatters program teams, and imposes transition costs mid-flight, so a restructured program should face a higher hazard of breach. The disruption mechanism is given concrete form by the documented case in which an institution was directed to stand down management and engineering teams on one mission and release staff to others following an independent review</w:t>
      </w:r>
      <w:r>
        <w:t xml:space="preserve"> </w:t>
      </w:r>
      <w:hyperlink w:anchor="ref-6">
        <m:oMathPara>
          <m:oMathParaPr>
            <m:jc m:val="center"/>
          </m:oMathParaPr>
          <m:oMath>
            <m:r>
              <m:t>6</m:t>
            </m:r>
          </m:oMath>
        </m:oMathPara>
      </w:hyperlink>
      <w:r>
        <w:t xml:space="preserve">, an action that protects the reviewed program by transferring risk onto its siblings. The two mechanisms predict opposite signs, which makes the test informative in either direction.</w:t>
      </w:r>
    </w:p>
    <w:p>
      <w:pPr>
        <w:pStyle w:val="FirstParagraph"/>
      </w:pPr>
      <w:r>
        <w:rPr>
          <w:b/>
          <w:bCs/>
        </w:rPr>
        <w:t xml:space="preserve">H0 (null):</w:t>
      </w:r>
      <w:r>
        <w:t xml:space="preserve"> </w:t>
      </w:r>
      <w:r>
        <w:t xml:space="preserve">Organizational restructuring of the managing office does not change the hazard of baseline breach. The coefficient on the restructuring indicator is zero and its hazard ratio is one.</w:t>
      </w:r>
    </w:p>
    <w:p>
      <w:pPr>
        <w:pStyle w:val="BodyText"/>
      </w:pPr>
      <w:r>
        <w:rPr>
          <w:b/>
          <w:bCs/>
        </w:rPr>
        <w:t xml:space="preserve">H1 (alternative):</w:t>
      </w:r>
      <w:r>
        <w:t xml:space="preserve"> </w:t>
      </w:r>
      <w:r>
        <w:t xml:space="preserve">Restructuring changes the breach hazard. The coefficient is non-zero and the hazard ratio departs from one, with a positive sign indicating that restructuring accelerates breach and a negative sign indicating that it delays breach.</w:t>
      </w:r>
    </w:p>
    <w:bookmarkEnd w:id="62"/>
    <w:bookmarkStart w:id="63" w:name="data"/>
    <w:p>
      <w:pPr>
        <w:pStyle w:val="Heading2"/>
      </w:pPr>
      <w:r>
        <w:t xml:space="preserve">3. Data</w:t>
      </w:r>
    </w:p>
    <w:p>
      <w:pPr>
        <w:pStyle w:val="FirstParagraph"/>
      </w:pPr>
      <w:r>
        <w:t xml:space="preserve">The unit of observation is a NASA major (Category 1) space project. The dataset comprises twenty-four projects spanning robotic science, Earth observation, planetary defense, and crewed Artemis-class human spaceflight, each traceable to a named public source recorded in the final column of the data file. The survival time is development duration in months from the agency baseline commitment at confirmation to launch, or to the documented baseline-breach event for programs that breached before completion. The event indicator equals one when a project breached its committed cost or schedule baseline through a rebaseline, an increase in the Agency Baseline Commitment, or an independent-review-mandated replan, and zero when the project reached launch within baseline, in which case the observation is right-censored.</w:t>
      </w:r>
    </w:p>
    <w:p>
      <w:pPr>
        <w:pStyle w:val="BodyText"/>
      </w:pPr>
      <w:r>
        <w:t xml:space="preserve">Cost and schedule fields are transcribed from the United States Government Accountability Office annual assessments of NASA major projects (GAO-23-106021, GAO-24-106767, GAO-25-107591) and from project-specific GAO and NASA Office of Inspector General reports. The breach codings draw on the same assessments supplemented by public mission documentation. The restructuring indicator is coded from two public restructuring episodes only: the Jet Propulsion Laboratory institutional reorganization that followed the 2022 Psyche independent review, which the review board tied to staffing and communication problems and which NASA addressed by directing the institution to reform its management and reallocate teams, and the Moon-to-Mars Program Office rechartering under which the Gateway and Human Landing System constructs were realigned. No internal or non-public material enters the dataset. Of the twenty-four projects, fifteen experienced a breach event and nine reached launch within baseline. Seven projects carry the restructuring indicator and five are crewed human-spaceflight programs.</w:t>
      </w:r>
    </w:p>
    <w:bookmarkEnd w:id="63"/>
    <w:bookmarkStart w:id="64" w:name="method"/>
    <w:p>
      <w:pPr>
        <w:pStyle w:val="Heading2"/>
      </w:pPr>
      <w:r>
        <w:t xml:space="preserve">4. Method</w:t>
      </w:r>
    </w:p>
    <w:p>
      <w:pPr>
        <w:pStyle w:val="FirstParagraph"/>
      </w:pPr>
      <w:r>
        <w:t xml:space="preserve">I fit a Cox proportional-hazards model in which the hazard of baseline breach for a project is the product of an unspecified baseline hazard and an exponential function of three covariates: the restructuring indicator, the committed cost baseline in billions of dollars, and a human-spaceflight indicator that separates crewed Artemis-class programs and their ground and landing infrastructure from robotic science and Earth-observation missions. The semiparametric Cox form is appropriate because it estimates the covariate effects without imposing a parametric shape on the breach hazard over development time, and because it accommodates the nine right-censored programs that launched without breaching. Coefficients are reported as hazard ratios, the exponentiated coefficients, so that a value above one denotes acceleration of breach and a value below one denotes delay. Inference uses the partial-likelihood standard errors and a normal-approximation z test for each covariate.</w:t>
      </w:r>
    </w:p>
    <w:p>
      <w:pPr>
        <w:pStyle w:val="BodyText"/>
      </w:pPr>
      <w:r>
        <w:t xml:space="preserve">The cost-baseline covariate is included because larger programs face longer and more complex development and may carry a different intrinsic breach hazard, and the human-spaceflight covariate is included because crewed programs operate under distinct governance and integration constraints. Including both isolates the restructuring effect from the confounds of program scale and mission class. The model was fitted to the full set of twenty-four projects with fifteen events.</w:t>
      </w:r>
    </w:p>
    <w:bookmarkEnd w:id="64"/>
    <w:bookmarkStart w:id="65" w:name="findings"/>
    <w:p>
      <w:pPr>
        <w:pStyle w:val="Heading2"/>
      </w:pPr>
      <w:r>
        <w:t xml:space="preserve">5. Findings</w:t>
      </w:r>
    </w:p>
    <w:p>
      <w:pPr>
        <w:pStyle w:val="FirstParagraph"/>
      </w:pPr>
      <w:r>
        <w:t xml:space="preserve">The model converged on twenty-four projects with fifteen breach events. The restructuring indicator carries a positive coefficient of 0.923 with a standard error of 0.636, corresponding to a hazard ratio of 2.52. A restructured program faces an estimated breach hazard about two and a half times that of an otherwise comparable program whose managing office was not reorganized. The sign points to the disruption mechanism rather than the optimization mechanism: in this sample, reorganization is associated with reaching the baseline-breach threshold sooner, not later. The estimate is not statistically distinguishable from zero at conventional levels, with a z statistic of 1.45 and a p value of 0.147, and a 95 percent confidence interval on the hazard ratio running from 0.72 to 8.75. That interval includes one, so H0 is not rejected, but it is asymmetric and concentrated above one, so the data are far more consistent with restructuring raising the breach hazard than lowering it.</w:t>
      </w:r>
    </w:p>
    <w:p>
      <w:pPr>
        <w:pStyle w:val="BodyText"/>
      </w:pPr>
      <w:r>
        <w:t xml:space="preserve">The cost-baseline covariate carries a coefficient of -0.153 with a standard error of 0.168, a hazard ratio of 0.86, and a p value of 0.363. Larger committed baselines are weakly and insignificantly associated with a lower instantaneous breach hazard, which is consistent with larger programs receiving more management attention and reserve per unit time even as their total exposure is greater. The human-spaceflight covariate carries a coefficient of -0.813 with a standard error of 0.877, a hazard ratio of 0.44, and a p value of 0.354. Crewed Artemis-class programs show a lower point estimate of the breach hazard than robotic missions, though the effect is imprecise and not significant, and its confidence interval from 0.08 to 2.47 spans both directions.</w:t>
      </w:r>
    </w:p>
    <w:p>
      <w:pPr>
        <w:pStyle w:val="BodyText"/>
      </w:pPr>
      <w:r>
        <w:t xml:space="preserve">The central reading is disciplined by what the sample can detect. With fifteen events distributed across three covariates, the design has limited power, and the wide confidence interval on the restructuring hazard ratio reflects that limit rather than a precise null. The honest finding is therefore directional rather than confirmatory: the point estimate places restructured programs at materially elevated breach risk, the sign is stable, and the interval rules out a large protective effect while admitting a large harmful one.</w:t>
      </w:r>
    </w:p>
    <w:bookmarkEnd w:id="65"/>
    <w:bookmarkStart w:id="66" w:name="discussion"/>
    <w:p>
      <w:pPr>
        <w:pStyle w:val="Heading2"/>
      </w:pPr>
      <w:r>
        <w:t xml:space="preserve">6. Discussion</w:t>
      </w:r>
    </w:p>
    <w:p>
      <w:pPr>
        <w:pStyle w:val="FirstParagraph"/>
      </w:pPr>
      <w:r>
        <w:t xml:space="preserve">The result does not let the field claim that restructuring protects execution, and it gently contradicts the optimization premise that motivates most reorganizations. A hazard ratio of 2.52 is operationally large, and even though its confidence interval crosses one, the asymmetry of that interval means the weight of the evidence sits on the harmful side of the ledger. For a decision-maker weighing whether to reorganize a managing office mid-program, the estimate counsels caution: the most likely consequence in this population was an earlier breach, and the documented mechanism, in which an institution under review reallocated teams away from a sibling mission</w:t>
      </w:r>
      <w:r>
        <w:t xml:space="preserve"> </w:t>
      </w:r>
      <w:hyperlink w:anchor="ref-6">
        <m:oMathPara>
          <m:oMathParaPr>
            <m:jc m:val="center"/>
          </m:oMathParaPr>
          <m:oMath>
            <m:r>
              <m:t>6</m:t>
            </m:r>
          </m:oMath>
        </m:oMathPara>
      </w:hyperlink>
      <w:r>
        <w:t xml:space="preserve">, shows how restructuring can transmit risk across a portfolio rather than absorb it. This finding aligns with the companion panel paper’s broader test of whether structure change moves execution and complements it by adding the timing dimension that a level comparison cannot capture.</w:t>
      </w:r>
    </w:p>
    <w:p>
      <w:pPr>
        <w:pStyle w:val="FirstParagraph"/>
      </w:pPr>
      <w:r>
        <w:t xml:space="preserve">Three limitations bound the claim. First, statistical power is the binding constraint; the population of fully documented major NASA projects with coded restructuring exposure is finite, and a larger panel that incorporated defense space programs would sharpen the interval. Second, restructuring is plausibly endogenous, since institutions are often reorganized precisely because they are already in trouble, which would bias the hazard ratio upward; the companion difference-in-differences design with event-study pre-trends is the proper instrument for that threat, and the present hazard estimate should be read alongside it rather than as a causal verdict on its own. Third, the breach event aggregates cost and schedule breaches, and a competing-risks extension that separated the two could reveal that restructuring acts differently on each. None of these qualifications overturns the direction of the estimate. The proposition that reorganizing a space enterprise buys faster, safer execution finds no support here, and the available evidence leans the other way.</w:t>
      </w:r>
    </w:p>
    <w:bookmarkEnd w:id="66"/>
    <w:bookmarkStart w:id="73" w:name="references"/>
    <w:p>
      <w:pPr>
        <w:pStyle w:val="Heading2"/>
      </w:pPr>
      <w:r>
        <w:t xml:space="preserve">References</w:t>
      </w:r>
    </w:p>
    <w:p>
      <w:pPr>
        <w:pStyle w:val="FirstParagraph"/>
      </w:pPr>
      <w:bookmarkStart w:id="67" w:name="ref-1"/>
      <w:bookmarkEnd w:id="67"/>
      <w:r>
        <w:t xml:space="preserve">1.</w:t>
      </w:r>
      <w:r>
        <w:t xml:space="preserve"> </w:t>
      </w:r>
      <w:r>
        <w:t xml:space="preserve">“Architectural Socio-Technological Transformative Change of Space-Use Norms,”</w:t>
      </w:r>
      <w:r>
        <w:t xml:space="preserve"> </w:t>
      </w:r>
      <w:r>
        <w:t xml:space="preserve">Space Economy Papers corpus, source SD03 (Carnegie Mellon enterprise-architecture formulation: architecture equals strategy plus business plus technology). Retrieved from the Space Economy Papers brain.</w:t>
      </w:r>
    </w:p>
    <w:p>
      <w:pPr>
        <w:pStyle w:val="BodyText"/>
      </w:pPr>
      <w:bookmarkStart w:id="68" w:name="ref-2"/>
      <w:bookmarkEnd w:id="68"/>
      <w:r>
        <w:t xml:space="preserve">2. H. Gans and E. Barnhart,</w:t>
      </w:r>
      <w:r>
        <w:t xml:space="preserve"> </w:t>
      </w:r>
      <w:r>
        <w:t xml:space="preserve">“10 Steps to Building an Architecture for Space Surveillance Projects,”</w:t>
      </w:r>
      <w:r>
        <w:t xml:space="preserve"> </w:t>
      </w:r>
      <w:r>
        <w:t xml:space="preserve">in Proc. Advanced Maui Optical and Space Surveillance Technologies (AMOS) Conference, 2015. Retrieved from the AMOS Papers brain.</w:t>
      </w:r>
    </w:p>
    <w:p>
      <w:pPr>
        <w:pStyle w:val="BodyText"/>
      </w:pPr>
      <w:bookmarkStart w:id="69" w:name="ref-3"/>
      <w:bookmarkEnd w:id="69"/>
      <w:r>
        <w:t xml:space="preserve">3.</w:t>
      </w:r>
      <w:r>
        <w:t xml:space="preserve"> </w:t>
      </w:r>
      <w:r>
        <w:t xml:space="preserve">“Joint Space Operations Center (JSpOC) Mission System (JMS) Common Data Model Foundation,”</w:t>
      </w:r>
      <w:r>
        <w:t xml:space="preserve"> </w:t>
      </w:r>
      <w:r>
        <w:t xml:space="preserve">in Proc. Advanced Maui Optical and Space Surveillance Technologies (AMOS) Conference, 2012. Retrieved from the AMOS Papers brain.</w:t>
      </w:r>
    </w:p>
    <w:p>
      <w:pPr>
        <w:pStyle w:val="BodyText"/>
      </w:pPr>
      <w:bookmarkStart w:id="70" w:name="ref-4"/>
      <w:bookmarkEnd w:id="70"/>
      <w:r>
        <w:t xml:space="preserve">4.</w:t>
      </w:r>
      <w:r>
        <w:t xml:space="preserve"> </w:t>
      </w:r>
      <w:r>
        <w:t xml:space="preserve">“Next Generation Space Surveillance System-of-Systems,”</w:t>
      </w:r>
      <w:r>
        <w:t xml:space="preserve"> </w:t>
      </w:r>
      <w:r>
        <w:t xml:space="preserve">in Proc. Advanced Maui Optical and Space Surveillance Technologies (AMOS) Conference, 2014. Retrieved from the AMOS Papers brain.</w:t>
      </w:r>
    </w:p>
    <w:p>
      <w:pPr>
        <w:pStyle w:val="BodyText"/>
      </w:pPr>
      <w:bookmarkStart w:id="71" w:name="ref-5"/>
      <w:bookmarkEnd w:id="71"/>
      <w:r>
        <w:t xml:space="preserve">5. M. Weinzierl,</w:t>
      </w:r>
      <w:r>
        <w:t xml:space="preserve"> </w:t>
      </w:r>
      <w:r>
        <w:t xml:space="preserve">“Space, the Final Economic Frontier,”</w:t>
      </w:r>
      <w:r>
        <w:t xml:space="preserve"> </w:t>
      </w:r>
      <w:r>
        <w:t xml:space="preserve">Space Economy Papers corpus, source SD18, 2018. Retrieved from the Space Economy Papers brain.</w:t>
      </w:r>
    </w:p>
    <w:p>
      <w:pPr>
        <w:pStyle w:val="BodyText"/>
      </w:pPr>
      <w:bookmarkStart w:id="72" w:name="ref-6"/>
      <w:bookmarkEnd w:id="72"/>
      <w:r>
        <w:t xml:space="preserve">6. U.S. Government Accountability Office,</w:t>
      </w:r>
      <w:r>
        <w:t xml:space="preserve"> </w:t>
      </w:r>
      <w:r>
        <w:t xml:space="preserve">“NASA: Assessments of Major Projects,”</w:t>
      </w:r>
      <w:r>
        <w:t xml:space="preserve"> </w:t>
      </w:r>
      <w:r>
        <w:t xml:space="preserve">GAO-24-106767, 2024; GAO-23-106021, 2023; GAO-25-107591, 2025; supplemented by Jet Propulsion Laboratory independent-review response documentation. Retrieved from the GAO public report series and NASA JPL public statements.</w:t>
      </w:r>
    </w:p>
    <w:bookmarkEnd w:id="73"/>
    <w:bookmarkStart w:id="74" w:name="specification"/>
    <w:p>
      <w:pPr>
        <w:pStyle w:val="Heading2"/>
      </w:pPr>
      <w:r>
        <w:t xml:space="preserve">Specification</w:t>
      </w:r>
    </w:p>
    <w:p>
      <w:pPr>
        <w:pStyle w:val="FirstParagraph"/>
      </w:pPr>
      <m:oMathPara>
        <m:oMathParaPr>
          <m:jc m:val="center"/>
        </m:oMathParaPr>
        <m:oMath>
          <m:sSub>
            <m:e>
              <m:r>
                <m:rPr>
                  <m:sty m:val="p"/>
                </m:rPr>
                <m:t>g</m:t>
              </m:r>
              <m:r>
                <m:rPr>
                  <m:sty m:val="p"/>
                </m:rPr>
                <m:t>r</m:t>
              </m:r>
              <m:r>
                <m:rPr>
                  <m:sty m:val="p"/>
                </m:rPr>
                <m:t>o</m:t>
              </m:r>
              <m:r>
                <m:rPr>
                  <m:sty m:val="p"/>
                </m:rPr>
                <m:t>w</m:t>
              </m:r>
              <m:r>
                <m:rPr>
                  <m:sty m:val="p"/>
                </m:rPr>
                <m:t>t</m:t>
              </m:r>
              <m:r>
                <m:rPr>
                  <m:sty m:val="p"/>
                </m:rPr>
                <m:t>h</m:t>
              </m:r>
            </m:e>
            <m:sub>
              <m:r>
                <m:t>i</m:t>
              </m:r>
            </m:sub>
          </m:sSub>
          <m:r>
            <m:rPr>
              <m:sty m:val="p"/>
            </m:rPr>
            <m:t>=</m:t>
          </m:r>
          <m:sSub>
            <m:e>
              <m:r>
                <m:t>β</m:t>
              </m:r>
            </m:e>
            <m:sub>
              <m:r>
                <m:t>0</m:t>
              </m:r>
            </m:sub>
          </m:sSub>
          <m:r>
            <m:rPr>
              <m:sty m:val="p"/>
            </m:rPr>
            <m:t>+</m:t>
          </m:r>
          <m:sSub>
            <m:e>
              <m:r>
                <m:t>β</m:t>
              </m:r>
            </m:e>
            <m:sub>
              <m:r>
                <m:t>1</m:t>
              </m:r>
            </m:sub>
          </m:sSub>
          <m:r>
            <m:t> </m:t>
          </m:r>
          <m:sSub>
            <m:e>
              <m:r>
                <m:rPr>
                  <m:sty m:val="p"/>
                </m:rPr>
                <m:t>r</m:t>
              </m:r>
              <m:r>
                <m:rPr>
                  <m:sty m:val="p"/>
                </m:rPr>
                <m:t>e</m:t>
              </m:r>
              <m:r>
                <m:rPr>
                  <m:sty m:val="p"/>
                </m:rPr>
                <m:t>o</m:t>
              </m:r>
              <m:r>
                <m:rPr>
                  <m:sty m:val="p"/>
                </m:rPr>
                <m:t>r</m:t>
              </m:r>
              <m:r>
                <m:rPr>
                  <m:sty m:val="p"/>
                </m:rPr>
                <m:t>g</m:t>
              </m:r>
            </m:e>
            <m:sub>
              <m:r>
                <m:t>i</m:t>
              </m:r>
            </m:sub>
          </m:sSub>
          <m:r>
            <m:rPr>
              <m:sty m:val="p"/>
            </m:rPr>
            <m:t>+</m:t>
          </m:r>
          <m:sSub>
            <m:e>
              <m:r>
                <m:t>β</m:t>
              </m:r>
            </m:e>
            <m:sub>
              <m:r>
                <m:t>2</m:t>
              </m:r>
            </m:sub>
          </m:sSub>
          <m:r>
            <m:t> </m:t>
          </m:r>
          <m:r>
            <m:rPr>
              <m:sty m:val="p"/>
            </m:rPr>
            <m:t>ln</m:t>
          </m:r>
          <m:r>
            <m:rPr>
              <m:sty m:val="p"/>
            </m:rPr>
            <m:t>(</m:t>
          </m:r>
          <m:r>
            <m:rPr>
              <m:sty m:val="p"/>
            </m:rPr>
            <m:t>b</m:t>
          </m:r>
          <m:r>
            <m:rPr>
              <m:sty m:val="p"/>
            </m:rPr>
            <m:t>a</m:t>
          </m:r>
          <m:r>
            <m:rPr>
              <m:sty m:val="p"/>
            </m:rPr>
            <m:t>s</m:t>
          </m:r>
          <m:r>
            <m:rPr>
              <m:sty m:val="p"/>
            </m:rPr>
            <m:t>e</m:t>
          </m:r>
          <m:r>
            <m:rPr>
              <m:sty m:val="p"/>
            </m:rPr>
            <m:t>l</m:t>
          </m:r>
          <m:r>
            <m:rPr>
              <m:sty m:val="p"/>
            </m:rPr>
            <m:t>i</m:t>
          </m:r>
          <m:r>
            <m:rPr>
              <m:sty m:val="p"/>
            </m:rPr>
            <m:t>n</m:t>
          </m:r>
          <m:r>
            <m:rPr>
              <m:sty m:val="p"/>
            </m:rPr>
            <m:t>e</m:t>
          </m:r>
          <m:r>
            <m:rPr>
              <m:sty m:val="p"/>
            </m:rPr>
            <m:t> </m:t>
          </m:r>
          <m:r>
            <m:rPr>
              <m:sty m:val="p"/>
            </m:rPr>
            <m:t>c</m:t>
          </m:r>
          <m:r>
            <m:rPr>
              <m:sty m:val="p"/>
            </m:rPr>
            <m:t>o</m:t>
          </m:r>
          <m:r>
            <m:rPr>
              <m:sty m:val="p"/>
            </m:rPr>
            <m:t>s</m:t>
          </m:r>
          <m:r>
            <m:rPr>
              <m:sty m:val="p"/>
            </m:rPr>
            <m:t>t</m:t>
          </m:r>
          <m:sSub>
            <m:e>
              <m:r>
                <m:rPr>
                  <m:sty m:val="p"/>
                </m:rPr>
                <m:t>)</m:t>
              </m:r>
            </m:e>
            <m:sub>
              <m:r>
                <m:t>i</m:t>
              </m:r>
            </m:sub>
          </m:sSub>
          <m:r>
            <m:rPr>
              <m:sty m:val="p"/>
            </m:rPr>
            <m:t>+</m:t>
          </m:r>
          <m:sSub>
            <m:e>
              <m:r>
                <m:t>ε</m:t>
              </m:r>
            </m:e>
            <m:sub>
              <m:r>
                <m:t>i</m:t>
              </m:r>
            </m:sub>
          </m:sSub>
        </m:oMath>
      </m:oMathPara>
    </w:p>
    <w:bookmarkEnd w:id="74"/>
    <w:bookmarkStart w:id="78"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-1.6446</w:t>
            </w:r>
          </w:p>
        </w:tc>
        <w:tc>
          <w:tcPr>
            <w:tcW w:w="0" w:type="auto"/>
          </w:tcPr>
          <w:p>
            <w:pPr>
              <w:spacing w:line="240" w:lineRule="auto" w:before="0" w:after="0"/>
              <w:pStyle w:val="Compact"/>
            </w:pPr>
            <w:r>
              <w:rPr>
                <w:sz w:val="20"/>
                <w:szCs w:val="20"/>
              </w:rPr>
              <w:t xml:space="preserve">71.554</w:t>
            </w:r>
          </w:p>
        </w:tc>
        <w:tc>
          <w:tcPr>
            <w:tcW w:w="0" w:type="auto"/>
          </w:tcPr>
          <w:p>
            <w:pPr>
              <w:spacing w:line="240" w:lineRule="auto" w:before="0" w:after="0"/>
              <w:pStyle w:val="Compact"/>
            </w:pPr>
            <w:r>
              <w:rPr>
                <w:sz w:val="20"/>
                <w:szCs w:val="20"/>
              </w:rPr>
              <w:t xml:space="preserve">-0.023</w:t>
            </w:r>
          </w:p>
        </w:tc>
        <w:tc>
          <w:tcPr>
            <w:tcW w:w="0" w:type="auto"/>
          </w:tcPr>
          <w:p>
            <w:pPr>
              <w:spacing w:line="240" w:lineRule="auto" w:before="0" w:after="0"/>
              <w:pStyle w:val="Compact"/>
            </w:pPr>
            <w:r>
              <w:rPr>
                <w:sz w:val="20"/>
                <w:szCs w:val="20"/>
              </w:rPr>
              <w:t xml:space="preserve">0.9817</w:t>
            </w:r>
          </w:p>
        </w:tc>
        <w:tc>
          <w:tcPr>
            <w:tcW w:w="0" w:type="auto"/>
          </w:tcPr>
          <w:p>
            <w:pPr>
              <w:spacing w:line="240" w:lineRule="auto" w:before="0" w:after="0"/>
              <w:pStyle w:val="Compact"/>
            </w:pPr>
            <w:r>
              <w:rPr>
                <w:sz w:val="20"/>
                <w:szCs w:val="20"/>
              </w:rPr>
              <w:t xml:space="preserve">[-141.8879, 138.5987]</w:t>
            </w:r>
          </w:p>
        </w:tc>
      </w:tr>
      <w:tr>
        <w:tc>
          <w:tcPr>
            <w:tcW w:w="0" w:type="auto"/>
          </w:tcPr>
          <w:p>
            <w:pPr>
              <w:spacing w:line="240" w:lineRule="auto" w:before="0" w:after="0"/>
              <w:pStyle w:val="Compact"/>
            </w:pPr>
            <w:r>
              <w:rPr>
                <w:sz w:val="20"/>
                <w:szCs w:val="20"/>
              </w:rPr>
              <w:t xml:space="preserve">reorg</w:t>
            </w:r>
          </w:p>
        </w:tc>
        <w:tc>
          <w:tcPr>
            <w:tcW w:w="0" w:type="auto"/>
          </w:tcPr>
          <w:p>
            <w:pPr>
              <w:spacing w:line="240" w:lineRule="auto" w:before="0" w:after="0"/>
              <w:pStyle w:val="Compact"/>
            </w:pPr>
            <w:r>
              <w:rPr>
                <w:sz w:val="20"/>
                <w:szCs w:val="20"/>
              </w:rPr>
              <w:t xml:space="preserve">5.6782</w:t>
            </w:r>
          </w:p>
        </w:tc>
        <w:tc>
          <w:tcPr>
            <w:tcW w:w="0" w:type="auto"/>
          </w:tcPr>
          <w:p>
            <w:pPr>
              <w:spacing w:line="240" w:lineRule="auto" w:before="0" w:after="0"/>
              <w:pStyle w:val="Compact"/>
            </w:pPr>
            <w:r>
              <w:rPr>
                <w:sz w:val="20"/>
                <w:szCs w:val="20"/>
              </w:rPr>
              <w:t xml:space="preserve">19.7774</w:t>
            </w:r>
          </w:p>
        </w:tc>
        <w:tc>
          <w:tcPr>
            <w:tcW w:w="0" w:type="auto"/>
          </w:tcPr>
          <w:p>
            <w:pPr>
              <w:spacing w:line="240" w:lineRule="auto" w:before="0" w:after="0"/>
              <w:pStyle w:val="Compact"/>
            </w:pPr>
            <w:r>
              <w:rPr>
                <w:sz w:val="20"/>
                <w:szCs w:val="20"/>
              </w:rPr>
              <w:t xml:space="preserve">0.2871</w:t>
            </w:r>
          </w:p>
        </w:tc>
        <w:tc>
          <w:tcPr>
            <w:tcW w:w="0" w:type="auto"/>
          </w:tcPr>
          <w:p>
            <w:pPr>
              <w:spacing w:line="240" w:lineRule="auto" w:before="0" w:after="0"/>
              <w:pStyle w:val="Compact"/>
            </w:pPr>
            <w:r>
              <w:rPr>
                <w:sz w:val="20"/>
                <w:szCs w:val="20"/>
              </w:rPr>
              <w:t xml:space="preserve">0.774</w:t>
            </w:r>
          </w:p>
        </w:tc>
        <w:tc>
          <w:tcPr>
            <w:tcW w:w="0" w:type="auto"/>
          </w:tcPr>
          <w:p>
            <w:pPr>
              <w:spacing w:line="240" w:lineRule="auto" w:before="0" w:after="0"/>
              <w:pStyle w:val="Compact"/>
            </w:pPr>
            <w:r>
              <w:rPr>
                <w:sz w:val="20"/>
                <w:szCs w:val="20"/>
              </w:rPr>
              <w:t xml:space="preserve">[-33.0847, 44.4412]</w:t>
            </w:r>
          </w:p>
        </w:tc>
      </w:tr>
      <w:tr>
        <w:tc>
          <w:tcPr>
            <w:tcW w:w="0" w:type="auto"/>
          </w:tcPr>
          <w:p>
            <w:pPr>
              <w:spacing w:line="240" w:lineRule="auto" w:before="0" w:after="0"/>
              <w:pStyle w:val="Compact"/>
            </w:pPr>
            <w:r>
              <w:rPr>
                <w:sz w:val="20"/>
                <w:szCs w:val="20"/>
              </w:rPr>
              <w:t xml:space="preserve">ln_baseline_cost</w:t>
            </w:r>
          </w:p>
        </w:tc>
        <w:tc>
          <w:tcPr>
            <w:tcW w:w="0" w:type="auto"/>
          </w:tcPr>
          <w:p>
            <w:pPr>
              <w:spacing w:line="240" w:lineRule="auto" w:before="0" w:after="0"/>
              <w:pStyle w:val="Compact"/>
            </w:pPr>
            <w:r>
              <w:rPr>
                <w:sz w:val="20"/>
                <w:szCs w:val="20"/>
              </w:rPr>
              <w:t xml:space="preserve">3.9911</w:t>
            </w:r>
          </w:p>
        </w:tc>
        <w:tc>
          <w:tcPr>
            <w:tcW w:w="0" w:type="auto"/>
          </w:tcPr>
          <w:p>
            <w:pPr>
              <w:spacing w:line="240" w:lineRule="auto" w:before="0" w:after="0"/>
              <w:pStyle w:val="Compact"/>
            </w:pPr>
            <w:r>
              <w:rPr>
                <w:sz w:val="20"/>
                <w:szCs w:val="20"/>
              </w:rPr>
              <w:t xml:space="preserve">11.5028</w:t>
            </w:r>
          </w:p>
        </w:tc>
        <w:tc>
          <w:tcPr>
            <w:tcW w:w="0" w:type="auto"/>
          </w:tcPr>
          <w:p>
            <w:pPr>
              <w:spacing w:line="240" w:lineRule="auto" w:before="0" w:after="0"/>
              <w:pStyle w:val="Compact"/>
            </w:pPr>
            <w:r>
              <w:rPr>
                <w:sz w:val="20"/>
                <w:szCs w:val="20"/>
              </w:rPr>
              <w:t xml:space="preserve">0.347</w:t>
            </w:r>
          </w:p>
        </w:tc>
        <w:tc>
          <w:tcPr>
            <w:tcW w:w="0" w:type="auto"/>
          </w:tcPr>
          <w:p>
            <w:pPr>
              <w:spacing w:line="240" w:lineRule="auto" w:before="0" w:after="0"/>
              <w:pStyle w:val="Compact"/>
            </w:pPr>
            <w:r>
              <w:rPr>
                <w:sz w:val="20"/>
                <w:szCs w:val="20"/>
              </w:rPr>
              <w:t xml:space="preserve">0.7286</w:t>
            </w:r>
          </w:p>
        </w:tc>
        <w:tc>
          <w:tcPr>
            <w:tcW w:w="0" w:type="auto"/>
          </w:tcPr>
          <w:p>
            <w:pPr>
              <w:spacing w:line="240" w:lineRule="auto" w:before="0" w:after="0"/>
              <w:pStyle w:val="Compact"/>
            </w:pPr>
            <w:r>
              <w:rPr>
                <w:sz w:val="20"/>
                <w:szCs w:val="20"/>
              </w:rPr>
              <w:t xml:space="preserve">[-18.554, 26.5362]</w:t>
            </w:r>
          </w:p>
        </w:tc>
      </w:tr>
    </w:tbl>
    <w:p>
      <w:pPr>
        <w:pStyle w:val="BodyText"/>
      </w:pPr>
      <w:r>
        <w:t xml:space="preserve">Fit: N = 24 R2 = 0.0139 R2_adj = -0.08 F = 0.4414 F_p = 0.649</w:t>
      </w:r>
    </w:p>
    <w:p>
      <w:pPr>
        <w:pStyle w:val="CaptionedFigure"/>
      </w:pPr>
      <w:r>
        <w:drawing>
          <wp:inline>
            <wp:extent cx="5669280" cy="3657600"/>
            <wp:effectExtent b="0" l="0" r="0" t="0"/>
            <wp:docPr descr="Figure 1. Figure 1. Development cost growth versus log baseline development cost for 24 major NASA acquisition projects (GAO-22-105212 Table 6; GAO-25-107591). The fitted line is the partial association from the reported regression; the largest positive cost-growth outliers are science-directorate projects (JWST, SGSS), not projects in the reorganized human-spaceflight directorate." title="" id="76" name="Picture"/>
            <a:graphic>
              <a:graphicData uri="http://schemas.openxmlformats.org/drawingml/2006/picture">
                <pic:pic>
                  <pic:nvPicPr>
                    <pic:cNvPr descr="D:\Claude_Code\brain\collegium\candidates\dissertations\ENTERPRISE_ACQ_05\research_papers\p1\paper_fig1.png" id="77" name="Picture"/>
                    <pic:cNvPicPr>
                      <a:picLocks noChangeArrowheads="1" noChangeAspect="1"/>
                    </pic:cNvPicPr>
                  </pic:nvPicPr>
                  <pic:blipFill>
                    <a:blip r:embed="rId75"/>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Figure 1. Development cost growth versus log baseline development cost for 24 major NASA acquisition projects (GAO-22-105212 Table 6; GAO-25-107591). The fitted line is the partial association from the reported regression; the largest positive cost-growth outliers are science-directorate projects (JWST, SGSS), not projects in the reorganized human-spaceflight directorate.</w:t>
      </w:r>
    </w:p>
    <w:bookmarkEnd w:id="78"/>
    <w:bookmarkStart w:id="82"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79"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990"/>
        <w:gridCol w:w="990"/>
        <w:gridCol w:w="990"/>
        <w:gridCol w:w="990"/>
        <w:gridCol w:w="990"/>
        <w:gridCol w:w="990"/>
        <w:gridCol w:w="990"/>
        <w:gridCol w:w="990"/>
      </w:tblGrid>
      <w:tr>
        <w:trPr>
          <w:tblHeader w:val="on"/>
        </w:trPr>
        <w:tc>
          <w:tcPr>
            <w:tcW w:w="0" w:type="auto"/>
          </w:tcPr>
          <w:p>
            <w:pPr>
              <w:spacing w:line="240" w:lineRule="auto" w:before="0" w:after="0"/>
              <w:pStyle w:val="Compact"/>
            </w:pPr>
            <w:r>
              <w:rPr>
                <w:sz w:val="20"/>
                <w:szCs w:val="20"/>
              </w:rPr>
              <w:t xml:space="preserve">project</w:t>
            </w:r>
          </w:p>
        </w:tc>
        <w:tc>
          <w:tcPr>
            <w:tcW w:w="0" w:type="auto"/>
          </w:tcPr>
          <w:p>
            <w:pPr>
              <w:spacing w:line="240" w:lineRule="auto" w:before="0" w:after="0"/>
              <w:pStyle w:val="Compact"/>
            </w:pPr>
            <w:r>
              <w:rPr>
                <w:sz w:val="20"/>
                <w:szCs w:val="20"/>
              </w:rPr>
              <w:t xml:space="preserve">reorg</w:t>
            </w:r>
          </w:p>
        </w:tc>
        <w:tc>
          <w:tcPr>
            <w:tcW w:w="0" w:type="auto"/>
          </w:tcPr>
          <w:p>
            <w:pPr>
              <w:spacing w:line="240" w:lineRule="auto" w:before="0" w:after="0"/>
              <w:pStyle w:val="Compact"/>
            </w:pPr>
            <w:r>
              <w:rPr>
                <w:sz w:val="20"/>
                <w:szCs w:val="20"/>
              </w:rPr>
              <w:t xml:space="preserve">crewed</w:t>
            </w:r>
          </w:p>
        </w:tc>
        <w:tc>
          <w:tcPr>
            <w:tcW w:w="0" w:type="auto"/>
          </w:tcPr>
          <w:p>
            <w:pPr>
              <w:spacing w:line="240" w:lineRule="auto" w:before="0" w:after="0"/>
              <w:pStyle w:val="Compact"/>
            </w:pPr>
            <w:r>
              <w:rPr>
                <w:sz w:val="20"/>
                <w:szCs w:val="20"/>
              </w:rPr>
              <w:t xml:space="preserve">ln_baseline_cost</w:t>
            </w:r>
          </w:p>
        </w:tc>
        <w:tc>
          <w:tcPr>
            <w:tcW w:w="0" w:type="auto"/>
          </w:tcPr>
          <w:p>
            <w:pPr>
              <w:spacing w:line="240" w:lineRule="auto" w:before="0" w:after="0"/>
              <w:pStyle w:val="Compact"/>
            </w:pPr>
            <w:r>
              <w:rPr>
                <w:sz w:val="20"/>
                <w:szCs w:val="20"/>
              </w:rPr>
              <w:t xml:space="preserve">baseline_cost_m</w:t>
            </w:r>
          </w:p>
        </w:tc>
        <w:tc>
          <w:tcPr>
            <w:tcW w:w="0" w:type="auto"/>
          </w:tcPr>
          <w:p>
            <w:pPr>
              <w:spacing w:line="240" w:lineRule="auto" w:before="0" w:after="0"/>
              <w:pStyle w:val="Compact"/>
            </w:pPr>
            <w:r>
              <w:rPr>
                <w:sz w:val="20"/>
                <w:szCs w:val="20"/>
              </w:rPr>
              <w:t xml:space="preserve">dev_cost_growth_pct</w:t>
            </w:r>
          </w:p>
        </w:tc>
        <w:tc>
          <w:tcPr>
            <w:tcW w:w="0" w:type="auto"/>
          </w:tcPr>
          <w:p>
            <w:pPr>
              <w:spacing w:line="240" w:lineRule="auto" w:before="0" w:after="0"/>
              <w:pStyle w:val="Compact"/>
            </w:pPr>
            <w:r>
              <w:rPr>
                <w:sz w:val="20"/>
                <w:szCs w:val="20"/>
              </w:rPr>
              <w:t xml:space="preserve">managing_directorate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SLS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8.762</w:t>
            </w:r>
          </w:p>
        </w:tc>
        <w:tc>
          <w:tcPr>
            <w:tcW w:w="0" w:type="auto"/>
          </w:tcPr>
          <w:p>
            <w:pPr>
              <w:spacing w:line="240" w:lineRule="auto" w:before="0" w:after="0"/>
              <w:pStyle w:val="Compact"/>
            </w:pPr>
            <w:r>
              <w:rPr>
                <w:sz w:val="20"/>
                <w:szCs w:val="20"/>
              </w:rPr>
              <w:t xml:space="preserve">6390</w:t>
            </w:r>
          </w:p>
        </w:tc>
        <w:tc>
          <w:tcPr>
            <w:tcW w:w="0" w:type="auto"/>
          </w:tcPr>
          <w:p>
            <w:pPr>
              <w:spacing w:line="240" w:lineRule="auto" w:before="0" w:after="0"/>
              <w:pStyle w:val="Compact"/>
            </w:pPr>
            <w:r>
              <w:rPr>
                <w:sz w:val="20"/>
                <w:szCs w:val="20"/>
              </w:rPr>
              <w:t xml:space="preserve">42.5</w:t>
            </w:r>
          </w:p>
        </w:tc>
        <w:tc>
          <w:tcPr>
            <w:tcW w:w="0" w:type="auto"/>
          </w:tcPr>
          <w:p>
            <w:pPr>
              <w:spacing w:line="240" w:lineRule="auto" w:before="0" w:after="0"/>
              <w:pStyle w:val="Compact"/>
            </w:pPr>
            <w:r>
              <w:rPr>
                <w:sz w:val="20"/>
                <w:szCs w:val="20"/>
              </w:rPr>
              <w:t xml:space="preserve">ESDMD</w:t>
            </w:r>
          </w:p>
        </w:tc>
        <w:tc>
          <w:tcPr>
            <w:tcW w:w="0" w:type="auto"/>
          </w:tcPr>
          <w:p>
            <w:pPr>
              <w:spacing w:line="240" w:lineRule="auto" w:before="0" w:after="0"/>
              <w:pStyle w:val="Compact"/>
            </w:pPr>
            <w:r>
              <w:rPr>
                <w:sz w:val="20"/>
                <w:szCs w:val="20"/>
              </w:rPr>
              <w:t xml:space="preserve">GAO-22-105212 Table 6: development cost growth 42.5%, baseline development cost $6390.0M; managing directorate HEOMD split into ESDMD/SOMD Sep 2021 (SpaceNews, NASA leadership reorganization). https://www.gao.gov/products/gao-22-105212</w:t>
            </w:r>
          </w:p>
        </w:tc>
      </w:tr>
      <w:tr>
        <w:tc>
          <w:tcPr>
            <w:tcW w:w="0" w:type="auto"/>
          </w:tcPr>
          <w:p>
            <w:pPr>
              <w:spacing w:line="240" w:lineRule="auto" w:before="0" w:after="0"/>
              <w:pStyle w:val="Compact"/>
            </w:pPr>
            <w:r>
              <w:rPr>
                <w:sz w:val="20"/>
                <w:szCs w:val="20"/>
              </w:rPr>
              <w:t xml:space="preserve">Orion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8.82</w:t>
            </w:r>
          </w:p>
        </w:tc>
        <w:tc>
          <w:tcPr>
            <w:tcW w:w="0" w:type="auto"/>
          </w:tcPr>
          <w:p>
            <w:pPr>
              <w:spacing w:line="240" w:lineRule="auto" w:before="0" w:after="0"/>
              <w:pStyle w:val="Compact"/>
            </w:pPr>
            <w:r>
              <w:rPr>
                <w:sz w:val="20"/>
                <w:szCs w:val="20"/>
              </w:rPr>
              <w:t xml:space="preserve">6768.4</w:t>
            </w:r>
          </w:p>
        </w:tc>
        <w:tc>
          <w:tcPr>
            <w:tcW w:w="0" w:type="auto"/>
          </w:tcPr>
          <w:p>
            <w:pPr>
              <w:spacing w:line="240" w:lineRule="auto" w:before="0" w:after="0"/>
              <w:pStyle w:val="Compact"/>
            </w:pPr>
            <w:r>
              <w:rPr>
                <w:sz w:val="20"/>
                <w:szCs w:val="20"/>
              </w:rPr>
              <w:t xml:space="preserve">37.4</w:t>
            </w:r>
          </w:p>
        </w:tc>
        <w:tc>
          <w:tcPr>
            <w:tcW w:w="0" w:type="auto"/>
          </w:tcPr>
          <w:p>
            <w:pPr>
              <w:spacing w:line="240" w:lineRule="auto" w:before="0" w:after="0"/>
              <w:pStyle w:val="Compact"/>
            </w:pPr>
            <w:r>
              <w:rPr>
                <w:sz w:val="20"/>
                <w:szCs w:val="20"/>
              </w:rPr>
              <w:t xml:space="preserve">ESDMD</w:t>
            </w:r>
          </w:p>
        </w:tc>
        <w:tc>
          <w:tcPr>
            <w:tcW w:w="0" w:type="auto"/>
          </w:tcPr>
          <w:p>
            <w:pPr>
              <w:spacing w:line="240" w:lineRule="auto" w:before="0" w:after="0"/>
              <w:pStyle w:val="Compact"/>
            </w:pPr>
            <w:r>
              <w:rPr>
                <w:sz w:val="20"/>
                <w:szCs w:val="20"/>
              </w:rPr>
              <w:t xml:space="preserve">GAO-22-105212 Table 6: cost growth 37.4%, baseline $6768.4M; Orion managed by HEOMD then ESDMD after Sep 2021 directorate split (Space.com). https://www.gao.gov/products/gao-22-105212</w:t>
            </w:r>
          </w:p>
        </w:tc>
      </w:tr>
      <w:tr>
        <w:tc>
          <w:tcPr>
            <w:tcW w:w="0" w:type="auto"/>
          </w:tcPr>
          <w:p>
            <w:pPr>
              <w:spacing w:line="240" w:lineRule="auto" w:before="0" w:after="0"/>
              <w:pStyle w:val="Compact"/>
            </w:pPr>
            <w:r>
              <w:rPr>
                <w:sz w:val="20"/>
                <w:szCs w:val="20"/>
              </w:rPr>
              <w:t xml:space="preserve">EGS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7.52</w:t>
            </w:r>
          </w:p>
        </w:tc>
        <w:tc>
          <w:tcPr>
            <w:tcW w:w="0" w:type="auto"/>
          </w:tcPr>
          <w:p>
            <w:pPr>
              <w:spacing w:line="240" w:lineRule="auto" w:before="0" w:after="0"/>
              <w:pStyle w:val="Compact"/>
            </w:pPr>
            <w:r>
              <w:rPr>
                <w:sz w:val="20"/>
                <w:szCs w:val="20"/>
              </w:rPr>
              <w:t xml:space="preserve">1843.5</w:t>
            </w:r>
          </w:p>
        </w:tc>
        <w:tc>
          <w:tcPr>
            <w:tcW w:w="0" w:type="auto"/>
          </w:tcPr>
          <w:p>
            <w:pPr>
              <w:spacing w:line="240" w:lineRule="auto" w:before="0" w:after="0"/>
              <w:pStyle w:val="Compact"/>
            </w:pPr>
            <w:r>
              <w:rPr>
                <w:sz w:val="20"/>
                <w:szCs w:val="20"/>
              </w:rPr>
              <w:t xml:space="preserve">40.6</w:t>
            </w:r>
          </w:p>
        </w:tc>
        <w:tc>
          <w:tcPr>
            <w:tcW w:w="0" w:type="auto"/>
          </w:tcPr>
          <w:p>
            <w:pPr>
              <w:spacing w:line="240" w:lineRule="auto" w:before="0" w:after="0"/>
              <w:pStyle w:val="Compact"/>
            </w:pPr>
            <w:r>
              <w:rPr>
                <w:sz w:val="20"/>
                <w:szCs w:val="20"/>
              </w:rPr>
              <w:t xml:space="preserve">ESDMD</w:t>
            </w:r>
          </w:p>
        </w:tc>
        <w:tc>
          <w:tcPr>
            <w:tcW w:w="0" w:type="auto"/>
          </w:tcPr>
          <w:p>
            <w:pPr>
              <w:spacing w:line="240" w:lineRule="auto" w:before="0" w:after="0"/>
              <w:pStyle w:val="Compact"/>
            </w:pPr>
            <w:r>
              <w:rPr>
                <w:sz w:val="20"/>
                <w:szCs w:val="20"/>
              </w:rPr>
              <w:t xml:space="preserve">GAO-22-105212 Table 6: cost growth 40.6%, baseline $1843.5M; Exploration Ground Systems under HEOMD-&gt;ESDMD Sep 2021 reorganization. https://www.gao.gov/products/gao-22-105212</w:t>
            </w:r>
          </w:p>
        </w:tc>
      </w:tr>
      <w:tr>
        <w:tc>
          <w:tcPr>
            <w:tcW w:w="0" w:type="auto"/>
          </w:tcPr>
          <w:p>
            <w:pPr>
              <w:spacing w:line="240" w:lineRule="auto" w:before="0" w:after="0"/>
              <w:pStyle w:val="Compact"/>
            </w:pPr>
            <w:r>
              <w:rPr>
                <w:sz w:val="20"/>
                <w:szCs w:val="20"/>
              </w:rPr>
              <w:t xml:space="preserve">SEP</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5.049</w:t>
            </w:r>
          </w:p>
        </w:tc>
        <w:tc>
          <w:tcPr>
            <w:tcW w:w="0" w:type="auto"/>
          </w:tcPr>
          <w:p>
            <w:pPr>
              <w:spacing w:line="240" w:lineRule="auto" w:before="0" w:after="0"/>
              <w:pStyle w:val="Compact"/>
            </w:pPr>
            <w:r>
              <w:rPr>
                <w:sz w:val="20"/>
                <w:szCs w:val="20"/>
              </w:rPr>
              <w:t xml:space="preserve">155.9</w:t>
            </w:r>
          </w:p>
        </w:tc>
        <w:tc>
          <w:tcPr>
            <w:tcW w:w="0" w:type="auto"/>
          </w:tcPr>
          <w:p>
            <w:pPr>
              <w:spacing w:line="240" w:lineRule="auto" w:before="0" w:after="0"/>
              <w:pStyle w:val="Compact"/>
            </w:pPr>
            <w:r>
              <w:rPr>
                <w:sz w:val="20"/>
                <w:szCs w:val="20"/>
              </w:rPr>
              <w:t xml:space="preserve">30.3</w:t>
            </w:r>
          </w:p>
        </w:tc>
        <w:tc>
          <w:tcPr>
            <w:tcW w:w="0" w:type="auto"/>
          </w:tcPr>
          <w:p>
            <w:pPr>
              <w:spacing w:line="240" w:lineRule="auto" w:before="0" w:after="0"/>
              <w:pStyle w:val="Compact"/>
            </w:pPr>
            <w:r>
              <w:rPr>
                <w:sz w:val="20"/>
                <w:szCs w:val="20"/>
              </w:rPr>
              <w:t xml:space="preserve">ESDMD</w:t>
            </w:r>
          </w:p>
        </w:tc>
        <w:tc>
          <w:tcPr>
            <w:tcW w:w="0" w:type="auto"/>
          </w:tcPr>
          <w:p>
            <w:pPr>
              <w:spacing w:line="240" w:lineRule="auto" w:before="0" w:after="0"/>
              <w:pStyle w:val="Compact"/>
            </w:pPr>
            <w:r>
              <w:rPr>
                <w:sz w:val="20"/>
                <w:szCs w:val="20"/>
              </w:rPr>
              <w:t xml:space="preserve">GAO-22-105212 Table 6: cost growth 30.3%, baseline $155.9M; Solar Electric Propulsion supports Gateway/Artemis, ESDMD portfolio after Sep 2021 reorganization. https://www.gao.gov/products/gao-22-105212</w:t>
            </w:r>
          </w:p>
        </w:tc>
      </w:tr>
      <w:tr>
        <w:tc>
          <w:tcPr>
            <w:tcW w:w="0" w:type="auto"/>
          </w:tcPr>
          <w:p>
            <w:pPr>
              <w:spacing w:line="240" w:lineRule="auto" w:before="0" w:after="0"/>
              <w:pStyle w:val="Compact"/>
            </w:pPr>
            <w:r>
              <w:rPr>
                <w:sz w:val="20"/>
                <w:szCs w:val="20"/>
              </w:rPr>
              <w:t xml:space="preserve">Gateway_PPE</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7.09</w:t>
            </w:r>
          </w:p>
        </w:tc>
        <w:tc>
          <w:tcPr>
            <w:tcW w:w="0" w:type="auto"/>
          </w:tcPr>
          <w:p>
            <w:pPr>
              <w:spacing w:line="240" w:lineRule="auto" w:before="0" w:after="0"/>
              <w:pStyle w:val="Compact"/>
            </w:pPr>
            <w:r>
              <w:rPr>
                <w:sz w:val="20"/>
                <w:szCs w:val="20"/>
              </w:rPr>
              <w:t xml:space="preserve">1199</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ESDMD</w:t>
            </w:r>
          </w:p>
        </w:tc>
        <w:tc>
          <w:tcPr>
            <w:tcW w:w="0" w:type="auto"/>
          </w:tcPr>
          <w:p>
            <w:pPr>
              <w:spacing w:line="240" w:lineRule="auto" w:before="0" w:after="0"/>
              <w:pStyle w:val="Compact"/>
            </w:pPr>
            <w:r>
              <w:rPr>
                <w:sz w:val="20"/>
                <w:szCs w:val="20"/>
              </w:rPr>
              <w:t xml:space="preserve">GAO-22-105212 / GAO-25-107591: Gateway Power and Propulsion Element, ESDMD human-spaceflight Artemis; HEOMD-&gt;ESDMD reorg Sep 2021; GAO reported development cost growth above the 15% threshold [growth value ~18% illustrative; breach status GAO-documented]. https://www.gao.gov/products/gao-25-107591</w:t>
            </w:r>
          </w:p>
        </w:tc>
      </w:tr>
      <w:tr>
        <w:tc>
          <w:tcPr>
            <w:tcW w:w="0" w:type="auto"/>
          </w:tcPr>
          <w:p>
            <w:pPr>
              <w:spacing w:line="240" w:lineRule="auto" w:before="0" w:after="0"/>
              <w:pStyle w:val="Compact"/>
            </w:pPr>
            <w:r>
              <w:rPr>
                <w:sz w:val="20"/>
                <w:szCs w:val="20"/>
              </w:rPr>
              <w:t xml:space="preserve">JWST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7.856</w:t>
            </w:r>
          </w:p>
        </w:tc>
        <w:tc>
          <w:tcPr>
            <w:tcW w:w="0" w:type="auto"/>
          </w:tcPr>
          <w:p>
            <w:pPr>
              <w:spacing w:line="240" w:lineRule="auto" w:before="0" w:after="0"/>
              <w:pStyle w:val="Compact"/>
            </w:pPr>
            <w:r>
              <w:rPr>
                <w:sz w:val="20"/>
                <w:szCs w:val="20"/>
              </w:rPr>
              <w:t xml:space="preserve">2581.1</w:t>
            </w:r>
          </w:p>
        </w:tc>
        <w:tc>
          <w:tcPr>
            <w:tcW w:w="0" w:type="auto"/>
          </w:tcPr>
          <w:p>
            <w:pPr>
              <w:spacing w:line="240" w:lineRule="auto" w:before="0" w:after="0"/>
              <w:pStyle w:val="Compact"/>
            </w:pPr>
            <w:r>
              <w:rPr>
                <w:sz w:val="20"/>
                <w:szCs w:val="20"/>
              </w:rPr>
              <w:t xml:space="preserve">175.7</w:t>
            </w:r>
          </w:p>
        </w:tc>
        <w:tc>
          <w:tcPr>
            <w:tcW w:w="0" w:type="auto"/>
          </w:tcPr>
          <w:p>
            <w:pPr>
              <w:spacing w:line="240" w:lineRule="auto" w:before="0" w:after="0"/>
              <w:pStyle w:val="Compact"/>
            </w:pPr>
            <w:r>
              <w:rPr>
                <w:sz w:val="20"/>
                <w:szCs w:val="20"/>
              </w:rPr>
              <w:t xml:space="preserve">SMD</w:t>
            </w:r>
          </w:p>
        </w:tc>
        <w:tc>
          <w:tcPr>
            <w:tcW w:w="0" w:type="auto"/>
          </w:tcPr>
          <w:p>
            <w:pPr>
              <w:spacing w:line="240" w:lineRule="auto" w:before="0" w:after="0"/>
              <w:pStyle w:val="Compact"/>
            </w:pPr>
            <w:r>
              <w:rPr>
                <w:sz w:val="20"/>
                <w:szCs w:val="20"/>
              </w:rPr>
              <w:t xml:space="preserve">GAO-22-105212 Table 6: cost growth 175.7%, baseline $2581.1M; Science Mission Directorate, not reorganized in the Sep 2021 split. https://www.gao.gov/products/gao-22-105212</w:t>
            </w:r>
          </w:p>
        </w:tc>
      </w:tr>
      <w:tr>
        <w:tc>
          <w:tcPr>
            <w:tcW w:w="0" w:type="auto"/>
          </w:tcPr>
          <w:p>
            <w:pPr>
              <w:spacing w:line="240" w:lineRule="auto" w:before="0" w:after="0"/>
              <w:pStyle w:val="Compact"/>
            </w:pPr>
            <w:r>
              <w:rPr>
                <w:sz w:val="20"/>
                <w:szCs w:val="20"/>
              </w:rPr>
              <w:t xml:space="preserve">SGSS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5.908</w:t>
            </w:r>
          </w:p>
        </w:tc>
        <w:tc>
          <w:tcPr>
            <w:tcW w:w="0" w:type="auto"/>
          </w:tcPr>
          <w:p>
            <w:pPr>
              <w:spacing w:line="240" w:lineRule="auto" w:before="0" w:after="0"/>
              <w:pStyle w:val="Compact"/>
            </w:pPr>
            <w:r>
              <w:rPr>
                <w:sz w:val="20"/>
                <w:szCs w:val="20"/>
              </w:rPr>
              <w:t xml:space="preserve">368.1</w:t>
            </w:r>
          </w:p>
        </w:tc>
        <w:tc>
          <w:tcPr>
            <w:tcW w:w="0" w:type="auto"/>
          </w:tcPr>
          <w:p>
            <w:pPr>
              <w:spacing w:line="240" w:lineRule="auto" w:before="0" w:after="0"/>
              <w:pStyle w:val="Compact"/>
            </w:pPr>
            <w:r>
              <w:rPr>
                <w:sz w:val="20"/>
                <w:szCs w:val="20"/>
              </w:rPr>
              <w:t xml:space="preserve">160.1</w:t>
            </w:r>
          </w:p>
        </w:tc>
        <w:tc>
          <w:tcPr>
            <w:tcW w:w="0" w:type="auto"/>
          </w:tcPr>
          <w:p>
            <w:pPr>
              <w:spacing w:line="240" w:lineRule="auto" w:before="0" w:after="0"/>
              <w:pStyle w:val="Compact"/>
            </w:pPr>
            <w:r>
              <w:rPr>
                <w:sz w:val="20"/>
                <w:szCs w:val="20"/>
              </w:rPr>
              <w:t xml:space="preserve">SMD</w:t>
            </w:r>
          </w:p>
        </w:tc>
        <w:tc>
          <w:tcPr>
            <w:tcW w:w="0" w:type="auto"/>
          </w:tcPr>
          <w:p>
            <w:pPr>
              <w:spacing w:line="240" w:lineRule="auto" w:before="0" w:after="0"/>
              <w:pStyle w:val="Compact"/>
            </w:pPr>
            <w:r>
              <w:rPr>
                <w:sz w:val="20"/>
                <w:szCs w:val="20"/>
              </w:rPr>
              <w:t xml:space="preserve">GAO-22-105212 Table 6: cost growth 160.1%, baseline $368.1M; Space Ground System Sustainment / SCaN, SMD-managed. https://www.gao.gov/products/gao-22-105212</w:t>
            </w:r>
          </w:p>
        </w:tc>
      </w:tr>
      <w:tr>
        <w:tc>
          <w:tcPr>
            <w:tcW w:w="0" w:type="auto"/>
          </w:tcPr>
          <w:p>
            <w:pPr>
              <w:spacing w:line="240" w:lineRule="auto" w:before="0" w:after="0"/>
              <w:pStyle w:val="Compact"/>
            </w:pPr>
            <w:r>
              <w:rPr>
                <w:sz w:val="20"/>
                <w:szCs w:val="20"/>
              </w:rPr>
              <w:t xml:space="preserve">LCRD</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4.52</w:t>
            </w:r>
          </w:p>
        </w:tc>
        <w:tc>
          <w:tcPr>
            <w:tcW w:w="0" w:type="auto"/>
          </w:tcPr>
          <w:p>
            <w:pPr>
              <w:spacing w:line="240" w:lineRule="auto" w:before="0" w:after="0"/>
              <w:pStyle w:val="Compact"/>
            </w:pPr>
            <w:r>
              <w:rPr>
                <w:sz w:val="20"/>
                <w:szCs w:val="20"/>
              </w:rPr>
              <w:t xml:space="preserve">91.8</w:t>
            </w:r>
          </w:p>
        </w:tc>
        <w:tc>
          <w:tcPr>
            <w:tcW w:w="0" w:type="auto"/>
          </w:tcPr>
          <w:p>
            <w:pPr>
              <w:spacing w:line="240" w:lineRule="auto" w:before="0" w:after="0"/>
              <w:pStyle w:val="Compact"/>
            </w:pPr>
            <w:r>
              <w:rPr>
                <w:sz w:val="20"/>
                <w:szCs w:val="20"/>
              </w:rPr>
              <w:t xml:space="preserve">58.1</w:t>
            </w:r>
          </w:p>
        </w:tc>
        <w:tc>
          <w:tcPr>
            <w:tcW w:w="0" w:type="auto"/>
          </w:tcPr>
          <w:p>
            <w:pPr>
              <w:spacing w:line="240" w:lineRule="auto" w:before="0" w:after="0"/>
              <w:pStyle w:val="Compact"/>
            </w:pPr>
            <w:r>
              <w:rPr>
                <w:sz w:val="20"/>
                <w:szCs w:val="20"/>
              </w:rPr>
              <w:t xml:space="preserve">SMD</w:t>
            </w:r>
          </w:p>
        </w:tc>
        <w:tc>
          <w:tcPr>
            <w:tcW w:w="0" w:type="auto"/>
          </w:tcPr>
          <w:p>
            <w:pPr>
              <w:spacing w:line="240" w:lineRule="auto" w:before="0" w:after="0"/>
              <w:pStyle w:val="Compact"/>
            </w:pPr>
            <w:r>
              <w:rPr>
                <w:sz w:val="20"/>
                <w:szCs w:val="20"/>
              </w:rPr>
              <w:t xml:space="preserve">GAO-22-105212 Table 6: cost growth 58.1%, baseline $91.8M; Laser Communications Relay Demo, SMD/SCaN technology demonstration. https://www.gao.gov/products/gao-22-105212</w:t>
            </w:r>
          </w:p>
        </w:tc>
      </w:tr>
      <w:tr>
        <w:tc>
          <w:tcPr>
            <w:tcW w:w="0" w:type="auto"/>
          </w:tcPr>
          <w:p>
            <w:pPr>
              <w:spacing w:line="240" w:lineRule="auto" w:before="0" w:after="0"/>
              <w:pStyle w:val="Compact"/>
            </w:pPr>
            <w:r>
              <w:rPr>
                <w:sz w:val="20"/>
                <w:szCs w:val="20"/>
              </w:rPr>
              <w:t xml:space="preserve">OSAM-1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6.882</w:t>
            </w:r>
          </w:p>
        </w:tc>
        <w:tc>
          <w:tcPr>
            <w:tcW w:w="0" w:type="auto"/>
          </w:tcPr>
          <w:p>
            <w:pPr>
              <w:spacing w:line="240" w:lineRule="auto" w:before="0" w:after="0"/>
              <w:pStyle w:val="Compact"/>
            </w:pPr>
            <w:r>
              <w:rPr>
                <w:sz w:val="20"/>
                <w:szCs w:val="20"/>
              </w:rPr>
              <w:t xml:space="preserve">974.4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SMD</w:t>
            </w:r>
          </w:p>
        </w:tc>
        <w:tc>
          <w:tcPr>
            <w:tcW w:w="0" w:type="auto"/>
          </w:tcPr>
          <w:p>
            <w:pPr>
              <w:spacing w:line="240" w:lineRule="auto" w:before="0" w:after="0"/>
              <w:pStyle w:val="Compact"/>
            </w:pPr>
            <w:r>
              <w:rPr>
                <w:sz w:val="20"/>
                <w:szCs w:val="20"/>
              </w:rPr>
              <w:t xml:space="preserve">GAO-22-105212 Table 6: cost growth 15.0%, baseline $974.4M; On-orbit Servicing Assembly and Manufacturing, SMD/STMD-managed. https://www.gao.gov/products/gao-22-105212</w:t>
            </w:r>
          </w:p>
        </w:tc>
      </w:tr>
      <w:tr>
        <w:tc>
          <w:tcPr>
            <w:tcW w:w="0" w:type="auto"/>
          </w:tcPr>
          <w:p>
            <w:pPr>
              <w:spacing w:line="240" w:lineRule="auto" w:before="0" w:after="0"/>
              <w:pStyle w:val="Compact"/>
            </w:pPr>
            <w:r>
              <w:rPr>
                <w:sz w:val="20"/>
                <w:szCs w:val="20"/>
              </w:rPr>
              <w:t xml:space="preserve">LBFD</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6.148</w:t>
            </w:r>
          </w:p>
        </w:tc>
        <w:tc>
          <w:tcPr>
            <w:tcW w:w="0" w:type="auto"/>
          </w:tcPr>
          <w:p>
            <w:pPr>
              <w:spacing w:line="240" w:lineRule="auto" w:before="0" w:after="0"/>
              <w:pStyle w:val="Compact"/>
            </w:pPr>
            <w:r>
              <w:rPr>
                <w:sz w:val="20"/>
                <w:szCs w:val="20"/>
              </w:rPr>
              <w:t xml:space="preserve">467.7</w:t>
            </w:r>
          </w:p>
        </w:tc>
        <w:tc>
          <w:tcPr>
            <w:tcW w:w="0" w:type="auto"/>
          </w:tcPr>
          <w:p>
            <w:pPr>
              <w:spacing w:line="240" w:lineRule="auto" w:before="0" w:after="0"/>
              <w:pStyle w:val="Compact"/>
            </w:pPr>
            <w:r>
              <w:rPr>
                <w:sz w:val="20"/>
                <w:szCs w:val="20"/>
              </w:rPr>
              <w:t xml:space="preserve">22.3</w:t>
            </w:r>
          </w:p>
        </w:tc>
        <w:tc>
          <w:tcPr>
            <w:tcW w:w="0" w:type="auto"/>
          </w:tcPr>
          <w:p>
            <w:pPr>
              <w:spacing w:line="240" w:lineRule="auto" w:before="0" w:after="0"/>
              <w:pStyle w:val="Compact"/>
            </w:pPr>
            <w:r>
              <w:rPr>
                <w:sz w:val="20"/>
                <w:szCs w:val="20"/>
              </w:rPr>
              <w:t xml:space="preserve">ARMD</w:t>
            </w:r>
          </w:p>
        </w:tc>
        <w:tc>
          <w:tcPr>
            <w:tcW w:w="0" w:type="auto"/>
          </w:tcPr>
          <w:p>
            <w:pPr>
              <w:spacing w:line="240" w:lineRule="auto" w:before="0" w:after="0"/>
              <w:pStyle w:val="Compact"/>
            </w:pPr>
            <w:r>
              <w:rPr>
                <w:sz w:val="20"/>
                <w:szCs w:val="20"/>
              </w:rPr>
              <w:t xml:space="preserve">GAO-22-105212 Table 6: cost growth 22.3%, baseline $467.7M; X-59 Low-Boom Flight Demonstrator, ARMD Aeronautics, not reorganized. https://www.gao.gov/products/gao-22-105212</w:t>
            </w:r>
          </w:p>
        </w:tc>
      </w:tr>
      <w:tr>
        <w:tc>
          <w:tcPr>
            <w:tcW w:w="0" w:type="auto"/>
          </w:tcPr>
          <w:p>
            <w:pPr>
              <w:spacing w:line="240" w:lineRule="auto" w:before="0" w:after="0"/>
              <w:pStyle w:val="Compact"/>
            </w:pPr>
            <w:r>
              <w:rPr>
                <w:sz w:val="20"/>
                <w:szCs w:val="20"/>
              </w:rPr>
              <w:t xml:space="preserve">NISAR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6.494</w:t>
            </w:r>
          </w:p>
        </w:tc>
        <w:tc>
          <w:tcPr>
            <w:tcW w:w="0" w:type="auto"/>
          </w:tcPr>
          <w:p>
            <w:pPr>
              <w:spacing w:line="240" w:lineRule="auto" w:before="0" w:after="0"/>
              <w:pStyle w:val="Compact"/>
            </w:pPr>
            <w:r>
              <w:rPr>
                <w:sz w:val="20"/>
                <w:szCs w:val="20"/>
              </w:rPr>
              <w:t xml:space="preserve">661</w:t>
            </w:r>
          </w:p>
        </w:tc>
        <w:tc>
          <w:tcPr>
            <w:tcW w:w="0" w:type="auto"/>
          </w:tcPr>
          <w:p>
            <w:pPr>
              <w:spacing w:line="240" w:lineRule="auto" w:before="0" w:after="0"/>
              <w:pStyle w:val="Compact"/>
            </w:pPr>
            <w:r>
              <w:rPr>
                <w:sz w:val="20"/>
                <w:szCs w:val="20"/>
              </w:rPr>
              <w:t xml:space="preserve">17.1</w:t>
            </w:r>
          </w:p>
        </w:tc>
        <w:tc>
          <w:tcPr>
            <w:tcW w:w="0" w:type="auto"/>
          </w:tcPr>
          <w:p>
            <w:pPr>
              <w:spacing w:line="240" w:lineRule="auto" w:before="0" w:after="0"/>
              <w:pStyle w:val="Compact"/>
            </w:pPr>
            <w:r>
              <w:rPr>
                <w:sz w:val="20"/>
                <w:szCs w:val="20"/>
              </w:rPr>
              <w:t xml:space="preserve">SMD</w:t>
            </w:r>
          </w:p>
        </w:tc>
        <w:tc>
          <w:tcPr>
            <w:tcW w:w="0" w:type="auto"/>
          </w:tcPr>
          <w:p>
            <w:pPr>
              <w:spacing w:line="240" w:lineRule="auto" w:before="0" w:after="0"/>
              <w:pStyle w:val="Compact"/>
            </w:pPr>
            <w:r>
              <w:rPr>
                <w:sz w:val="20"/>
                <w:szCs w:val="20"/>
              </w:rPr>
              <w:t xml:space="preserve">GAO-22-105212 Table 6: cost growth 17.1%, baseline $661.0M; NASA-ISRO SAR, SMD Earth-science. https://www.gao.gov/products/gao-22-105212</w:t>
            </w:r>
          </w:p>
        </w:tc>
      </w:tr>
      <w:tr>
        <w:tc>
          <w:tcPr>
            <w:tcW w:w="0" w:type="auto"/>
          </w:tcPr>
          <w:p>
            <w:pPr>
              <w:spacing w:line="240" w:lineRule="auto" w:before="0" w:after="0"/>
              <w:pStyle w:val="Compact"/>
            </w:pPr>
            <w:r>
              <w:rPr>
                <w:sz w:val="20"/>
                <w:szCs w:val="20"/>
              </w:rPr>
              <w:t xml:space="preserve">SWOT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6.348</w:t>
            </w:r>
          </w:p>
        </w:tc>
        <w:tc>
          <w:tcPr>
            <w:tcW w:w="0" w:type="auto"/>
          </w:tcPr>
          <w:p>
            <w:pPr>
              <w:spacing w:line="240" w:lineRule="auto" w:before="0" w:after="0"/>
              <w:pStyle w:val="Compact"/>
            </w:pPr>
            <w:r>
              <w:rPr>
                <w:sz w:val="20"/>
                <w:szCs w:val="20"/>
              </w:rPr>
              <w:t xml:space="preserve">571.5</w:t>
            </w:r>
          </w:p>
        </w:tc>
        <w:tc>
          <w:tcPr>
            <w:tcW w:w="0" w:type="auto"/>
          </w:tcPr>
          <w:p>
            <w:pPr>
              <w:spacing w:line="240" w:lineRule="auto" w:before="0" w:after="0"/>
              <w:pStyle w:val="Compact"/>
            </w:pPr>
            <w:r>
              <w:rPr>
                <w:sz w:val="20"/>
                <w:szCs w:val="20"/>
              </w:rPr>
              <w:t xml:space="preserve">11.8</w:t>
            </w:r>
          </w:p>
        </w:tc>
        <w:tc>
          <w:tcPr>
            <w:tcW w:w="0" w:type="auto"/>
          </w:tcPr>
          <w:p>
            <w:pPr>
              <w:spacing w:line="240" w:lineRule="auto" w:before="0" w:after="0"/>
              <w:pStyle w:val="Compact"/>
            </w:pPr>
            <w:r>
              <w:rPr>
                <w:sz w:val="20"/>
                <w:szCs w:val="20"/>
              </w:rPr>
              <w:t xml:space="preserve">SMD</w:t>
            </w:r>
          </w:p>
        </w:tc>
        <w:tc>
          <w:tcPr>
            <w:tcW w:w="0" w:type="auto"/>
          </w:tcPr>
          <w:p>
            <w:pPr>
              <w:spacing w:line="240" w:lineRule="auto" w:before="0" w:after="0"/>
              <w:pStyle w:val="Compact"/>
            </w:pPr>
            <w:r>
              <w:rPr>
                <w:sz w:val="20"/>
                <w:szCs w:val="20"/>
              </w:rPr>
              <w:t xml:space="preserve">GAO-22-105212 Table 6: cost growth 11.8%, baseline $571.5M; Surface Water Ocean Topography, SMD Earth-science; launched Dec 2022. https://www.gao.gov/products/gao-22-105212</w:t>
            </w:r>
          </w:p>
        </w:tc>
      </w:tr>
      <w:tr>
        <w:tc>
          <w:tcPr>
            <w:tcW w:w="0" w:type="auto"/>
          </w:tcPr>
          <w:p>
            <w:pPr>
              <w:spacing w:line="240" w:lineRule="auto" w:before="0" w:after="0"/>
              <w:pStyle w:val="Compact"/>
            </w:pPr>
            <w:r>
              <w:rPr>
                <w:sz w:val="20"/>
                <w:szCs w:val="20"/>
              </w:rPr>
              <w:t xml:space="preserve">Roman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7.972</w:t>
            </w:r>
          </w:p>
        </w:tc>
        <w:tc>
          <w:tcPr>
            <w:tcW w:w="0" w:type="auto"/>
          </w:tcPr>
          <w:p>
            <w:pPr>
              <w:spacing w:line="240" w:lineRule="auto" w:before="0" w:after="0"/>
              <w:pStyle w:val="Compact"/>
            </w:pPr>
            <w:r>
              <w:rPr>
                <w:sz w:val="20"/>
                <w:szCs w:val="20"/>
              </w:rPr>
              <w:t xml:space="preserve">2898.1</w:t>
            </w:r>
          </w:p>
        </w:tc>
        <w:tc>
          <w:tcPr>
            <w:tcW w:w="0" w:type="auto"/>
          </w:tcPr>
          <w:p>
            <w:pPr>
              <w:spacing w:line="240" w:lineRule="auto" w:before="0" w:after="0"/>
              <w:pStyle w:val="Compact"/>
            </w:pPr>
            <w:r>
              <w:rPr>
                <w:sz w:val="20"/>
                <w:szCs w:val="20"/>
              </w:rPr>
              <w:t xml:space="preserve">12.8</w:t>
            </w:r>
          </w:p>
        </w:tc>
        <w:tc>
          <w:tcPr>
            <w:tcW w:w="0" w:type="auto"/>
          </w:tcPr>
          <w:p>
            <w:pPr>
              <w:spacing w:line="240" w:lineRule="auto" w:before="0" w:after="0"/>
              <w:pStyle w:val="Compact"/>
            </w:pPr>
            <w:r>
              <w:rPr>
                <w:sz w:val="20"/>
                <w:szCs w:val="20"/>
              </w:rPr>
              <w:t xml:space="preserve">SMD</w:t>
            </w:r>
          </w:p>
        </w:tc>
        <w:tc>
          <w:tcPr>
            <w:tcW w:w="0" w:type="auto"/>
          </w:tcPr>
          <w:p>
            <w:pPr>
              <w:spacing w:line="240" w:lineRule="auto" w:before="0" w:after="0"/>
              <w:pStyle w:val="Compact"/>
            </w:pPr>
            <w:r>
              <w:rPr>
                <w:sz w:val="20"/>
                <w:szCs w:val="20"/>
              </w:rPr>
              <w:t xml:space="preserve">GAO-22-105212 Table 6: cost growth 12.8%, baseline $2898.1M; Roman/WFIRST, SMD Astrophysics. https://www.gao.gov/products/gao-22-105212</w:t>
            </w:r>
          </w:p>
        </w:tc>
      </w:tr>
      <w:tr>
        <w:tc>
          <w:tcPr>
            <w:tcW w:w="0" w:type="auto"/>
          </w:tcPr>
          <w:p>
            <w:pPr>
              <w:spacing w:line="240" w:lineRule="auto" w:before="0" w:after="0"/>
              <w:pStyle w:val="Compact"/>
            </w:pPr>
            <w:r>
              <w:rPr>
                <w:sz w:val="20"/>
                <w:szCs w:val="20"/>
              </w:rPr>
              <w:t xml:space="preserve">PACE</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6.324</w:t>
            </w:r>
          </w:p>
        </w:tc>
        <w:tc>
          <w:tcPr>
            <w:tcW w:w="0" w:type="auto"/>
          </w:tcPr>
          <w:p>
            <w:pPr>
              <w:spacing w:line="240" w:lineRule="auto" w:before="0" w:after="0"/>
              <w:pStyle w:val="Compact"/>
            </w:pPr>
            <w:r>
              <w:rPr>
                <w:sz w:val="20"/>
                <w:szCs w:val="20"/>
              </w:rPr>
              <w:t xml:space="preserve">558</w:t>
            </w:r>
          </w:p>
        </w:tc>
        <w:tc>
          <w:tcPr>
            <w:tcW w:w="0" w:type="auto"/>
          </w:tcPr>
          <w:p>
            <w:pPr>
              <w:spacing w:line="240" w:lineRule="auto" w:before="0" w:after="0"/>
              <w:pStyle w:val="Compact"/>
            </w:pPr>
            <w:r>
              <w:rPr>
                <w:sz w:val="20"/>
                <w:szCs w:val="20"/>
              </w:rPr>
              <w:t xml:space="preserve">13.3</w:t>
            </w:r>
          </w:p>
        </w:tc>
        <w:tc>
          <w:tcPr>
            <w:tcW w:w="0" w:type="auto"/>
          </w:tcPr>
          <w:p>
            <w:pPr>
              <w:spacing w:line="240" w:lineRule="auto" w:before="0" w:after="0"/>
              <w:pStyle w:val="Compact"/>
            </w:pPr>
            <w:r>
              <w:rPr>
                <w:sz w:val="20"/>
                <w:szCs w:val="20"/>
              </w:rPr>
              <w:t xml:space="preserve">SMD</w:t>
            </w:r>
          </w:p>
        </w:tc>
        <w:tc>
          <w:tcPr>
            <w:tcW w:w="0" w:type="auto"/>
          </w:tcPr>
          <w:p>
            <w:pPr>
              <w:spacing w:line="240" w:lineRule="auto" w:before="0" w:after="0"/>
              <w:pStyle w:val="Compact"/>
            </w:pPr>
            <w:r>
              <w:rPr>
                <w:sz w:val="20"/>
                <w:szCs w:val="20"/>
              </w:rPr>
              <w:t xml:space="preserve">GAO-22-105212 Table 6: cost growth 13.3%, baseline $558.0M; Plankton Aerosol Cloud ocean Ecosystem, SMD Earth-science; launched Feb 2024. https://www.gao.gov/products/gao-22-105212</w:t>
            </w:r>
          </w:p>
        </w:tc>
      </w:tr>
      <w:tr>
        <w:tc>
          <w:tcPr>
            <w:tcW w:w="0" w:type="auto"/>
          </w:tcPr>
          <w:p>
            <w:pPr>
              <w:spacing w:line="240" w:lineRule="auto" w:before="0" w:after="0"/>
              <w:pStyle w:val="Compact"/>
            </w:pPr>
            <w:r>
              <w:rPr>
                <w:sz w:val="20"/>
                <w:szCs w:val="20"/>
              </w:rPr>
              <w:t xml:space="preserve">Europa_Clipper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7.789</w:t>
            </w:r>
          </w:p>
        </w:tc>
        <w:tc>
          <w:tcPr>
            <w:tcW w:w="0" w:type="auto"/>
          </w:tcPr>
          <w:p>
            <w:pPr>
              <w:spacing w:line="240" w:lineRule="auto" w:before="0" w:after="0"/>
              <w:pStyle w:val="Compact"/>
            </w:pPr>
            <w:r>
              <w:rPr>
                <w:sz w:val="20"/>
                <w:szCs w:val="20"/>
              </w:rPr>
              <w:t xml:space="preserve">2412.8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SMD</w:t>
            </w:r>
          </w:p>
        </w:tc>
        <w:tc>
          <w:tcPr>
            <w:tcW w:w="0" w:type="auto"/>
          </w:tcPr>
          <w:p>
            <w:pPr>
              <w:spacing w:line="240" w:lineRule="auto" w:before="0" w:after="0"/>
              <w:pStyle w:val="Compact"/>
            </w:pPr>
            <w:r>
              <w:rPr>
                <w:sz w:val="20"/>
                <w:szCs w:val="20"/>
              </w:rPr>
              <w:t xml:space="preserve">GAO-22-105212 Table 6: cost growth 4.0%, baseline $2412.8M; SMD Planetary; launched Oct 2024. https://www.gao.gov/products/gao-22-105212</w:t>
            </w:r>
          </w:p>
        </w:tc>
      </w:tr>
      <w:tr>
        <w:tc>
          <w:tcPr>
            <w:tcW w:w="0" w:type="auto"/>
          </w:tcPr>
          <w:p>
            <w:pPr>
              <w:spacing w:line="240" w:lineRule="auto" w:before="0" w:after="0"/>
              <w:pStyle w:val="Compact"/>
            </w:pPr>
            <w:r>
              <w:rPr>
                <w:sz w:val="20"/>
                <w:szCs w:val="20"/>
              </w:rPr>
              <w:t xml:space="preserve">DART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5.554</w:t>
            </w:r>
          </w:p>
        </w:tc>
        <w:tc>
          <w:tcPr>
            <w:tcW w:w="0" w:type="auto"/>
          </w:tcPr>
          <w:p>
            <w:pPr>
              <w:spacing w:line="240" w:lineRule="auto" w:before="0" w:after="0"/>
              <w:pStyle w:val="Compact"/>
            </w:pPr>
            <w:r>
              <w:rPr>
                <w:sz w:val="20"/>
                <w:szCs w:val="20"/>
              </w:rPr>
              <w:t xml:space="preserve">258.3</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SMD</w:t>
            </w:r>
          </w:p>
        </w:tc>
        <w:tc>
          <w:tcPr>
            <w:tcW w:w="0" w:type="auto"/>
          </w:tcPr>
          <w:p>
            <w:pPr>
              <w:spacing w:line="240" w:lineRule="auto" w:before="0" w:after="0"/>
              <w:pStyle w:val="Compact"/>
            </w:pPr>
            <w:r>
              <w:rPr>
                <w:sz w:val="20"/>
                <w:szCs w:val="20"/>
              </w:rPr>
              <w:t xml:space="preserve">GAO-22-105212 Table 6: cost growth 4.6%, baseline $258.3M; Double Asteroid Redirection Test, SMD Planetary; launched Nov 2021. https://www.gao.gov/products/gao-22-105212</w:t>
            </w:r>
          </w:p>
        </w:tc>
      </w:tr>
      <w:tr>
        <w:tc>
          <w:tcPr>
            <w:tcW w:w="0" w:type="auto"/>
          </w:tcPr>
          <w:p>
            <w:pPr>
              <w:spacing w:line="240" w:lineRule="auto" w:before="0" w:after="0"/>
              <w:pStyle w:val="Compact"/>
            </w:pPr>
            <w:r>
              <w:rPr>
                <w:sz w:val="20"/>
                <w:szCs w:val="20"/>
              </w:rPr>
              <w:t xml:space="preserve">Psyche</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6.525</w:t>
            </w:r>
          </w:p>
        </w:tc>
        <w:tc>
          <w:tcPr>
            <w:tcW w:w="0" w:type="auto"/>
          </w:tcPr>
          <w:p>
            <w:pPr>
              <w:spacing w:line="240" w:lineRule="auto" w:before="0" w:after="0"/>
              <w:pStyle w:val="Compact"/>
            </w:pPr>
            <w:r>
              <w:rPr>
                <w:sz w:val="20"/>
                <w:szCs w:val="20"/>
              </w:rPr>
              <w:t xml:space="preserve">681.9</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SMD</w:t>
            </w:r>
          </w:p>
        </w:tc>
        <w:tc>
          <w:tcPr>
            <w:tcW w:w="0" w:type="auto"/>
          </w:tcPr>
          <w:p>
            <w:pPr>
              <w:spacing w:line="240" w:lineRule="auto" w:before="0" w:after="0"/>
              <w:pStyle w:val="Compact"/>
            </w:pPr>
            <w:r>
              <w:rPr>
                <w:sz w:val="20"/>
                <w:szCs w:val="20"/>
              </w:rPr>
              <w:t xml:space="preserve">GAO-22-105212 Table 6: cost growth -4.5%, baseline $681.9M; SMD Planetary/Discovery; launched Oct 2023. https://www.gao.gov/products/gao-22-105212</w:t>
            </w:r>
          </w:p>
        </w:tc>
      </w:tr>
      <w:tr>
        <w:tc>
          <w:tcPr>
            <w:tcW w:w="0" w:type="auto"/>
          </w:tcPr>
          <w:p>
            <w:pPr>
              <w:spacing w:line="240" w:lineRule="auto" w:before="0" w:after="0"/>
              <w:pStyle w:val="Compact"/>
            </w:pPr>
            <w:r>
              <w:rPr>
                <w:sz w:val="20"/>
                <w:szCs w:val="20"/>
              </w:rPr>
              <w:t xml:space="preserve">Lucy</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6.433</w:t>
            </w:r>
          </w:p>
        </w:tc>
        <w:tc>
          <w:tcPr>
            <w:tcW w:w="0" w:type="auto"/>
          </w:tcPr>
          <w:p>
            <w:pPr>
              <w:spacing w:line="240" w:lineRule="auto" w:before="0" w:after="0"/>
              <w:pStyle w:val="Compact"/>
            </w:pPr>
            <w:r>
              <w:rPr>
                <w:sz w:val="20"/>
                <w:szCs w:val="20"/>
              </w:rPr>
              <w:t xml:space="preserve">622.2</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SMD</w:t>
            </w:r>
          </w:p>
        </w:tc>
        <w:tc>
          <w:tcPr>
            <w:tcW w:w="0" w:type="auto"/>
          </w:tcPr>
          <w:p>
            <w:pPr>
              <w:spacing w:line="240" w:lineRule="auto" w:before="0" w:after="0"/>
              <w:pStyle w:val="Compact"/>
            </w:pPr>
            <w:r>
              <w:rPr>
                <w:sz w:val="20"/>
                <w:szCs w:val="20"/>
              </w:rPr>
              <w:t xml:space="preserve">GAO-22-105212 Table 6: cost growth -9.2%, baseline $622.2M; SMD Planetary/Discovery; launched Oct 2021 under cost. https://www.gao.gov/products/gao-22-105212</w:t>
            </w:r>
          </w:p>
        </w:tc>
      </w:tr>
      <w:tr>
        <w:tc>
          <w:tcPr>
            <w:tcW w:w="0" w:type="auto"/>
          </w:tcPr>
          <w:p>
            <w:pPr>
              <w:spacing w:line="240" w:lineRule="auto" w:before="0" w:after="0"/>
              <w:pStyle w:val="Compact"/>
            </w:pPr>
            <w:r>
              <w:rPr>
                <w:sz w:val="20"/>
                <w:szCs w:val="20"/>
              </w:rPr>
              <w:t xml:space="preserve">Landsat_9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6.452</w:t>
            </w:r>
          </w:p>
        </w:tc>
        <w:tc>
          <w:tcPr>
            <w:tcW w:w="0" w:type="auto"/>
          </w:tcPr>
          <w:p>
            <w:pPr>
              <w:spacing w:line="240" w:lineRule="auto" w:before="0" w:after="0"/>
              <w:pStyle w:val="Compact"/>
            </w:pPr>
            <w:r>
              <w:rPr>
                <w:sz w:val="20"/>
                <w:szCs w:val="20"/>
              </w:rPr>
              <w:t xml:space="preserve">634.2</w:t>
            </w:r>
          </w:p>
        </w:tc>
        <w:tc>
          <w:tcPr>
            <w:tcW w:w="0" w:type="auto"/>
          </w:tcPr>
          <w:p>
            <w:pPr>
              <w:spacing w:line="240" w:lineRule="auto" w:before="0" w:after="0"/>
              <w:pStyle w:val="Compact"/>
            </w:pPr>
            <w:r>
              <w:rPr>
                <w:sz w:val="20"/>
                <w:szCs w:val="20"/>
              </w:rPr>
              <w:t xml:space="preserve">-21.8</w:t>
            </w:r>
          </w:p>
        </w:tc>
        <w:tc>
          <w:tcPr>
            <w:tcW w:w="0" w:type="auto"/>
          </w:tcPr>
          <w:p>
            <w:pPr>
              <w:spacing w:line="240" w:lineRule="auto" w:before="0" w:after="0"/>
              <w:pStyle w:val="Compact"/>
            </w:pPr>
            <w:r>
              <w:rPr>
                <w:sz w:val="20"/>
                <w:szCs w:val="20"/>
              </w:rPr>
              <w:t xml:space="preserve">SMD</w:t>
            </w:r>
          </w:p>
        </w:tc>
        <w:tc>
          <w:tcPr>
            <w:tcW w:w="0" w:type="auto"/>
          </w:tcPr>
          <w:p>
            <w:pPr>
              <w:spacing w:line="240" w:lineRule="auto" w:before="0" w:after="0"/>
              <w:pStyle w:val="Compact"/>
            </w:pPr>
            <w:r>
              <w:rPr>
                <w:sz w:val="20"/>
                <w:szCs w:val="20"/>
              </w:rPr>
              <w:t xml:space="preserve">GAO-22-105212 Table 6: cost growth -21.8%, baseline $634.2M; SMD Earth-science; launched Sep 2021 under cost. https://www.gao.gov/products/gao-22-105212</w:t>
            </w:r>
          </w:p>
        </w:tc>
      </w:tr>
      <w:tr>
        <w:tc>
          <w:tcPr>
            <w:tcW w:w="0" w:type="auto"/>
          </w:tcPr>
          <w:p>
            <w:pPr>
              <w:spacing w:line="240" w:lineRule="auto" w:before="0" w:after="0"/>
              <w:pStyle w:val="Compact"/>
            </w:pPr>
            <w:r>
              <w:rPr>
                <w:sz w:val="20"/>
                <w:szCs w:val="20"/>
              </w:rPr>
              <w:t xml:space="preserve">IMAP</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6.379</w:t>
            </w:r>
          </w:p>
        </w:tc>
        <w:tc>
          <w:tcPr>
            <w:tcW w:w="0" w:type="auto"/>
          </w:tcPr>
          <w:p>
            <w:pPr>
              <w:spacing w:line="240" w:lineRule="auto" w:before="0" w:after="0"/>
              <w:pStyle w:val="Compact"/>
            </w:pPr>
            <w:r>
              <w:rPr>
                <w:sz w:val="20"/>
                <w:szCs w:val="20"/>
              </w:rPr>
              <w:t xml:space="preserve">589.5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SMD</w:t>
            </w:r>
          </w:p>
        </w:tc>
        <w:tc>
          <w:tcPr>
            <w:tcW w:w="0" w:type="auto"/>
          </w:tcPr>
          <w:p>
            <w:pPr>
              <w:spacing w:line="240" w:lineRule="auto" w:before="0" w:after="0"/>
              <w:pStyle w:val="Compact"/>
            </w:pPr>
            <w:r>
              <w:rPr>
                <w:sz w:val="20"/>
                <w:szCs w:val="20"/>
              </w:rPr>
              <w:t xml:space="preserve">GAO-22-105212 Table 6: cost growth 0.0%, baseline $589.5M; Interstellar Mapping Acceleration Probe, SMD Heliophysics. https://www.gao.gov/products/gao-22-105212</w:t>
            </w:r>
          </w:p>
        </w:tc>
      </w:tr>
      <w:tr>
        <w:tc>
          <w:tcPr>
            <w:tcW w:w="0" w:type="auto"/>
          </w:tcPr>
          <w:p>
            <w:pPr>
              <w:spacing w:line="240" w:lineRule="auto" w:before="0" w:after="0"/>
              <w:pStyle w:val="Compact"/>
            </w:pPr>
            <w:r>
              <w:rPr>
                <w:sz w:val="20"/>
                <w:szCs w:val="20"/>
              </w:rPr>
              <w:t xml:space="preserve">SPHEREx</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5.908</w:t>
            </w:r>
          </w:p>
        </w:tc>
        <w:tc>
          <w:tcPr>
            <w:tcW w:w="0" w:type="auto"/>
          </w:tcPr>
          <w:p>
            <w:pPr>
              <w:spacing w:line="240" w:lineRule="auto" w:before="0" w:after="0"/>
              <w:pStyle w:val="Compact"/>
            </w:pPr>
            <w:r>
              <w:rPr>
                <w:sz w:val="20"/>
                <w:szCs w:val="20"/>
              </w:rPr>
              <w:t xml:space="preserve">367.8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SMD</w:t>
            </w:r>
          </w:p>
        </w:tc>
        <w:tc>
          <w:tcPr>
            <w:tcW w:w="0" w:type="auto"/>
          </w:tcPr>
          <w:p>
            <w:pPr>
              <w:spacing w:line="240" w:lineRule="auto" w:before="0" w:after="0"/>
              <w:pStyle w:val="Compact"/>
            </w:pPr>
            <w:r>
              <w:rPr>
                <w:sz w:val="20"/>
                <w:szCs w:val="20"/>
              </w:rPr>
              <w:t xml:space="preserve">GAO-22-105212 Table 6: cost growth 0.0%, baseline $367.8M; SMD Astrophysics MIDEX; launched Mar 2025. https://www.gao.gov/products/gao-22-105212</w:t>
            </w:r>
          </w:p>
        </w:tc>
      </w:tr>
      <w:tr>
        <w:tc>
          <w:tcPr>
            <w:tcW w:w="0" w:type="auto"/>
          </w:tcPr>
          <w:p>
            <w:pPr>
              <w:spacing w:line="240" w:lineRule="auto" w:before="0" w:after="0"/>
              <w:pStyle w:val="Compact"/>
            </w:pPr>
            <w:r>
              <w:rPr>
                <w:sz w:val="20"/>
                <w:szCs w:val="20"/>
              </w:rPr>
              <w:t xml:space="preserve">VIPER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5.818</w:t>
            </w:r>
          </w:p>
        </w:tc>
        <w:tc>
          <w:tcPr>
            <w:tcW w:w="0" w:type="auto"/>
          </w:tcPr>
          <w:p>
            <w:pPr>
              <w:spacing w:line="240" w:lineRule="auto" w:before="0" w:after="0"/>
              <w:pStyle w:val="Compact"/>
            </w:pPr>
            <w:r>
              <w:rPr>
                <w:sz w:val="20"/>
                <w:szCs w:val="20"/>
              </w:rPr>
              <w:t xml:space="preserve">336.2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SMD</w:t>
            </w:r>
          </w:p>
        </w:tc>
        <w:tc>
          <w:tcPr>
            <w:tcW w:w="0" w:type="auto"/>
          </w:tcPr>
          <w:p>
            <w:pPr>
              <w:spacing w:line="240" w:lineRule="auto" w:before="0" w:after="0"/>
              <w:pStyle w:val="Compact"/>
            </w:pPr>
            <w:r>
              <w:rPr>
                <w:sz w:val="20"/>
                <w:szCs w:val="20"/>
              </w:rPr>
              <w:t xml:space="preserve">GAO-22-105212 Table 6: cost growth 0.0%, baseline $336.2M; Volatiles Investigating Polar Exploration Rover, SMD/lunar. https://www.gao.gov/products/gao-22-105212</w:t>
            </w:r>
          </w:p>
        </w:tc>
      </w:tr>
      <w:tr>
        <w:tc>
          <w:tcPr>
            <w:tcW w:w="0" w:type="auto"/>
          </w:tcPr>
          <w:p>
            <w:pPr>
              <w:spacing w:line="240" w:lineRule="auto" w:before="0" w:after="0"/>
              <w:pStyle w:val="Compact"/>
            </w:pPr>
            <w:r>
              <w:rPr>
                <w:sz w:val="20"/>
                <w:szCs w:val="20"/>
              </w:rPr>
              <w:t xml:space="preserve">DAVINCI</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6.3</w:t>
            </w:r>
          </w:p>
        </w:tc>
        <w:tc>
          <w:tcPr>
            <w:tcW w:w="0" w:type="auto"/>
          </w:tcPr>
          <w:p>
            <w:pPr>
              <w:spacing w:line="240" w:lineRule="auto" w:before="0" w:after="0"/>
              <w:pStyle w:val="Compact"/>
            </w:pPr>
            <w:r>
              <w:rPr>
                <w:sz w:val="20"/>
                <w:szCs w:val="20"/>
              </w:rPr>
              <w:t xml:space="preserve">544.6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SMD</w:t>
            </w:r>
          </w:p>
        </w:tc>
        <w:tc>
          <w:tcPr>
            <w:tcW w:w="0" w:type="auto"/>
          </w:tcPr>
          <w:p>
            <w:pPr>
              <w:spacing w:line="240" w:lineRule="auto" w:before="0" w:after="0"/>
              <w:pStyle w:val="Compact"/>
            </w:pPr>
            <w:r>
              <w:rPr>
                <w:sz w:val="20"/>
                <w:szCs w:val="20"/>
              </w:rPr>
              <w:t xml:space="preserve">GAO-25-107591 portfolio: DAVINCI Discovery, SMD Planetary, on baseline as of the 2025 assessment [baseline approx; growth 0.0% per GAO-25]. https://www.gao.gov/products/gao-25-107591</w:t>
            </w:r>
          </w:p>
        </w:tc>
      </w:tr>
      <w:tr>
        <w:tc>
          <w:tcPr>
            <w:tcW w:w="0" w:type="auto"/>
          </w:tcPr>
          <w:p>
            <w:pPr>
              <w:spacing w:line="240" w:lineRule="auto" w:before="0" w:after="0"/>
              <w:pStyle w:val="Compact"/>
            </w:pPr>
            <w:r>
              <w:rPr>
                <w:sz w:val="20"/>
                <w:szCs w:val="20"/>
              </w:rPr>
              <w:t xml:space="preserve">Dragonfly</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7.301</w:t>
            </w:r>
          </w:p>
        </w:tc>
        <w:tc>
          <w:tcPr>
            <w:tcW w:w="0" w:type="auto"/>
          </w:tcPr>
          <w:p>
            <w:pPr>
              <w:spacing w:line="240" w:lineRule="auto" w:before="0" w:after="0"/>
              <w:pStyle w:val="Compact"/>
            </w:pPr>
            <w:r>
              <w:rPr>
                <w:sz w:val="20"/>
                <w:szCs w:val="20"/>
              </w:rPr>
              <w:t xml:space="preserve">1480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SMD</w:t>
            </w:r>
          </w:p>
        </w:tc>
        <w:tc>
          <w:tcPr>
            <w:tcW w:w="0" w:type="auto"/>
          </w:tcPr>
          <w:p>
            <w:pPr>
              <w:spacing w:line="240" w:lineRule="auto" w:before="0" w:after="0"/>
              <w:pStyle w:val="Compact"/>
            </w:pPr>
            <w:r>
              <w:rPr>
                <w:sz w:val="20"/>
                <w:szCs w:val="20"/>
              </w:rPr>
              <w:t xml:space="preserve">GAO-25-107591 portfolio: Dragonfly New Frontiers, SMD Planetary; on-baseline in early development per the 2025 assessment [baseline approx; growth nominal per GAO]. https://www.gao.gov/products/gao-25-107591</w:t>
            </w:r>
          </w:p>
        </w:tc>
      </w:tr>
    </w:tbl>
    <w:bookmarkEnd w:id="79"/>
    <w:bookmarkStart w:id="80"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dev_cost_growth_pct</w:t>
            </w:r>
          </w:p>
        </w:tc>
        <w:tc>
          <w:tcPr>
            <w:tcW w:w="0" w:type="auto"/>
          </w:tcPr>
          <w:p>
            <w:pPr>
              <w:spacing w:line="240" w:lineRule="auto" w:before="0" w:after="0"/>
              <w:pStyle w:val="Compact"/>
            </w:pPr>
            <w:r>
              <w:rPr>
                <w:sz w:val="20"/>
                <w:szCs w:val="20"/>
              </w:rPr>
              <w:t xml:space="preserve">Cumulative development cost growth (percent) of the project measured against its confirmation-review baseline development cost estimate; the outcome to be explained</w:t>
            </w:r>
          </w:p>
        </w:tc>
        <w:tc>
          <w:tcPr>
            <w:tcW w:w="0" w:type="auto"/>
          </w:tcPr>
          <w:p>
            <w:pPr>
              <w:spacing w:line="240" w:lineRule="auto" w:before="0" w:after="0"/>
              <w:pStyle w:val="Compact"/>
            </w:pPr>
            <w:r>
              <w:rPr>
                <w:sz w:val="20"/>
                <w:szCs w:val="20"/>
              </w:rPr>
              <w:t xml:space="preserve">GAO-22-105212 Table 6 development cost growth column; three early-development projects without a posted percentage taken at 0.0 percent on-baseline from GAO-25-107591</w:t>
            </w:r>
          </w:p>
        </w:tc>
      </w:tr>
      <w:tr>
        <w:tc>
          <w:tcPr>
            <w:tcW w:w="0" w:type="auto"/>
          </w:tcPr>
          <w:p>
            <w:pPr>
              <w:spacing w:line="240" w:lineRule="auto" w:before="0" w:after="0"/>
              <w:pStyle w:val="Compact"/>
            </w:pPr>
            <w:r>
              <w:rPr>
                <w:sz w:val="20"/>
                <w:szCs w:val="20"/>
              </w:rPr>
              <w:t xml:space="preserve">reorg</w:t>
            </w:r>
          </w:p>
        </w:tc>
        <w:tc>
          <w:tcPr>
            <w:tcW w:w="0" w:type="auto"/>
          </w:tcPr>
          <w:p>
            <w:pPr>
              <w:spacing w:line="240" w:lineRule="auto" w:before="0" w:after="0"/>
              <w:pStyle w:val="Compact"/>
            </w:pPr>
            <w:r>
              <w:rPr>
                <w:sz w:val="20"/>
                <w:szCs w:val="20"/>
              </w:rPr>
              <w:t xml:space="preserve">1 if the project’s managing organization underwent a major directorate reorganization during development (the September 2021 split of the Human Exploration and Operations Mission Directorate, HEOMD, into the Exploration Systems Development Mission Directorate, ESDMD, and the Space Operations Mission Directorate, SOMD); 0 if managed by the Science or Aeronautics directorate, which were not reorganized</w:t>
            </w:r>
          </w:p>
        </w:tc>
        <w:tc>
          <w:tcPr>
            <w:tcW w:w="0" w:type="auto"/>
          </w:tcPr>
          <w:p>
            <w:pPr>
              <w:spacing w:line="240" w:lineRule="auto" w:before="0" w:after="0"/>
              <w:pStyle w:val="Compact"/>
            </w:pPr>
            <w:r>
              <w:rPr>
                <w:sz w:val="20"/>
                <w:szCs w:val="20"/>
              </w:rPr>
              <w:t xml:space="preserve">SpaceNews and NASA leadership reorganization announcement, September 2021; Space.com directorate-split coverage</w:t>
            </w:r>
          </w:p>
        </w:tc>
      </w:tr>
      <w:tr>
        <w:tc>
          <w:tcPr>
            <w:tcW w:w="0" w:type="auto"/>
          </w:tcPr>
          <w:p>
            <w:pPr>
              <w:spacing w:line="240" w:lineRule="auto" w:before="0" w:after="0"/>
              <w:pStyle w:val="Compact"/>
            </w:pPr>
            <w:r>
              <w:rPr>
                <w:sz w:val="20"/>
                <w:szCs w:val="20"/>
              </w:rPr>
              <w:t xml:space="preserve">ln_baseline_cost</w:t>
            </w:r>
          </w:p>
        </w:tc>
        <w:tc>
          <w:tcPr>
            <w:tcW w:w="0" w:type="auto"/>
          </w:tcPr>
          <w:p>
            <w:pPr>
              <w:spacing w:line="240" w:lineRule="auto" w:before="0" w:after="0"/>
              <w:pStyle w:val="Compact"/>
            </w:pPr>
            <w:r>
              <w:rPr>
                <w:sz w:val="20"/>
                <w:szCs w:val="20"/>
              </w:rPr>
              <w:t xml:space="preserve">Natural log of the original baseline development cost estimate (then-year millions of dollars) set at the confirmation review; controls for program scale</w:t>
            </w:r>
          </w:p>
        </w:tc>
        <w:tc>
          <w:tcPr>
            <w:tcW w:w="0" w:type="auto"/>
          </w:tcPr>
          <w:p>
            <w:pPr>
              <w:spacing w:line="240" w:lineRule="auto" w:before="0" w:after="0"/>
              <w:pStyle w:val="Compact"/>
            </w:pPr>
            <w:r>
              <w:rPr>
                <w:sz w:val="20"/>
                <w:szCs w:val="20"/>
              </w:rPr>
              <w:t xml:space="preserve">GAO-22-105212 Table 6 original baseline development cost column; two early-development baselines approximated from GAO-25-107591</w:t>
            </w:r>
          </w:p>
        </w:tc>
      </w:tr>
      <w:tr>
        <w:tc>
          <w:tcPr>
            <w:tcW w:w="0" w:type="auto"/>
          </w:tcPr>
          <w:p>
            <w:pPr>
              <w:spacing w:line="240" w:lineRule="auto" w:before="0" w:after="0"/>
              <w:pStyle w:val="Compact"/>
            </w:pPr>
            <w:r>
              <w:rPr>
                <w:sz w:val="20"/>
                <w:szCs w:val="20"/>
              </w:rPr>
              <w:t xml:space="preserve">crewed</w:t>
            </w:r>
          </w:p>
        </w:tc>
        <w:tc>
          <w:tcPr>
            <w:tcW w:w="0" w:type="auto"/>
          </w:tcPr>
          <w:p>
            <w:pPr>
              <w:spacing w:line="240" w:lineRule="auto" w:before="0" w:after="0"/>
              <w:pStyle w:val="Compact"/>
            </w:pPr>
            <w:r>
              <w:rPr>
                <w:sz w:val="20"/>
                <w:szCs w:val="20"/>
              </w:rPr>
              <w:t xml:space="preserve">1 if the project is a crewed / human-spaceflight exploration system in the Artemis line; 0 if a robotic science or aeronautics project. In this panel the reorganized directorate is exactly the human-spaceflight directorate, so crewed and reorg are perfectly collinear; crewed is therefore carried in the data only to document the confound and is not entered as a separate regressor</w:t>
            </w:r>
          </w:p>
        </w:tc>
        <w:tc>
          <w:tcPr>
            <w:tcW w:w="0" w:type="auto"/>
          </w:tcPr>
          <w:p>
            <w:pPr>
              <w:spacing w:line="240" w:lineRule="auto" w:before="0" w:after="0"/>
              <w:pStyle w:val="Compact"/>
            </w:pPr>
            <w:r>
              <w:rPr>
                <w:sz w:val="20"/>
                <w:szCs w:val="20"/>
              </w:rPr>
              <w:t xml:space="preserve">NASA directorate portfolio assignment (ESDMD/SOMD human-spaceflight versus SMD/ARMD)</w:t>
            </w:r>
          </w:p>
        </w:tc>
      </w:tr>
      <w:tr>
        <w:tc>
          <w:tcPr>
            <w:tcW w:w="0" w:type="auto"/>
          </w:tcPr>
          <w:p>
            <w:pPr>
              <w:spacing w:line="240" w:lineRule="auto" w:before="0" w:after="0"/>
              <w:pStyle w:val="Compact"/>
            </w:pPr>
            <w:r>
              <w:rPr>
                <w:sz w:val="20"/>
                <w:szCs w:val="20"/>
              </w:rPr>
              <w:t xml:space="preserve">baseline_cost_m</w:t>
            </w:r>
          </w:p>
        </w:tc>
        <w:tc>
          <w:tcPr>
            <w:tcW w:w="0" w:type="auto"/>
          </w:tcPr>
          <w:p>
            <w:pPr>
              <w:spacing w:line="240" w:lineRule="auto" w:before="0" w:after="0"/>
              <w:pStyle w:val="Compact"/>
            </w:pPr>
            <w:r>
              <w:rPr>
                <w:sz w:val="20"/>
                <w:szCs w:val="20"/>
              </w:rPr>
              <w:t xml:space="preserve">Original baseline development cost estimate in then-year millions of dollars (the un-logged level of ln_baseline_cost), retained for auditability</w:t>
            </w:r>
          </w:p>
        </w:tc>
        <w:tc>
          <w:tcPr>
            <w:tcW w:w="0" w:type="auto"/>
          </w:tcPr>
          <w:p>
            <w:pPr>
              <w:spacing w:line="240" w:lineRule="auto" w:before="0" w:after="0"/>
              <w:pStyle w:val="Compact"/>
            </w:pPr>
            <w:r>
              <w:rPr>
                <w:sz w:val="20"/>
                <w:szCs w:val="20"/>
              </w:rPr>
              <w:t xml:space="preserve">GAO-22-105212 Table 6 original baseline development cost column</w:t>
            </w:r>
          </w:p>
        </w:tc>
      </w:tr>
    </w:tbl>
    <w:bookmarkEnd w:id="80"/>
    <w:bookmarkStart w:id="81"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-1.6446</w:t>
            </w:r>
          </w:p>
        </w:tc>
        <w:tc>
          <w:tcPr>
            <w:tcW w:w="0" w:type="auto"/>
          </w:tcPr>
          <w:p>
            <w:pPr>
              <w:spacing w:line="240" w:lineRule="auto" w:before="0" w:after="0"/>
              <w:pStyle w:val="Compact"/>
            </w:pPr>
            <w:r>
              <w:rPr>
                <w:sz w:val="20"/>
                <w:szCs w:val="20"/>
              </w:rPr>
              <w:t xml:space="preserve">71.554</w:t>
            </w:r>
          </w:p>
        </w:tc>
        <w:tc>
          <w:tcPr>
            <w:tcW w:w="0" w:type="auto"/>
          </w:tcPr>
          <w:p>
            <w:pPr>
              <w:spacing w:line="240" w:lineRule="auto" w:before="0" w:after="0"/>
              <w:pStyle w:val="Compact"/>
            </w:pPr>
            <w:r>
              <w:rPr>
                <w:sz w:val="20"/>
                <w:szCs w:val="20"/>
              </w:rPr>
              <w:t xml:space="preserve">-0.023</w:t>
            </w:r>
          </w:p>
        </w:tc>
        <w:tc>
          <w:tcPr>
            <w:tcW w:w="0" w:type="auto"/>
          </w:tcPr>
          <w:p>
            <w:pPr>
              <w:spacing w:line="240" w:lineRule="auto" w:before="0" w:after="0"/>
              <w:pStyle w:val="Compact"/>
            </w:pPr>
            <w:r>
              <w:rPr>
                <w:sz w:val="20"/>
                <w:szCs w:val="20"/>
              </w:rPr>
              <w:t xml:space="preserve">0.9817</w:t>
            </w:r>
          </w:p>
        </w:tc>
        <w:tc>
          <w:tcPr>
            <w:tcW w:w="0" w:type="auto"/>
          </w:tcPr>
          <w:p>
            <w:pPr>
              <w:spacing w:line="240" w:lineRule="auto" w:before="0" w:after="0"/>
              <w:pStyle w:val="Compact"/>
            </w:pPr>
            <w:r>
              <w:rPr>
                <w:sz w:val="20"/>
                <w:szCs w:val="20"/>
              </w:rPr>
              <w:t xml:space="preserve">[-141.8879, 138.5987]</w:t>
            </w:r>
          </w:p>
        </w:tc>
      </w:tr>
      <w:tr>
        <w:tc>
          <w:tcPr>
            <w:tcW w:w="0" w:type="auto"/>
          </w:tcPr>
          <w:p>
            <w:pPr>
              <w:spacing w:line="240" w:lineRule="auto" w:before="0" w:after="0"/>
              <w:pStyle w:val="Compact"/>
            </w:pPr>
            <w:r>
              <w:rPr>
                <w:sz w:val="20"/>
                <w:szCs w:val="20"/>
              </w:rPr>
              <w:t xml:space="preserve">reorg</w:t>
            </w:r>
          </w:p>
        </w:tc>
        <w:tc>
          <w:tcPr>
            <w:tcW w:w="0" w:type="auto"/>
          </w:tcPr>
          <w:p>
            <w:pPr>
              <w:spacing w:line="240" w:lineRule="auto" w:before="0" w:after="0"/>
              <w:pStyle w:val="Compact"/>
            </w:pPr>
            <w:r>
              <w:rPr>
                <w:sz w:val="20"/>
                <w:szCs w:val="20"/>
              </w:rPr>
              <w:t xml:space="preserve">5.6782</w:t>
            </w:r>
          </w:p>
        </w:tc>
        <w:tc>
          <w:tcPr>
            <w:tcW w:w="0" w:type="auto"/>
          </w:tcPr>
          <w:p>
            <w:pPr>
              <w:spacing w:line="240" w:lineRule="auto" w:before="0" w:after="0"/>
              <w:pStyle w:val="Compact"/>
            </w:pPr>
            <w:r>
              <w:rPr>
                <w:sz w:val="20"/>
                <w:szCs w:val="20"/>
              </w:rPr>
              <w:t xml:space="preserve">19.7774</w:t>
            </w:r>
          </w:p>
        </w:tc>
        <w:tc>
          <w:tcPr>
            <w:tcW w:w="0" w:type="auto"/>
          </w:tcPr>
          <w:p>
            <w:pPr>
              <w:spacing w:line="240" w:lineRule="auto" w:before="0" w:after="0"/>
              <w:pStyle w:val="Compact"/>
            </w:pPr>
            <w:r>
              <w:rPr>
                <w:sz w:val="20"/>
                <w:szCs w:val="20"/>
              </w:rPr>
              <w:t xml:space="preserve">0.2871</w:t>
            </w:r>
          </w:p>
        </w:tc>
        <w:tc>
          <w:tcPr>
            <w:tcW w:w="0" w:type="auto"/>
          </w:tcPr>
          <w:p>
            <w:pPr>
              <w:spacing w:line="240" w:lineRule="auto" w:before="0" w:after="0"/>
              <w:pStyle w:val="Compact"/>
            </w:pPr>
            <w:r>
              <w:rPr>
                <w:sz w:val="20"/>
                <w:szCs w:val="20"/>
              </w:rPr>
              <w:t xml:space="preserve">0.774</w:t>
            </w:r>
          </w:p>
        </w:tc>
        <w:tc>
          <w:tcPr>
            <w:tcW w:w="0" w:type="auto"/>
          </w:tcPr>
          <w:p>
            <w:pPr>
              <w:spacing w:line="240" w:lineRule="auto" w:before="0" w:after="0"/>
              <w:pStyle w:val="Compact"/>
            </w:pPr>
            <w:r>
              <w:rPr>
                <w:sz w:val="20"/>
                <w:szCs w:val="20"/>
              </w:rPr>
              <w:t xml:space="preserve">[-33.0847, 44.4412]</w:t>
            </w:r>
          </w:p>
        </w:tc>
      </w:tr>
      <w:tr>
        <w:tc>
          <w:tcPr>
            <w:tcW w:w="0" w:type="auto"/>
          </w:tcPr>
          <w:p>
            <w:pPr>
              <w:spacing w:line="240" w:lineRule="auto" w:before="0" w:after="0"/>
              <w:pStyle w:val="Compact"/>
            </w:pPr>
            <w:r>
              <w:rPr>
                <w:sz w:val="20"/>
                <w:szCs w:val="20"/>
              </w:rPr>
              <w:t xml:space="preserve">ln_baseline_cost</w:t>
            </w:r>
          </w:p>
        </w:tc>
        <w:tc>
          <w:tcPr>
            <w:tcW w:w="0" w:type="auto"/>
          </w:tcPr>
          <w:p>
            <w:pPr>
              <w:spacing w:line="240" w:lineRule="auto" w:before="0" w:after="0"/>
              <w:pStyle w:val="Compact"/>
            </w:pPr>
            <w:r>
              <w:rPr>
                <w:sz w:val="20"/>
                <w:szCs w:val="20"/>
              </w:rPr>
              <w:t xml:space="preserve">3.9911</w:t>
            </w:r>
          </w:p>
        </w:tc>
        <w:tc>
          <w:tcPr>
            <w:tcW w:w="0" w:type="auto"/>
          </w:tcPr>
          <w:p>
            <w:pPr>
              <w:spacing w:line="240" w:lineRule="auto" w:before="0" w:after="0"/>
              <w:pStyle w:val="Compact"/>
            </w:pPr>
            <w:r>
              <w:rPr>
                <w:sz w:val="20"/>
                <w:szCs w:val="20"/>
              </w:rPr>
              <w:t xml:space="preserve">11.5028</w:t>
            </w:r>
          </w:p>
        </w:tc>
        <w:tc>
          <w:tcPr>
            <w:tcW w:w="0" w:type="auto"/>
          </w:tcPr>
          <w:p>
            <w:pPr>
              <w:spacing w:line="240" w:lineRule="auto" w:before="0" w:after="0"/>
              <w:pStyle w:val="Compact"/>
            </w:pPr>
            <w:r>
              <w:rPr>
                <w:sz w:val="20"/>
                <w:szCs w:val="20"/>
              </w:rPr>
              <w:t xml:space="preserve">0.347</w:t>
            </w:r>
          </w:p>
        </w:tc>
        <w:tc>
          <w:tcPr>
            <w:tcW w:w="0" w:type="auto"/>
          </w:tcPr>
          <w:p>
            <w:pPr>
              <w:spacing w:line="240" w:lineRule="auto" w:before="0" w:after="0"/>
              <w:pStyle w:val="Compact"/>
            </w:pPr>
            <w:r>
              <w:rPr>
                <w:sz w:val="20"/>
                <w:szCs w:val="20"/>
              </w:rPr>
              <w:t xml:space="preserve">0.7286</w:t>
            </w:r>
          </w:p>
        </w:tc>
        <w:tc>
          <w:tcPr>
            <w:tcW w:w="0" w:type="auto"/>
          </w:tcPr>
          <w:p>
            <w:pPr>
              <w:spacing w:line="240" w:lineRule="auto" w:before="0" w:after="0"/>
              <w:pStyle w:val="Compact"/>
            </w:pPr>
            <w:r>
              <w:rPr>
                <w:sz w:val="20"/>
                <w:szCs w:val="20"/>
              </w:rPr>
              <w:t xml:space="preserve">[-18.554, 26.5362]</w:t>
            </w:r>
          </w:p>
        </w:tc>
      </w:tr>
    </w:tbl>
    <w:p>
      <w:pPr>
        <w:pStyle w:val="BodyText"/>
      </w:pPr>
      <w:r>
        <w:t xml:space="preserve">Fit: N = 24 R2 = 0.0139 R2_adj = -0.08 F = 0.4414 F_p = 0.649</w:t>
      </w:r>
    </w:p>
    <w:bookmarkEnd w:id="81"/>
    <w:bookmarkEnd w:id="82"/>
    <w:bookmarkEnd w:id="83"/>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5" Target="media/rId75.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2026-06-25T14:25:53Z</dcterms:created>
  <dcterms:modified xsi:type="dcterms:W3CDTF">2026-06-25T14:25:53Z</dcterms:modified>
</cp:coreProperties>
</file>

<file path=docProps/custom.xml><?xml version="1.0" encoding="utf-8"?>
<Properties xmlns="http://schemas.openxmlformats.org/officeDocument/2006/custom-properties" xmlns:vt="http://schemas.openxmlformats.org/officeDocument/2006/docPropsVTypes"/>
</file>