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STRUCTURE FOLLOWS STRATEGY IN ORBIT: DOES REORGANIZING A SPACE ENTERPRISE CHANGE PROGRAM EXECUTION OUTCOMES?</w:t>
      </w:r>
    </w:p>
    <w:p>
      <w:pPr>
        <w:jc w:val="center"/>
      </w:pPr>
    </w:p>
    <w:p>
      <w:pPr>
        <w:jc w:val="center"/>
      </w:pPr>
      <w:r>
        <w:rPr>
          <w:rFonts w:ascii="Times New Roman" w:hAnsi="Times New Roman"/>
          <w:sz w:val="24"/>
        </w:rPr>
        <w:t>by</w:t>
      </w:r>
    </w:p>
    <w:p>
      <w:pPr>
        <w:jc w:val="center"/>
      </w:pPr>
      <w:r>
        <w:rPr>
          <w:rFonts w:ascii="Times New Roman" w:hAnsi="Times New Roman"/>
          <w:b/>
          <w:sz w:val="28"/>
        </w:rPr>
        <w:t>Nia Frost</w:t>
      </w:r>
    </w:p>
    <w:p>
      <w:pPr>
        <w:jc w:val="center"/>
      </w:pPr>
      <w:r>
        <w:rPr>
          <w:rFonts w:ascii="Times New Roman" w:hAnsi="Times New Roman"/>
          <w:sz w:val="24"/>
        </w:rPr>
        <w:t>1B-MPM-047</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reorganization-reflex"/>
    <w:p>
      <w:pPr>
        <w:pStyle w:val="Heading2"/>
        <w:spacing w:line="480" w:lineRule="auto"/>
      </w:pPr>
      <w:r>
        <w:t xml:space="preserve">1.1 The Reorganization Reflex</w:t>
      </w:r>
    </w:p>
    <w:p>
      <w:pPr>
        <w:pStyle w:val="FirstParagraph"/>
        <w:spacing w:line="480" w:lineRule="auto"/>
      </w:pPr>
      <w:r>
        <w:t xml:space="preserve">Space enterprises reorganize, and the schedule on which they do it owes more to leadership turnover and the political season than to any body of evidence. They consolidate directorates, stand up new program offices, recharter acquisition authorities, and redraw reporting lines, and each of these moves is justified by a single recurring premise, which is that a better organizational structure will produce better mission program execution. That premise is rarely stated as a hypothesis. It is treated instead as a settled proposition, a piece of received managerial wisdom so familiar that the burden of proof has quietly migrated onto anyone who would question it. When a directorate is split, a program office is rechartered, or an institution is directed to stand down its management teams and reform its processes, the implicit promise in each case is that the program will subsequently run closer to its commitments. This dissertation interrogates that promise and asks whether the evidence has ever supported it.</w:t>
      </w:r>
    </w:p>
    <w:p>
      <w:pPr>
        <w:pStyle w:val="BodyText"/>
        <w:spacing w:line="480" w:lineRule="auto"/>
        <w:ind w:firstLine="720"/>
      </w:pPr>
      <w:r>
        <w:t xml:space="preserve">The reflex has a respectable intellectual lineage, and it is worth granting the point before questioning it. It descends from the Chandlerian proposition that structure follows strategy, and from the enterprise-architecture corollary that architecture is the joint design of strategy, business, and technology</w:t>
      </w:r>
      <w:r>
        <w:t xml:space="preserve"> </w:t>
      </w:r>
      <w:hyperlink w:anchor="ref-1">
        <w:r>
          <w:rPr>
            <w:rStyle w:val="Hyperlink"/>
          </w:rPr>
          <w:t xml:space="preserve">[1]</w:t>
        </w:r>
      </w:hyperlink>
      <w:r>
        <w:t xml:space="preserve">. Carried into the space domain, this logic treats organizational form as an instrument that a leader tunes to mission need, and it has been operationalized in reference-architecture practice for space surveillance enterprises, where structure is documented precisely so that it can be redrawn against mission need</w:t>
      </w:r>
      <w:r>
        <w:t xml:space="preserve"> </w:t>
      </w:r>
      <w:hyperlink w:anchor="ref-3">
        <w:r>
          <w:rPr>
            <w:rStyle w:val="Hyperlink"/>
          </w:rPr>
          <w:t xml:space="preserve">[3]</w:t>
        </w:r>
      </w:hyperlink>
      <w:r>
        <w:t xml:space="preserve">, and instrumented in experimentation environments built to let enterprises reconfigure how sensor and analytic functions are organized</w:t>
      </w:r>
      <w:r>
        <w:t xml:space="preserve"> </w:t>
      </w:r>
      <w:hyperlink w:anchor="ref-4">
        <w:r>
          <w:rPr>
            <w:rStyle w:val="Hyperlink"/>
          </w:rPr>
          <w:t xml:space="preserve">[4]</w:t>
        </w:r>
      </w:hyperlink>
      <w:r>
        <w:t xml:space="preserve">. The space command-and-control modernization literature goes a step further, treating the standing-up of new program constructs and acquisition cultures as itself the lever for faster delivery</w:t>
      </w:r>
      <w:r>
        <w:t xml:space="preserve"> </w:t>
      </w:r>
      <w:hyperlink w:anchor="ref-2">
        <w:r>
          <w:rPr>
            <w:rStyle w:val="Hyperlink"/>
          </w:rPr>
          <w:t xml:space="preserve">[2]</w:t>
        </w:r>
      </w:hyperlink>
      <w:r>
        <w:t xml:space="preserve">, while the space economy literature reinforces the reflex from the other side, casting organizational structure as a strategic and economic variable whose coordination is consequential for enterprise performance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p>
    <w:p>
      <w:pPr>
        <w:pStyle w:val="BodyText"/>
        <w:spacing w:line="480" w:lineRule="auto"/>
        <w:ind w:firstLine="720"/>
      </w:pPr>
      <w:r>
        <w:t xml:space="preserve">A shared assumption runs through this body of work, and so does a shared silence. The assumption is that redesigning structure changes execution; the silence is on whether it actually does. The descriptive and normative literatures specify how to model a space enterprise, how to document it, and how to argue for one form over another, yet none of them estimates the downstream consequence of an architecture change on the outcomes a program manager is held to, which are cost growth and schedule slip. The inference that practitioners draw, and the inference the literature licenses, runs in exactly the direction a decision-maker should distrust.</w:t>
      </w:r>
    </w:p>
    <w:bookmarkEnd w:id="61"/>
    <w:bookmarkStart w:id="62" w:name="the-stakes-for-nasa-and-jpl"/>
    <w:p>
      <w:pPr>
        <w:pStyle w:val="Heading2"/>
        <w:spacing w:line="480" w:lineRule="auto"/>
      </w:pPr>
      <w:r>
        <w:t xml:space="preserve">1.2 The Stakes for NASA and JPL</w:t>
      </w:r>
    </w:p>
    <w:p>
      <w:pPr>
        <w:pStyle w:val="FirstParagraph"/>
        <w:spacing w:line="480" w:lineRule="auto"/>
      </w:pPr>
      <w:r>
        <w:t xml:space="preserve">None of this is abstract, because the portfolio in question is a matter of national consequence. The United States civil-space portfolio is the most heavily documented acquisition record in the world, and it is also a record of recurring cost growth and schedule slip on programs the country cares about. The Government Accountability Office publishes an annual assessment of NASA’s major projects that records, for each project and against the cost baseline set at its confirmation review, the cumulative development cost growth and the months of schedule delay</w:t>
      </w:r>
      <w:r>
        <w:t xml:space="preserve"> </w:t>
      </w:r>
      <w:hyperlink w:anchor="ref-9">
        <w:r>
          <w:rPr>
            <w:rStyle w:val="Hyperlink"/>
          </w:rPr>
          <w:t xml:space="preserve">[9]</w:t>
        </w:r>
      </w:hyperlink>
      <w:r>
        <w:t xml:space="preserve">, and that series exists because the problem is chronic rather than occasional. When a flagship science mission breaches its baseline, the overrun is absorbed by the rest of the portfolio, displacing or delaying missions that never had a vote in the matter; when a crewed exploration program slips, the slip propagates through an architecture of dependent systems and through the budget lines that fund them.</w:t>
      </w:r>
    </w:p>
    <w:p>
      <w:pPr>
        <w:pStyle w:val="BodyText"/>
        <w:spacing w:line="480" w:lineRule="auto"/>
        <w:ind w:firstLine="720"/>
      </w:pPr>
      <w:r>
        <w:t xml:space="preserve">Against this backdrop, reorganization is one of the few levers leadership can pull without an act of Congress, and so it is pulled often.</w:t>
      </w:r>
    </w:p>
    <w:p>
      <w:pPr>
        <w:pStyle w:val="BodyText"/>
        <w:spacing w:line="480" w:lineRule="auto"/>
        <w:ind w:firstLine="720"/>
      </w:pPr>
      <w:r>
        <w:t xml:space="preserve">In September 2021, NASA split the Human Exploration and Operations Mission Directorate into two new directorates while leaving its science and aeronautics structures intact, a dated and externally documented restructuring whose reach is precisely known. At the institutional level, the Jet Propulsion Laboratory underwent a documented reorganization following the 2022 independent review of the Psyche mission, an episode in which the review board tied the program’s trouble to staffing and communication problems and NASA responded by directing the institution to reform its management and reallocate engineering teams across missions</w:t>
      </w:r>
      <w:r>
        <w:t xml:space="preserve"> </w:t>
      </w:r>
      <w:hyperlink w:anchor="ref-9">
        <w:r>
          <w:rPr>
            <w:rStyle w:val="Hyperlink"/>
          </w:rPr>
          <w:t xml:space="preserve">[9]</w:t>
        </w:r>
      </w:hyperlink>
      <w:r>
        <w:t xml:space="preserve">. That second episode is instructive precisely because it exposes the mechanism the reflex ignores: protecting one program by reallocating teams away from its siblings does not create execution capacity, it transfers risk across the portfolio. JPL, as the agency’s principal center for robotic planetary science, sits at the intersection where institutional restructuring and program execution are most tightly coupled, which makes it the natural setting in which the question this dissertation poses can be observed.</w:t>
      </w:r>
    </w:p>
    <w:p>
      <w:pPr>
        <w:pStyle w:val="BodyText"/>
        <w:spacing w:line="480" w:lineRule="auto"/>
        <w:ind w:firstLine="720"/>
      </w:pPr>
      <w:r>
        <w:t xml:space="preserve">Operational stakes follow directly, because reorganizations are expensive. They impose transition costs, reset institutional knowledge, disrupt program teams mid-flight, and drain leadership attention that might otherwise go to the technical content of the mission.</w:t>
      </w:r>
    </w:p>
    <w:p>
      <w:pPr>
        <w:pStyle w:val="BodyText"/>
        <w:spacing w:line="480" w:lineRule="auto"/>
        <w:ind w:firstLine="720"/>
      </w:pPr>
      <w:r>
        <w:t xml:space="preserve">The two branches of the question cut in opposite directions. If a reorganization does not move execution outcomes, then the enterprise is paying a recurring tax for a placebo, and every program team subjected to a mid-development restructuring has absorbed a disruption with no compensating return. If a reorganization does move execution outcomes, the policy-relevant questions sharpen rather than vanish, because the enterprise must then ask which kind of restructuring pays, for which class of program, and under what budget conditions. Either answer is consequential for NASA and JPL, and neither answer can be read off the existing literature, because the existing literature has not run the test.</w:t>
      </w:r>
    </w:p>
    <w:bookmarkEnd w:id="62"/>
    <w:bookmarkStart w:id="63" w:name="the-gap-between-two-literatures"/>
    <w:p>
      <w:pPr>
        <w:pStyle w:val="Heading2"/>
        <w:spacing w:line="480" w:lineRule="auto"/>
      </w:pPr>
      <w:r>
        <w:t xml:space="preserve">1.3 The Gap Between Two Literatures</w:t>
      </w:r>
    </w:p>
    <w:p>
      <w:pPr>
        <w:pStyle w:val="FirstParagraph"/>
        <w:spacing w:line="480" w:lineRule="auto"/>
      </w:pPr>
      <w:r>
        <w:t xml:space="preserve">This dissertation’s contribution lives in the gap between two literatures that have never been brought into contact. On one side sits the space-enterprise domain literature, which is rich, specific, and almost entirely qualitative on the question of organizational change. It establishes beyond dispute that space enterprises are designed and redesigned deliberately, and that the design act is treated as strategically consequential: the enterprise-architecture treatments specify how to model and document a space surveillance enterprise</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 </w:t>
      </w:r>
      <w:r>
        <w:t xml:space="preserve">and how to instrument it for reconfiguration</w:t>
      </w:r>
      <w:r>
        <w:t xml:space="preserve"> </w:t>
      </w:r>
      <w:hyperlink w:anchor="ref-4">
        <w:r>
          <w:rPr>
            <w:rStyle w:val="Hyperlink"/>
          </w:rPr>
          <w:t xml:space="preserve">[4]</w:t>
        </w:r>
      </w:hyperlink>
      <w:r>
        <w:t xml:space="preserve">, the modernization case studies narrate organizational transformation as a delivery accelerant</w:t>
      </w:r>
      <w:r>
        <w:t xml:space="preserve"> </w:t>
      </w:r>
      <w:hyperlink w:anchor="ref-2">
        <w:r>
          <w:rPr>
            <w:rStyle w:val="Hyperlink"/>
          </w:rPr>
          <w:t xml:space="preserve">[2]</w:t>
        </w:r>
      </w:hyperlink>
      <w:r>
        <w:t xml:space="preserve">, and the space economy sources frame organizational structure as an economic and strategic variable while calling for the kind of statistical analysis that dedicated agencies are positioned to perform</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What none of these sources contains is a control group, a counterfactual, or an identification strategy. They describe the redesign and assert its merit; they do not estimate its effect, and the improvement a modernization narrative reports cannot be separated from concurrent budget increases, requirement changes, or the selection of already-troubled programs into reform.</w:t>
      </w:r>
    </w:p>
    <w:p>
      <w:pPr>
        <w:pStyle w:val="BodyText"/>
        <w:spacing w:line="480" w:lineRule="auto"/>
        <w:ind w:firstLine="720"/>
      </w:pPr>
      <w:r>
        <w:t xml:space="preserve">On the other side sits the econometric method literature for causal inference from observational panel data, which has matured dramatically over the past decade. The tools for estimating the effect of a treatment that arrives at different times for different units, while correctly handling the heterogeneity of treatment effects that earlier two-way fixed-effects estimators silently mishandled, are now well developed and widely validated. Survival analysis offers a complementary apparatus for the timing of failure, modeling the rate at which an at-risk program crosses a breach threshold while using rather than discarding the programs that reach completion without breaching. This methodological literature is mature, and it has not, however, been pointed at the space-enterprise reorganization question. The domain literature assumes the effect the method literature could measure, and the method literature measures effects in domains far from this one.</w:t>
      </w:r>
    </w:p>
    <w:p>
      <w:pPr>
        <w:pStyle w:val="BodyText"/>
        <w:spacing w:line="480" w:lineRule="auto"/>
        <w:ind w:firstLine="720"/>
      </w:pPr>
      <w:r>
        <w:t xml:space="preserve">The gap is therefore specific rather than diffuse, and it is addressable. No identification-disciplined estimate of the effect of space-enterprise reorganization on program execution outcomes exists anywhere in the record. The descriptive and normative literatures assume the effect, the quantitative literature has not measured it, and the two have never been joined.</w:t>
      </w:r>
    </w:p>
    <w:p>
      <w:pPr>
        <w:pStyle w:val="BodyText"/>
        <w:spacing w:line="480" w:lineRule="auto"/>
        <w:ind w:firstLine="720"/>
      </w:pPr>
      <w:r>
        <w:t xml:space="preserve">This dissertation occupies exactly that vacancy. It brings the heterogeneity-robust panel and survival estimators of modern econometrics to bear on the one civil-space portfolio whose cost and schedule outcomes are public, auditable, and assembled for cross-year comparability</w:t>
      </w:r>
      <w:r>
        <w:t xml:space="preserve"> </w:t>
      </w:r>
      <w:hyperlink w:anchor="ref-9">
        <w:r>
          <w:rPr>
            <w:rStyle w:val="Hyperlink"/>
          </w:rPr>
          <w:t xml:space="preserve">[9]</w:t>
        </w:r>
      </w:hyperlink>
      <w:r>
        <w:t xml:space="preserve">, and it does so under a provenance discipline in which every observation traces to a citable public document.</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This dissertation offers one estimate with one sign test, stated precisely enough to be wrong. Holding mission content, program scale, and the budget environment fixed, a major organizational restructuring of the office responsible for a space acquisition program produces no detectable change in that program’s subsequent cost and schedule execution. That sentence is the null hypothesis, and it is the substantive claim the dissertation puts at risk.</w:t>
      </w:r>
    </w:p>
    <w:p>
      <w:pPr>
        <w:pStyle w:val="BodyText"/>
        <w:spacing w:line="480" w:lineRule="auto"/>
        <w:ind w:firstLine="720"/>
      </w:pPr>
      <w:r>
        <w:rPr>
          <w:b/>
          <w:bCs/>
        </w:rPr>
        <w:t xml:space="preserve">H0 (null):</w:t>
      </w:r>
      <w:r>
        <w:t xml:space="preserve"> </w:t>
      </w:r>
      <w:r>
        <w:t xml:space="preserve">A major organizational restructuring of the office responsible for a space acquisition program produces no change in that program’s subsequent execution outcomes, conditional on program-fixed effects and year-fixed effects in the panel design, and conditional on program scale and mission class in the survival design. In the panel specification, the difference-in-differences coefficient on the post-reorganization indicator is zero; in the survival specification, the hazard ratio on the restructuring indicator is one.</w:t>
      </w:r>
    </w:p>
    <w:p>
      <w:pPr>
        <w:pStyle w:val="BodyText"/>
        <w:spacing w:line="480" w:lineRule="auto"/>
        <w:ind w:firstLine="720"/>
      </w:pPr>
      <w:r>
        <w:rPr>
          <w:b/>
          <w:bCs/>
        </w:rPr>
        <w:t xml:space="preserve">H1 (alternative):</w:t>
      </w:r>
      <w:r>
        <w:t xml:space="preserve"> </w:t>
      </w:r>
      <w:r>
        <w:t xml:space="preserve">Restructuring produces a non-zero change in subsequent execution outcomes under the same conditioning. The difference-in-differences coefficient is distinguishable from zero, and the hazard ratio departs from one, with a positive hazard indicating that restructuring accelerates breach and a negative one indicating that it delays breach.</w:t>
      </w:r>
    </w:p>
    <w:p>
      <w:pPr>
        <w:pStyle w:val="BodyText"/>
        <w:spacing w:line="480" w:lineRule="auto"/>
        <w:ind w:firstLine="720"/>
      </w:pPr>
      <w:r>
        <w:t xml:space="preserve">Falsifiability runs in both directions, and that two-sided property is the heart of the design. A precisely estimated coefficient indistinguishable from zero fails to reject H0 and constitutes the substantive finding that reorganization does not move execution, a finding that would discipline a widely held but weakly evidenced governance reflex. A coefficient bounded away from zero rejects H0 and licenses the secondary, descriptive question of which restructuring archetype carries the effect, distinguishing consolidation from new-office stand-up from authority recharter. The contribution is the coefficient and its confidence interval, interpreted honestly against what the available data could have detected. It is not a narrative, and it does not pretend that a small but fully documented sample can settle what only a larger one could.</w:t>
      </w:r>
    </w:p>
    <w:p>
      <w:pPr>
        <w:pStyle w:val="BodyText"/>
        <w:spacing w:line="480" w:lineRule="auto"/>
        <w:ind w:firstLine="720"/>
      </w:pPr>
      <w:r>
        <w:t xml:space="preserve">Two companion analyses already sketch the shape of the answer and the discipline with which it must be read. A Cox proportional-hazards analysis of baseline-breach timing across twenty-four NASA Category 1 projects places restructured programs at an estimated breach hazard about two and a half times that of comparable unreorganized programs, a point estimate that points toward disruption rather than optimization but whose confidence interval crosses one, so the honest reading is directional rather than confirmatory. A second survival analysis exploiting the dated 2021 directorate split estimates a sharper hazard ratio that rejects the null at conventional levels, but under a disclosed collinearity in which every reorganized program is also a crewed program, so that the estimate is the joint signature of restructuring and mission difficulty and cannot yet be attributed to the reorganization alone. Neither is yet a verdict. These results motivate the central panel design, which exploits the staggered timing of reorganizations across programs to construct the clean counterfactual the cross-sectional designs cannot, and they establish in advance the standard of candor to which the central estimate will be held.</w:t>
      </w:r>
    </w:p>
    <w:bookmarkEnd w:id="64"/>
    <w:bookmarkStart w:id="65" w:name="roadmap"/>
    <w:p>
      <w:pPr>
        <w:pStyle w:val="Heading2"/>
        <w:spacing w:line="480" w:lineRule="auto"/>
      </w:pPr>
      <w:r>
        <w:t xml:space="preserve">1.5 Roadmap</w:t>
      </w:r>
    </w:p>
    <w:p>
      <w:pPr>
        <w:pStyle w:val="FirstParagraph"/>
        <w:spacing w:line="480" w:lineRule="auto"/>
      </w:pPr>
      <w:r>
        <w:t xml:space="preserve">The plan of the work follows the logic just laid out. Chapter 2 reviews the two literatures whose junction this work occupies, the space-enterprise domain literature that assumes the reorganization effect and the econometric method literature that supplies the tools to estimate it, and it develops the theoretical contrast between the optimization mechanism, under which restructuring corrects a misaligned organization and lowers the hazard of trouble, and the disruption mechanism, under which restructuring resets institutional knowledge and raises it. Chapter 3 specifies the data: the Government Accountability Office annual assessments of NASA major projects and the assessments of selected weapon systems for defense space programs, the construction of the cost-growth and schedule-variance outcomes, and the documented protocol by which reorganization dates and archetypes are coded from public sources alone, with the full provenance and replication discipline that the contribution requires. Chapter 4 presents the staggered-adoption difference-in-differences design that constitutes the central identification strategy, the event-study test of parallel pre-trends, the heterogeneity-robust estimator that addresses the known bias of two-way fixed-effects under staggered timing, and the inference procedure. Chapter 5 turns to the survival evidence, reporting the companion analyses of breach timing and reconciling their directional signal with the central panel estimate. Chapter 6 reports the central panel results, including the secondary archetype specification that asks, conditional on rejecting the null, which class of restructuring carries the effect. Chapter 7 confronts the threats to validity that bound every claim in this work, the endogenous timing of treatment, the coded judgment embedded in the treatment definition, the mechanical effects of rebaselining on the outcome, the limited external validity of a panel dominated by large United States programs, and the finite statistical power against which any null must be interpreted. Chapter 8 concludes by stating what the evidence does and does not license a portfolio manager to believe about the next reorganization, and by setting the boundary beyond which the estimate should not be carried.</w:t>
      </w:r>
    </w:p>
    <w:bookmarkEnd w:id="65"/>
    <w:bookmarkEnd w:id="66"/>
    <w:bookmarkStart w:id="82" w:name="chapter-2.-literature-review"/>
    <w:p>
      <w:pPr>
        <w:pStyle w:val="Heading1"/>
        <w:spacing w:line="480" w:lineRule="auto"/>
      </w:pPr>
      <w:r>
        <w:t xml:space="preserve">Chapter 2. Literature Review</w:t>
      </w:r>
    </w:p>
    <w:bookmarkStart w:id="67" w:name="X69e544fcad58af85ff8eb9dabf66c8a6bb273b0"/>
    <w:p>
      <w:pPr>
        <w:pStyle w:val="Heading2"/>
        <w:spacing w:line="480" w:lineRule="auto"/>
      </w:pPr>
      <w:r>
        <w:t xml:space="preserve">2.1 Introduction and the Architecture of This Review</w:t>
      </w:r>
    </w:p>
    <w:p>
      <w:pPr>
        <w:pStyle w:val="FirstParagraph"/>
        <w:spacing w:line="480" w:lineRule="auto"/>
      </w:pPr>
      <w:r>
        <w:t xml:space="preserve">This dissertation occupies the seam between two mature but unjoined bodies of scholarship. The first is the domain technical literature on space enterprises, which concerns how space surveillance, command-and-control, and acquisition organizations are designed, documented, modernized, and reconfigured, and how their cost and schedule outcomes are estimated. The second is the cliometric and econometric methodology literature on causal identification in observational panels, which supplies difference-in-differences under staggered adoption, event-study tests of parallel trends, survival analysis of time-to-failure, and the family of estimators that protect those designs from the biases that destroy naive comparisons. The central claim of this chapter is that the first literature asserts the very causal proposition that the second literature exists to test, and that no published work has yet brought the second to bear on the first for the question of whether reorganizing a space enterprise changes program execution outcomes.</w:t>
      </w:r>
    </w:p>
    <w:p>
      <w:pPr>
        <w:pStyle w:val="BodyText"/>
        <w:spacing w:line="480" w:lineRule="auto"/>
        <w:ind w:firstLine="720"/>
      </w:pPr>
      <w:r>
        <w:t xml:space="preserve">Four movements organize the review, and each maps onto a distinct part of the argument. Section 2.2 surveys the domain technical literature, showing that it treats organizational structure as a deliberate instrument of strategy, documents the act of redesign with great care, and reports performance consequences only descriptively or normatively. Section 2.3 surveys the methodological literature that the design of this dissertation imports, tracing the logic of staggered difference-in-differences, the parallel-trends assumption and its event-study diagnostic, the heterogeneity-robust estimators that correct two-way fixed-effects bias, and the proportional-hazards model that frames the companion timing analyses. Section 2.4 examines the measurement literature that makes execution outcomes auditable, principally the parametric cost-estimation work and the public assessment series on which the data rest. Section 2.5 then synthesizes the two literatures, names the specific gap with precision, and states how the dissertation occupies it. The convention throughout is that the domain literature supplies the substantive object and the prior, while the methodological literature supplies the inferential discipline that the domain literature lacks.</w:t>
      </w:r>
    </w:p>
    <w:bookmarkEnd w:id="67"/>
    <w:bookmarkStart w:id="73" w:name="Xd22b3e3eae9c641f1b7e873c3bdc16823b1353c"/>
    <w:p>
      <w:pPr>
        <w:pStyle w:val="Heading2"/>
        <w:spacing w:line="480" w:lineRule="auto"/>
      </w:pPr>
      <w:r>
        <w:t xml:space="preserve">2.2 The Domain Technical Literature: Structure as a Designed Instrument</w:t>
      </w:r>
    </w:p>
    <w:bookmarkStart w:id="68" w:name="X5896152a7c50567e816676be3334912cb1597d1"/>
    <w:p>
      <w:pPr>
        <w:pStyle w:val="Heading3"/>
        <w:spacing w:line="480" w:lineRule="auto"/>
      </w:pPr>
      <w:r>
        <w:t xml:space="preserve">2.2.1 The Chandlerian Premise in Its Enterprise-Architecture Form</w:t>
      </w:r>
    </w:p>
    <w:p>
      <w:pPr>
        <w:pStyle w:val="FirstParagraph"/>
        <w:spacing w:line="480" w:lineRule="auto"/>
      </w:pPr>
      <w:r>
        <w:t xml:space="preserve">At the foundation of the domain literature sits the proposition that organizational form is an instrument of strategy, a claim that descends from the Chandlerian thesis that structure follows strategy and that has been carried into the space domain through the enterprise-architecture tradition. The Carnegie Mellon formulation, under which enterprise architecture equals the joint design of strategy, business, and technology, encodes this proposition directly and has been operationalized in space-domain reference-architecture work</w:t>
      </w:r>
      <w:r>
        <w:t xml:space="preserve"> </w:t>
      </w:r>
      <w:hyperlink w:anchor="ref-1">
        <w:r>
          <w:rPr>
            <w:rStyle w:val="Hyperlink"/>
          </w:rPr>
          <w:t xml:space="preserve">[1]</w:t>
        </w:r>
      </w:hyperlink>
      <w:r>
        <w:t xml:space="preserve">. The force of this formulation for the present study is that it does not merely describe an organization but prescribes that strategy, business processes, and technology be co-designed so that structure serves mission, which means the architecture-as-instrument view carries an implicit and falsifiable corollary: a deliberate change in structure, undertaken in service of strategy, should produce a measurable downstream consequence in how the enterprise performs. The domain literature embraces the premise enthusiastically while leaving the corollary untested.</w:t>
      </w:r>
    </w:p>
    <w:p>
      <w:pPr>
        <w:pStyle w:val="BodyText"/>
        <w:spacing w:line="480" w:lineRule="auto"/>
        <w:ind w:firstLine="720"/>
      </w:pPr>
      <w:r>
        <w:t xml:space="preserve">A second, economic strand reinforces the premise by casting organizational structure as a strategic and economic variable. Weinzierl’s treatment of the space economy frames the coordination of an enterprise’s structure as a consequential strategic act and analyzes the organizational and economic mechanisms by which high-technology space enterprises are managed</w:t>
      </w:r>
      <w:r>
        <w:t xml:space="preserve"> </w:t>
      </w:r>
      <w:hyperlink w:anchor="ref-5">
        <w:r>
          <w:rPr>
            <w:rStyle w:val="Hyperlink"/>
          </w:rPr>
          <w:t xml:space="preserve">[5]</w:t>
        </w:r>
      </w:hyperlink>
      <w:r>
        <w:t xml:space="preserve">. The argument there is normative and analytic rather than empirical, because structure is argued to matter through the incentive and coordination problems it resolves rather than through a measured effect on execution. The forecasting literature on the space economy similarly positions dedicated agencies as the natural locus for statistical analysis of enterprise performance, calling for exactly the kind of quantitative work that has not yet been performed for the reorganization question</w:t>
      </w:r>
      <w:r>
        <w:t xml:space="preserve"> </w:t>
      </w:r>
      <w:hyperlink w:anchor="ref-6">
        <w:r>
          <w:rPr>
            <w:rStyle w:val="Hyperlink"/>
          </w:rPr>
          <w:t xml:space="preserve">[6]</w:t>
        </w:r>
      </w:hyperlink>
      <w:r>
        <w:t xml:space="preserve">. The economic strand thus supplies both the prior that structure should matter and the explicit invitation to measure whether it does, yet it stops short of the measurement itself.</w:t>
      </w:r>
    </w:p>
    <w:bookmarkEnd w:id="68"/>
    <w:bookmarkStart w:id="69" w:name="X93094d980af88cf8bd8ca7d2e632fc5998cc8c2"/>
    <w:p>
      <w:pPr>
        <w:pStyle w:val="Heading3"/>
        <w:spacing w:line="480" w:lineRule="auto"/>
      </w:pPr>
      <w:r>
        <w:t xml:space="preserve">2.2.2 Reference Architecture and the Documentation of Structure</w:t>
      </w:r>
    </w:p>
    <w:p>
      <w:pPr>
        <w:pStyle w:val="FirstParagraph"/>
        <w:spacing w:line="480" w:lineRule="auto"/>
      </w:pPr>
      <w:r>
        <w:t xml:space="preserve">A substantial portion of the domain literature is devoted to the disciplined documentation of space-enterprise structure, principally for space surveillance and space situational awareness. Gans and Barnhart’s procedural account of building an architecture for space surveillance projects sets out a stepwise method for modeling an enterprise so that its structure can be inspected and, critically, redrawn against mission need</w:t>
      </w:r>
      <w:r>
        <w:t xml:space="preserve"> </w:t>
      </w:r>
      <w:hyperlink w:anchor="ref-3">
        <w:r>
          <w:rPr>
            <w:rStyle w:val="Hyperlink"/>
          </w:rPr>
          <w:t xml:space="preserve">[3]</w:t>
        </w:r>
      </w:hyperlink>
      <w:r>
        <w:t xml:space="preserve">,</w:t>
      </w:r>
      <w:r>
        <w:t xml:space="preserve"> </w:t>
      </w:r>
      <w:hyperlink w:anchor="ref-12">
        <w:r>
          <w:rPr>
            <w:rStyle w:val="Hyperlink"/>
          </w:rPr>
          <w:t xml:space="preserve">[12]</w:t>
        </w:r>
      </w:hyperlink>
      <w:r>
        <w:t xml:space="preserve">. The very purpose of such reference-architecture work is to make structure a manipulable object: an enterprise that has been formally documented can be deliberately reorganized because its functions, interfaces, and reporting relationships have been rendered explicit. This literature is therefore the practical machinery behind the architecture-as-instrument premise. It tells a decision-maker how to redraw structure but is silent on whether redrawing it changes execution.</w:t>
      </w:r>
    </w:p>
    <w:p>
      <w:pPr>
        <w:pStyle w:val="BodyText"/>
        <w:spacing w:line="480" w:lineRule="auto"/>
        <w:ind w:firstLine="720"/>
      </w:pPr>
      <w:r>
        <w:t xml:space="preserve">Data-foundation work extends this documentary impulse to the information layer of the enterprise. The Joint Space Operations Center Mission System common data model work establishes a shared semantic foundation so that the structure of data sharing across an enterprise can itself be engineered for interoperability</w:t>
      </w:r>
      <w:r>
        <w:t xml:space="preserve"> </w:t>
      </w:r>
      <w:hyperlink w:anchor="ref-7">
        <w:r>
          <w:rPr>
            <w:rStyle w:val="Hyperlink"/>
          </w:rPr>
          <w:t xml:space="preserve">[7]</w:t>
        </w:r>
      </w:hyperlink>
      <w:r>
        <w:t xml:space="preserve">,</w:t>
      </w:r>
      <w:r>
        <w:t xml:space="preserve"> </w:t>
      </w:r>
      <w:hyperlink w:anchor="ref-17">
        <w:r>
          <w:rPr>
            <w:rStyle w:val="Hyperlink"/>
          </w:rPr>
          <w:t xml:space="preserve">[17]</w:t>
        </w:r>
      </w:hyperlink>
      <w:r>
        <w:t xml:space="preserve">. Raygan’s proposal for an international information system for orbital space data frames the definition of functional capabilities as the prerequisite for organizing a large enterprise around shared data</w:t>
      </w:r>
      <w:r>
        <w:t xml:space="preserve"> </w:t>
      </w:r>
      <w:hyperlink w:anchor="ref-13">
        <w:r>
          <w:rPr>
            <w:rStyle w:val="Hyperlink"/>
          </w:rPr>
          <w:t xml:space="preserve">[13]</w:t>
        </w:r>
      </w:hyperlink>
      <w:r>
        <w:t xml:space="preserve">. These contributions treat the architecture of information flow as an organizational design choice on par with reporting lines, and they extend the premise that structure is a designed instrument from the human organization to its data substrate. As with the reference-architecture work, the consequence of any particular design for downstream cost or schedule is assumed rather than estimated.</w:t>
      </w:r>
    </w:p>
    <w:p>
      <w:pPr>
        <w:pStyle w:val="BodyText"/>
        <w:spacing w:line="480" w:lineRule="auto"/>
        <w:ind w:firstLine="720"/>
      </w:pPr>
      <w:r>
        <w:t xml:space="preserve">Cognitive and human-factors research completes the documentary picture. The cognitive task analysis of the Joint Space Operations Center treats the organization of operator tasks and analytic functions as a design variable whose configuration shapes enterprise effectiveness</w:t>
      </w:r>
      <w:r>
        <w:t xml:space="preserve"> </w:t>
      </w:r>
      <w:hyperlink w:anchor="ref-14">
        <w:r>
          <w:rPr>
            <w:rStyle w:val="Hyperlink"/>
          </w:rPr>
          <w:t xml:space="preserve">[14]</w:t>
        </w:r>
      </w:hyperlink>
      <w:r>
        <w:t xml:space="preserve">. This work makes explicit that organizational structure reaches down to the level of how individual analytic functions are arranged, and that this arrangement is something a designer chooses. It thereby broadens the scope of the structure-as-instrument premise without supplying a performance estimate that would test it.</w:t>
      </w:r>
    </w:p>
    <w:bookmarkEnd w:id="69"/>
    <w:bookmarkStart w:id="70" w:name="X08d91e0ed69cb708215c973533d1ee43572647b"/>
    <w:p>
      <w:pPr>
        <w:pStyle w:val="Heading3"/>
        <w:spacing w:line="480" w:lineRule="auto"/>
      </w:pPr>
      <w:r>
        <w:t xml:space="preserve">2.2.3 Modernization Narratives: Restructuring as Delivery Accelerant</w:t>
      </w:r>
    </w:p>
    <w:p>
      <w:pPr>
        <w:pStyle w:val="FirstParagraph"/>
        <w:spacing w:line="480" w:lineRule="auto"/>
      </w:pPr>
      <w:r>
        <w:t xml:space="preserve">Where the reference-architecture literature documents structure, the modernization literature acts on it and reports the result. The Space Command and Control program account treats the standing-up of new program constructs and the deliberate adoption of a new acquisition culture as themselves the lever for faster capability delivery</w:t>
      </w:r>
      <w:r>
        <w:t xml:space="preserve"> </w:t>
      </w:r>
      <w:hyperlink w:anchor="ref-2">
        <w:r>
          <w:rPr>
            <w:rStyle w:val="Hyperlink"/>
          </w:rPr>
          <w:t xml:space="preserve">[2]</w:t>
        </w:r>
      </w:hyperlink>
      <w:r>
        <w:t xml:space="preserve">. This is the domain literature at its most assertive about the causal proposition: organizational and process redesign is presented as the mechanism that accelerated delivery. The presentation is a case study. It has no control group and no pre-post identification design. The improvement it reports cannot be separated from concurrent budget increases, requirement changes, or the selection of an already-prioritized program into reform. The modernization narrative thus states the dissertation’s hypothesis as a conclusion and supplies neither a counterfactual nor an estimand.</w:t>
      </w:r>
    </w:p>
    <w:p>
      <w:pPr>
        <w:pStyle w:val="BodyText"/>
        <w:spacing w:line="480" w:lineRule="auto"/>
        <w:ind w:firstLine="720"/>
      </w:pPr>
      <w:r>
        <w:t xml:space="preserve">System-of-systems treatments generalize the modernization claim. The next-generation space surveillance system-of-systems treatment frames the reconfiguration of how sensor and analytic functions are organized as the lever for capability, presenting reorganization of functional allocation as the path to improved enterprise performance</w:t>
      </w:r>
      <w:r>
        <w:t xml:space="preserve"> </w:t>
      </w:r>
      <w:hyperlink w:anchor="ref-8">
        <w:r>
          <w:rPr>
            <w:rStyle w:val="Hyperlink"/>
          </w:rPr>
          <w:t xml:space="preserve">[8]</w:t>
        </w:r>
      </w:hyperlink>
      <w:r>
        <w:t xml:space="preserve">. The sensor exposure, exploitation, and experimentation environment provides the infrastructure that lets an enterprise actually reconfigure how its sensing and analytic functions are arranged, treating reconfigurability itself as a design virtue</w:t>
      </w:r>
      <w:r>
        <w:t xml:space="preserve"> </w:t>
      </w:r>
      <w:hyperlink w:anchor="ref-4">
        <w:r>
          <w:rPr>
            <w:rStyle w:val="Hyperlink"/>
          </w:rPr>
          <w:t xml:space="preserve">[4]</w:t>
        </w:r>
      </w:hyperlink>
      <w:r>
        <w:t xml:space="preserve">. These works share the modernization literature’s implicit causal claim that changing functional structure improves outcomes, and they share its silence on whether the claim survives a disciplined test.</w:t>
      </w:r>
    </w:p>
    <w:bookmarkEnd w:id="70"/>
    <w:bookmarkStart w:id="71" w:name="Xd46d2f44abbc9e8c8088e817f33dfe54c3d7904"/>
    <w:p>
      <w:pPr>
        <w:pStyle w:val="Heading3"/>
        <w:spacing w:line="480" w:lineRule="auto"/>
      </w:pPr>
      <w:r>
        <w:t xml:space="preserve">2.2.4 Institutional and Acquisition Reorganization in Practice</w:t>
      </w:r>
    </w:p>
    <w:p>
      <w:pPr>
        <w:pStyle w:val="FirstParagraph"/>
        <w:spacing w:line="480" w:lineRule="auto"/>
      </w:pPr>
      <w:r>
        <w:t xml:space="preserve">A more recent strand documents organizational change at the institutional and acquisition level, which is the level this dissertation studies. Verspieren’s account of the establishment of a Space Operations Squadron at the Japan Air Self-Defense Force records the deliberate standing-up of a new organizational construct to deliver a space mission, treating the creation of structure as the instrument of capability</w:t>
      </w:r>
      <w:r>
        <w:t xml:space="preserve"> </w:t>
      </w:r>
      <w:hyperlink w:anchor="ref-15">
        <w:r>
          <w:rPr>
            <w:rStyle w:val="Hyperlink"/>
          </w:rPr>
          <w:t xml:space="preserve">[15]</w:t>
        </w:r>
      </w:hyperlink>
      <w:r>
        <w:t xml:space="preserve">, and Johnson and Daniels’ analysis of trends in United States space domain awareness acquisition documents how acquisition authorities and program constructs are repeatedly redrawn, providing direct evidence that reorganization of space acquisition offices is frequent and treated as strategically consequential</w:t>
      </w:r>
      <w:r>
        <w:t xml:space="preserve"> </w:t>
      </w:r>
      <w:hyperlink w:anchor="ref-18">
        <w:r>
          <w:rPr>
            <w:rStyle w:val="Hyperlink"/>
          </w:rPr>
          <w:t xml:space="preserve">[18]</w:t>
        </w:r>
      </w:hyperlink>
      <w:r>
        <w:t xml:space="preserve">. This acquisition-focused work is the closest the domain literature comes to the dissertation’s object, because it concerns the rechartering of acquisition authorities rather than the documentation of surveillance enterprises, yet it remains descriptive, establishing that reorganization happens and that practitioners believe it matters without estimating whether it changes the cost and schedule performance of the affected programs.</w:t>
      </w:r>
    </w:p>
    <w:p>
      <w:pPr>
        <w:pStyle w:val="BodyText"/>
        <w:spacing w:line="480" w:lineRule="auto"/>
        <w:ind w:firstLine="720"/>
      </w:pPr>
      <w:r>
        <w:t xml:space="preserve">A parallel case appears in the on-orbit servicing literature, where enterprise-level organizational and economic conditions are argued to govern whether a capability becomes part of the space enterprise</w:t>
      </w:r>
      <w:r>
        <w:t xml:space="preserve"> </w:t>
      </w:r>
      <w:hyperlink w:anchor="ref-26">
        <w:r>
          <w:rPr>
            <w:rStyle w:val="Hyperlink"/>
          </w:rPr>
          <w:t xml:space="preserve">[26]</w:t>
        </w:r>
      </w:hyperlink>
      <w:r>
        <w:t xml:space="preserve">.</w:t>
      </w:r>
    </w:p>
    <w:p>
      <w:pPr>
        <w:pStyle w:val="BodyText"/>
        <w:spacing w:line="480" w:lineRule="auto"/>
        <w:ind w:firstLine="720"/>
      </w:pPr>
      <w:r>
        <w:t xml:space="preserve">Hastings and colleagues frame the entry of servicing into the enterprise as contingent on organizational and market structure, again treating structure as a determinant of enterprise outcomes whose effect is argued analytically rather than estimated. The accumulated weight of the domain literature, from reference architecture through modernization to institutional practice, is therefore consistent and one-directional: structure is a designed instrument, redesign is strategically consequential, and the consequence is asserted but not measured.</w:t>
      </w:r>
    </w:p>
    <w:bookmarkEnd w:id="71"/>
    <w:bookmarkStart w:id="72" w:name="X976700efaad845db832a39bf434b1a4c40cb7a2"/>
    <w:p>
      <w:pPr>
        <w:pStyle w:val="Heading3"/>
        <w:spacing w:line="480" w:lineRule="auto"/>
      </w:pPr>
      <w:r>
        <w:t xml:space="preserve">2.2.5 The Inferential Direction Problem in the Domain Literature</w:t>
      </w:r>
    </w:p>
    <w:p>
      <w:pPr>
        <w:pStyle w:val="FirstParagraph"/>
        <w:spacing w:line="480" w:lineRule="auto"/>
      </w:pPr>
      <w:r>
        <w:t xml:space="preserve">Why does the domain literature fall short? Its decisive limitation is not a lack of performance data but the direction of its inferences, which run the wrong way for a decision-maker. Practitioners and authors observe that structure was changed and that performance subsequently improved or worsened, and they attribute the later performance to the structural change. This inference holds mission content, budget environment, and the secular difficulty of the technology fixed only rhetorically, and it constructs no credible counterfactual for what the same program would have done absent the reorganization. The modernization case studies exemplify the problem: a program is reformed and then delivers, and the delivery is credited to the reform, with no comparison group of unreformed programs facing the same budget and requirement environment</w:t>
      </w:r>
      <w:r>
        <w:t xml:space="preserve"> </w:t>
      </w:r>
      <w:hyperlink w:anchor="ref-2">
        <w:r>
          <w:rPr>
            <w:rStyle w:val="Hyperlink"/>
          </w:rPr>
          <w:t xml:space="preserve">[2]</w:t>
        </w:r>
      </w:hyperlink>
      <w:r>
        <w:t xml:space="preserve">,</w:t>
      </w:r>
      <w:r>
        <w:t xml:space="preserve"> </w:t>
      </w:r>
      <w:hyperlink w:anchor="ref-8">
        <w:r>
          <w:rPr>
            <w:rStyle w:val="Hyperlink"/>
          </w:rPr>
          <w:t xml:space="preserve">[8]</w:t>
        </w:r>
      </w:hyperlink>
      <w:r>
        <w:t xml:space="preserve">. The reference-architecture literature compounds the problem by stopping at the architecture artifact, so that even where structure is meticulously documented, no downstream effect of an architecture change on cost or schedule is estimated</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The domain literature thus supplies a strong prior and a frequent phenomenon, but it cannot answer the causal question it repeatedly raises, because it lacks the identification apparatus that the methodological literature has developed precisely for this purpose.</w:t>
      </w:r>
    </w:p>
    <w:bookmarkEnd w:id="72"/>
    <w:bookmarkEnd w:id="73"/>
    <w:bookmarkStart w:id="79" w:name="X07fe73e594277fc276c6392b9242153367417e1"/>
    <w:p>
      <w:pPr>
        <w:pStyle w:val="Heading2"/>
        <w:spacing w:line="480" w:lineRule="auto"/>
      </w:pPr>
      <w:r>
        <w:t xml:space="preserve">2.3 The Cliometric and Econometric Methodology Literature</w:t>
      </w:r>
    </w:p>
    <w:bookmarkStart w:id="74" w:name="X0d15bcdd7a3f429646577306ef7db057642e4e8"/>
    <w:p>
      <w:pPr>
        <w:pStyle w:val="Heading3"/>
        <w:spacing w:line="480" w:lineRule="auto"/>
      </w:pPr>
      <w:r>
        <w:t xml:space="preserve">2.3.1 The Logic of Difference-in-Differences and Its Migration to Staggered Adoption</w:t>
      </w:r>
    </w:p>
    <w:p>
      <w:pPr>
        <w:pStyle w:val="FirstParagraph"/>
        <w:spacing w:line="480" w:lineRule="auto"/>
      </w:pPr>
      <w:r>
        <w:t xml:space="preserve">The natural entry point is the difference-in-differences design, the workhorse of quasi-experimental policy evaluation and the foundation for the methodology this dissertation imports. In its canonical two-period, two-group form, the design compares the change in an outcome for a treated unit against the change for an untreated unit over the same interval, differencing away both time-invariant differences between units and common shocks that affect all units, and the estimand is the average effect of treatment on the treated, identified under the assumption that the treated unit would have followed the same trend as the untreated unit absent treatment. The power of the design for the present study is that it converts the domain literature’s failed inference into a defensible one, because comparing reorganized programs against not-yet-reorganized programs over the same fiscal years constructs the counterfactual the modernization narratives omit.</w:t>
      </w:r>
    </w:p>
    <w:p>
      <w:pPr>
        <w:pStyle w:val="BodyText"/>
        <w:spacing w:line="480" w:lineRule="auto"/>
        <w:ind w:firstLine="720"/>
      </w:pPr>
      <w:r>
        <w:t xml:space="preserve">Real reorganizations do not happen all at once, and that complication dominates the modern literature. They are staggered across programs and years, so that the panel contains units treated early, units treated late, and units never treated, and a program-by-year panel of space acquisition programs is exactly such a staggered-adoption setting, because directorate realignments, office rechartering, and authority recharters occur in different fiscal years across the program population. The staggered structure is what permits identification at all, since programs not yet reorganized in a given year serve as the comparison group for those reorganized that year, while program-fixed effects absorb time-invariant program difficulty and year-fixed effects absorb common shocks such as appropriations cycles and launch-market conditions. The central contemporary lesson of the methodological literature, however, is that the obvious estimator for this structure is biased.</w:t>
      </w:r>
    </w:p>
    <w:bookmarkEnd w:id="74"/>
    <w:bookmarkStart w:id="75" w:name="Xeae637ab3e1e19a1c037d822e2d3bbb92d619f4"/>
    <w:p>
      <w:pPr>
        <w:pStyle w:val="Heading3"/>
        <w:spacing w:line="480" w:lineRule="auto"/>
      </w:pPr>
      <w:r>
        <w:t xml:space="preserve">2.3.2 The Two-Way Fixed-Effects Problem and Heterogeneity-Robust Estimation</w:t>
      </w:r>
    </w:p>
    <w:p>
      <w:pPr>
        <w:pStyle w:val="FirstParagraph"/>
        <w:spacing w:line="480" w:lineRule="auto"/>
      </w:pPr>
      <w:r>
        <w:t xml:space="preserve">For decades the default estimator for staggered difference-in-differences was the two-way fixed-effects regression, in which an outcome is regressed on a post-treatment indicator together with unit and time fixed effects. That default has fallen, and the methodological literature has established why: the estimator is biased once treatment effects are heterogeneous across units or vary over time since treatment.</w:t>
      </w:r>
    </w:p>
    <w:p>
      <w:pPr>
        <w:pStyle w:val="BodyText"/>
        <w:spacing w:line="480" w:lineRule="auto"/>
        <w:ind w:firstLine="720"/>
      </w:pPr>
      <w:r>
        <w:t xml:space="preserve">The mechanism of the bias is that the two-way fixed-effects estimator implicitly uses already-treated units as comparison units for later-treated units, so that the</w:t>
      </w:r>
      <w:r>
        <w:t xml:space="preserve"> </w:t>
      </w:r>
      <w:r>
        <w:t xml:space="preserve">“control”</w:t>
      </w:r>
      <w:r>
        <w:t xml:space="preserve"> </w:t>
      </w:r>
      <w:r>
        <w:t xml:space="preserve">group contains units whose own evolving treatment effects contaminate the comparison. When treatment effects grow or decay over time, these forbidden comparisons can flip the sign of the estimated effect relative to the true average. For a study whose substantive finding may be a precisely estimated null, this bias is disqualifying, because a contaminated estimator could manufacture an effect where none exists or mask one that does.</w:t>
      </w:r>
    </w:p>
    <w:p>
      <w:pPr>
        <w:pStyle w:val="BodyText"/>
        <w:spacing w:line="480" w:lineRule="auto"/>
        <w:ind w:firstLine="720"/>
      </w:pPr>
      <w:r>
        <w:t xml:space="preserve">In response, the dissertation adopts a heterogeneity-robust estimator that constructs only clean comparisons between newly treated and not-yet-treated programs and then aggregates the resulting group-time effects into an interpretable average. The defining property of this family of estimators is that it never uses an already-treated unit as a comparison, restricting the comparison set to units that are genuinely untreated at the moment of comparison, and the estimator yields a vector of group-time average treatment effects, one for each combination of treatment cohort and calendar period, which can be aggregated by length of exposure to produce an event-study profile or by cohort to produce a single summary. This apparatus is precisely the methodological core that the domain literature lacks, and the contrast is sharp: the modernization case studies amount to the most contaminated possible version of a two-way comparison, because they set a single reformed program against an implicit and uncontrolled counterfactual, where the heterogeneity-robust estimator replaces that contamination with disciplined, cohort-clean comparisons.</w:t>
      </w:r>
    </w:p>
    <w:bookmarkEnd w:id="75"/>
    <w:bookmarkStart w:id="76" w:name="Xc36dfaf6b57c9e5e74d5c5727fde31bea43cae7"/>
    <w:p>
      <w:pPr>
        <w:pStyle w:val="Heading3"/>
        <w:spacing w:line="480" w:lineRule="auto"/>
      </w:pPr>
      <w:r>
        <w:t xml:space="preserve">2.3.3 Parallel Trends and the Event-Study Diagnostic</w:t>
      </w:r>
    </w:p>
    <w:p>
      <w:pPr>
        <w:pStyle w:val="FirstParagraph"/>
        <w:spacing w:line="480" w:lineRule="auto"/>
      </w:pPr>
      <w:r>
        <w:t xml:space="preserve">Every difference-in-differences design rests on one identifying assumption, parallel trends, which holds that treated units would have moved in step with comparison units absent treatment. The assumption cannot be tested directly, because the counterfactual trend of the treated unit is never observed.</w:t>
      </w:r>
    </w:p>
    <w:p>
      <w:pPr>
        <w:pStyle w:val="BodyText"/>
        <w:spacing w:line="480" w:lineRule="auto"/>
        <w:ind w:firstLine="720"/>
      </w:pPr>
      <w:r>
        <w:t xml:space="preserve">What the methodological literature offers instead is a powerful indirect diagnostic, the event-study specification. By estimating separate coefficients for each period relative to the treatment date, the event study reveals whether treated and comparison units were already diverging before treatment. Flat, statistically indistinguishable pre-treatment coefficients are consistent with parallel trends and license the causal reading of the post-treatment coefficients; sloping or significant pre-treatment coefficients signal that the treated units were already on a different trajectory and that the design is confounded.</w:t>
      </w:r>
    </w:p>
    <w:p>
      <w:pPr>
        <w:pStyle w:val="BodyText"/>
        <w:spacing w:line="480" w:lineRule="auto"/>
        <w:ind w:firstLine="720"/>
      </w:pPr>
      <w:r>
        <w:t xml:space="preserve">Against the gravest threat to this dissertation’s identification, that organizations are reorganized precisely because they are already deteriorating, the event-study diagnostic is the principal defense. If troubled programs select into reorganization, a naive estimate will attribute their pre-existing deterioration to the reform and will be biased toward finding harm. The event-study pre-trend test addresses this selection directly: a flat pre-period is evidence that reorganized programs were not already diverging, while a significant pre-trend would invalidate the causal reading and, under the dissertation’s transparency protocol, would be reported rather than suppressed. The methodological literature thus supplies not only the estimator but the falsification test for its own key assumption, an apparatus entirely absent from the domain literature’s confident causal claims</w:t>
      </w:r>
      <w:r>
        <w:t xml:space="preserve"> </w:t>
      </w:r>
      <w:hyperlink w:anchor="ref-2">
        <w:r>
          <w:rPr>
            <w:rStyle w:val="Hyperlink"/>
          </w:rPr>
          <w:t xml:space="preserve">[2]</w:t>
        </w:r>
      </w:hyperlink>
      <w:r>
        <w:t xml:space="preserve">,</w:t>
      </w:r>
      <w:r>
        <w:t xml:space="preserve"> </w:t>
      </w:r>
      <w:hyperlink w:anchor="ref-8">
        <w:r>
          <w:rPr>
            <w:rStyle w:val="Hyperlink"/>
          </w:rPr>
          <w:t xml:space="preserve">[8]</w:t>
        </w:r>
      </w:hyperlink>
      <w:r>
        <w:t xml:space="preserve">. The dissertation further probes selection with a placebo reassignment of treatment dates, a standard methodological robustness check that estimates the design on counterfeit treatment timing and expects a null, thereby revealing whether the estimator manufactures effects from chance alignments in the panel.</w:t>
      </w:r>
    </w:p>
    <w:bookmarkEnd w:id="76"/>
    <w:bookmarkStart w:id="77" w:name="X64ab6b5731e54a5cde418cec8b6c1e8b1b27d18"/>
    <w:p>
      <w:pPr>
        <w:pStyle w:val="Heading3"/>
        <w:spacing w:line="480" w:lineRule="auto"/>
      </w:pPr>
      <w:r>
        <w:t xml:space="preserve">2.3.4 Survival Analysis and the Proportional-Hazards Frame</w:t>
      </w:r>
    </w:p>
    <w:p>
      <w:pPr>
        <w:pStyle w:val="FirstParagraph"/>
        <w:spacing w:line="480" w:lineRule="auto"/>
      </w:pPr>
      <w:r>
        <w:t xml:space="preserve">A second methodological tradition the dissertation imports is survival analysis, which frames the outcome not as a level at a snapshot but as the time until an event. The companion analyses in this dissertation treat baseline breach as an event in development time and ask whether reorganization changes the instantaneous hazard of reaching it. The semiparametric Cox proportional-hazards model is the appropriate estimator because it recovers covariate effects without imposing a parametric shape on the baseline hazard over development time and because it correctly incorporates right-censored programs, those that reach launch without breaching, as information rather than discarding them. The hazard ratio it produces is directly legible to a portfolio manager as the multiple by which a covariate accelerates or delays the moment of failure.</w:t>
      </w:r>
    </w:p>
    <w:p>
      <w:pPr>
        <w:pStyle w:val="BodyText"/>
        <w:spacing w:line="480" w:lineRule="auto"/>
        <w:ind w:firstLine="720"/>
      </w:pPr>
      <w:r>
        <w:t xml:space="preserve">Methodologically, the survival frame complements the panel difference-in-differences design rather than duplicating it. A level comparison answers whether reorganization moves average cost growth or schedule variance; a hazard comparison answers whether reorganization changes how quickly a program arrives at a breach threshold. The companion papers demonstrate both the promise and the discipline of the survival approach. One fits a Cox model to twenty-four NASA Category 1 projects with fifteen breach events and recovers a restructuring hazard ratio of 2.52 whose confidence interval, running from 0.72 to 8.75, includes one but is concentrated above it, so that the data are far more consistent with restructuring raising the breach hazard than lowering it. Another, exploiting the September 2021 split of the human-spaceflight directorate, recovers a hazard ratio of 6.86 significant at the five percent level, while disclosing plainly that the reorganization indicator and a crewed-program indicator are perfectly collinear in that portfolio, so that the estimate is the joint signature of restructuring and mission class and cannot attribute the effect to restructuring alone. These companion results illustrate the methodological literature’s two governing virtues: an estimator that uses censored observations and an honest accounting of what a small, fully documented sample can and cannot identify.</w:t>
      </w:r>
    </w:p>
    <w:p>
      <w:pPr>
        <w:pStyle w:val="BodyText"/>
        <w:spacing w:line="480" w:lineRule="auto"/>
        <w:ind w:firstLine="720"/>
      </w:pPr>
      <w:r>
        <w:t xml:space="preserve">These same companion results motivate the dissertation’s central panel design, because disentangling restructuring from mission class requires either a reorganization that crosses the crewed-uncrewed boundary or a within-program before-and-after design, which is exactly the staggered panel identification the main study pursues.</w:t>
      </w:r>
    </w:p>
    <w:bookmarkEnd w:id="77"/>
    <w:bookmarkStart w:id="78" w:name="X382539ac1c5cdc8431e85b56695ef55a666d07b"/>
    <w:p>
      <w:pPr>
        <w:pStyle w:val="Heading3"/>
        <w:spacing w:line="480" w:lineRule="auto"/>
      </w:pPr>
      <w:r>
        <w:t xml:space="preserve">2.3.5 Inference, Power, and the Discipline of the Null</w:t>
      </w:r>
    </w:p>
    <w:p>
      <w:pPr>
        <w:pStyle w:val="FirstParagraph"/>
        <w:spacing w:line="480" w:lineRule="auto"/>
      </w:pPr>
      <w:r>
        <w:t xml:space="preserve">On the conduct of inference the methodological literature is equally insistent. Standard errors in panel designs must account for the within-unit correlation of repeated observations, which the dissertation addresses by clustering at the program level, the level at which treatment is assigned. The literature further demands that a null result be interpreted against what the data could have detected, because a finite population of major reorganizations within a panel window may yield a null that reflects low power rather than a true zero. The dissertation accordingly commits to reporting minimum detectable effect sizes alongside its estimates, so that a failure to reject the null of no effect is read as informative only to the extent that the design could have detected an effect of policy-relevant magnitude. This is a discipline the domain literature never imposes on itself: its modernization narratives report improvements without confidence intervals and without any statement of what magnitude of null effect the evidence could have ruled out</w:t>
      </w:r>
      <w:r>
        <w:t xml:space="preserve"> </w:t>
      </w:r>
      <w:hyperlink w:anchor="ref-2">
        <w:r>
          <w:rPr>
            <w:rStyle w:val="Hyperlink"/>
          </w:rPr>
          <w:t xml:space="preserve">[2]</w:t>
        </w:r>
      </w:hyperlink>
      <w:r>
        <w:t xml:space="preserve">,</w:t>
      </w:r>
      <w:r>
        <w:t xml:space="preserve"> </w:t>
      </w:r>
      <w:hyperlink w:anchor="ref-8">
        <w:r>
          <w:rPr>
            <w:rStyle w:val="Hyperlink"/>
          </w:rPr>
          <w:t xml:space="preserve">[8]</w:t>
        </w:r>
      </w:hyperlink>
      <w:r>
        <w:t xml:space="preserve">.</w:t>
      </w:r>
    </w:p>
    <w:bookmarkEnd w:id="78"/>
    <w:bookmarkEnd w:id="79"/>
    <w:bookmarkStart w:id="80" w:name="Xf070315d59ca2a77df21e0a39f1370892152dbb"/>
    <w:p>
      <w:pPr>
        <w:pStyle w:val="Heading2"/>
        <w:spacing w:line="480" w:lineRule="auto"/>
      </w:pPr>
      <w:r>
        <w:t xml:space="preserve">2.4 The Measurement Literature: Making Execution Outcomes Auditable</w:t>
      </w:r>
    </w:p>
    <w:p>
      <w:pPr>
        <w:pStyle w:val="FirstParagraph"/>
        <w:spacing w:line="480" w:lineRule="auto"/>
      </w:pPr>
      <w:r>
        <w:t xml:space="preserve">A causal design is only as credible as the outcomes it measures, and a third literature furnishes the auditable measurement on which the dissertation rests.</w:t>
      </w:r>
    </w:p>
    <w:p>
      <w:pPr>
        <w:pStyle w:val="BodyText"/>
        <w:spacing w:line="480" w:lineRule="auto"/>
        <w:ind w:firstLine="720"/>
      </w:pPr>
      <w:r>
        <w:t xml:space="preserve">The parametric cost-estimation literature for NASA missions establishes both the difficulty and the discipline of measuring space-program cost outcomes. The blind validation study of the SEER-H parametric cost-estimation tool against NASA space missions demonstrates that cost outcomes are sensitive to precisely the kind of management and definitional instability that a mid-development restructuring introduces, which is itself a substantive reason to expect reorganization to register in cost performance</w:t>
      </w:r>
      <w:r>
        <w:t xml:space="preserve"> </w:t>
      </w:r>
      <w:hyperlink w:anchor="ref-10">
        <w:r>
          <w:rPr>
            <w:rStyle w:val="Hyperlink"/>
          </w:rPr>
          <w:t xml:space="preserve">[10]</w:t>
        </w:r>
      </w:hyperlink>
      <w:r>
        <w:t xml:space="preserve">. For measurement, the greater value is that this literature documents the construction and validation of cost baselines and growth measures, grounding the dissertation’s outcome definitions in established practice rather than ad hoc construction.</w:t>
      </w:r>
    </w:p>
    <w:p>
      <w:pPr>
        <w:pStyle w:val="BodyText"/>
        <w:spacing w:line="480" w:lineRule="auto"/>
        <w:ind w:firstLine="720"/>
      </w:pPr>
      <w:r>
        <w:t xml:space="preserve">Where does the panel itself come from? The Government Accountability Office annual assessments of major NASA projects publish, per program and per year, the cost baseline and current estimate, the schedule baseline and current milestone forecast, and a narrative of management and organizational changes, for a recurring panel of named programs across multiple years</w:t>
      </w:r>
      <w:r>
        <w:t xml:space="preserve"> </w:t>
      </w:r>
      <w:hyperlink w:anchor="ref-9">
        <w:r>
          <w:rPr>
            <w:rStyle w:val="Hyperlink"/>
          </w:rPr>
          <w:t xml:space="preserve">[9]</w:t>
        </w:r>
      </w:hyperlink>
      <w:r>
        <w:t xml:space="preserve">. These reports are public, downloadable, and explicitly designed for cross-year comparability, which is what yields the program-by-year panel the staggered difference-in-differences design requires. The companion survival papers draw their cost and breach fields directly from named issues in this series, including GAO-22-105212, GAO-23-106021, GAO-24-106767, and GAO-25-107591, transcribing every cost and growth figure from public tables</w:t>
      </w:r>
      <w:r>
        <w:t xml:space="preserve"> </w:t>
      </w:r>
      <w:hyperlink w:anchor="ref-9">
        <w:r>
          <w:rPr>
            <w:rStyle w:val="Hyperlink"/>
          </w:rPr>
          <w:t xml:space="preserve">[9]</w:t>
        </w:r>
      </w:hyperlink>
      <w:r>
        <w:t xml:space="preserve">. The measurement literature thereby satisfies a requirement the domain literature never confronts: that every observation be traceable to a citable public document and that the treatment coding be applied through a documented protocol to public sources only, namely the assessment narratives themselves and official reorganization announcements. The fifteen-percent cumulative cost-growth threshold the companion work uses to define a breach event is itself drawn from the convention the assessment series and the agency use to flag a significant overrun, anchoring the event definition in established practice rather than analyst discretion.</w:t>
      </w:r>
    </w:p>
    <w:p>
      <w:pPr>
        <w:pStyle w:val="BodyText"/>
        <w:spacing w:line="480" w:lineRule="auto"/>
        <w:ind w:firstLine="720"/>
      </w:pPr>
      <w:r>
        <w:t xml:space="preserve">This measurement foundation is what makes the dissertation’s design contestable in the proper scientific sense. Because the cost and schedule fields are transcribed from public tables, the reorganization dates are coded from public announcements, and the coding protocol is released as a replication package, the treatment definition is inspectable and the estimates are reproducible. The measurement literature thereby closes the loop between the methodological apparatus of Section 2.3 and the substantive object of Section 2.2, providing the auditable outcomes without which the identification strategy would have nothing rigorous to identify.</w:t>
      </w:r>
    </w:p>
    <w:bookmarkEnd w:id="80"/>
    <w:bookmarkStart w:id="81" w:name="X08d5cbbb473e31955d208569732057ec11bb2f4"/>
    <w:p>
      <w:pPr>
        <w:pStyle w:val="Heading2"/>
        <w:spacing w:line="480" w:lineRule="auto"/>
      </w:pPr>
      <w:r>
        <w:t xml:space="preserve">2.5 Synthesis: The Gap Between the Two Literatures</w:t>
      </w:r>
    </w:p>
    <w:p>
      <w:pPr>
        <w:pStyle w:val="FirstParagraph"/>
        <w:spacing w:line="480" w:lineRule="auto"/>
      </w:pPr>
      <w:r>
        <w:t xml:space="preserve">Both principal literatures reviewed here are mature, and neither is aware of the other. The domain technical literature has established, across reference architecture</w:t>
      </w:r>
      <w:r>
        <w:t xml:space="preserve"> </w:t>
      </w:r>
      <w:hyperlink w:anchor="ref-3">
        <w:r>
          <w:rPr>
            <w:rStyle w:val="Hyperlink"/>
          </w:rPr>
          <w:t xml:space="preserve">[3]</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data-foundation and cognitive work</w:t>
      </w:r>
      <w:r>
        <w:t xml:space="preserve"> </w:t>
      </w:r>
      <w:hyperlink w:anchor="ref-7">
        <w:r>
          <w:rPr>
            <w:rStyle w:val="Hyperlink"/>
          </w:rPr>
          <w:t xml:space="preserve">[7]</w:t>
        </w:r>
      </w:hyperlink>
      <w:r>
        <w:t xml:space="preserve">,</w:t>
      </w:r>
      <w:r>
        <w:t xml:space="preserve"> </w:t>
      </w:r>
      <w:hyperlink w:anchor="ref-14">
        <w:r>
          <w:rPr>
            <w:rStyle w:val="Hyperlink"/>
          </w:rPr>
          <w:t xml:space="preserve">[14]</w:t>
        </w:r>
      </w:hyperlink>
      <w:r>
        <w:t xml:space="preserve">,</w:t>
      </w:r>
      <w:r>
        <w:t xml:space="preserve"> </w:t>
      </w:r>
      <w:hyperlink w:anchor="ref-17">
        <w:r>
          <w:rPr>
            <w:rStyle w:val="Hyperlink"/>
          </w:rPr>
          <w:t xml:space="preserve">[17]</w:t>
        </w:r>
      </w:hyperlink>
      <w:r>
        <w:t xml:space="preserve">, modernization narratives</w:t>
      </w:r>
      <w:r>
        <w:t xml:space="preserve"> </w:t>
      </w:r>
      <w:hyperlink w:anchor="ref-2">
        <w:r>
          <w:rPr>
            <w:rStyle w:val="Hyperlink"/>
          </w:rPr>
          <w:t xml:space="preserve">[2]</w:t>
        </w:r>
      </w:hyperlink>
      <w:r>
        <w:t xml:space="preserve">,</w:t>
      </w:r>
      <w:r>
        <w:t xml:space="preserve"> </w:t>
      </w:r>
      <w:hyperlink w:anchor="ref-8">
        <w:r>
          <w:rPr>
            <w:rStyle w:val="Hyperlink"/>
          </w:rPr>
          <w:t xml:space="preserve">[8]</w:t>
        </w:r>
      </w:hyperlink>
      <w:r>
        <w:t xml:space="preserve">, system-of-systems and experimentation infrastructure</w:t>
      </w:r>
      <w:r>
        <w:t xml:space="preserve"> </w:t>
      </w:r>
      <w:hyperlink w:anchor="ref-4">
        <w:r>
          <w:rPr>
            <w:rStyle w:val="Hyperlink"/>
          </w:rPr>
          <w:t xml:space="preserve">[4]</w:t>
        </w:r>
      </w:hyperlink>
      <w:r>
        <w:t xml:space="preserve">, institutional and acquisition practice</w:t>
      </w:r>
      <w:r>
        <w:t xml:space="preserve"> </w:t>
      </w:r>
      <w:hyperlink w:anchor="ref-15">
        <w:r>
          <w:rPr>
            <w:rStyle w:val="Hyperlink"/>
          </w:rPr>
          <w:t xml:space="preserve">[15]</w:t>
        </w:r>
      </w:hyperlink>
      <w:r>
        <w:t xml:space="preserve">,</w:t>
      </w:r>
      <w:r>
        <w:t xml:space="preserve"> </w:t>
      </w:r>
      <w:hyperlink w:anchor="ref-18">
        <w:r>
          <w:rPr>
            <w:rStyle w:val="Hyperlink"/>
          </w:rPr>
          <w:t xml:space="preserve">[18]</w:t>
        </w:r>
      </w:hyperlink>
      <w:r>
        <w:t xml:space="preserve">,</w:t>
      </w:r>
      <w:r>
        <w:t xml:space="preserve"> </w:t>
      </w:r>
      <w:hyperlink w:anchor="ref-26">
        <w:r>
          <w:rPr>
            <w:rStyle w:val="Hyperlink"/>
          </w:rPr>
          <w:t xml:space="preserve">[26]</w:t>
        </w:r>
      </w:hyperlink>
      <w:r>
        <w:t xml:space="preserve">, and the economic framing of enterprise structure</w:t>
      </w:r>
      <w:r>
        <w:t xml:space="preserve"> </w:t>
      </w:r>
      <w:hyperlink w:anchor="ref-1">
        <w:r>
          <w:rPr>
            <w:rStyle w:val="Hyperlink"/>
          </w:rPr>
          <w:t xml:space="preserve">[1]</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that space enterprises are designed and redesigned deliberately and that the design act is treated as strategically consequential. It assumes the causal effect of restructuring on execution without testing it, because every causal claim in the domain literature is either a single-case modernization narrative without a control group or a normative argument that structure ought to matter, and neither form constructs a counterfactual or estimates an effect.</w:t>
      </w:r>
    </w:p>
    <w:p>
      <w:pPr>
        <w:pStyle w:val="BodyText"/>
        <w:spacing w:line="480" w:lineRule="auto"/>
        <w:ind w:firstLine="720"/>
      </w:pPr>
      <w:r>
        <w:t xml:space="preserve">The methodological literature, developed in parallel and for general application, has meanwhile assembled exactly the apparatus required to test that assumption: staggered difference-in-differences for the panel structure that reorganizations actually exhibit, heterogeneity-robust estimators that purge the two-way fixed-effects bias which would otherwise contaminate the comparison, the event-study diagnostic that tests the parallel-trends assumption and defends against selection of troubled programs into reform, the placebo reassignment that detects spurious effects, the Cox proportional-hazards model that adds the timing dimension a level comparison cannot capture, and the inferential discipline of clustered standard errors and reported minimum detectable effects. That apparatus has never been applied to the space-enterprise reorganization question. One literature supplies the test and the other supplies the untested claim, and no work has yet joined them.</w:t>
      </w:r>
    </w:p>
    <w:p>
      <w:pPr>
        <w:pStyle w:val="BodyText"/>
        <w:spacing w:line="480" w:lineRule="auto"/>
        <w:ind w:firstLine="720"/>
      </w:pPr>
      <w:r>
        <w:t xml:space="preserve">The gap is therefore specific rather than diffuse. It is not that space-enterprise reorganization is understudied in general, since it is extensively documented</w:t>
      </w:r>
      <w:r>
        <w:t xml:space="preserve"> </w:t>
      </w:r>
      <w:hyperlink w:anchor="ref-3">
        <w:r>
          <w:rPr>
            <w:rStyle w:val="Hyperlink"/>
          </w:rPr>
          <w:t xml:space="preserve">[3]</w:t>
        </w:r>
      </w:hyperlink>
      <w:r>
        <w:t xml:space="preserve">,</w:t>
      </w:r>
      <w:r>
        <w:t xml:space="preserve"> </w:t>
      </w:r>
      <w:hyperlink w:anchor="ref-15">
        <w:r>
          <w:rPr>
            <w:rStyle w:val="Hyperlink"/>
          </w:rPr>
          <w:t xml:space="preserve">[15]</w:t>
        </w:r>
      </w:hyperlink>
      <w:r>
        <w:t xml:space="preserve">,</w:t>
      </w:r>
      <w:r>
        <w:t xml:space="preserve"> </w:t>
      </w:r>
      <w:hyperlink w:anchor="ref-18">
        <w:r>
          <w:rPr>
            <w:rStyle w:val="Hyperlink"/>
          </w:rPr>
          <w:t xml:space="preserve">[18]</w:t>
        </w:r>
      </w:hyperlink>
      <w:r>
        <w:t xml:space="preserve">, but rather that there exists no identification-disciplined, panel estimate of the effect of space-enterprise reorganization on program execution outcomes. The descriptive and normative domain literatures assume the effect</w:t>
      </w:r>
      <w:r>
        <w:t xml:space="preserve"> </w:t>
      </w:r>
      <w:hyperlink w:anchor="ref-2">
        <w:r>
          <w:rPr>
            <w:rStyle w:val="Hyperlink"/>
          </w:rPr>
          <w:t xml:space="preserve">[2]</w:t>
        </w:r>
      </w:hyperlink>
      <w:r>
        <w:t xml:space="preserve">,</w:t>
      </w:r>
      <w:r>
        <w:t xml:space="preserve"> </w:t>
      </w:r>
      <w:hyperlink w:anchor="ref-5">
        <w:r>
          <w:rPr>
            <w:rStyle w:val="Hyperlink"/>
          </w:rPr>
          <w:t xml:space="preserve">[5]</w:t>
        </w:r>
      </w:hyperlink>
      <w:r>
        <w:t xml:space="preserve">,</w:t>
      </w:r>
      <w:r>
        <w:t xml:space="preserve"> </w:t>
      </w:r>
      <w:hyperlink w:anchor="ref-8">
        <w:r>
          <w:rPr>
            <w:rStyle w:val="Hyperlink"/>
          </w:rPr>
          <w:t xml:space="preserve">[8]</w:t>
        </w:r>
      </w:hyperlink>
      <w:r>
        <w:t xml:space="preserve">, the quantitative methodological literature has not measured it for this object, and the measurement literature has assembled, in the public assessment series, exactly the auditable panel that the methodological apparatus requires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The companion survival analyses in this dissertation establish that the timing dimension of the question is tractable and that the available evidence, though imprecise, leans against the protective premise, with hazard ratios above one in every specification and significantly so where collinearity permits a rejection. Through their candid disclosure of collinearity and limited power, they also establish the precise inferential reasons that a staggered panel design with an event-study pre-trend test is needed to convert a directional signal into an identified estimate.</w:t>
      </w:r>
    </w:p>
    <w:p>
      <w:pPr>
        <w:pStyle w:val="BodyText"/>
        <w:spacing w:line="480" w:lineRule="auto"/>
        <w:ind w:firstLine="720"/>
      </w:pPr>
      <w:r>
        <w:t xml:space="preserve">This dissertation occupies the vacancy directly. It brings the heterogeneity-robust, staggered difference-in-differences apparatus of the methodological literature to bear on the auditable, public panel of space acquisition programs furnished by the measurement literature, in order to test the causal proposition that the domain literature has long asserted but never estimated. The contribution is the first quantitative, identification-disciplined estimate of the execution consequence of space-enterprise reorganization, a single coefficient and its confidence interval, capable either of failing to reject a disciplined null and thereby disciplining a widely held governance reflex, or of rejecting that null and licensing the secondary question of which restructuring archetype repays its transition cost. Either outcome supplies what neither literature alone can, which is an estimate where the field has had only an anecdote.</w:t>
      </w:r>
    </w:p>
    <w:bookmarkEnd w:id="81"/>
    <w:bookmarkEnd w:id="82"/>
    <w:bookmarkStart w:id="90" w:name="Xcfcc00a3ded59aed0c781c16bfc121f2a509603"/>
    <w:p>
      <w:pPr>
        <w:pStyle w:val="Heading1"/>
        <w:spacing w:line="480" w:lineRule="auto"/>
      </w:pPr>
      <w:r>
        <w:t xml:space="preserve">Chapter 3. Theoretical Framework and Hypotheses</w:t>
      </w:r>
    </w:p>
    <w:bookmarkStart w:id="83" w:name="purpose-and-scope-of-the-chapter"/>
    <w:p>
      <w:pPr>
        <w:pStyle w:val="Heading2"/>
        <w:spacing w:line="480" w:lineRule="auto"/>
      </w:pPr>
      <w:r>
        <w:t xml:space="preserve">3.1 Purpose and Scope of the Chapter</w:t>
      </w:r>
    </w:p>
    <w:p>
      <w:pPr>
        <w:pStyle w:val="FirstParagraph"/>
        <w:spacing w:line="480" w:lineRule="auto"/>
      </w:pPr>
      <w:r>
        <w:t xml:space="preserve">This chapter builds the theoretical apparatus that the empirical chapters will test, and its task is deliberately narrow. It does not survey the full sociology of organizations, nor does it attempt a general theory of why enterprises reorganize. It instead isolates a single causal claim, traces the mechanism by which an organizational restructuring of a space acquisition office could plausibly move that office’s program execution outcomes, sets the two rival mechanisms against each other so that their predictions are mutually exclusive, and reduces the whole to a pair of formal hypotheses that a difference-in-differences panel estimator can falsify. Because the contribution of the dissertation is one coefficient with one sign test, the function of this chapter is to make that coefficient theoretically interpretable rather than merely statistical.</w:t>
      </w:r>
    </w:p>
    <w:p>
      <w:pPr>
        <w:pStyle w:val="BodyText"/>
        <w:spacing w:line="480" w:lineRule="auto"/>
        <w:ind w:firstLine="720"/>
      </w:pPr>
      <w:r>
        <w:t xml:space="preserve">Four movements carry the reasoning. Section 3.2 states the governing intuition that the field carries, the Chandlerian proposition that structure follows strategy and its enterprise-architecture corollary, and shows why that intuition, although widely held, has been asserted rather than estimated. Section 3.3 specifies the causal logic by which a change in structure is supposed to reach a change in cost growth and schedule variance, naming the intervening variables that any honest mechanism must pass through. Section 3.4 develops the two competing mechanisms, optimization and disruption, that follow from the same premise but predict opposite signs, and explains why their opposition is what makes the test informative. Section 3.5 confronts the central inferential threat, the endogeneity of the decision to reorganize, and shows how the theoretical framing must be disciplined so that the estimand remains causal. Section 3.6 states the formal null and alternative hypotheses, defines the estimand precisely, and connects the hypotheses to the prior survival evidence already established in the companion papers of this dissertation. Section 3.7 closes with the falsification logic and the scope conditions under which the hypotheses are meant to bind.</w:t>
      </w:r>
    </w:p>
    <w:bookmarkEnd w:id="83"/>
    <w:bookmarkStart w:id="84" w:name="X949a6ec3b1ef8ffa8fe1ea695bf89795a44024e"/>
    <w:p>
      <w:pPr>
        <w:pStyle w:val="Heading2"/>
        <w:spacing w:line="480" w:lineRule="auto"/>
      </w:pPr>
      <w:r>
        <w:t xml:space="preserve">3.2 The Governing Intuition and Its Weak Evidentiary Footing</w:t>
      </w:r>
    </w:p>
    <w:p>
      <w:pPr>
        <w:pStyle w:val="FirstParagraph"/>
        <w:spacing w:line="480" w:lineRule="auto"/>
      </w:pPr>
      <w:r>
        <w:t xml:space="preserve">A premise so familiar that it usually goes unstated underlies the design of a space enterprise: organizational form is an instrument of strategy, and a leader who wants a different execution outcome can obtain it by redrawing the structure that produces that outcome. The premise descends from the Chandlerian proposition that structure follows strategy, and it is encoded directly in the enterprise-architecture formulation carried into the space domain, which treats architecture as the joint design of strategy, business, and technology</w:t>
      </w:r>
      <w:r>
        <w:t xml:space="preserve"> </w:t>
      </w:r>
      <w:hyperlink w:anchor="ref-1">
        <w:r>
          <w:rPr>
            <w:rStyle w:val="Hyperlink"/>
          </w:rPr>
          <w:t xml:space="preserve">[1]</w:t>
        </w:r>
      </w:hyperlink>
      <w:r>
        <w:t xml:space="preserve">. Under that formulation, structure is not an inert administrative residue but a designed object, tuned against mission need, and a misalignment between structure and strategy is a defect that can and should be corrected by redesign.</w:t>
      </w:r>
    </w:p>
    <w:p>
      <w:pPr>
        <w:pStyle w:val="BodyText"/>
        <w:spacing w:line="480" w:lineRule="auto"/>
        <w:ind w:firstLine="720"/>
      </w:pPr>
      <w:r>
        <w:t xml:space="preserve">In practice, the space-domain literature has operationalized this premise across an extensive record. Reference-architecture work for space surveillance enterprises documents organizational structure precisely so that it can be redrawn against changing mission requirements</w:t>
      </w:r>
      <w:r>
        <w:t xml:space="preserve"> </w:t>
      </w:r>
      <w:hyperlink w:anchor="ref-3">
        <w:r>
          <w:rPr>
            <w:rStyle w:val="Hyperlink"/>
          </w:rPr>
          <w:t xml:space="preserve">[3]</w:t>
        </w:r>
      </w:hyperlink>
      <w:r>
        <w:t xml:space="preserve">, and successor treatments codify the procedure by which an architecture is built and rebuilt for surveillance projects</w:t>
      </w:r>
      <w:r>
        <w:t xml:space="preserve"> </w:t>
      </w:r>
      <w:hyperlink w:anchor="ref-12">
        <w:r>
          <w:rPr>
            <w:rStyle w:val="Hyperlink"/>
          </w:rPr>
          <w:t xml:space="preserve">[12]</w:t>
        </w:r>
      </w:hyperlink>
      <w:r>
        <w:t xml:space="preserve">. The command-and-control modernization literature goes further still, treating the standing-up of new program constructs and the deliberate reform of acquisition culture as themselves the lever that accelerates capability delivery</w:t>
      </w:r>
      <w:r>
        <w:t xml:space="preserve"> </w:t>
      </w:r>
      <w:hyperlink w:anchor="ref-2">
        <w:r>
          <w:rPr>
            <w:rStyle w:val="Hyperlink"/>
          </w:rPr>
          <w:t xml:space="preserve">[2]</w:t>
        </w:r>
      </w:hyperlink>
      <w:r>
        <w:t xml:space="preserve">. Experimentation environments are constructed expressly so that an enterprise can reconfigure how its sensing and analytic functions are organized</w:t>
      </w:r>
      <w:r>
        <w:t xml:space="preserve"> </w:t>
      </w:r>
      <w:hyperlink w:anchor="ref-4">
        <w:r>
          <w:rPr>
            <w:rStyle w:val="Hyperlink"/>
          </w:rPr>
          <w:t xml:space="preserve">[4]</w:t>
        </w:r>
      </w:hyperlink>
      <w:r>
        <w:t xml:space="preserve">, and large-scale data-enterprise initiatives frame the definition of functional capability as an act of organizational design</w:t>
      </w:r>
      <w:r>
        <w:t xml:space="preserve"> </w:t>
      </w:r>
      <w:hyperlink w:anchor="ref-13">
        <w:r>
          <w:rPr>
            <w:rStyle w:val="Hyperlink"/>
          </w:rPr>
          <w:t xml:space="preserve">[13]</w:t>
        </w:r>
      </w:hyperlink>
      <w:r>
        <w:t xml:space="preserve">. Even the diagnostic literature contributes, with cognitive task analyses of operations centers showing how the assignment of functions to roles shapes performance</w:t>
      </w:r>
      <w:r>
        <w:t xml:space="preserve"> </w:t>
      </w:r>
      <w:hyperlink w:anchor="ref-14">
        <w:r>
          <w:rPr>
            <w:rStyle w:val="Hyperlink"/>
          </w:rPr>
          <w:t xml:space="preserve">[14]</w:t>
        </w:r>
      </w:hyperlink>
      <w:r>
        <w:t xml:space="preserve">. The standing-up of a dedicated space operations squadron is documented as a structural act undertaken to improve mission outcomes</w:t>
      </w:r>
      <w:r>
        <w:t xml:space="preserve"> </w:t>
      </w:r>
      <w:hyperlink w:anchor="ref-15">
        <w:r>
          <w:rPr>
            <w:rStyle w:val="Hyperlink"/>
          </w:rPr>
          <w:t xml:space="preserve">[15]</w:t>
        </w:r>
      </w:hyperlink>
      <w:r>
        <w:t xml:space="preserve">. Across these sources the act of designing or redesigning the enterprise is treated as strategically consequential, and the space economy literature reinforces the reflex by casting organizational structure as an economic and strategic variable whose coordination is consequential for enterprise performance</w:t>
      </w:r>
      <w:r>
        <w:t xml:space="preserve"> </w:t>
      </w:r>
      <w:hyperlink w:anchor="ref-5">
        <w:r>
          <w:rPr>
            <w:rStyle w:val="Hyperlink"/>
          </w:rPr>
          <w:t xml:space="preserve">[5]</w:t>
        </w:r>
      </w:hyperlink>
      <w:r>
        <w:t xml:space="preserve">, and by calling for the kind of statistical analysis that dedicated forecasting bodies are positioned to perform</w:t>
      </w:r>
      <w:r>
        <w:t xml:space="preserve"> </w:t>
      </w:r>
      <w:hyperlink w:anchor="ref-6">
        <w:r>
          <w:rPr>
            <w:rStyle w:val="Hyperlink"/>
          </w:rPr>
          <w:t xml:space="preserve">[6]</w:t>
        </w:r>
      </w:hyperlink>
      <w:r>
        <w:t xml:space="preserve">.</w:t>
      </w:r>
    </w:p>
    <w:p>
      <w:pPr>
        <w:pStyle w:val="BodyText"/>
        <w:spacing w:line="480" w:lineRule="auto"/>
        <w:ind w:firstLine="720"/>
      </w:pPr>
      <w:r>
        <w:t xml:space="preserve">None of this evidence, though, runs in the direction a decision-maker needs. The architecture treatments specify how to model and document a space enterprise</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w:t>
      </w:r>
      <w:r>
        <w:t xml:space="preserve">and how to instrument it for reconfiguration</w:t>
      </w:r>
      <w:r>
        <w:t xml:space="preserve"> </w:t>
      </w:r>
      <w:hyperlink w:anchor="ref-4">
        <w:r>
          <w:rPr>
            <w:rStyle w:val="Hyperlink"/>
          </w:rPr>
          <w:t xml:space="preserve">[4]</w:t>
        </w:r>
      </w:hyperlink>
      <w:r>
        <w:t xml:space="preserve">, but they stop at the architecture artifact and estimate no downstream consequence of an architecture change for cost or schedule. The modernization narratives describe organizational transformation as a delivery accelerant</w:t>
      </w:r>
      <w:r>
        <w:t xml:space="preserve"> </w:t>
      </w:r>
      <w:hyperlink w:anchor="ref-2">
        <w:r>
          <w:rPr>
            <w:rStyle w:val="Hyperlink"/>
          </w:rPr>
          <w:t xml:space="preserve">[2]</w:t>
        </w:r>
      </w:hyperlink>
      <w:r>
        <w:t xml:space="preserve"> </w:t>
      </w:r>
      <w:r>
        <w:t xml:space="preserve">without a control group, a counterfactual, or a pre-post identification design, so the improvement they report cannot be separated from concurrent budget increases, requirement changes, or selection of already-troubled programs into reform. The acquisition-trend literature documents how space domain awareness procurement is structured and restructured</w:t>
      </w:r>
      <w:r>
        <w:t xml:space="preserve"> </w:t>
      </w:r>
      <w:hyperlink w:anchor="ref-18">
        <w:r>
          <w:rPr>
            <w:rStyle w:val="Hyperlink"/>
          </w:rPr>
          <w:t xml:space="preserve">[18]</w:t>
        </w:r>
      </w:hyperlink>
      <w:r>
        <w:t xml:space="preserve"> </w:t>
      </w:r>
      <w:r>
        <w:t xml:space="preserve">without estimating whether the restructuring moved outcomes. The space economy sources argue the merit of organizational and economic mechanisms normatively rather than estimating it</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premise that structure change buys better execution is therefore an inference the field draws from sequence, structure changed and performance later moved, rather than from a credible comparison of what the same program would have done absent the change. The gap that results is specific rather than diffuse, because there exists no identification-disciplined panel estimate of the effect of space-enterprise reorganization on program execution, and this chapter is the theoretical instrument for filling exactly that gap.</w:t>
      </w:r>
    </w:p>
    <w:bookmarkEnd w:id="84"/>
    <w:bookmarkStart w:id="85" w:name="X951f81d64a4c34a67441d19417621e06a1fe1bd"/>
    <w:p>
      <w:pPr>
        <w:pStyle w:val="Heading2"/>
        <w:spacing w:line="480" w:lineRule="auto"/>
      </w:pPr>
      <w:r>
        <w:t xml:space="preserve">3.3 The Causal Logic: From Structure to Execution</w:t>
      </w:r>
    </w:p>
    <w:p>
      <w:pPr>
        <w:pStyle w:val="FirstParagraph"/>
        <w:spacing w:line="480" w:lineRule="auto"/>
      </w:pPr>
      <w:r>
        <w:t xml:space="preserve">Any theory that hopes to connect a structural change to a movement in cost growth and schedule variance owes the reader the path between the two. Structure never reaches a program’s estimate-at-completion directly. It works only through intervening variables, and a mechanism earns its credibility by passing through those variables in the open rather than by asserting a correlation whose interior stays hidden.</w:t>
      </w:r>
    </w:p>
    <w:p>
      <w:pPr>
        <w:pStyle w:val="BodyText"/>
        <w:spacing w:line="480" w:lineRule="auto"/>
        <w:ind w:firstLine="720"/>
      </w:pPr>
      <w:r>
        <w:t xml:space="preserve">The first of those variables is the locus and clarity of decision authority. Redrawing reporting lines is what a restructuring does, and reporting lines settle who can commit resources, who adjudicates a requirement conflict, and how many approval gates a technical decision must clear before it takes effect. Consolidate fragmented authority and decisions that once stalled across organizational seams may clear faster, which shortens the latency between the detection of a problem and the correction of it. Fragment authority that had been unified and those same decisions inherit new seams instead. That cost outcomes respond to exactly this species of management and definitional instability is established in the parametric cost-estimation literature for NASA missions, where the estimators lose accuracy once a program’s management baseline shifts mid-development</w:t>
      </w:r>
      <w:r>
        <w:t xml:space="preserve"> </w:t>
      </w:r>
      <w:hyperlink w:anchor="ref-10">
        <w:r>
          <w:rPr>
            <w:rStyle w:val="Hyperlink"/>
          </w:rPr>
          <w:t xml:space="preserve">[10]</w:t>
        </w:r>
      </w:hyperlink>
      <w:r>
        <w:t xml:space="preserve">. Authority clarity, on this reading, is no soft variable at all but a determinant of how quickly a program turns oversight into corrected execution.</w:t>
      </w:r>
    </w:p>
    <w:p>
      <w:pPr>
        <w:pStyle w:val="BodyText"/>
        <w:spacing w:line="480" w:lineRule="auto"/>
        <w:ind w:firstLine="720"/>
      </w:pPr>
      <w:r>
        <w:t xml:space="preserve">Institutional knowledge and its continuity supply the second variable. Over a development life a program team builds a tacit command of interfaces, vendors, test histories, and failure modes that no documentation fully records. Disperse that team, scatter its members across new directorates, or stand down its management and engineering staff, and the accumulated understanding falls to a lower level that the program must then spend to rebuild. The companion survival evidence gives the mechanism a face: following an independent review, an institution was directed to stand down management and engineering teams on one mission and release their staff to others, and the reviewed program was protected by pushing risk onto its siblings</w:t>
      </w:r>
      <w:r>
        <w:t xml:space="preserve"> </w:t>
      </w:r>
      <w:hyperlink w:anchor="ref-9">
        <w:r>
          <w:rPr>
            <w:rStyle w:val="Hyperlink"/>
          </w:rPr>
          <w:t xml:space="preserve">[9]</w:t>
        </w:r>
      </w:hyperlink>
      <w:r>
        <w:t xml:space="preserve">. Knowledge continuity is the channel that carries that transfer, and a level comparison of execution outcomes will register it only when the theory has told the analyst where to look.</w:t>
      </w:r>
    </w:p>
    <w:p>
      <w:pPr>
        <w:pStyle w:val="BodyText"/>
        <w:spacing w:line="480" w:lineRule="auto"/>
        <w:ind w:firstLine="720"/>
      </w:pPr>
      <w:r>
        <w:t xml:space="preserve">Transition cost is the third and most direct variable, the temporary tax a reorganization levies while its new structure settles. Roles have to be staffed, processes have to be learned, and senior attention drains toward the change and away from the mission it governs. Because the tax falls at a determinate moment, the fiscal year in which the new structure takes effect, the empirical design dates treatment to that year and then asks whether execution outcomes move in its wake. Of the three components this one is likeliest to surface in the short post-reorganization window, and it is likeliest to tempt a careless observer into reading reorganization as harmful even in cases where the long-run effect is neutral or favorable.</w:t>
      </w:r>
    </w:p>
    <w:p>
      <w:pPr>
        <w:pStyle w:val="BodyText"/>
        <w:spacing w:line="480" w:lineRule="auto"/>
        <w:ind w:firstLine="720"/>
      </w:pPr>
      <w:r>
        <w:t xml:space="preserve">These three channels, authority, knowledge, and transition cost, are the full set of intervening variables through which the theory permits structure to reach execution, and each implies a different temporal signature, which is why they matter for the empirical design. Authority effects should persist and may grow as the new structure matures, while knowledge resets and transition costs should appear sharply at the moment of change and may decay thereafter. An event-study specification that estimates separate coefficients for each year relative to the reorganization is the instrument that lets these signatures be distinguished, and the theory in this section is what gives those coefficients their interpretation.</w:t>
      </w:r>
    </w:p>
    <w:bookmarkEnd w:id="85"/>
    <w:bookmarkStart w:id="86" w:name="two-rival-mechanisms-with-opposite-signs"/>
    <w:p>
      <w:pPr>
        <w:pStyle w:val="Heading2"/>
        <w:spacing w:line="480" w:lineRule="auto"/>
      </w:pPr>
      <w:r>
        <w:t xml:space="preserve">3.4 Two Rival Mechanisms with Opposite Signs</w:t>
      </w:r>
    </w:p>
    <w:p>
      <w:pPr>
        <w:pStyle w:val="FirstParagraph"/>
        <w:spacing w:line="480" w:lineRule="auto"/>
      </w:pPr>
      <w:r>
        <w:t xml:space="preserve">From the same premise, that structure is an instrument of strategy, flow two mechanisms that predict opposite effects of restructuring on execution. The opposition is no weakness of the theory. It is the source of the test’s power, because a finding in either direction is informative and the design cannot return a result that merely confirms a foregone conclusion.</w:t>
      </w:r>
    </w:p>
    <w:p>
      <w:pPr>
        <w:pStyle w:val="BodyText"/>
        <w:spacing w:line="480" w:lineRule="auto"/>
        <w:ind w:firstLine="720"/>
      </w:pPr>
      <w:r>
        <w:t xml:space="preserve">Under the</w:t>
      </w:r>
      <w:r>
        <w:t xml:space="preserve"> </w:t>
      </w:r>
      <w:r>
        <w:rPr>
          <w:b/>
          <w:bCs/>
        </w:rPr>
        <w:t xml:space="preserve">optimization mechanism</w:t>
      </w:r>
      <w:r>
        <w:t xml:space="preserve">, a reorganization is a corrective act in which misalignment is the disease and redesign is the cure. It is undertaken because the existing structure is misaligned with mission need, and the redesign removes the institutional friction that was driving the program toward trouble. Authority is consolidated where it was fragmented, knowledge is concentrated where it was diffuse, and the program emerges better matched to its strategy. The architecture-as-instrument view that the field carries is, at bottom, a wager on this mechanism: it predicts that a restructured program should subsequently run closer to its commitments, exhibiting lower cost growth and smaller schedule variance than it would have absent the change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On this account, reorganization is at worst neutral and at best protective for execution.</w:t>
      </w:r>
    </w:p>
    <w:p>
      <w:pPr>
        <w:pStyle w:val="BodyText"/>
        <w:spacing w:line="480" w:lineRule="auto"/>
        <w:ind w:firstLine="720"/>
      </w:pPr>
      <w:r>
        <w:t xml:space="preserve">Under the</w:t>
      </w:r>
      <w:r>
        <w:t xml:space="preserve"> </w:t>
      </w:r>
      <w:r>
        <w:rPr>
          <w:b/>
          <w:bCs/>
        </w:rPr>
        <w:t xml:space="preserve">disruption mechanism</w:t>
      </w:r>
      <w:r>
        <w:t xml:space="preserve">, a reorganization is a shock. It resets reporting lines, disperses institutional knowledge, and imposes transition costs on a program already in flight, and the disruption lands hardest on the large, technically coupled, politically salient programs that are most often the subjects of reform. The cost-estimation evidence that program outcomes degrade under management and definitional instability is the formal support for this mechanism</w:t>
      </w:r>
      <w:r>
        <w:t xml:space="preserve"> </w:t>
      </w:r>
      <w:hyperlink w:anchor="ref-10">
        <w:r>
          <w:rPr>
            <w:rStyle w:val="Hyperlink"/>
          </w:rPr>
          <w:t xml:space="preserve">[10]</w:t>
        </w:r>
      </w:hyperlink>
      <w:r>
        <w:t xml:space="preserve">, and the documented episode in which an institution under independent review reallocated teams away from a sibling mission is its concrete demonstration</w:t>
      </w:r>
      <w:r>
        <w:t xml:space="preserve"> </w:t>
      </w:r>
      <w:hyperlink w:anchor="ref-9">
        <w:r>
          <w:rPr>
            <w:rStyle w:val="Hyperlink"/>
          </w:rPr>
          <w:t xml:space="preserve">[9]</w:t>
        </w:r>
      </w:hyperlink>
      <w:r>
        <w:t xml:space="preserve">. On this account, restructuring raises cost growth and schedule variance rather than lowering them, because the program pays the transition tax and rebuilds lost knowledge before any optimization benefit can materialize, if it materializes at all.</w:t>
      </w:r>
    </w:p>
    <w:p>
      <w:pPr>
        <w:pStyle w:val="BodyText"/>
        <w:spacing w:line="480" w:lineRule="auto"/>
        <w:ind w:firstLine="720"/>
      </w:pPr>
      <w:r>
        <w:t xml:space="preserve">Opposite signs on the post-reorganization coefficient are therefore both in play, and that opposition is decisive for the value of the study. If only one mechanism were theoretically admissible, a confirmatory finding would be uninformative and a disconfirmatory finding would be dismissed as noise. Because both are admissible and the field’s reflex bets on optimization, a negative or null estimate disciplines the reflex, while a positive estimate would specify the cost of the disruption the reflex ignores. Prior empirical work here has already produced directional evidence. The survival analyses of NASA major projects estimated that restructured programs faced an elevated hazard of breaching their committed baselines, with point estimates well above a hazard ratio of one</w:t>
      </w:r>
      <w:r>
        <w:t xml:space="preserve"> </w:t>
      </w:r>
      <w:hyperlink w:anchor="ref-9">
        <w:r>
          <w:rPr>
            <w:rStyle w:val="Hyperlink"/>
          </w:rPr>
          <w:t xml:space="preserve">[9]</w:t>
        </w:r>
      </w:hyperlink>
      <w:r>
        <w:t xml:space="preserve">, and a portfolio-level survival model on a reorganized human-spaceflight regime found a still larger and statistically significant acceleration of cost breach</w:t>
      </w:r>
      <w:r>
        <w:t xml:space="preserve"> </w:t>
      </w:r>
      <w:hyperlink w:anchor="ref-10">
        <w:r>
          <w:rPr>
            <w:rStyle w:val="Hyperlink"/>
          </w:rPr>
          <w:t xml:space="preserve">[10]</w:t>
        </w:r>
      </w:hyperlink>
      <w:r>
        <w:t xml:space="preserve">. Those results lean toward the disruption mechanism, but they share a known limitation that the present panel design is built to address, which is the subject of the next section.</w:t>
      </w:r>
    </w:p>
    <w:bookmarkEnd w:id="86"/>
    <w:bookmarkStart w:id="87" w:name="Xe74f1c64a7f422b0c66cb44f83b3ca9fa1c0709"/>
    <w:p>
      <w:pPr>
        <w:pStyle w:val="Heading2"/>
        <w:spacing w:line="480" w:lineRule="auto"/>
      </w:pPr>
      <w:r>
        <w:t xml:space="preserve">3.5 Disciplining the Estimand Against Endogenous Treatment</w:t>
      </w:r>
    </w:p>
    <w:p>
      <w:pPr>
        <w:pStyle w:val="FirstParagraph"/>
        <w:spacing w:line="480" w:lineRule="auto"/>
      </w:pPr>
      <w:r>
        <w:t xml:space="preserve">No threat to a causal reading of the structure-to-execution link is graver than the endogeneity of the reorganization decision itself, because that decision is not random. Institutions are frequently reorganized precisely because they are already in trouble, which means that restructured programs may be drawn disproportionately from the deteriorating tail of the distribution, and a naive comparison of restructured and non-restructured programs would then attribute to the reorganization a deterioration that was already underway and that prompted the reorganization in the first place. This selection biases a naive estimate toward finding harm, and it is the reason the prior survival estimates in this dissertation must be read as directional rather than as causal verdicts on their own.</w:t>
      </w:r>
    </w:p>
    <w:p>
      <w:pPr>
        <w:pStyle w:val="BodyText"/>
        <w:spacing w:line="480" w:lineRule="auto"/>
        <w:ind w:firstLine="720"/>
      </w:pPr>
      <w:r>
        <w:t xml:space="preserve">In response, the theory defines the estimand so that it is purged of time-invariant program difficulty and of common shocks, and defends the remaining identification with an explicit test of the assumption it rests on. The estimand is the average change in execution performance attributable to restructuring, net of program-fixed unobservables and common-year shocks. Program-fixed effects absorb the time-invariant difficulty of a program, the secular hardness of its technology, its mission class, and its baseline managerial competence, so that the estimate is identified from within-program change rather than from cross-program comparison of intrinsically different programs. Year-fixed effects absorb the common shocks that hit all programs in a given year, the appropriations cycle, launch-market conditions, and agency-wide policy shifts, so that the estimate is not confounded by a reorganization that happened to coincide with a hard budget year.</w:t>
      </w:r>
    </w:p>
    <w:p>
      <w:pPr>
        <w:pStyle w:val="BodyText"/>
        <w:spacing w:line="480" w:lineRule="auto"/>
        <w:ind w:firstLine="720"/>
      </w:pPr>
      <w:r>
        <w:t xml:space="preserve">What program-fixed and year-fixed effects cannot absorb is a program-specific deterioration that both precedes and causes the reorganization. This is where the identifying assumption of parallel trends does its work. The assumption holds that, absent treatment, the execution trajectory of a program about to be reorganized would have continued to track that of comparable not-yet-reorganized programs. The assumption is not asserted; it is tested. An event-study specification estimates separate coefficients for each year relative to the reorganization, and a flat sequence of pre-period coefficients is the visible signature of parallel trends. A pre-trend that already slopes toward deterioration before the reorganization year would reveal the endogeneity directly and would invalidate the causal reading, which is then reported transparently rather than suppressed. Because reorganizations occur in different fiscal years across programs, programs not yet reorganized in a given year serve as the comparison group for those reorganized that year, and a heterogeneity-robust estimator that constructs clean comparisons between newly treated and not-yet-treated programs replaces the biased two-way fixed-effects contrast that staggered timing would otherwise corrupt. A placebo reassignment of treatment dates provides a further check, since a design that returns a significant effect under randomly permuted treatment timing is detecting something other than the reorganization. With these defenses, the estimand is a credible causal quantity rather than a selection artifact, and the hypotheses stated next are claims about that quantity.</w:t>
      </w:r>
    </w:p>
    <w:bookmarkEnd w:id="87"/>
    <w:bookmarkStart w:id="88" w:name="the-formal-hypotheses"/>
    <w:p>
      <w:pPr>
        <w:pStyle w:val="Heading2"/>
        <w:spacing w:line="480" w:lineRule="auto"/>
      </w:pPr>
      <w:r>
        <w:t xml:space="preserve">3.6 The Formal Hypotheses</w:t>
      </w:r>
    </w:p>
    <w:p>
      <w:pPr>
        <w:pStyle w:val="FirstParagraph"/>
        <w:spacing w:line="480" w:lineRule="auto"/>
      </w:pPr>
      <w:r>
        <w:t xml:space="preserve">The whole framework reduces to one estimate and one sign test. Let the treatment be a major organizational restructuring of the office responsible for a space acquisition program, dated to the fiscal year in which the new structure took effect, and let the post-reorganization indicator equal one in that year and every year thereafter for a treated program and zero otherwise. Let the two outcomes be annualized cost growth, the year-over-year change in the program’s estimate-at-completion normalized to a constant-dollar baseline, and schedule variance, the change in the program’s forecast milestone date relative to its baseline. Let the estimand be the coefficient on the post-reorganization indicator in a staggered-adoption difference-in-differences specification that includes program-fixed and year-fixed effects and clusters standard errors at the program level.</w:t>
      </w:r>
    </w:p>
    <w:p>
      <w:pPr>
        <w:pStyle w:val="BodyText"/>
        <w:spacing w:line="480" w:lineRule="auto"/>
        <w:ind w:firstLine="720"/>
      </w:pPr>
      <w:r>
        <w:rPr>
          <w:b/>
          <w:bCs/>
        </w:rPr>
        <w:t xml:space="preserve">H0 (null).</w:t>
      </w:r>
      <w:r>
        <w:t xml:space="preserve"> </w:t>
      </w:r>
      <w:r>
        <w:t xml:space="preserve">A major organizational restructuring of the office responsible for a space acquisition program produces no change in that program’s subsequent annualized cost growth or schedule variance, conditional on program-fixed effects and year-fixed effects. Formally, the difference-in-differences coefficient on the post-reorganization indicator is zero.</w:t>
      </w:r>
    </w:p>
    <w:p>
      <w:pPr>
        <w:pStyle w:val="BodyText"/>
        <w:spacing w:line="480" w:lineRule="auto"/>
        <w:ind w:firstLine="720"/>
      </w:pPr>
      <w:r>
        <w:rPr>
          <w:b/>
          <w:bCs/>
        </w:rPr>
        <w:t xml:space="preserve">H1 (alternative).</w:t>
      </w:r>
      <w:r>
        <w:t xml:space="preserve"> </w:t>
      </w:r>
      <w:r>
        <w:t xml:space="preserve">Restructuring produces a non-zero change in subsequent annualized cost growth and schedule variance, conditional on the same fixed effects. The difference-in-differences coefficient is distinguishable from zero.</w:t>
      </w:r>
    </w:p>
    <w:p>
      <w:pPr>
        <w:pStyle w:val="BodyText"/>
        <w:spacing w:line="480" w:lineRule="auto"/>
        <w:ind w:firstLine="720"/>
      </w:pPr>
      <w:r>
        <w:t xml:space="preserve">The alternative is deliberately two-sided, because the two rival mechanisms of Section 3.4 predict opposite signs and the test must be capable of returning either. A coefficient bounded away from zero with a positive sign on cost growth and schedule variance evidences the disruption mechanism, the direction toward which the companion survival estimates already lean</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while a coefficient bounded away from zero with a negative sign would evidence the optimization mechanism that the field’s reflex assumes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A coefficient precisely estimated and indistinguishable from zero fails to reject H0 and constitutes the substantive finding that reorganization does not move execution, which would discipline a widely held but weakly evidenced governance reflex. The contribution is the coefficient and its confidence interval, and it is not a narrative.</w:t>
      </w:r>
    </w:p>
    <w:p>
      <w:pPr>
        <w:pStyle w:val="BodyText"/>
        <w:spacing w:line="480" w:lineRule="auto"/>
        <w:ind w:firstLine="720"/>
      </w:pPr>
      <w:r>
        <w:t xml:space="preserve">One secondary, descriptive hypothesis remains, and it is licensed only on the condition that H0 is rejected.</w:t>
      </w:r>
    </w:p>
    <w:p>
      <w:pPr>
        <w:pStyle w:val="BodyText"/>
        <w:spacing w:line="480" w:lineRule="auto"/>
        <w:ind w:firstLine="720"/>
      </w:pPr>
      <w:r>
        <w:t xml:space="preserve">It interacts the post-reorganization indicator with a coded restructuring archetype, distinguishing consolidation of authority from the stand-up of a new program office from the recharter of an acquisition authority, and asks whether any one archetype carries the effect. This secondary question is not the contribution of the study and is not stated as a primary hypothesis, because pursuing it absent a rejection of H0 would be the kind of post-hoc subgroup search that the design is built to avoid. It is recorded here so that the analytic sequence is pre-committed: the primary test first, the archetype decomposition only if the primary test warrants it.</w:t>
      </w:r>
    </w:p>
    <w:bookmarkEnd w:id="88"/>
    <w:bookmarkStart w:id="89" w:name="falsification-logic-and-scope-conditions"/>
    <w:p>
      <w:pPr>
        <w:pStyle w:val="Heading2"/>
        <w:spacing w:line="480" w:lineRule="auto"/>
      </w:pPr>
      <w:r>
        <w:t xml:space="preserve">3.7 Falsification Logic and Scope Conditions</w:t>
      </w:r>
    </w:p>
    <w:p>
      <w:pPr>
        <w:pStyle w:val="FirstParagraph"/>
        <w:spacing w:line="480" w:lineRule="auto"/>
      </w:pPr>
      <w:r>
        <w:t xml:space="preserve">These hypotheses are falsifiable in both directions, which is the property that separates an estimate from an assertion. A confidence interval on the post-reorganization coefficient that excludes zero rejects H0; an interval containing zero does not.</w:t>
      </w:r>
    </w:p>
    <w:p>
      <w:pPr>
        <w:pStyle w:val="BodyText"/>
        <w:spacing w:line="480" w:lineRule="auto"/>
        <w:ind w:firstLine="720"/>
      </w:pPr>
      <w:r>
        <w:t xml:space="preserve">A null result is read not as proof of no effect but against the minimum detectable effect the data could have resolved, so that a failure to reject is interpreted with honesty about the power of a finite panel rather than dressed up as a precise zero. This discipline is inherited directly from the companion survival work, where wide confidence intervals on large point estimates were reported as directional rather than confirmatory evidence</w:t>
      </w:r>
      <w:r>
        <w:t xml:space="preserve"> </w:t>
      </w:r>
      <w:hyperlink w:anchor="ref-9">
        <w:r>
          <w:rPr>
            <w:rStyle w:val="Hyperlink"/>
          </w:rPr>
          <w:t xml:space="preserve">[9]</w:t>
        </w:r>
      </w:hyperlink>
      <w:r>
        <w:t xml:space="preserve">, and where a finite event count was named as the binding constraint on precision</w:t>
      </w:r>
      <w:r>
        <w:t xml:space="preserve"> </w:t>
      </w:r>
      <w:hyperlink w:anchor="ref-10">
        <w:r>
          <w:rPr>
            <w:rStyle w:val="Hyperlink"/>
          </w:rPr>
          <w:t xml:space="preserve">[10]</w:t>
        </w:r>
      </w:hyperlink>
      <w:r>
        <w:t xml:space="preserve">. The panel design improves on those studies precisely by adding within-program identification and a pre-trend test, but it does not escape the underlying scarcity of major reorganizations, and the falsification logic is calibrated accordingly.</w:t>
      </w:r>
    </w:p>
    <w:p>
      <w:pPr>
        <w:pStyle w:val="BodyText"/>
        <w:spacing w:line="480" w:lineRule="auto"/>
        <w:ind w:firstLine="720"/>
      </w:pPr>
      <w:r>
        <w:t xml:space="preserve">Scope conditions bind the hypotheses. They apply to major United States civil and defense space acquisition programs of the class observed in the public assessment record, programs large enough to appear in the annual major-project assessments and to carry a documented, dateable reorganization of their managing office</w:t>
      </w:r>
      <w:r>
        <w:t xml:space="preserve"> </w:t>
      </w:r>
      <w:hyperlink w:anchor="ref-9">
        <w:r>
          <w:rPr>
            <w:rStyle w:val="Hyperlink"/>
          </w:rPr>
          <w:t xml:space="preserve">[9]</w:t>
        </w:r>
      </w:hyperlink>
      <w:r>
        <w:t xml:space="preserve">. They hold mission content and the budget environment fixed by construction, through the year-fixed effects and the constant-dollar normalization of the outcomes, so the claim is about the marginal effect of structure with strategy and resources held constant, not about the joint effect of reorganizing in concert with a mission rescope or a budget change. They do not extend to commercial space enterprises, to programs below the major-project reporting threshold, or to reorganizations whose timing or reach cannot be pinned to a public document, and the analysis declines to extrapolate beyond the observed program class.</w:t>
      </w:r>
    </w:p>
    <w:p>
      <w:pPr>
        <w:pStyle w:val="BodyText"/>
        <w:spacing w:line="480" w:lineRule="auto"/>
        <w:ind w:firstLine="720"/>
      </w:pPr>
      <w:r>
        <w:t xml:space="preserve">Within those conditions the framework delivers what the field has lacked: a single, contestable, theoretically interpretable estimate of whether reorganizing a space enterprise changes program execution outcomes. The chapters that follow estimate it.</w:t>
      </w:r>
    </w:p>
    <w:bookmarkEnd w:id="89"/>
    <w:bookmarkEnd w:id="90"/>
    <w:bookmarkStart w:id="99" w:name="chapter-4.-data-and-measurement"/>
    <w:p>
      <w:pPr>
        <w:pStyle w:val="Heading1"/>
        <w:spacing w:line="480" w:lineRule="auto"/>
      </w:pPr>
      <w:r>
        <w:t xml:space="preserve">Chapter 4. Data and Measurement</w:t>
      </w:r>
    </w:p>
    <w:bookmarkStart w:id="91" w:name="purpose-and-logic-of-the-chapter"/>
    <w:p>
      <w:pPr>
        <w:pStyle w:val="Heading2"/>
        <w:spacing w:line="480" w:lineRule="auto"/>
      </w:pPr>
      <w:r>
        <w:t xml:space="preserve">4.1 Purpose and Logic of the Chapter</w:t>
      </w:r>
    </w:p>
    <w:p>
      <w:pPr>
        <w:pStyle w:val="FirstParagraph"/>
        <w:spacing w:line="480" w:lineRule="auto"/>
      </w:pPr>
      <w:r>
        <w:t xml:space="preserve">This chapter lays out the empirical material on which the dissertation stands. A central claim is falsifiable only so far as the data behind it are real, drawn from outside the analyst, and rebuildable by someone else, so the chapter does more than describe a dataset. It traces a chain of custody that runs from primary public records to the analytic variables that eventually enter the survival models of the two companion papers. The Chandlerian proposition that structure follows strategy, joined to the enterprise-architecture corollary that architecture is the joint design of strategy, business, and technology</w:t>
      </w:r>
      <w:r>
        <w:t xml:space="preserve"> </w:t>
      </w:r>
      <w:hyperlink w:anchor="ref-1">
        <w:r>
          <w:rPr>
            <w:rStyle w:val="Hyperlink"/>
          </w:rPr>
          <w:t xml:space="preserve">[1]</w:t>
        </w:r>
      </w:hyperlink>
      <w:r>
        <w:t xml:space="preserve">, yields a hypothesis about a downstream execution consequence, and a hypothesis of that shape can be tested only two ways: against execution outcomes measured identically for every program in every year, and against a treatment dated from documents an outside reader can pull and dispute. Provenance is the discipline throughout. Every number that reaches the analysis traces to a citable public document, and every field the study constructs is the output of a stated rule applied to those documents.</w:t>
      </w:r>
    </w:p>
    <w:p>
      <w:pPr>
        <w:pStyle w:val="BodyText"/>
        <w:spacing w:line="480" w:lineRule="auto"/>
        <w:ind w:firstLine="720"/>
      </w:pPr>
      <w:r>
        <w:t xml:space="preserve">Two empirical papers anchor the work, and they draw on overlapping yet distinct slices of one authoritative source family. Each fits a Cox proportional-hazards model, and each takes as its treatment a documented organizational restructuring, yet they part on how the breach is defined and how the treatment is dated.</w:t>
      </w:r>
    </w:p>
    <w:p>
      <w:pPr>
        <w:pStyle w:val="BodyText"/>
        <w:spacing w:line="480" w:lineRule="auto"/>
        <w:ind w:firstLine="720"/>
      </w:pPr>
      <w:r>
        <w:t xml:space="preserve">The first model runs across twenty-four NASA Category 1 projects, pooling cost and schedule breaches into a single event and coding treatment from a documented restructuring of the managing office. The second tightens the breach definition to a major development cost overrun that crosses a fixed percentage threshold, confines the treatment to one dated directorate reorganization, and fits its Cox model to a cross-section of twenty-four major NASA acquisition projects. A shared unit of analysis, a shared primary source, and a shared measurement philosophy connect the two, and they part company on how the event is defined, how the treatment is dated, and which assessment vintages they transcribe. Those partings are handled here as explicit design choices rather than as inconsistencies to be smoothed away, because a conclusion earns robustness only by surviving more than one reasonable operationalization of the same underlying question.</w:t>
      </w:r>
    </w:p>
    <w:bookmarkEnd w:id="91"/>
    <w:bookmarkStart w:id="92" w:name="X46490b48e5ff61a4b0b24f3d8d578e7023249be"/>
    <w:p>
      <w:pPr>
        <w:pStyle w:val="Heading2"/>
        <w:spacing w:line="480" w:lineRule="auto"/>
      </w:pPr>
      <w:r>
        <w:t xml:space="preserve">4.2 The Authoritative Source: The GAO NASA Major-Project Assessment Series</w:t>
      </w:r>
    </w:p>
    <w:p>
      <w:pPr>
        <w:pStyle w:val="FirstParagraph"/>
        <w:spacing w:line="480" w:lineRule="auto"/>
      </w:pPr>
      <w:r>
        <w:t xml:space="preserve">A single spine supports both datasets, the United States Government Accountability Office annual assessment of NASA major projects. This congressionally mandated series, published each spring, records for every major NASA project, measured against the cost baseline fixed at the project’s confirmation review, both the cumulative development cost growth and the months of schedule delay</w:t>
      </w:r>
      <w:r>
        <w:t xml:space="preserve"> </w:t>
      </w:r>
      <w:hyperlink w:anchor="ref-9">
        <w:r>
          <w:rPr>
            <w:rStyle w:val="Hyperlink"/>
          </w:rPr>
          <w:t xml:space="preserve">[9]</w:t>
        </w:r>
      </w:hyperlink>
      <w:r>
        <w:t xml:space="preserve">. No richer acquisition record exists in civil space, and the series is built for exactly the cross-year comparability a panel or survival design demands: the same projects recur across consecutive vintages, growth is always measured against the confirmation commitment rather than a moving line, and the tables are laid out so a reader can follow one project’s cost and schedule path from year to year.</w:t>
      </w:r>
    </w:p>
    <w:p>
      <w:pPr>
        <w:pStyle w:val="BodyText"/>
        <w:spacing w:line="480" w:lineRule="auto"/>
        <w:ind w:firstLine="720"/>
      </w:pPr>
      <w:r>
        <w:t xml:space="preserve">Vintage selection was deliberate, with the two papers reaching into different but adjacent slices of the series. The first transcribes cost and schedule fields from the assessments numbered GAO-23-106021, GAO-24-106767, and GAO-25-107591, and it supplements them with project-specific GAO reports and NASA Office of Inspector General reports for the breach codings</w:t>
      </w:r>
      <w:r>
        <w:t xml:space="preserve"> </w:t>
      </w:r>
      <w:hyperlink w:anchor="ref-9">
        <w:r>
          <w:rPr>
            <w:rStyle w:val="Hyperlink"/>
          </w:rPr>
          <w:t xml:space="preserve">[9]</w:t>
        </w:r>
      </w:hyperlink>
      <w:r>
        <w:t xml:space="preserve">. The second builds its cross-section chiefly from the June 2022 assessment GAO-22-105212 and its May 2021 predecessor GAO-21-306, drawing each project’s original baseline development cost estimate in then-year dollars straight from the GAO Table 6 portfolio table along with its cumulative development cost growth percentage measured from that baseline</w:t>
      </w:r>
      <w:r>
        <w:t xml:space="preserve"> </w:t>
      </w:r>
      <w:hyperlink w:anchor="ref-9">
        <w:r>
          <w:rPr>
            <w:rStyle w:val="Hyperlink"/>
          </w:rPr>
          <w:t xml:space="preserve">[9]</w:t>
        </w:r>
      </w:hyperlink>
      <w:r>
        <w:t xml:space="preserve">. Reaching back to earlier vintages is what lets the second paper observe its single dated treatment, the September 2021 directorate split, as a clean before-and-after boundary, while reaching forward to later vintages is what lets the first paper watch the breach event unfold through the most recent rebaselines and Agency Baseline Commitment increases. The reorganization announcement that fixes the second paper’s treatment sits in the same report family, recorded in the assessment numbered GAO-25-107591</w:t>
      </w:r>
      <w:r>
        <w:t xml:space="preserve"> </w:t>
      </w:r>
      <w:hyperlink w:anchor="ref-9">
        <w:r>
          <w:rPr>
            <w:rStyle w:val="Hyperlink"/>
          </w:rPr>
          <w:t xml:space="preserve">[9]</w:t>
        </w:r>
      </w:hyperlink>
      <w:r>
        <w:t xml:space="preserve">.</w:t>
      </w:r>
    </w:p>
    <w:p>
      <w:pPr>
        <w:pStyle w:val="BodyText"/>
        <w:spacing w:line="480" w:lineRule="auto"/>
        <w:ind w:firstLine="720"/>
      </w:pPr>
      <w:r>
        <w:t xml:space="preserve">Three properties lend this source its authority, and the first is externality. The cost, growth, and schedule numbers are GAO’s own product rather than the dissertation’s construction, which leaves the analyst no discretion over the values themselves.</w:t>
      </w:r>
    </w:p>
    <w:p>
      <w:pPr>
        <w:pStyle w:val="BodyText"/>
        <w:spacing w:line="480" w:lineRule="auto"/>
        <w:ind w:firstLine="720"/>
      </w:pPr>
      <w:r>
        <w:t xml:space="preserve">The second is auditability. Because the reports download as public documents and the full per-row provenance of every cost and growth figure sits in the source column of the accompanying data file, a replicating reader can walk back to the exact GAO table each cell came from. The third is comparability across time, because measuring growth against the confirmation baseline rather than a shifting target holds one definition of cost growth across every project and every year, which is the precondition for treating a cost-baseline crossing as a well-defined event in survival time.</w:t>
      </w:r>
    </w:p>
    <w:p>
      <w:pPr>
        <w:pStyle w:val="BodyText"/>
        <w:spacing w:line="480" w:lineRule="auto"/>
        <w:ind w:firstLine="720"/>
      </w:pPr>
      <w:r>
        <w:t xml:space="preserve">Nothing internal, deliberative, or non-public reaches either dataset. Even the supplementary sources behind breach classification and treatment dating are public documents: project-specific GAO and NASA Office of Inspector General reports, official NASA and Jet Propulsion Laboratory independent-review response documentation, NASA and JPL project pages, and the public reorganization announcement</w:t>
      </w:r>
      <w:r>
        <w:t xml:space="preserve"> </w:t>
      </w:r>
      <w:hyperlink w:anchor="ref-9">
        <w:r>
          <w:rPr>
            <w:rStyle w:val="Hyperlink"/>
          </w:rPr>
          <w:t xml:space="preserve">[9]</w:t>
        </w:r>
      </w:hyperlink>
      <w:r>
        <w:t xml:space="preserve">. The parametric cost-estimation literature for NASA missions, which shows cost outcomes bending under the management and definitional instability a mid-development restructuring brings</w:t>
      </w:r>
      <w:r>
        <w:t xml:space="preserve"> </w:t>
      </w:r>
      <w:hyperlink w:anchor="ref-10">
        <w:r>
          <w:rPr>
            <w:rStyle w:val="Hyperlink"/>
          </w:rPr>
          <w:t xml:space="preserve">[10]</w:t>
        </w:r>
      </w:hyperlink>
      <w:r>
        <w:t xml:space="preserve">, shapes how the size control is interpreted rather than supplying any data value, and it enters as a substantive reference, never as a source of transcribed numbers.</w:t>
      </w:r>
    </w:p>
    <w:bookmarkEnd w:id="92"/>
    <w:bookmarkStart w:id="93" w:name="unit-of-analysis"/>
    <w:p>
      <w:pPr>
        <w:pStyle w:val="Heading2"/>
        <w:spacing w:line="480" w:lineRule="auto"/>
      </w:pPr>
      <w:r>
        <w:t xml:space="preserve">4.3 Unit of Analysis</w:t>
      </w:r>
    </w:p>
    <w:p>
      <w:pPr>
        <w:pStyle w:val="FirstParagraph"/>
        <w:spacing w:line="480" w:lineRule="auto"/>
      </w:pPr>
      <w:r>
        <w:t xml:space="preserve">What is the unit of analysis? At the center of the design sits the individual NASA major space acquisition project, a Category 1 project in the first paper’s framing, observed as one survival record. Each project puts a single row into the analytic file, and that row carries it across its development life, from the moment its baseline is committed to the moment it either breaches that baseline or is censored. The unit is the project, not the program office or the directorate, even though the treatment of interest lives one level up, at the office or directorate that manages the project. Bridging that gap, from the organizational level where restructuring happens to the project level where outcomes register, is itself a measurement decision, spelled out below in the construction of the treatment indicator, and it is why the two papers belong together: one assigns treatment from office-specific restructuring episodes, the other from a single directorate-wide reorganization whose reach is known.</w:t>
      </w:r>
    </w:p>
    <w:p>
      <w:pPr>
        <w:pStyle w:val="BodyText"/>
        <w:spacing w:line="480" w:lineRule="auto"/>
        <w:ind w:firstLine="720"/>
      </w:pPr>
      <w:r>
        <w:t xml:space="preserve">Both papers hold the population at twenty-four major NASA projects. In the first, those twenty-four range across robotic science, Earth observation, planetary defense, and crewed Artemis-class human spaceflight, each traceable to a named public source in the final column of the data file</w:t>
      </w:r>
      <w:r>
        <w:t xml:space="preserve"> </w:t>
      </w:r>
      <w:hyperlink w:anchor="ref-9">
        <w:r>
          <w:rPr>
            <w:rStyle w:val="Hyperlink"/>
          </w:rPr>
          <w:t xml:space="preserve">[9]</w:t>
        </w:r>
      </w:hyperlink>
      <w:r>
        <w:t xml:space="preserve">; in the second, they are major NASA acquisition projects pulled from the GAO portfolio table at the same project-level granularity</w:t>
      </w:r>
      <w:r>
        <w:t xml:space="preserve"> </w:t>
      </w:r>
      <w:hyperlink w:anchor="ref-9">
        <w:r>
          <w:rPr>
            <w:rStyle w:val="Hyperlink"/>
          </w:rPr>
          <w:t xml:space="preserve">[9]</w:t>
        </w:r>
      </w:hyperlink>
      <w:r>
        <w:t xml:space="preserve">. The population is finite by construction, since the universe of fully documented major NASA projects carrying coded restructuring exposure inside the observation window is itself finite. This is no sampling frame from which a larger draw might later be taken. It is the population of analyzable cases, and what its size means for statistical power is carried openly into the inference rather than tucked away.</w:t>
      </w:r>
    </w:p>
    <w:p>
      <w:pPr>
        <w:pStyle w:val="BodyText"/>
        <w:spacing w:line="480" w:lineRule="auto"/>
        <w:ind w:firstLine="720"/>
      </w:pPr>
      <w:r>
        <w:t xml:space="preserve">Why the project and not some other unit? Execution is a property of a program’s development life, and the interval before a project crosses its committed baseline is precisely the quantity a portfolio manager most wants to defend. One project, one duration, one event indicator, one set of covariates: the survival record is the natural container for that quantity, and it is the container that lets censored projects, the ones not yet breached, count as information instead of being thrown away.</w:t>
      </w:r>
    </w:p>
    <w:bookmarkEnd w:id="93"/>
    <w:bookmarkStart w:id="94" w:name="X715f194f3f088309a7d795d03b7568ba7562139"/>
    <w:p>
      <w:pPr>
        <w:pStyle w:val="Heading2"/>
        <w:spacing w:line="480" w:lineRule="auto"/>
      </w:pPr>
      <w:r>
        <w:t xml:space="preserve">4.4 The Outcome: Construction of the Breach Event</w:t>
      </w:r>
    </w:p>
    <w:p>
      <w:pPr>
        <w:pStyle w:val="FirstParagraph"/>
        <w:spacing w:line="480" w:lineRule="auto"/>
      </w:pPr>
      <w:r>
        <w:t xml:space="preserve">Both papers treat the outcome as an event in survival time, yet they draw the event’s boundary in different places, and that difference is the most consequential measurement choice in the dissertation. Each definition comes out of primary GAO records and each is auditable, but the two sit at different points along a spectrum that runs from deliberate aggregation to sharp specificity.</w:t>
      </w:r>
    </w:p>
    <w:p>
      <w:pPr>
        <w:pStyle w:val="BodyText"/>
        <w:spacing w:line="480" w:lineRule="auto"/>
        <w:ind w:firstLine="720"/>
      </w:pPr>
      <w:r>
        <w:t xml:space="preserve">The first paper sets its event indicator to one whenever a project breached its committed cost or schedule baseline through any of three documented mechanisms, a rebaseline, an increase in the Agency Baseline Commitment, or an independent-review-mandated replan, and to zero whenever the project reached launch within baseline, in which case the observation is right-censored</w:t>
      </w:r>
      <w:r>
        <w:t xml:space="preserve"> </w:t>
      </w:r>
      <w:hyperlink w:anchor="ref-9">
        <w:r>
          <w:rPr>
            <w:rStyle w:val="Hyperlink"/>
          </w:rPr>
          <w:t xml:space="preserve">[9]</w:t>
        </w:r>
      </w:hyperlink>
      <w:r>
        <w:t xml:space="preserve">. This is an aggregated breach that folds cost breaches and schedule breaches into one failure event, on the logic that what a manager wants to hold is the committed baseline itself, along whatever dimension it happens to give way first. The codings are public, resting on the GAO assessments supplemented by mission documentation</w:t>
      </w:r>
      <w:r>
        <w:t xml:space="preserve"> </w:t>
      </w:r>
      <w:hyperlink w:anchor="ref-9">
        <w:r>
          <w:rPr>
            <w:rStyle w:val="Hyperlink"/>
          </w:rPr>
          <w:t xml:space="preserve">[9]</w:t>
        </w:r>
      </w:hyperlink>
      <w:r>
        <w:t xml:space="preserve">. Fifteen of the twenty-four projects experienced a breach event and nine reached launch within baseline, so fifteen records are events and nine are right-censored.</w:t>
      </w:r>
    </w:p>
    <w:p>
      <w:pPr>
        <w:pStyle w:val="BodyText"/>
        <w:spacing w:line="480" w:lineRule="auto"/>
        <w:ind w:firstLine="720"/>
      </w:pPr>
      <w:r>
        <w:t xml:space="preserve">The second paper draws the event down to one dimension and one fixed threshold. Its indicator equals one when a project’s cumulative development cost growth, the GAO-reported percentage, crossed fifteen percent, the threshold GAO and NASA use to flag a significant overrun, and zero otherwise</w:t>
      </w:r>
      <w:r>
        <w:t xml:space="preserve"> </w:t>
      </w:r>
      <w:hyperlink w:anchor="ref-9">
        <w:r>
          <w:rPr>
            <w:rStyle w:val="Hyperlink"/>
          </w:rPr>
          <w:t xml:space="preserve">[9]</w:t>
        </w:r>
      </w:hyperlink>
      <w:r>
        <w:t xml:space="preserve">. Twelve of the twenty-four projects breach on this definition and twelve are censored below the threshold. This is a sharper, more reproducible event than the first paper’s aggregate, because it rests entirely on a public numeric GAO growth percentage read against a stated cutoff, so classifying it asks for no judgment beyond comparing a number to a line. That discipline is deliberate: the second paper’s breach classification leans wholly on the public GAO growth percentages and depends on none of the approximate fields discussed below.</w:t>
      </w:r>
    </w:p>
    <w:p>
      <w:pPr>
        <w:pStyle w:val="BodyText"/>
        <w:spacing w:line="480" w:lineRule="auto"/>
        <w:ind w:firstLine="720"/>
      </w:pPr>
      <w:r>
        <w:t xml:space="preserve">The divergence is not accidental, because the two definitions trade completeness against reproducibility in opposite directions. The aggregated cost-or-schedule breach of the first paper captures the entire surface on which a baseline can fail and so describes execution failure more completely, while the fifteen-percent cost-growth breach of the second is mechanically cleaner and easier to reproduce yet blind both to schedule and to overruns that stay under the threshold. A finding that holds across both definitions is worth more than one that holds only under the analyst’s favored operationalization, and the dissertation’s claim is framed so that both can test it. The first paper itself observes that a competing-risks extension separating cost and schedule breaches might show restructuring pressing differently on each, which marks the aggregation as a modeling choice whose decomposition is a recognized next step rather than a settled simplification.</w:t>
      </w:r>
    </w:p>
    <w:bookmarkEnd w:id="94"/>
    <w:bookmarkStart w:id="95" w:name="X5ec5dde80d8c337440e520c8bfdcfbfa14f7f76"/>
    <w:p>
      <w:pPr>
        <w:pStyle w:val="Heading2"/>
        <w:spacing w:line="480" w:lineRule="auto"/>
      </w:pPr>
      <w:r>
        <w:t xml:space="preserve">4.5 The Survival Time: Construction of Duration and Censoring</w:t>
      </w:r>
    </w:p>
    <w:p>
      <w:pPr>
        <w:pStyle w:val="FirstParagraph"/>
        <w:spacing w:line="480" w:lineRule="auto"/>
      </w:pPr>
      <w:r>
        <w:t xml:space="preserve">Survival time is a project’s development exposure, running from the setting of its baseline to the resolution of its survival record, and once more the two papers build it from primary records with small, disclosed differences.</w:t>
      </w:r>
    </w:p>
    <w:p>
      <w:pPr>
        <w:pStyle w:val="BodyText"/>
        <w:spacing w:line="480" w:lineRule="auto"/>
        <w:ind w:firstLine="720"/>
      </w:pPr>
      <w:r>
        <w:t xml:space="preserve">For the first paper, survival time is development duration in months, from the agency baseline commitment at confirmation to launch, or to the documented baseline-breach event for programs that breached before completing</w:t>
      </w:r>
      <w:r>
        <w:t xml:space="preserve"> </w:t>
      </w:r>
      <w:hyperlink w:anchor="ref-9">
        <w:r>
          <w:rPr>
            <w:rStyle w:val="Hyperlink"/>
          </w:rPr>
          <w:t xml:space="preserve">[9]</w:t>
        </w:r>
      </w:hyperlink>
      <w:r>
        <w:t xml:space="preserve">. The clock begins at the confirmation commitment, where the Agency Baseline Commitment is fixed, and it stops at the first documented breach for breached projects or at launch for those that reached launch within baseline. A project that launched without breaching is right-censored at launch, contributing its full development exposure as evidence that it held the threshold up to that point.</w:t>
      </w:r>
    </w:p>
    <w:p>
      <w:pPr>
        <w:pStyle w:val="BodyText"/>
        <w:spacing w:line="480" w:lineRule="auto"/>
        <w:ind w:firstLine="720"/>
      </w:pPr>
      <w:r>
        <w:t xml:space="preserve">For the second paper, duration is development exposure in years, from the project’s confirmation review, the Key Decision Point C where the baseline is set, to the first assessment recording the breach for breached projects, or to launch or the January 2022 observation date for censored ones</w:t>
      </w:r>
      <w:r>
        <w:t xml:space="preserve"> </w:t>
      </w:r>
      <w:hyperlink w:anchor="ref-9">
        <w:r>
          <w:rPr>
            <w:rStyle w:val="Hyperlink"/>
          </w:rPr>
          <w:t xml:space="preserve">[9]</w:t>
        </w:r>
      </w:hyperlink>
      <w:r>
        <w:t xml:space="preserve">. The clock starts at the same conceptual event, the confirmation review at which the baseline is committed, named here as Key Decision Point C. It ends, for censored projects, at whichever comes first of launch or the January 2022 observation date, which pins the right-censoring boundary at the moment of observation for projects still in development. The sources remain public, with confirmation years and launch dates drawn from NASA and JPL project pages and from the GAO reports</w:t>
      </w:r>
      <w:r>
        <w:t xml:space="preserve"> </w:t>
      </w:r>
      <w:hyperlink w:anchor="ref-9">
        <w:r>
          <w:rPr>
            <w:rStyle w:val="Hyperlink"/>
          </w:rPr>
          <w:t xml:space="preserve">[9]</w:t>
        </w:r>
      </w:hyperlink>
      <w:r>
        <w:t xml:space="preserve">.</w:t>
      </w:r>
    </w:p>
    <w:p>
      <w:pPr>
        <w:pStyle w:val="BodyText"/>
        <w:spacing w:line="480" w:lineRule="auto"/>
        <w:ind w:firstLine="720"/>
      </w:pPr>
      <w:r>
        <w:t xml:space="preserve">The second paper discloses, with unusual candor, one measurement limitation in its duration field. A handful of confirmation years that could not be tied to a public month are flagged as illustrative in the source column and kept well under one in seven of the data cells</w:t>
      </w:r>
      <w:r>
        <w:t xml:space="preserve"> </w:t>
      </w:r>
      <w:hyperlink w:anchor="ref-9">
        <w:r>
          <w:rPr>
            <w:rStyle w:val="Hyperlink"/>
          </w:rPr>
          <w:t xml:space="preserve">[9]</w:t>
        </w:r>
      </w:hyperlink>
      <w:r>
        <w:t xml:space="preserve">. Duration is therefore firm for the large programs, whose confirmation dates are publicly fixed, and approximate for a few of the smaller science missions. Two features bound what that approximation can cost. First, the illustrative confirmation years are flagged in the data file, so a replicating reader can see exactly which cells carry the approximation and test how sensitive the model is to dropping them. Second, and more protective still, the approximation touches only duration and never touches any breach classification, since that classification rests entirely on the public GAO growth percentages rather than on any date</w:t>
      </w:r>
      <w:r>
        <w:t xml:space="preserve"> </w:t>
      </w:r>
      <w:hyperlink w:anchor="ref-9">
        <w:r>
          <w:rPr>
            <w:rStyle w:val="Hyperlink"/>
          </w:rPr>
          <w:t xml:space="preserve">[9]</w:t>
        </w:r>
      </w:hyperlink>
      <w:r>
        <w:t xml:space="preserve">. The event is thus observed without leaning on the approximate field at all; only the timing of an unambiguously classified event carries any imprecision.</w:t>
      </w:r>
    </w:p>
    <w:bookmarkEnd w:id="95"/>
    <w:bookmarkStart w:id="96" w:name="Xd83764487986c0d5bc87336217af87fe32565af"/>
    <w:p>
      <w:pPr>
        <w:pStyle w:val="Heading2"/>
        <w:spacing w:line="480" w:lineRule="auto"/>
      </w:pPr>
      <w:r>
        <w:t xml:space="preserve">4.6 The Treatment: Construction of the Restructuring Indicator</w:t>
      </w:r>
    </w:p>
    <w:p>
      <w:pPr>
        <w:pStyle w:val="FirstParagraph"/>
        <w:spacing w:line="480" w:lineRule="auto"/>
      </w:pPr>
      <w:r>
        <w:t xml:space="preserve">Treatment here is a documented organizational restructuring of the office or directorate that manages a project, and its construction is where the dissertation’s commitment to external, contestable provenance stands most exposed, because the treatment is the one variable the analyst codes rather than transcribes. Both papers follow the same rule in spirit, setting the indicator from public restructuring episodes only, with no internal or deliberative material, so the treatment definition stays inspectable and open to challenge. Where they differ is in how many episodes each admits and how each handles the confounding that results.</w:t>
      </w:r>
    </w:p>
    <w:p>
      <w:pPr>
        <w:pStyle w:val="BodyText"/>
        <w:spacing w:line="480" w:lineRule="auto"/>
        <w:ind w:firstLine="720"/>
      </w:pPr>
      <w:r>
        <w:t xml:space="preserve">Two public restructuring episodes feed the first paper’s indicator. One is the Jet Propulsion Laboratory institutional reorganization that followed the 2022 Psyche independent review, which the review board tied to staffing and communication problems and which NASA answered by directing the institution to reform its management and reallocate teams</w:t>
      </w:r>
      <w:r>
        <w:t xml:space="preserve"> </w:t>
      </w:r>
      <w:hyperlink w:anchor="ref-9">
        <w:r>
          <w:rPr>
            <w:rStyle w:val="Hyperlink"/>
          </w:rPr>
          <w:t xml:space="preserve">[9]</w:t>
        </w:r>
      </w:hyperlink>
      <w:r>
        <w:t xml:space="preserve">. The other is the Moon-to-Mars Program Office rechartering that realigned the Gateway and Human Landing System constructs</w:t>
      </w:r>
      <w:r>
        <w:t xml:space="preserve"> </w:t>
      </w:r>
      <w:hyperlink w:anchor="ref-9">
        <w:r>
          <w:rPr>
            <w:rStyle w:val="Hyperlink"/>
          </w:rPr>
          <w:t xml:space="preserve">[9]</w:t>
        </w:r>
      </w:hyperlink>
      <w:r>
        <w:t xml:space="preserve">. A project carries the restructuring indicator when the office managing it was the subject of one of these two documented episodes. Seven of the twenty-four projects carry the indicator, and five are crewed human-spaceflight programs</w:t>
      </w:r>
      <w:r>
        <w:t xml:space="preserve"> </w:t>
      </w:r>
      <w:hyperlink w:anchor="ref-9">
        <w:r>
          <w:rPr>
            <w:rStyle w:val="Hyperlink"/>
          </w:rPr>
          <w:t xml:space="preserve">[9]</w:t>
        </w:r>
      </w:hyperlink>
      <w:r>
        <w:t xml:space="preserve">. The JPL episode matters beyond its coding, because it hands the dissertation the concrete disruption mechanism it theorizes: an institution under review pulled teams away from a sibling mission, which is how a restructuring transmits risk across a portfolio rather than absorbing it.</w:t>
      </w:r>
    </w:p>
    <w:p>
      <w:pPr>
        <w:pStyle w:val="BodyText"/>
        <w:spacing w:line="480" w:lineRule="auto"/>
        <w:ind w:firstLine="720"/>
      </w:pPr>
      <w:r>
        <w:t xml:space="preserve">The second paper, by contrast, holds its treatment to a single dated reorganization whose reach is known. In September 2021 NASA split the Human Exploration and Operations Mission Directorate into two new directorates while leaving the Science and Aeronautics directorates structurally intact</w:t>
      </w:r>
      <w:r>
        <w:t xml:space="preserve"> </w:t>
      </w:r>
      <w:hyperlink w:anchor="ref-9">
        <w:r>
          <w:rPr>
            <w:rStyle w:val="Hyperlink"/>
          </w:rPr>
          <w:t xml:space="preserve">[9]</w:t>
        </w:r>
      </w:hyperlink>
      <w:r>
        <w:t xml:space="preserve">. Following that public announcement, the reorganization indicator is set to one for the programs managed by the human-spaceflight directorate reorganized in September 2021 and to zero for the science and aeronautics programs</w:t>
      </w:r>
      <w:r>
        <w:t xml:space="preserve"> </w:t>
      </w:r>
      <w:hyperlink w:anchor="ref-9">
        <w:r>
          <w:rPr>
            <w:rStyle w:val="Hyperlink"/>
          </w:rPr>
          <w:t xml:space="preserve">[9]</w:t>
        </w:r>
      </w:hyperlink>
      <w:r>
        <w:t xml:space="preserve">. This single-episode treatment is clean, dated, and externally documented, and its reach is known, touching the exploration systems while leaving the science portfolio alone, which draws a sharp boundary between treated and untreated projects.</w:t>
      </w:r>
    </w:p>
    <w:p>
      <w:pPr>
        <w:pStyle w:val="BodyText"/>
        <w:spacing w:line="480" w:lineRule="auto"/>
        <w:ind w:firstLine="720"/>
      </w:pPr>
      <w:r>
        <w:t xml:space="preserve">One structural feature is stated flatly, because the disclosure is part of the measurement rather than a footnote to it. In this portfolio every reorganized program is also a crewed exploration program and every crewed program was reorganized, so the reorganization indicator and a human-spaceflight indicator are perfectly collinear</w:t>
      </w:r>
      <w:r>
        <w:t xml:space="preserve"> </w:t>
      </w:r>
      <w:hyperlink w:anchor="ref-9">
        <w:r>
          <w:rPr>
            <w:rStyle w:val="Hyperlink"/>
          </w:rPr>
          <w:t xml:space="preserve">[9]</w:t>
        </w:r>
      </w:hyperlink>
      <w:r>
        <w:t xml:space="preserve">. The analysis therefore cannot pull apart the effect of the restructuring from the effect of being crewed, and it does not pretend otherwise: the crewed indicator is dropped, and the reorganization coefficient is reported as the combined effect of the restructured human-spaceflight regime, its interpretation disciplined to match. A measurement-level admission that carries an identification-level result, this is the exact reason the dissertation runs on two papers instead of one. The first paper’s two-episode coding, drawing treatment from the JPL and Moon-to-Mars episodes, lets in restructured projects that are not all crewed and crewed projects that are not all restructured, which is what allows a human-spaceflight indicator to sit alongside the restructuring indicator as a separable covariate.</w:t>
      </w:r>
    </w:p>
    <w:p>
      <w:pPr>
        <w:pStyle w:val="BodyText"/>
        <w:spacing w:line="480" w:lineRule="auto"/>
        <w:ind w:firstLine="720"/>
      </w:pPr>
      <w:r>
        <w:t xml:space="preserve">The whole apparatus, coding protocol, transcription, and date assignments alike, is released as a replication package so the treatment definition stays inspectable and open to contest. That is the only safeguard a coded variable can honestly offer, not a claim of correctness but an invitation to audit.</w:t>
      </w:r>
    </w:p>
    <w:bookmarkEnd w:id="96"/>
    <w:bookmarkStart w:id="97" w:name="X57c82bc57f29fa51d243361d5f433e27c39be5f"/>
    <w:p>
      <w:pPr>
        <w:pStyle w:val="Heading2"/>
        <w:spacing w:line="480" w:lineRule="auto"/>
      </w:pPr>
      <w:r>
        <w:t xml:space="preserve">4.7 Covariates: Construction of the Control Variables</w:t>
      </w:r>
    </w:p>
    <w:p>
      <w:pPr>
        <w:pStyle w:val="FirstParagraph"/>
        <w:spacing w:line="480" w:lineRule="auto"/>
      </w:pPr>
      <w:r>
        <w:t xml:space="preserve">Each paper carries a small set of covariates whose job is to peel the restructuring effect away from the confounds of program scale and mission class. Since these covariates are transcribed or derived from the same GAO records as the outcome, they inherit its provenance.</w:t>
      </w:r>
    </w:p>
    <w:p>
      <w:pPr>
        <w:pStyle w:val="BodyText"/>
        <w:spacing w:line="480" w:lineRule="auto"/>
        <w:ind w:firstLine="720"/>
      </w:pPr>
      <w:r>
        <w:t xml:space="preserve">Scale enters both papers through the committed cost baseline, built a little differently in each.</w:t>
      </w:r>
    </w:p>
    <w:p>
      <w:pPr>
        <w:pStyle w:val="BodyText"/>
        <w:spacing w:line="480" w:lineRule="auto"/>
        <w:ind w:firstLine="720"/>
      </w:pPr>
      <w:r>
        <w:t xml:space="preserve">The first paper uses the committed cost baseline in billions of dollars, included because larger programs face longer, more tangled development and may carry a different intrinsic breach hazard</w:t>
      </w:r>
      <w:r>
        <w:t xml:space="preserve"> </w:t>
      </w:r>
      <w:hyperlink w:anchor="ref-9">
        <w:r>
          <w:rPr>
            <w:rStyle w:val="Hyperlink"/>
          </w:rPr>
          <w:t xml:space="preserve">[9]</w:t>
        </w:r>
      </w:hyperlink>
      <w:r>
        <w:t xml:space="preserve">. The second uses the natural log of baseline development cost, taken in then-year dollars straight from the GAO Table 6 portfolio table, entered as a log because larger programs differ systematically in scope, oversight intensity, and the dollar base against which a percentage breach is reckoned</w:t>
      </w:r>
      <w:r>
        <w:t xml:space="preserve"> </w:t>
      </w:r>
      <w:hyperlink w:anchor="ref-9">
        <w:r>
          <w:rPr>
            <w:rStyle w:val="Hyperlink"/>
          </w:rPr>
          <w:t xml:space="preserve">[9]</w:t>
        </w:r>
      </w:hyperlink>
      <w:r>
        <w:t xml:space="preserve">. That log form is the right functional choice when the outcome is a percentage breach, because the dollar base behind fifteen percent scales multiplicatively across the portfolio’s wide span of program sizes.</w:t>
      </w:r>
    </w:p>
    <w:p>
      <w:pPr>
        <w:pStyle w:val="BodyText"/>
        <w:spacing w:line="480" w:lineRule="auto"/>
        <w:ind w:firstLine="720"/>
      </w:pPr>
      <w:r>
        <w:t xml:space="preserve">Mission class enters the first paper through a human-spaceflight indicator, set to one for crewed Artemis-class programs and their ground and landing infrastructure and to zero for robotic science and Earth-observation missions, included because crewed programs run under distinct governance and integration constraints</w:t>
      </w:r>
      <w:r>
        <w:t xml:space="preserve"> </w:t>
      </w:r>
      <w:hyperlink w:anchor="ref-9">
        <w:r>
          <w:rPr>
            <w:rStyle w:val="Hyperlink"/>
          </w:rPr>
          <w:t xml:space="preserve">[9]</w:t>
        </w:r>
      </w:hyperlink>
      <w:r>
        <w:t xml:space="preserve">. As already noted, this covariate is a separable control only in the first paper; in the second it is collinear with the treatment and is dropped, its consequence folded into the interpretation of the reorganization coefficient. On this one covariate the two papers offer the dissertation’s clearest illustration of how the choice of treatment definition governs what can and cannot be separately identified from a single population.</w:t>
      </w:r>
    </w:p>
    <w:bookmarkEnd w:id="97"/>
    <w:bookmarkStart w:id="98" w:name="X68c6c279b498ebc4e63813bfd0686229d371985"/>
    <w:p>
      <w:pPr>
        <w:pStyle w:val="Heading2"/>
        <w:spacing w:line="480" w:lineRule="auto"/>
      </w:pPr>
      <w:r>
        <w:t xml:space="preserve">4.8 Provenance, Auditability, and the Replication Package</w:t>
      </w:r>
    </w:p>
    <w:p>
      <w:pPr>
        <w:pStyle w:val="FirstParagraph"/>
        <w:spacing w:line="480" w:lineRule="auto"/>
      </w:pPr>
      <w:r>
        <w:t xml:space="preserve">One standard rules the measurement design: every observation traces to a citable public document, and every constructed field is the output of a stated rule applied to those documents. Three commitments hold that standard in place. Cost, growth, and schedule values are transcribed straight from public GAO tables, with the per-row source recorded in the source column of each data file, so a reader can return to the exact table and cell each value came from</w:t>
      </w:r>
      <w:r>
        <w:t xml:space="preserve"> </w:t>
      </w:r>
      <w:hyperlink w:anchor="ref-9">
        <w:r>
          <w:rPr>
            <w:rStyle w:val="Hyperlink"/>
          </w:rPr>
          <w:t xml:space="preserve">[9]</w:t>
        </w:r>
      </w:hyperlink>
      <w:r>
        <w:t xml:space="preserve">. Treatment is coded from public restructuring episodes only, with no internal or deliberative material, and the coding protocol and date assignments are released so the treatment definition can be audited and contested</w:t>
      </w:r>
      <w:r>
        <w:t xml:space="preserve"> </w:t>
      </w:r>
      <w:hyperlink w:anchor="ref-9">
        <w:r>
          <w:rPr>
            <w:rStyle w:val="Hyperlink"/>
          </w:rPr>
          <w:t xml:space="preserve">[9]</w:t>
        </w:r>
      </w:hyperlink>
      <w:r>
        <w:t xml:space="preserve">. And the single disclosed approximation in the data, that small set of illustrative confirmation years, is flagged in the data file, kept well under one in seven of the cells, and walled off from the breach classification, so the field carrying any imprecision cannot bleed into the field that defines the event</w:t>
      </w:r>
      <w:r>
        <w:t xml:space="preserve"> </w:t>
      </w:r>
      <w:hyperlink w:anchor="ref-9">
        <w:r>
          <w:rPr>
            <w:rStyle w:val="Hyperlink"/>
          </w:rPr>
          <w:t xml:space="preserve">[9]</w:t>
        </w:r>
      </w:hyperlink>
      <w:r>
        <w:t xml:space="preserve">.</w:t>
      </w:r>
    </w:p>
    <w:p>
      <w:pPr>
        <w:pStyle w:val="BodyText"/>
        <w:spacing w:line="480" w:lineRule="auto"/>
        <w:ind w:firstLine="720"/>
      </w:pPr>
      <w:r>
        <w:t xml:space="preserve">The result is a dataset whose authority never asks the reader to trust the analyst. The numbers are GAO’s</w:t>
      </w:r>
      <w:r>
        <w:t xml:space="preserve"> </w:t>
      </w:r>
      <w:hyperlink w:anchor="ref-9">
        <w:r>
          <w:rPr>
            <w:rStyle w:val="Hyperlink"/>
          </w:rPr>
          <w:t xml:space="preserve">[9]</w:t>
        </w:r>
      </w:hyperlink>
      <w:r>
        <w:t xml:space="preserve">. The cost-estimation sensitivities behind the size control come from the published parametric-estimation literature</w:t>
      </w:r>
      <w:r>
        <w:t xml:space="preserve"> </w:t>
      </w:r>
      <w:hyperlink w:anchor="ref-10">
        <w:r>
          <w:rPr>
            <w:rStyle w:val="Hyperlink"/>
          </w:rPr>
          <w:t xml:space="preserve">[10]</w:t>
        </w:r>
      </w:hyperlink>
      <w:r>
        <w:t xml:space="preserve">, the enterprise-architecture proposition under test lives outside the data entirely</w:t>
      </w:r>
      <w:r>
        <w:t xml:space="preserve"> </w:t>
      </w:r>
      <w:hyperlink w:anchor="ref-1">
        <w:r>
          <w:rPr>
            <w:rStyle w:val="Hyperlink"/>
          </w:rPr>
          <w:t xml:space="preserve">[1]</w:t>
        </w:r>
      </w:hyperlink>
      <w:r>
        <w:t xml:space="preserve">, and the one analyst-coded variable, the treatment, is released for inspection. The chapters that follow estimate the hazard of breach against this material, and the credibility of those estimates rests, finally, on the credibility established here: real projects, real public records, stated construction rules, and a finite but fully documented population whose size is carried honestly into every inference that follows.</w:t>
      </w:r>
    </w:p>
    <w:bookmarkEnd w:id="98"/>
    <w:bookmarkEnd w:id="99"/>
    <w:bookmarkStart w:id="107" w:name="chapter-5.-methods-and-identification"/>
    <w:p>
      <w:pPr>
        <w:pStyle w:val="Heading1"/>
        <w:spacing w:line="480" w:lineRule="auto"/>
      </w:pPr>
      <w:r>
        <w:t xml:space="preserve">Chapter 5. Methods and Identification</w:t>
      </w:r>
    </w:p>
    <w:bookmarkStart w:id="100" w:name="overview-and-the-logic-of-the-design"/>
    <w:p>
      <w:pPr>
        <w:pStyle w:val="Heading2"/>
        <w:spacing w:line="480" w:lineRule="auto"/>
      </w:pPr>
      <w:r>
        <w:t xml:space="preserve">5.1 Overview and the logic of the design</w:t>
      </w:r>
    </w:p>
    <w:p>
      <w:pPr>
        <w:pStyle w:val="FirstParagraph"/>
        <w:spacing w:line="480" w:lineRule="auto"/>
      </w:pPr>
      <w:r>
        <w:t xml:space="preserve">This chapter specifies the estimators that carry the dissertation’s single falsifiable claim, states the identification strategy that licenses a causal reading of each estimate, and enumerates the threats to validity together with the bound placed on each. The substantive proposition under test is Chandlerian in origin and is encoded in the enterprise-architecture corollary that architecture is the joint design of strategy, business, and technology</w:t>
      </w:r>
      <w:r>
        <w:t xml:space="preserve"> </w:t>
      </w:r>
      <w:hyperlink w:anchor="ref-1">
        <w:r>
          <w:rPr>
            <w:rStyle w:val="Hyperlink"/>
          </w:rPr>
          <w:t xml:space="preserve">[1]</w:t>
        </w:r>
      </w:hyperlink>
      <w:r>
        <w:t xml:space="preserve">. That proposition, carried into space-enterprise practice where structure is documented precisely so that it can be redrawn</w:t>
      </w:r>
      <w:r>
        <w:t xml:space="preserve"> </w:t>
      </w:r>
      <w:hyperlink w:anchor="ref-3">
        <w:r>
          <w:rPr>
            <w:rStyle w:val="Hyperlink"/>
          </w:rPr>
          <w:t xml:space="preserve">[3]</w:t>
        </w:r>
      </w:hyperlink>
      <w:r>
        <w:t xml:space="preserve">, implies a measurable downstream consequence, namely that a deliberate change in organizational structure should move the execution outcomes of the programs it governs. The burden of the chapter is methodological, and it consists of converting that implication into an estimand that admits a sign test and a confidence interval rather than a narrative.</w:t>
      </w:r>
    </w:p>
    <w:p>
      <w:pPr>
        <w:pStyle w:val="BodyText"/>
        <w:spacing w:line="480" w:lineRule="auto"/>
        <w:ind w:firstLine="720"/>
      </w:pPr>
      <w:r>
        <w:t xml:space="preserve">Two analytical postures answer that burden, and they are deliberately complementary. The first treats execution as a level observed repeatedly and asks whether restructuring shifts that level once program-fixed difficulty and common-year shocks are absorbed, while the second treats execution failure as an event in calendar time and asks whether restructuring changes the rate at which an at-risk program arrives at a baseline breach. The level question is the province of a staggered-adoption difference-in-differences panel, and the timing question is the province of the Cox proportional-hazards model. Neither posture alone is sufficient, because a level comparison cannot use the information embedded in programs that have not yet failed, and a hazard model on a single dated reorganization cannot net out program-specific unobservables across a panel. The dissertation therefore reports both and reads each against the other, so that a finding survives only if it is robust to the analytical posture from which it is viewed.</w:t>
      </w:r>
    </w:p>
    <w:p>
      <w:pPr>
        <w:pStyle w:val="BodyText"/>
        <w:spacing w:line="480" w:lineRule="auto"/>
        <w:ind w:firstLine="720"/>
      </w:pPr>
      <w:r>
        <w:t xml:space="preserve">The chapter proceeds from here in a fixed order. Section 5.2 specifies the panel difference-in-differences estimator and its heterogeneity-robust variant. Section 5.3 specifies the survival estimators implemented in the two empirical papers and reconciles their covariate sets. Section 5.4 states the identification strategy common to both, resting on parallel trends in the level design and on the no-unmeasured-confounding and proportional-hazards conditions in the timing design. Section 5.5 enumerates the threats to validity and states how each is bounded. Section 5.6 fixes the estimands and the inference protocol. Section 5.7 addresses replication and provenance.</w:t>
      </w:r>
    </w:p>
    <w:bookmarkEnd w:id="100"/>
    <w:bookmarkStart w:id="101" w:name="X86347059349b8ed2ec2c05d1d8546e56ff9871f"/>
    <w:p>
      <w:pPr>
        <w:pStyle w:val="Heading2"/>
        <w:spacing w:line="480" w:lineRule="auto"/>
      </w:pPr>
      <w:r>
        <w:t xml:space="preserve">5.2 The panel difference-in-differences estimator</w:t>
      </w:r>
    </w:p>
    <w:p>
      <w:pPr>
        <w:pStyle w:val="FirstParagraph"/>
        <w:spacing w:line="480" w:lineRule="auto"/>
      </w:pPr>
      <w:r>
        <w:t xml:space="preserve">A program-by-year panel carries the level analysis, with the unit of observation a named space acquisition program observed annually. The treatment is a major reorganization of the office responsible for the program, dated to the fiscal year in which the new structure took effect. Because reorganizations occur in different years across programs, the design is one of staggered adoption: a program not yet reorganized in a given year serves as a comparison for a program reorganized that year. The two outcomes are annualized execution measures. Cost growth is the year-over-year change in the program’s estimate-at-completion normalized to a constant-dollar baseline. Schedule variance is the change in the program’s forecast milestone date relative to its baseline. Both are auditable and are reported on a regular cadence in the data source described in Section 5.7.</w:t>
      </w:r>
    </w:p>
    <w:p>
      <w:pPr>
        <w:pStyle w:val="BodyText"/>
        <w:spacing w:line="480" w:lineRule="auto"/>
        <w:ind w:firstLine="720"/>
      </w:pPr>
      <w:r>
        <w:t xml:space="preserve">Canonically, each outcome is regressed on a post-reorganization indicator together with program-fixed and year-fixed effects, where the program-fixed effects absorb time-invariant program difficulty, the secular technical hardness of the mission that the parametric cost-estimation literature shows to dominate space-mission cost outcomes</w:t>
      </w:r>
      <w:r>
        <w:t xml:space="preserve"> </w:t>
      </w:r>
      <w:hyperlink w:anchor="ref-10">
        <w:r>
          <w:rPr>
            <w:rStyle w:val="Hyperlink"/>
          </w:rPr>
          <w:t xml:space="preserve">[10]</w:t>
        </w:r>
      </w:hyperlink>
      <w:r>
        <w:t xml:space="preserve">. Year-fixed effects absorb common shocks. Appropriations cycles and launch-market conditions are the obvious examples. The coefficient on the post-reorganization indicator is the canonical two-way fixed-effects difference-in-differences estimate of the average change in execution attributable to restructuring.</w:t>
      </w:r>
    </w:p>
    <w:p>
      <w:pPr>
        <w:pStyle w:val="BodyText"/>
        <w:spacing w:line="480" w:lineRule="auto"/>
        <w:ind w:firstLine="720"/>
      </w:pPr>
      <w:r>
        <w:t xml:space="preserve">Two-way fixed effects, however, is known to be biased when treatment timing is staggered and treatment effects are heterogeneous across cohorts, because already-treated programs are used as comparisons for later-treated programs and the estimator places negative weights on some treated-versus-treated contrasts. The headline estimate does not rest on that biased contrast; it uses instead a modern heterogeneity-robust estimator that constructs only clean comparisons, contrasting newly treated programs against not-yet-treated programs and aggregating the resulting group-time average treatment effects into a single summary with explicit, non-negative weights. The two-way fixed-effects coefficient is retained only as a benchmark whose divergence from the robust estimate is itself diagnostic of heterogeneity.</w:t>
      </w:r>
    </w:p>
    <w:p>
      <w:pPr>
        <w:pStyle w:val="BodyText"/>
        <w:spacing w:line="480" w:lineRule="auto"/>
        <w:ind w:firstLine="720"/>
      </w:pPr>
      <w:r>
        <w:t xml:space="preserve">Identification for the level design runs through the event-study representation, which is reported in its own right. It replaces the single post indicator with a set of indicators for each year relative to the reorganization, omitting the year immediately before treatment as the reference. The pre-period coefficients test the parallel-trends assumption directly: if execution was not already diverging before the reorganization, those coefficients should be flat and statistically indistinguishable from zero. Post-period coefficients trace the dynamic path. They distinguish a transient transition cost from a persistent shift. A secondary specification interacts the post indicator with a coded restructuring archetype, consolidation versus new-office stand-up versus authority recharter, to ask, conditional on rejecting the null, whether any single class of change carries the effect.</w:t>
      </w:r>
    </w:p>
    <w:bookmarkEnd w:id="101"/>
    <w:bookmarkStart w:id="102" w:name="the-survival-estimators"/>
    <w:p>
      <w:pPr>
        <w:pStyle w:val="Heading2"/>
        <w:spacing w:line="480" w:lineRule="auto"/>
      </w:pPr>
      <w:r>
        <w:t xml:space="preserve">5.3 The survival estimators</w:t>
      </w:r>
    </w:p>
    <w:p>
      <w:pPr>
        <w:pStyle w:val="FirstParagraph"/>
        <w:spacing w:line="480" w:lineRule="auto"/>
      </w:pPr>
      <w:r>
        <w:t xml:space="preserve">For timing, the instrument is the semiparametric Cox proportional-hazards model, fitted in the two empirical papers of this dissertation to two distinct but adjacent specifications of the breach event. Three reasons make the Cox form appropriate.</w:t>
      </w:r>
    </w:p>
    <w:p>
      <w:pPr>
        <w:pStyle w:val="BodyText"/>
        <w:spacing w:line="480" w:lineRule="auto"/>
        <w:ind w:firstLine="720"/>
      </w:pPr>
      <w:r>
        <w:t xml:space="preserve">It models the rate at which an at-risk program crosses the breach threshold over its development life rather than the level of growth at a single snapshot. It accommodates right-censoring, so that programs reaching launch without breaching contribute their full exposure as information rather than being discarded. And it estimates covariate effects without imposing a parametric shape on the baseline breach hazard over development time, which is essential because the dissertation has no theory of that shape and no wish to assume one.</w:t>
      </w:r>
    </w:p>
    <w:p>
      <w:pPr>
        <w:pStyle w:val="BodyText"/>
        <w:spacing w:line="480" w:lineRule="auto"/>
        <w:ind w:firstLine="720"/>
      </w:pPr>
      <w:r>
        <w:t xml:space="preserve">In the first survival paper, the event is a breach of the committed cost or schedule baseline, instantiated by a rebaseline, an increase in the Agency Baseline Commitment, or an independent-review-mandated replan. The survival time is development duration in months from the baseline commitment at confirmation to launch or to the documented breach. The model carries three covariates: a restructuring indicator, the committed cost baseline in billions of dollars, and a human-spaceflight indicator separating crewed Artemis-class programs from robotic science and Earth-observation missions. The cost-baseline covariate is included because larger programs face longer and more complex development and may carry a different intrinsic breach hazard; the human-spaceflight covariate is included because crewed programs operate under distinct governance and integration constraints. Including both isolates the restructuring effect from the confounds of program scale and mission class. Fitted to twenty-four NASA Category 1 projects with fifteen breach events, the model returns a restructuring hazard ratio of 2.52, with a coefficient of 0.923 and a standard error of 0.636, a z statistic of 1.45, and a 95 percent confidence interval on the hazard ratio from 0.72 to 8.75. Because that interval includes one, the null is not rejected, though the mass of the interval is concentrated above one.</w:t>
      </w:r>
    </w:p>
    <w:p>
      <w:pPr>
        <w:pStyle w:val="BodyText"/>
        <w:spacing w:line="480" w:lineRule="auto"/>
        <w:ind w:firstLine="720"/>
      </w:pPr>
      <w:r>
        <w:t xml:space="preserve">Its companion sharpens the event to a single, auditable, public threshold, a project’s cumulative development cost growth crossing fifteen percent, which is the level GAO and NASA use to flag a significant overrun</w:t>
      </w:r>
      <w:r>
        <w:t xml:space="preserve"> </w:t>
      </w:r>
      <w:hyperlink w:anchor="ref-9">
        <w:r>
          <w:rPr>
            <w:rStyle w:val="Hyperlink"/>
          </w:rPr>
          <w:t xml:space="preserve">[9]</w:t>
        </w:r>
      </w:hyperlink>
      <w:r>
        <w:t xml:space="preserve">. The duration runs from confirmation, the Key Decision Point C at which the baseline is set, to the first assessment recording the breach or to the censoring date, and the reorganization indicator is set to one for the programs governed by the human-spaceflight directorate split in September 2021 and zero for the science and aeronautics programs left structurally intact. Covariates stay minimal here, since the model carries only the reorganization indicator and the natural log of baseline development cost as a size control. Fitted to twenty-four projects with twelve breach events, it returns a reorganization hazard ratio of 6.86, with a coefficient of 1.926 and a standard error of 0.860, a z statistic of 2.24, and a p value of 0.025, rejecting the null at the five percent level, while the log-baseline-cost control carries a coefficient of -0.874 (standard error 0.330, p value 0.008, hazard ratio 0.42).</w:t>
      </w:r>
    </w:p>
    <w:p>
      <w:pPr>
        <w:pStyle w:val="BodyText"/>
        <w:spacing w:line="480" w:lineRule="auto"/>
        <w:ind w:firstLine="720"/>
      </w:pPr>
      <w:r>
        <w:t xml:space="preserve">That the two survival specifications differ is itself part of the identification logic rather than a defect to be reconciled away. The first admits a human-spaceflight covariate and so estimates a restructuring effect net of mission class, at the cost of an imprecise interval, while the second exploits a single dated directorate split whose reach is known, gaining precision and a rejected null but inheriting a perfect collinearity between the reorganization indicator and the crewed-program indicator, because in that portfolio every reorganized program is crewed and every crewed program was reorganized. The second model therefore drops the crewed indicator and reports the reorganization coefficient as the combined signature of the restructured human-spaceflight regime. The honest reading triangulates the two, since the first estimates the effect with mission class held out and finds a directional but imprecise elevation in hazard, and the second estimates a precise elevation that cannot be separated from mission difficulty. Read together, they bound the restructuring effect between a clean-but-imprecise estimate and a precise-but-confounded one, and both point in the same direction.</w:t>
      </w:r>
    </w:p>
    <w:bookmarkEnd w:id="102"/>
    <w:bookmarkStart w:id="103" w:name="identification-strategy"/>
    <w:p>
      <w:pPr>
        <w:pStyle w:val="Heading2"/>
        <w:spacing w:line="480" w:lineRule="auto"/>
      </w:pPr>
      <w:r>
        <w:t xml:space="preserve">5.4 Identification strategy</w:t>
      </w:r>
    </w:p>
    <w:p>
      <w:pPr>
        <w:pStyle w:val="FirstParagraph"/>
        <w:spacing w:line="480" w:lineRule="auto"/>
      </w:pPr>
      <w:r>
        <w:t xml:space="preserve">Identification in the level design rests on the conditional parallel-trends assumption: in the absence of treatment, the average execution outcome of programs that were reorganized would have followed the same trajectory as that of programs that were not, after differencing out program-fixed and year-fixed effects. This assumption is not imposed; it is tested. The event-study pre-period coefficients are the test statistic. Flat, jointly insignificant pre-trends are the evidence that the comparison group is a credible counterfactual; a significant pre-trend is reported transparently and read as invalidating the causal interpretation for the affected outcome. The heterogeneity-robust estimator strengthens the design by guaranteeing that the comparison is always between newly treated and not-yet-treated programs, never between newly treated and already-treated programs whose own post-treatment dynamics would contaminate the contrast.</w:t>
      </w:r>
    </w:p>
    <w:p>
      <w:pPr>
        <w:pStyle w:val="BodyText"/>
        <w:spacing w:line="480" w:lineRule="auto"/>
        <w:ind w:firstLine="720"/>
      </w:pPr>
      <w:r>
        <w:t xml:space="preserve">Identification in the timing design rests on two conditions. The first is conditional independence of the breach hazard from restructuring status given the covariates, the survival analogue of no unmeasured confounding. This condition is weaker in the second survival paper, where the dated 2021 split supplies treatment assignment that is exogenous to any single program’s trajectory because it was a directorate-level decision, but it is correspondingly burdened by the collinearity disclosed above. The second condition is proportionality of hazards, the assumption that the ratio of the breach hazard between restructured and unrestructured programs is constant over development time. Proportionality is testable through scaled-residual diagnostics and through interactions of the restructuring indicator with a function of survival time; a material departure would be reported and, if necessary, accommodated by a stratified or time-varying-coefficient specification.</w:t>
      </w:r>
    </w:p>
    <w:p>
      <w:pPr>
        <w:pStyle w:val="BodyText"/>
        <w:spacing w:line="480" w:lineRule="auto"/>
        <w:ind w:firstLine="720"/>
      </w:pPr>
      <w:r>
        <w:t xml:space="preserve">Different but coherent estimands emerge from the two designs, and their coherence is the dissertation’s evidentiary strategy. The panel design identifies the average change in the level of execution attributable to restructuring, net of program and year unobservables, while the survival design answers the distinct question of the multiplicative change in the instantaneous rate of arriving at a breach.</w:t>
      </w:r>
    </w:p>
    <w:p>
      <w:pPr>
        <w:pStyle w:val="BodyText"/>
        <w:spacing w:line="480" w:lineRule="auto"/>
        <w:ind w:firstLine="720"/>
      </w:pPr>
      <w:r>
        <w:t xml:space="preserve">A field reorganizing on the architecture-as-instrument premise</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 </w:t>
      </w:r>
      <w:r>
        <w:t xml:space="preserve">would predict a neutral-to-negative coefficient in the panel and a hazard ratio at or below one in the survival models. The survival evidence already assembled says otherwise, placing the point estimates at 2.52 and 6.86, both above one and one of them significantly so, which is the disruption mechanism rather than the optimization mechanism. The panel design exists to put that directional signal through the more demanding within-program, net-of-everything test the cross-section cannot supply.</w:t>
      </w:r>
    </w:p>
    <w:bookmarkEnd w:id="103"/>
    <w:bookmarkStart w:id="104" w:name="X1d189e0776bd0a9225211f020d00b109bd29bed"/>
    <w:p>
      <w:pPr>
        <w:pStyle w:val="Heading2"/>
        <w:spacing w:line="480" w:lineRule="auto"/>
      </w:pPr>
      <w:r>
        <w:t xml:space="preserve">5.5 Threats to validity and how each is bounded</w:t>
      </w:r>
    </w:p>
    <w:p>
      <w:pPr>
        <w:pStyle w:val="FirstParagraph"/>
        <w:spacing w:line="480" w:lineRule="auto"/>
      </w:pPr>
      <w:r>
        <w:rPr>
          <w:b/>
          <w:bCs/>
        </w:rPr>
        <w:t xml:space="preserve">Endogenous treatment timing.</w:t>
      </w:r>
      <w:r>
        <w:t xml:space="preserve"> </w:t>
      </w:r>
      <w:r>
        <w:t xml:space="preserve">The governing threat is that reorganizations are triggered by anticipated trouble, so that a naive estimate attributes to restructuring a deterioration that was already underway, which biases the panel estimate toward finding harm and biases the hazard ratio upward. The bound is the event-study pre-trend test, which would reveal pre-existing divergence as non-flat pre-period coefficients, combined with the not-yet-treated comparison group that anchors the heterogeneity-robust estimator. A placebo reassignment of treatment dates probes further. Does the effect survive randomization of the timing? The within-program panel design is the proper instrument for this threat precisely because the survival models, which compare across programs, cannot rule it out, so the survival hazard ratios are read as upper bounds on any protective effect rather than as causal verdicts.</w:t>
      </w:r>
    </w:p>
    <w:p>
      <w:pPr>
        <w:pStyle w:val="BodyText"/>
        <w:spacing w:line="480" w:lineRule="auto"/>
        <w:ind w:firstLine="720"/>
      </w:pPr>
      <w:r>
        <w:rPr>
          <w:b/>
          <w:bCs/>
        </w:rPr>
        <w:t xml:space="preserve">Treatment definition and dating.</w:t>
      </w:r>
      <w:r>
        <w:t xml:space="preserve"> </w:t>
      </w:r>
      <w:r>
        <w:t xml:space="preserve">“Major”</w:t>
      </w:r>
      <w:r>
        <w:t xml:space="preserve"> </w:t>
      </w:r>
      <w:r>
        <w:t xml:space="preserve">reorganization is a coded judgment, and a mis-specified rubric would mis-assign the treatment. The bound is a pre-registered coding rubric applied to two public source classes only, the GAO narratives and official NASA and Department of Defense reorganization announcements, double-coded on a sample for inter-rater reliability, with reported sensitivity to alternative thresholds and to plus-or-minus-one-year perturbations of the treatment date. The survival papers restrict the indicator to a small number of documented, dated episodes, the 2021 directorate split</w:t>
      </w:r>
      <w:r>
        <w:t xml:space="preserve"> </w:t>
      </w:r>
      <w:hyperlink w:anchor="ref-9">
        <w:r>
          <w:rPr>
            <w:rStyle w:val="Hyperlink"/>
          </w:rPr>
          <w:t xml:space="preserve">[9]</w:t>
        </w:r>
      </w:hyperlink>
      <w:r>
        <w:t xml:space="preserve"> </w:t>
      </w:r>
      <w:r>
        <w:t xml:space="preserve">and the post-Psyche institutional reorganization, so that the treatment definition is inspectable and contestable rather than analyst-driven.</w:t>
      </w:r>
    </w:p>
    <w:p>
      <w:pPr>
        <w:pStyle w:val="BodyText"/>
        <w:spacing w:line="480" w:lineRule="auto"/>
        <w:ind w:firstLine="720"/>
      </w:pPr>
      <w:r>
        <w:rPr>
          <w:b/>
          <w:bCs/>
        </w:rPr>
        <w:t xml:space="preserve">Outcome measurement and rebaselining.</w:t>
      </w:r>
      <w:r>
        <w:t xml:space="preserve"> </w:t>
      </w:r>
      <w:r>
        <w:t xml:space="preserve">Cost and schedule rebaselining can mechanically reset variance and mask growth, so that a breach is hidden by the same management action that should record it. The bound is constant-baseline normalization of the level outcomes, the flagging of rebaseline events as covariates, and a robustness test that excludes them. In the survival design the event is defined directly on the public cumulative-growth percentage against the original confirmation baseline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which is immune to a later rebaseline because the denominator is fixed at confirmation; this is the reason the fifteen-percent-threshold specification is the cleaner of the two event definitions.</w:t>
      </w:r>
    </w:p>
    <w:p>
      <w:pPr>
        <w:pStyle w:val="BodyText"/>
        <w:spacing w:line="480" w:lineRule="auto"/>
        <w:ind w:firstLine="720"/>
      </w:pPr>
      <w:r>
        <w:rPr>
          <w:b/>
          <w:bCs/>
        </w:rPr>
        <w:t xml:space="preserve">Confounding by mission class and scale.</w:t>
      </w:r>
      <w:r>
        <w:t xml:space="preserve"> </w:t>
      </w:r>
      <w:r>
        <w:t xml:space="preserve">Crewed and large programs may breach faster for reasons unrelated to structure. The bound is the explicit inclusion of a human-spaceflight indicator and a baseline-cost control in the first survival model, which returns the restructuring effect net of both, and the log-baseline-cost control in the second. Where collinearity prevents separating mission class from treatment, as in the second survival paper, the confound is disclosed rather than concealed and the coefficient is interpreted as a joint signature; disentangling it is assigned explicitly to the panel design, whose within-program variation can observe the same program before and after a restructuring.</w:t>
      </w:r>
    </w:p>
    <w:p>
      <w:pPr>
        <w:pStyle w:val="BodyText"/>
        <w:spacing w:line="480" w:lineRule="auto"/>
        <w:ind w:firstLine="720"/>
      </w:pPr>
      <w:r>
        <w:rPr>
          <w:b/>
          <w:bCs/>
        </w:rPr>
        <w:t xml:space="preserve">External validity.</w:t>
      </w:r>
      <w:r>
        <w:t xml:space="preserve"> </w:t>
      </w:r>
      <w:r>
        <w:t xml:space="preserve">The estimand is defined over large United States civil and defense space programs and may not generalize to commercial enterprises or to small programs. The bound is to report subgroup estimates and to decline extrapolation beyond the observed program class. The dissertation makes no claim about the broader space economy whose organizational structure the literature treats as a strategic variable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it claims an estimate for a named, auditable population only.</w:t>
      </w:r>
    </w:p>
    <w:p>
      <w:pPr>
        <w:pStyle w:val="BodyText"/>
        <w:spacing w:line="480" w:lineRule="auto"/>
        <w:ind w:firstLine="720"/>
      </w:pPr>
      <w:r>
        <w:rPr>
          <w:b/>
          <w:bCs/>
        </w:rPr>
        <w:t xml:space="preserve">Statistical power.</w:t>
      </w:r>
      <w:r>
        <w:t xml:space="preserve"> </w:t>
      </w:r>
      <w:r>
        <w:t xml:space="preserve">Power is the binding constraint throughout, because the population of major reorganizations within the panel window and the count of breach events in the survival models are both finite. With fifteen and twelve events respectively, the survival intervals are wide, and a null in either design could reflect low power rather than a true zero. The bound is to report minimum detectable effect sizes for the panel estimate alongside the coefficient, so that a null is interpreted against what the data could have detected, and to report the survival confidence intervals in full so that an imprecise estimate is never presented as a precise null. The asymmetry of the survival intervals, concentrated above one, is itself reported as evidence even where the null is not formally rejected.</w:t>
      </w:r>
    </w:p>
    <w:bookmarkEnd w:id="104"/>
    <w:bookmarkStart w:id="105" w:name="estimands-and-inference"/>
    <w:p>
      <w:pPr>
        <w:pStyle w:val="Heading2"/>
        <w:spacing w:line="480" w:lineRule="auto"/>
      </w:pPr>
      <w:r>
        <w:t xml:space="preserve">5.6 Estimands and inference</w:t>
      </w:r>
    </w:p>
    <w:p>
      <w:pPr>
        <w:pStyle w:val="FirstParagraph"/>
        <w:spacing w:line="480" w:lineRule="auto"/>
      </w:pPr>
      <w:r>
        <w:t xml:space="preserve">Two estimands govern the two designs, and each is stated before any estimate is read. For the level design, the estimand is the average change in annualized cost growth and in schedule variance attributable to restructuring, conditional on program-fixed and year-fixed effects, recovered as the aggregated group-time average treatment effect from the heterogeneity-robust estimator. The timing estimand is the hazard ratio on the restructuring indicator in the Cox model, the multiplicative effect of restructuring on the instantaneous breach hazard. The reporting rule is uniform. In every specification the reported object is the coefficient, its standard error, and its confidence interval, never a narrative summary divorced from the interval. A precisely estimated coefficient indistinguishable from zero is a substantive finding that restructuring does not move execution; a coefficient bounded away from zero rejects the null and licenses the secondary archetype question.</w:t>
      </w:r>
    </w:p>
    <w:p>
      <w:pPr>
        <w:pStyle w:val="BodyText"/>
        <w:spacing w:line="480" w:lineRule="auto"/>
        <w:ind w:firstLine="720"/>
      </w:pPr>
      <w:r>
        <w:t xml:space="preserve">The two designs also handle inference differently, each in the manner its structure demands.</w:t>
      </w:r>
    </w:p>
    <w:p>
      <w:pPr>
        <w:pStyle w:val="BodyText"/>
        <w:spacing w:line="480" w:lineRule="auto"/>
        <w:ind w:firstLine="720"/>
      </w:pPr>
      <w:r>
        <w:t xml:space="preserve">Inference in the level design clusters standard errors at the program level, the unit at which treatment is assigned and at which serial correlation in execution outcomes resides. Inference in the survival design uses partial-likelihood standard errors and a normal-approximation z test for each covariate. Because the event counts are small, the survival results are reported with their full intervals and z statistics rather than reduced to dichotomous significance verdicts, and the proportional-hazards diagnostic is reported alongside each fit. The two designs are never pooled. They are reported in parallel, and the conclusion is drawn from their concordance, which is the more demanding standard.</w:t>
      </w:r>
    </w:p>
    <w:bookmarkEnd w:id="105"/>
    <w:bookmarkStart w:id="106" w:name="data-provenance-and-replication"/>
    <w:p>
      <w:pPr>
        <w:pStyle w:val="Heading2"/>
        <w:spacing w:line="480" w:lineRule="auto"/>
      </w:pPr>
      <w:r>
        <w:t xml:space="preserve">5.7 Data provenance and replication</w:t>
      </w:r>
    </w:p>
    <w:p>
      <w:pPr>
        <w:pStyle w:val="FirstParagraph"/>
        <w:spacing w:line="480" w:lineRule="auto"/>
      </w:pPr>
      <w:r>
        <w:t xml:space="preserve">Every observation in both designs is traceable to a citable public document. The level panel and the survival datasets are assembled from the United States Government Accountability Office annual assessments of NASA major projects</w:t>
      </w:r>
      <w:r>
        <w:t xml:space="preserve"> </w:t>
      </w:r>
      <w:hyperlink w:anchor="ref-9">
        <w:r>
          <w:rPr>
            <w:rStyle w:val="Hyperlink"/>
          </w:rPr>
          <w:t xml:space="preserve">[9]</w:t>
        </w:r>
      </w:hyperlink>
      <w:r>
        <w:t xml:space="preserve">, complemented for defense space programs by the GAO assessments of selected weapon systems, with cost and schedule fields transcribed directly from the published portfolio tables and breach classifications resting entirely on the public cumulative-growth percentages</w:t>
      </w:r>
      <w:r>
        <w:t xml:space="preserve"> </w:t>
      </w:r>
      <w:hyperlink w:anchor="ref-10">
        <w:r>
          <w:rPr>
            <w:rStyle w:val="Hyperlink"/>
          </w:rPr>
          <w:t xml:space="preserve">[10]</w:t>
        </w:r>
      </w:hyperlink>
      <w:r>
        <w:t xml:space="preserve">. Reorganization dates and archetypes are coded from a documented protocol applied to the GAO narratives and to official reorganization announcements only</w:t>
      </w:r>
      <w:r>
        <w:t xml:space="preserve"> </w:t>
      </w:r>
      <w:hyperlink w:anchor="ref-9">
        <w:r>
          <w:rPr>
            <w:rStyle w:val="Hyperlink"/>
          </w:rPr>
          <w:t xml:space="preserve">[9]</w:t>
        </w:r>
      </w:hyperlink>
      <w:r>
        <w:t xml:space="preserve">. No internal, deliberative, or non-public material enters either dataset. The coding protocol, the transcription, and the date assignments are released as a replication package so that the treatment definition, the most analyst-dependent element of the design, is inspectable and contestable.</w:t>
      </w:r>
    </w:p>
    <w:p>
      <w:pPr>
        <w:pStyle w:val="BodyText"/>
        <w:spacing w:line="480" w:lineRule="auto"/>
        <w:ind w:firstLine="720"/>
      </w:pPr>
      <w:r>
        <w:t xml:space="preserve">This provenance discipline is what allows the dissertation to claim that its estimates, whatever their sign, rest on a counterfactual that another analyst can reconstruct and challenge rather than on the practitioner’s reflex that redrawing structure is a costless or protective act.</w:t>
      </w:r>
    </w:p>
    <w:bookmarkEnd w:id="106"/>
    <w:bookmarkEnd w:id="107"/>
    <w:bookmarkStart w:id="113" w:name="chapter-6.-results"/>
    <w:p>
      <w:pPr>
        <w:pStyle w:val="Heading1"/>
        <w:spacing w:line="480" w:lineRule="auto"/>
      </w:pPr>
      <w:r>
        <w:t xml:space="preserve">Chapter 6. Results</w:t>
      </w:r>
    </w:p>
    <w:p>
      <w:pPr>
        <w:pStyle w:val="FirstParagraph"/>
        <w:spacing w:line="480" w:lineRule="auto"/>
      </w:pPr>
      <w:r>
        <w:t xml:space="preserve">This chapter reports the empirical findings of the two estimators that together test the dissertation’s single falsifiable proposition, that a deliberate change in the structure of the office managing a space acquisition program leaves that program’s subsequent execution unmoved. The first study estimates the level association between restructuring and cost growth in a cross-section of major NASA projects using ordinary least squares with heteroskedasticity-robust standard errors, and the second study reframes the same question as one of timing, fitting a Cox proportional-hazards model to the rate at which a program crosses a major cost-breach threshold. Both draw on the same program population, and the two estimators interrogate different facets of the same enterprise-design claim, the Chandlerian proposition that structure follows strategy and its enterprise-architecture corollary that strategy, business, and technology must be jointly designed</w:t>
      </w:r>
      <w:r>
        <w:t xml:space="preserve"> </w:t>
      </w:r>
      <w:hyperlink w:anchor="ref-1">
        <w:r>
          <w:rPr>
            <w:rStyle w:val="Hyperlink"/>
          </w:rPr>
          <w:t xml:space="preserve">[1]</w:t>
        </w:r>
      </w:hyperlink>
      <w:r>
        <w:t xml:space="preserve">. They return findings that are, at first reading, in tension: the level estimator finds nothing, while the timing estimator finds a large and statistically significant effect.</w:t>
      </w:r>
    </w:p>
    <w:p>
      <w:pPr>
        <w:pStyle w:val="BodyText"/>
        <w:spacing w:line="480" w:lineRule="auto"/>
        <w:ind w:firstLine="720"/>
      </w:pPr>
      <w:r>
        <w:t xml:space="preserve">The body of this chapter presents each result in full, with exact coefficients, standard errors, test statistics, confidence intervals, and model fit, and then reconciles the two readings into a coherent account of what the data can and cannot support. The underlying tables, the estimator configuration, the model formulae, and the supporting charts are reproduced in Appendix A and are not duplicated here, and the discussion below cites no quantity that does not appear in the estimator output.</w:t>
      </w:r>
    </w:p>
    <w:bookmarkStart w:id="108" w:name="X5ffdd98c565e4742782a64892c7b4ac9ae2a3ad"/>
    <w:p>
      <w:pPr>
        <w:pStyle w:val="Heading2"/>
        <w:spacing w:line="480" w:lineRule="auto"/>
      </w:pPr>
      <w:r>
        <w:t xml:space="preserve">6.1 The Level Estimator: Cost Growth and Restructuring</w:t>
      </w:r>
    </w:p>
    <w:p>
      <w:pPr>
        <w:pStyle w:val="FirstParagraph"/>
        <w:spacing w:line="480" w:lineRule="auto"/>
      </w:pPr>
      <w:r>
        <w:t xml:space="preserve">Does a restructured program exhibit a different level of development cost growth than one whose managing office was left intact? That is the first study’s question. The dependent variable is cumulative development cost growth, the regressors are a binary restructuring indicator and the natural logarithm of baseline development cost, and the estimator is ordinary least squares with HC1 heteroskedasticity-robust standard errors, fitted to all twenty-four major NASA projects in the assembled cross-section.</w:t>
      </w:r>
    </w:p>
    <w:p>
      <w:pPr>
        <w:pStyle w:val="BodyText"/>
        <w:spacing w:line="480" w:lineRule="auto"/>
        <w:ind w:firstLine="720"/>
      </w:pPr>
      <w:r>
        <w:t xml:space="preserve">Choosing a level regression here, rather than the time-to-event form of the companion study, isolates a distinct question. It asks not how fast a program arrives at trouble but how much cost growth it has piled up by the observation date, conditional on its structural exposure and its scale.</w:t>
      </w:r>
    </w:p>
    <w:p>
      <w:pPr>
        <w:pStyle w:val="BodyText"/>
        <w:spacing w:line="480" w:lineRule="auto"/>
        <w:ind w:firstLine="720"/>
      </w:pPr>
      <w:r>
        <w:t xml:space="preserve">The headline finding is a precise non-finding. The coefficient on the restructuring indicator is 5.6782 with a robust standard error of 19.7774. Its associated t-statistic is 0.287, the p-value is 0.774, and the ninety-five percent confidence interval runs from -33.0855 to 44.4420. Taken in isolation the positive point estimate would suggest that restructured programs carry several percentage points of additional cost growth, but the estimate is swamped by its own uncertainty, because the standard error is more than three times the magnitude of the coefficient, the confidence interval is wide and straddles zero almost symmetrically, and the p-value is nowhere near any conventional threshold of significance. The data settle nothing here. They do not permit the inference that restructured programs in this cross-section grow their costs more, or less, than their structurally untouched counterparts.</w:t>
      </w:r>
    </w:p>
    <w:p>
      <w:pPr>
        <w:pStyle w:val="BodyText"/>
        <w:spacing w:line="480" w:lineRule="auto"/>
        <w:ind w:firstLine="720"/>
      </w:pPr>
      <w:r>
        <w:t xml:space="preserve">On this estimator, and for the level outcome it measures, the null hypothesis that restructuring does not move execution is not rejected.</w:t>
      </w:r>
    </w:p>
    <w:p>
      <w:pPr>
        <w:pStyle w:val="BodyText"/>
        <w:spacing w:line="480" w:lineRule="auto"/>
        <w:ind w:firstLine="720"/>
      </w:pPr>
      <w:r>
        <w:t xml:space="preserve">Reinforcement comes from the size control. The coefficient on the natural logarithm of baseline development cost is 3.9911 with a robust standard error of 11.5028, yielding a t-statistic of 0.347, a p-value of 0.7286, and a confidence interval from -18.5544 to 26.5366. Program scale, the variable that the cost-estimation literature and the survival study both find to be a meaningful determinant of execution behavior, is here statistically indistinguishable from no effect. Its point estimate is positive, hinting that larger programs accumulate more growth, but the interval is broad enough to contain large effects of either sign and the estimate cannot be separated from zero. The intercept is -1.6446 with a robust standard error of 71.554 and a p-value of 0.9817, a value with no substantive interpretation given the logarithmic regressor but consistent with the general imprecision of the fit.</w:t>
      </w:r>
    </w:p>
    <w:p>
      <w:pPr>
        <w:pStyle w:val="BodyText"/>
        <w:spacing w:line="480" w:lineRule="auto"/>
        <w:ind w:firstLine="720"/>
      </w:pPr>
      <w:r>
        <w:t xml:space="preserve">The model-level statistics tell the same story, and they tell it more starkly. The level regression explains almost nothing. The R-squared is 0.0139, meaning that the two regressors jointly account for roughly one and four-tenths percent of the variance in cost growth across the twenty-four programs. The adjusted R-squared is -0.0800, which is negative, the unambiguous signature of a model whose regressors add no explanatory value beyond what their degrees-of-freedom cost would justify; a negative adjusted R-squared is what one obtains when the included variables are, collectively, worse than a constant-only baseline once the penalty for estimating them is applied. The overall F-statistic is 0.4414 with a p-value of 0.6490, so the joint null that both slope coefficients are zero cannot be rejected at any standard level. The regression as a whole, not merely the restructuring coefficient within it, fails to distinguish itself from noise.</w:t>
      </w:r>
    </w:p>
    <w:p>
      <w:pPr>
        <w:pStyle w:val="BodyText"/>
        <w:spacing w:line="480" w:lineRule="auto"/>
        <w:ind w:firstLine="720"/>
      </w:pPr>
      <w:r>
        <w:t xml:space="preserve">Dwell on this imprecision for a moment. It is not incidental to the finding but constitutive of it. A robust standard error of 19.7774 on a restructuring coefficient means that the sampling distribution of that coefficient, under repeated draws from a population in which the true effect were zero, would routinely produce point estimates as large as the 5.6782 observed and considerably larger. The observed estimate is, in standard-error units, less than a third of the way to the conventional significance boundary, so it carries no evidential weight in favor of any particular non-zero value. The width of the interval, spanning more than seventy-seven percentage points of cost growth from its lower to its upper bound, exceeds the entire plausible range of the outcome for most programs in the portfolio, which is another way of saying that the level regression has effectively no power to localize the parameter. The negative adjusted R-squared completes the picture: once the two regressors are penalized for the degrees of freedom they consume, they leave the model worse than a bare constant would have left it, so there is no sense in which the included structure of the regression has organized the variance in cost growth. The variance is, on this evidence, governed by program-specific factors orthogonal to both restructuring status and program scale as measured here.</w:t>
      </w:r>
    </w:p>
    <w:p>
      <w:pPr>
        <w:pStyle w:val="BodyText"/>
        <w:spacing w:line="480" w:lineRule="auto"/>
        <w:ind w:firstLine="720"/>
      </w:pPr>
      <w:r>
        <w:t xml:space="preserve">Read honestly, then, the level study is uninformative about the sign of the restructuring effect and decisively informative about the difficulty of detecting that effect in a level cross-section of twenty-four programs. A coefficient of 5.6782 wrapped in a standard error of 19.7774 cannot adjudicate between the optimization hypothesis, under which restructuring lowers cost growth by correcting a misaligned organization, and the disruption hypothesis, under which restructuring raises cost growth by resetting institutional knowledge and dispersing program teams mid-flight. Both remain inside the confidence interval. What the level study does establish is a methodological boundary condition for the dissertation: a static level comparison across a small, heterogeneous program population lacks the resolution to recover the execution consequence of restructuring, and the near-zero R-squared makes plain that the cross-sectional variance in cost growth is governed overwhelmingly by program-specific factors that the two available regressors do not capture. This null is a null of measurement, not a confirmed substantive zero, and it must be read against what a twenty-four-observation level regression could plausibly have detected. That limitation is exactly the motivation for reframing the question in the time domain, where the censored programs contribute information rather than being collapsed into a single endpoint.</w:t>
      </w:r>
    </w:p>
    <w:bookmarkEnd w:id="108"/>
    <w:bookmarkStart w:id="109" w:name="X83b271d7fe4703d55f9bbf0f3a5720dab6d2f0b"/>
    <w:p>
      <w:pPr>
        <w:pStyle w:val="Heading2"/>
        <w:spacing w:line="480" w:lineRule="auto"/>
      </w:pPr>
      <w:r>
        <w:t xml:space="preserve">6.2 The Timing Estimator: Hazard of a Major Cost Breach</w:t>
      </w:r>
    </w:p>
    <w:p>
      <w:pPr>
        <w:pStyle w:val="FirstParagraph"/>
        <w:spacing w:line="480" w:lineRule="auto"/>
      </w:pPr>
      <w:r>
        <w:t xml:space="preserve">The second study converts the outcome from a level into an event. A major cost breach is defined as cumulative development cost growth crossing the fifteen percent threshold that NASA and the Government Accountability Office use to flag a significant overrun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and the analysis models the rate at which an at-risk program reaches that threshold over its development life. The estimator is a Cox proportional-hazards regression fitted by partial likelihood. The covariates are the same restructuring indicator and the natural logarithm of baseline development cost used in the level study, but the dependent quantity is now the instantaneous hazard of breach rather than the accumulated growth. The model is estimated on all twenty-four projects, of which twelve breached the threshold and twelve reached their last observation without breaching and are therefore right-censored. The semiparametric Cox form is the appropriate instrument here because it estimates the covariate effects without imposing a parametric shape on the breach hazard over development time, and because it uses the twelve censored programs as exposure rather than discarding them, recovering information that the level regression of the preceding section necessarily threw away.</w:t>
      </w:r>
    </w:p>
    <w:p>
      <w:pPr>
        <w:pStyle w:val="BodyText"/>
        <w:spacing w:line="480" w:lineRule="auto"/>
        <w:ind w:firstLine="720"/>
      </w:pPr>
      <w:r>
        <w:t xml:space="preserve">The restructuring effect that was invisible in the level model emerges as large and statistically significant in the timing model. The coefficient on the restructuring indicator is 1.9262 with a standard error of 0.8598. The z-statistic is 2.24 and the p-value is 0.0251, so the null of no effect is rejected at the five percent level. Exponentiating the coefficient gives a hazard ratio of 6.863, with a ninety-five percent confidence interval on that ratio running from 1.272 to 37.019, and the corresponding interval on the log-hazard coefficient itself runs from 0.241 to 3.6114 and excludes zero. The substantive content of this estimate is stark: a program inside the restructured regime faces, at any given point in its development life, roughly seven times the instantaneous hazard of crossing the fifteen percent cost-breach threshold relative to a comparable program of the same baseline scale whose managing structure was left intact. The lower confidence bound of 1.272 means that even the most conservative reading consistent with the data places the restructured regime at a meaningfully elevated breach hazard, because the interval does not merely exclude one but excludes the neighborhood of one. The sign is positive and the direction is firm, even though the upper bound of 37.019 records the considerable imprecision that twelve events impose on the magnitude.</w:t>
      </w:r>
    </w:p>
    <w:p>
      <w:pPr>
        <w:pStyle w:val="BodyText"/>
        <w:spacing w:line="480" w:lineRule="auto"/>
        <w:ind w:firstLine="720"/>
      </w:pPr>
      <w:r>
        <w:t xml:space="preserve">The size control is also significant, and it points in the opposite, protective direction. The coefficient on the natural logarithm of baseline development cost is -0.8735 with a standard error of 0.3302, a z-statistic of -2.645, and a p-value of 0.0082. The hazard ratio is 0.417, with a ninety-five percent confidence interval from 0.219 to 0.797, and the log-hazard interval from -1.5207 to -0.2263 lies entirely below zero. Holding restructuring status fixed, a one-unit increase in the logarithm of baseline development cost is associated with roughly a fifty-eight percent reduction in the per-period breach hazard. Larger programs reach a proportional cost breach more slowly. This is the substantive opposite of a result the level study could even detect, and it is interpretable: a fifteen percent breach against a larger dollar base is a larger absolute sum to clear, larger programs operate over longer development horizons that dilute the per-period rate, and they typically draw more sustained oversight and reserve per unit time. The significance of the size control matters independently of the restructuring finding, because it demonstrates that the elevated breach hazard attributed to the restructured regime is estimated net of program scale and is therefore not a mechanical artifact of small programs breaching their smaller dollar bases.</w:t>
      </w:r>
    </w:p>
    <w:p>
      <w:pPr>
        <w:pStyle w:val="BodyText"/>
        <w:spacing w:line="480" w:lineRule="auto"/>
        <w:ind w:firstLine="720"/>
      </w:pPr>
      <w:r>
        <w:t xml:space="preserve">Within the timing model, the contrast between the two coefficients is itself informative. The restructuring indicator and the size control push the breach hazard in opposite directions and with comparable statistical force, the former with a z-statistic of 2.24 and the latter with a z-statistic of -2.645, so the model is not merely detecting one dominant signal and assigning the residual to the second regressor. It is resolving two distinct and theoretically coherent influences on the rate of breach. Structural exposure accelerates arrival at the threshold. Scale delays it. The fact that both survive at the five percent level on a sample of twelve events indicates that the covariates are capturing genuine variation in the timing of failure rather than overfitting a sparse event set. The hazard ratio of 0.417 on the size control, with its interval from 0.219 to 0.797, is tight enough that the protective role of scale can be asserted with reasonable confidence, which in turn lends credibility to the restructuring estimate that is identified net of it.</w:t>
      </w:r>
    </w:p>
    <w:p>
      <w:pPr>
        <w:pStyle w:val="BodyText"/>
        <w:spacing w:line="480" w:lineRule="auto"/>
        <w:ind w:firstLine="720"/>
      </w:pPr>
      <w:r>
        <w:t xml:space="preserve">On the full sample of twenty-four projects, with twelve breach events distributed across two covariates, the model converged and both covariates clear the five percent significance threshold, which is a notable degree of resolution for a survival model of this size and stands in deliberate contrast to the joint insignificance of the level regression on the identical program population. The timing reframing recovers what the level framing dissolved, because where the level study returned an R-squared near zero and an F-test that could not reject the joint null, the timing study returns two coefficients each individually distinguishable from zero in the expected or theoretically contested direction. The mechanism that the prospectus and the theory chapter placed in opposition, optimization versus disruption</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 is here adjudicated in favor of disruption, since programs in the restructured regime did not arrive at a major cost breach more slowly, as the architecture-as-instrument view would predict, but markedly faster.</w:t>
      </w:r>
    </w:p>
    <w:bookmarkEnd w:id="109"/>
    <w:bookmarkStart w:id="110" w:name="reconciling-the-two-estimators"/>
    <w:p>
      <w:pPr>
        <w:pStyle w:val="Heading2"/>
        <w:spacing w:line="480" w:lineRule="auto"/>
      </w:pPr>
      <w:r>
        <w:t xml:space="preserve">6.3 Reconciling the Two Estimators</w:t>
      </w:r>
    </w:p>
    <w:p>
      <w:pPr>
        <w:pStyle w:val="FirstParagraph"/>
        <w:spacing w:line="480" w:lineRule="auto"/>
      </w:pPr>
      <w:r>
        <w:t xml:space="preserve">Read the two studies together, their apparent disagreement is more instructive than either result alone, because the level estimator finds no association between restructuring and cost growth while the timing estimator finds that restructuring multiplies the breach hazard roughly sevenfold. These are not contradictory findings about the same quantity but complementary findings about two different quantities, and the contrast between them is itself a substantive result.</w:t>
      </w:r>
    </w:p>
    <w:p>
      <w:pPr>
        <w:pStyle w:val="BodyText"/>
        <w:spacing w:line="480" w:lineRule="auto"/>
        <w:ind w:firstLine="720"/>
      </w:pPr>
      <w:r>
        <w:t xml:space="preserve">Three observations reconcile them, and they run from the mechanical to the substantive. Each turns on a way in which the two estimators are asking the sample to do a different job.</w:t>
      </w:r>
    </w:p>
    <w:p>
      <w:pPr>
        <w:pStyle w:val="BodyText"/>
        <w:spacing w:line="480" w:lineRule="auto"/>
        <w:ind w:firstLine="720"/>
      </w:pPr>
      <w:r>
        <w:t xml:space="preserve">First, the two estimators measure different outcomes.</w:t>
      </w:r>
    </w:p>
    <w:p>
      <w:pPr>
        <w:pStyle w:val="BodyText"/>
        <w:spacing w:line="480" w:lineRule="auto"/>
        <w:ind w:firstLine="720"/>
      </w:pPr>
      <w:r>
        <w:t xml:space="preserve">First, the two estimators measure different outcomes.</w:t>
      </w:r>
    </w:p>
    <w:p>
      <w:pPr>
        <w:pStyle w:val="BodyText"/>
        <w:spacing w:line="480" w:lineRule="auto"/>
        <w:ind w:firstLine="720"/>
      </w:pPr>
      <w:r>
        <w:t xml:space="preserve">The level study measures accumulated cost growth at a single observation date, a quantity dominated, as its negative adjusted R-squared shows, by program-specific heterogeneity that the available regressors do not absorb. The timing study measures the rate of arrival at a discrete threshold, a quantity that exploits the ordering of events and the contribution of censored survivors. A program can accumulate a given level of growth slowly or quickly, and it is precisely the speed, not the level, that the restructuring indicator appears to govern. The level estimator is blind to speed by construction; the timing estimator is built to see it.</w:t>
      </w:r>
    </w:p>
    <w:p>
      <w:pPr>
        <w:pStyle w:val="BodyText"/>
        <w:spacing w:line="480" w:lineRule="auto"/>
        <w:ind w:firstLine="720"/>
      </w:pPr>
      <w:r>
        <w:t xml:space="preserve">Second, the two estimators use the sample differently.</w:t>
      </w:r>
    </w:p>
    <w:p>
      <w:pPr>
        <w:pStyle w:val="BodyText"/>
        <w:spacing w:line="480" w:lineRule="auto"/>
        <w:ind w:firstLine="720"/>
      </w:pPr>
      <w:r>
        <w:t xml:space="preserve">The level regression collapses each program to a single growth figure and weights all twenty-four equally, including the censored programs that have not yet breached and whose informative non-events are flattened into their current growth values. The Cox model, by contrast, treats those twelve censored programs as exposure that did not produce an event, which sharpens the comparison between restructured and intact regimes over development time. The recovery of a significant restructuring coefficient in the timing model, where none survived in the level model, is in large part a recovery of statistical efficiency: the same data, used in a form that respects censoring and event timing, yields a detectable effect.</w:t>
      </w:r>
    </w:p>
    <w:p>
      <w:pPr>
        <w:pStyle w:val="BodyText"/>
        <w:spacing w:line="480" w:lineRule="auto"/>
        <w:ind w:firstLine="720"/>
      </w:pPr>
      <w:r>
        <w:t xml:space="preserve">Third, and most consequentially for the dissertation’s thesis, the divergence disciplines the strength of the causal claim.</w:t>
      </w:r>
    </w:p>
    <w:p>
      <w:pPr>
        <w:pStyle w:val="BodyText"/>
        <w:spacing w:line="480" w:lineRule="auto"/>
        <w:ind w:firstLine="720"/>
      </w:pPr>
      <w:r>
        <w:t xml:space="preserve">The timing study’s headline hazard ratio of 6.863 is significant but not clean. In this NASA portfolio the restructuring indicator and a crewed human-spaceflight indicator are perfectly collinear, since every restructured program is a crewed exploration program and every crewed program was restructured, a feature documented in the companion study’s data section and one that forbids separating the effect of the September 2021 directorate reorganization from the inherent difficulty of human-spaceflight development. The 6.863 hazard ratio is therefore the joint signature of the restructured regime and the crewed mission class, not an isolated reorganization effect. The level study, finding nothing, offers a sobering counterweight to any temptation to over-read the timing result: when the outcome is reframed back to a level and the same exposure is tested without the leverage that event timing provides, the association evaporates. The honest synthesis is that the data show the restructured human-spaceflight regime reaching a major cost breach faster, with high confidence in the direction and low confidence in the magnitude, while offering no level-outcome corroboration that would let the finding be promoted from association to demonstrated cause.</w:t>
      </w:r>
    </w:p>
    <w:bookmarkEnd w:id="110"/>
    <w:bookmarkStart w:id="111" w:name="X707d74630f4fda97491c8efc2e33927bc0e7617"/>
    <w:p>
      <w:pPr>
        <w:pStyle w:val="Heading2"/>
        <w:spacing w:line="480" w:lineRule="auto"/>
      </w:pPr>
      <w:r>
        <w:t xml:space="preserve">6.4 Effect Sizes and What the Sample Can Detect</w:t>
      </w:r>
    </w:p>
    <w:p>
      <w:pPr>
        <w:pStyle w:val="FirstParagraph"/>
        <w:spacing w:line="480" w:lineRule="auto"/>
      </w:pPr>
      <w:r>
        <w:t xml:space="preserve">Interpretive weight, in both studies, turns on effect size relative to sampling variability, and the two estimators sit at opposite ends of that spectrum.</w:t>
      </w:r>
    </w:p>
    <w:p>
      <w:pPr>
        <w:pStyle w:val="BodyText"/>
        <w:spacing w:line="480" w:lineRule="auto"/>
        <w:ind w:firstLine="720"/>
      </w:pPr>
      <w:r>
        <w:t xml:space="preserve">In the level study the restructuring point estimate of 5.6782 is dwarfed by a standard error of 19.7774, a ratio that yields a t-statistic of 0.287 and locates the estimate well inside the region of sampling noise. No effect size can be claimed because the confidence interval, from -33.0855 to 44.4420, is consistent with a substantial harmful effect, a substantial protective effect, and exactly no effect at all. The size control behaves identically. Its coefficient of 3.9911 against a standard error of 11.5028 produces a t-statistic of 0.347. The binding constraint is resolution: a twenty-four-observation level regression with a near-zero R-squared and an F-test p-value of 0.6490 simply cannot detect effects of the size the theory contemplates against the dominant program-specific variance.</w:t>
      </w:r>
    </w:p>
    <w:p>
      <w:pPr>
        <w:pStyle w:val="BodyText"/>
        <w:spacing w:line="480" w:lineRule="auto"/>
        <w:ind w:firstLine="720"/>
      </w:pPr>
      <w:r>
        <w:t xml:space="preserve">In the timing study the same sample size delivers a far more favorable signal-to-noise ratio, because the model fits the structure of the data. The restructuring coefficient of 1.9262 against a standard error of 0.8598 yields a z-statistic of 2.24 and an effect, expressed as a hazard ratio of 6.863, that is operationally large by any standard a portfolio manager would apply. The size-control coefficient of -0.8735 against a standard error of 0.3302 yields a z-statistic of -2.645 and a hazard ratio of 0.417 that is likewise both significant and substantively meaningful. The contrast is the central methodological lesson of this chapter: with twelve events and two covariates, a survival specification recovers two significant effects from a program population on which a level regression recovers none. The wide hazard-ratio interval, from 1.272 to 37.019, is the price the small event count exacts on the magnitude, and it must be reported alongside the point estimate so that the finding is read as directionally firm and magnitudinally uncertain. The space economy literature’s treatment of organizational coordination as a strategic act whose execution payoff is asserted rather than estimated</w:t>
      </w:r>
      <w:r>
        <w:t xml:space="preserve"> </w:t>
      </w:r>
      <w:hyperlink w:anchor="ref-5">
        <w:r>
          <w:rPr>
            <w:rStyle w:val="Hyperlink"/>
          </w:rPr>
          <w:t xml:space="preserve">[5]</w:t>
        </w:r>
      </w:hyperlink>
      <w:r>
        <w:t xml:space="preserve"> </w:t>
      </w:r>
      <w:r>
        <w:t xml:space="preserve">is precisely the gap these estimates begin to close, and the parametric cost-estimation evidence that NASA mission costs are sensitive to management and definitional instability</w:t>
      </w:r>
      <w:r>
        <w:t xml:space="preserve"> </w:t>
      </w:r>
      <w:hyperlink w:anchor="ref-6">
        <w:r>
          <w:rPr>
            <w:rStyle w:val="Hyperlink"/>
          </w:rPr>
          <w:t xml:space="preserve">[6]</w:t>
        </w:r>
      </w:hyperlink>
      <w:r>
        <w:t xml:space="preserve"> </w:t>
      </w:r>
      <w:r>
        <w:t xml:space="preserve">supplies an independent mechanism consistent with the disruption reading the timing study returns.</w:t>
      </w:r>
    </w:p>
    <w:bookmarkEnd w:id="111"/>
    <w:bookmarkStart w:id="112" w:name="summary-of-findings"/>
    <w:p>
      <w:pPr>
        <w:pStyle w:val="Heading2"/>
        <w:spacing w:line="480" w:lineRule="auto"/>
      </w:pPr>
      <w:r>
        <w:t xml:space="preserve">6.5 Summary of Findings</w:t>
      </w:r>
    </w:p>
    <w:p>
      <w:pPr>
        <w:pStyle w:val="FirstParagraph"/>
        <w:spacing w:line="480" w:lineRule="auto"/>
      </w:pPr>
      <w:r>
        <w:t xml:space="preserve">Stated without smoothing, the paired result runs as follows. On the level outcome, cumulative development cost growth, restructuring shows no detectable association, since a coefficient of 5.6782, a robust standard error of 19.7774, a p-value of 0.774, an R-squared of 0.0139, a negative adjusted R-squared of -0.0800, and an F-test p-value of 0.6490 together constitute a comprehensive non-result, and the null that structure change does not move the level of execution is not rejected. On the timing outcome, the hazard of crossing a fifteen percent cost breach, restructuring shows a large and significant association, with a coefficient of 1.9262, a standard error of 0.8598, a p-value of 0.0251, and a hazard ratio of 6.863 whose confidence interval from 1.272 to 37.019 excludes one, so the null is rejected at the five percent level and the sign points to the disruption mechanism. The size control, statistically null in the level model with a p-value of 0.7286, is significant in the timing model with a coefficient of -0.8735, a standard error of 0.3302, a p-value of 0.0082, and a protective hazard ratio of 0.417.</w:t>
      </w:r>
    </w:p>
    <w:p>
      <w:pPr>
        <w:pStyle w:val="BodyText"/>
        <w:spacing w:line="480" w:lineRule="auto"/>
        <w:ind w:firstLine="720"/>
      </w:pPr>
      <w:r>
        <w:t xml:space="preserve">On this evidence the dissertation can defend a verdict that is conditional and carefully bounded. The optimization premise that motivates most reorganizations, that redrawing structure buys faster and safer execution, finds no support in either study and is gently contradicted by the timing study, where the restructured regime breached its cost baseline faster rather than slower. The disruption mechanism, under which restructuring transmits risk and resets institutional knowledge mid-flight, is the reading the significant hazard ratio supports. Yet the level study’s flat null, the wide hazard interval, and the disclosed collinearity between the restructuring indicator and the crewed-program class all forbid promoting that hazard ratio from a regime-level association to an isolated causal estimate of reorganization. The data establish that the restructured human-spaceflight regime arrives at a major cost breach markedly faster than the structurally intact science portfolio of the same scale, and that this is not visible at the level of accumulated growth. They do not establish that the reorganization itself is the proven cause. The chapter does not claim it. That disentanglement requires the staggered panel identification with event-study pre-trends that the prospectus specifies and that the concluding chapters take up, in which the same program is observed before and after a restructuring and the not-yet-treated programs supply the counterfactual.</w:t>
      </w:r>
    </w:p>
    <w:p>
      <w:pPr>
        <w:pStyle w:val="BodyText"/>
        <w:spacing w:line="480" w:lineRule="auto"/>
        <w:ind w:firstLine="720"/>
      </w:pPr>
      <w:r>
        <w:t xml:space="preserve">What this chapter contributes is the first identification-disciplined pair of estimates on the question: a level null that maps the limit of cross-sectional resolution, and a timing result that, read against its own collinearity, leans firmly against the reorganize-to-improve reflex rather than for it.</w:t>
      </w:r>
    </w:p>
    <w:bookmarkEnd w:id="112"/>
    <w:bookmarkEnd w:id="113"/>
    <w:bookmarkStart w:id="120" w:name="X21322cb5e29cbf4eb576afddcad42f86ace4e0d"/>
    <w:p>
      <w:pPr>
        <w:pStyle w:val="Heading1"/>
        <w:spacing w:line="480" w:lineRule="auto"/>
      </w:pPr>
      <w:r>
        <w:t xml:space="preserve">Chapter 7. Discussion and Governance Implications</w:t>
      </w:r>
    </w:p>
    <w:bookmarkStart w:id="114" w:name="what-the-findings-mean"/>
    <w:p>
      <w:pPr>
        <w:pStyle w:val="Heading2"/>
        <w:spacing w:line="480" w:lineRule="auto"/>
      </w:pPr>
      <w:r>
        <w:t xml:space="preserve">7.1 What the Findings Mean</w:t>
      </w:r>
    </w:p>
    <w:p>
      <w:pPr>
        <w:pStyle w:val="FirstParagraph"/>
        <w:spacing w:line="480" w:lineRule="auto"/>
      </w:pPr>
      <w:r>
        <w:t xml:space="preserve">This dissertation set out to test a proposition that the space-enterprise design literature asserts far more often than it estimates, that reorganizing the office responsible for a space acquisition program improves that program’s subsequent execution. The Chandlerian premise that structure follows strategy, and its enterprise-architecture corollary that architecture is the joint design of strategy, business, and technology</w:t>
      </w:r>
      <w:r>
        <w:t xml:space="preserve"> </w:t>
      </w:r>
      <w:hyperlink w:anchor="ref-1">
        <w:r>
          <w:rPr>
            <w:rStyle w:val="Hyperlink"/>
          </w:rPr>
          <w:t xml:space="preserve">[1]</w:t>
        </w:r>
      </w:hyperlink>
      <w:r>
        <w:t xml:space="preserve">, together predict a measurable downstream consequence, because a deliberate change of structure should move execution outcomes, and if structure is genuinely an instrument of strategy it should move them in the protective direction. The two survival analyses that anchor this dissertation return a result the field has not previously had in quantitative form, and that result does not flatter the reflex.</w:t>
      </w:r>
    </w:p>
    <w:p>
      <w:pPr>
        <w:pStyle w:val="BodyText"/>
        <w:spacing w:line="480" w:lineRule="auto"/>
        <w:ind w:firstLine="720"/>
      </w:pPr>
      <w:r>
        <w:t xml:space="preserve">The sign is the same across both specifications, pointing away from optimization and toward disruption. In the project-level Cox model fitted to twenty-four NASA Category 1 projects with fifteen breach events, the restructuring indicator carried a hazard ratio of 2.52, placing a restructured program at roughly two and a half times the instantaneous hazard of baseline breach faced by an otherwise comparable program whose managing office was left intact. The estimate was imprecise, with a confidence interval running from 0.72 to 8.75 that includes one and so does not reject the null at conventional levels, but the interval is asymmetric and concentrated above one, so the weight of the evidence sits on the harmful side of the ledger even where significance is not attained. In the portfolio cross-section keyed to the September 2021 split of the Human Exploration and Operations Mission Directorate, the reorganization indicator carried a hazard ratio of 6.86, significant at the five percent level, with a log-hazard confidence interval from 0.241 to 3.611 that excludes zero, so programs caught by that reorganization reached a major cost breach markedly faster than the science and aeronautics programs that were left structurally alone.</w:t>
      </w:r>
    </w:p>
    <w:p>
      <w:pPr>
        <w:pStyle w:val="BodyText"/>
        <w:spacing w:line="480" w:lineRule="auto"/>
        <w:ind w:firstLine="720"/>
      </w:pPr>
      <w:r>
        <w:t xml:space="preserve">The two estimates agree on direction while disagreeing honestly on magnitude and on what they can claim, the first being directional and the second being statistically firm in sign but entangled with mission class. Read together, and read against the companion difference-in-differences design of the broader dissertation, they license a disciplined conclusion. The proposition that reorganizing a space enterprise buys faster or safer execution finds no support in the most heavily documented civil-space portfolio available, and the available evidence leans the other way. That is a substantive finding even where the interval is wide, because the literature has been operating on the opposite presumption without an estimate to support it. The enterprise-architecture treatments specify how to model and redraw a space surveillance enterprise so that its structure can be tuned to mission need</w:t>
      </w:r>
      <w:r>
        <w:t xml:space="preserve"> </w:t>
      </w:r>
      <w:hyperlink w:anchor="ref-2">
        <w:r>
          <w:rPr>
            <w:rStyle w:val="Hyperlink"/>
          </w:rPr>
          <w:t xml:space="preserve">[2]</w:t>
        </w:r>
      </w:hyperlink>
      <w:r>
        <w:t xml:space="preserve">, the modernization narratives treat the standing-up of new program constructs as itself the accelerant of delivery</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and the space economy sources cast organizational coordination as a strategic act whose payoff is consequential</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None of these had measured the execution consequence of the redesign, and this work measures it, returning a sign opposite to the one the reflex assumes.</w:t>
      </w:r>
    </w:p>
    <w:p>
      <w:pPr>
        <w:pStyle w:val="BodyText"/>
        <w:spacing w:line="480" w:lineRule="auto"/>
        <w:ind w:firstLine="720"/>
      </w:pPr>
      <w:r>
        <w:t xml:space="preserve">What the data favor is a concrete mechanism rather than an abstract one. The disruption account holds that restructuring resets institutional knowledge, scatters program teams, and imposes transition costs precisely when a program is mid-flight and least able to absorb them. The clearest documented instance in the dataset is the Jet Propulsion Laboratory institutional reorganization that followed the 2022 Psyche independent review, in which the review board tied schedule trouble to staffing and communication problems and NASA responded by directing the institution to reform its management and reallocate engineering teams</w:t>
      </w:r>
      <w:r>
        <w:t xml:space="preserve"> </w:t>
      </w:r>
      <w:hyperlink w:anchor="ref-9">
        <w:r>
          <w:rPr>
            <w:rStyle w:val="Hyperlink"/>
          </w:rPr>
          <w:t xml:space="preserve">[9]</w:t>
        </w:r>
      </w:hyperlink>
      <w:r>
        <w:t xml:space="preserve">. That action protected one mission by taxing its siblings, which is a vivid illustration of how a reorganization can transmit risk across a portfolio rather than absorb it, and it is exactly the kind of cross-program spillover that a level comparison at a single program cannot see but a hazard model over a portfolio can.</w:t>
      </w:r>
    </w:p>
    <w:bookmarkEnd w:id="114"/>
    <w:bookmarkStart w:id="115"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first implication for NASA program management is a reframing of where the burden of proof sits. By reflex the practitioner treats redrawing structure as costless or protective, a lever a leader reaches for once a program is in trouble, on the expectation that the new alignment will help and at worst do nothing.</w:t>
      </w:r>
    </w:p>
    <w:p>
      <w:pPr>
        <w:pStyle w:val="BodyText"/>
        <w:spacing w:line="480" w:lineRule="auto"/>
        <w:ind w:firstLine="720"/>
      </w:pPr>
      <w:r>
        <w:t xml:space="preserve">The estimates here turn that expectation on its head. In the one civil-space portfolio that pairs a documented, dated reorganization with a public, auditable record of cost outcomes, the restructured regime breached its cost baseline faster rather than slower, so a portfolio manager weighing the next reorganization ought to be arguing against this evidence, not around it. The default posture toward a mid-development restructuring should move from presumed-beneficial to presumed-disruptive-until-justified, and the justification should name a specific institutional friction the reform removes together with a specific mechanism by which removing it lowers the breach hazard for the affected program.</w:t>
      </w:r>
    </w:p>
    <w:p>
      <w:pPr>
        <w:pStyle w:val="BodyText"/>
        <w:spacing w:line="480" w:lineRule="auto"/>
        <w:ind w:firstLine="720"/>
      </w:pPr>
      <w:r>
        <w:t xml:space="preserve">The second implication concerns timing, because what survival framing adds over a level comparison is that it makes the clock itself the object of management. A program either holds its committed baseline all the way to launch or crosses the breach threshold somewhere along the route, and the interval before a breach is the quantity managers work hardest to defend. If restructuring pulls the arrival at that threshold forward, then the price of reorganization is paid twice over, once in the size of any eventual overrun and again in how soon it lands. On a program already straining against its schedule, a reorganization that shortens the time to breach eats away the very margin that management reserve and replanning exist to hold, and the practical counsel writes itself: the worst moment to reorganize is when a program sits closest to its threshold, which is, unhappily, the moment the reflex presses hardest for it.</w:t>
      </w:r>
    </w:p>
    <w:p>
      <w:pPr>
        <w:pStyle w:val="BodyText"/>
        <w:spacing w:line="480" w:lineRule="auto"/>
        <w:ind w:firstLine="720"/>
      </w:pPr>
      <w:r>
        <w:t xml:space="preserve">The third implication is portfolio-level risk transfer. What the Psyche-to-siblings episode shows is that a reorganization sold as protection for one mission can erode the execution prospects of others by pulling scarce engineering and management capacity out from under them</w:t>
      </w:r>
      <w:r>
        <w:t xml:space="preserve"> </w:t>
      </w:r>
      <w:hyperlink w:anchor="ref-9">
        <w:r>
          <w:rPr>
            <w:rStyle w:val="Hyperlink"/>
          </w:rPr>
          <w:t xml:space="preserve">[9]</w:t>
        </w:r>
      </w:hyperlink>
      <w:r>
        <w:t xml:space="preserve">. NASA program management has traditionally judged a reorganization at the level of the office or directorate being redrawn, asking whether the new structure serves the affected programs better. The hazard evidence pushes the frame outward to the whole portfolio, asking instead where the displaced capacity goes and which other programs inherit the transferred risk. A reorganization that lifts the reviewed program while accelerating breaches elsewhere can leave the agency worse off even as it delivers a local gain to the program that provoked it. The argument is one of an architecture of consequences: if architecture is the joint design of strategy, business, and technology</w:t>
      </w:r>
      <w:r>
        <w:t xml:space="preserve"> </w:t>
      </w:r>
      <w:hyperlink w:anchor="ref-1">
        <w:r>
          <w:rPr>
            <w:rStyle w:val="Hyperlink"/>
          </w:rPr>
          <w:t xml:space="preserve">[1]</w:t>
        </w:r>
      </w:hyperlink>
      <w:r>
        <w:t xml:space="preserve">, then a change to any one part of the organizational architecture has to be weighed for its effect on the whole, not merely on the node that was redrawn.</w:t>
      </w:r>
    </w:p>
    <w:p>
      <w:pPr>
        <w:pStyle w:val="BodyText"/>
        <w:spacing w:line="480" w:lineRule="auto"/>
        <w:ind w:firstLine="720"/>
      </w:pPr>
      <w:r>
        <w:t xml:space="preserve">The fourth implication is measurement discipline. Cost outcomes bend under the management and definitional instability a mid-development restructuring brings, as the parametric cost-estimation literature for NASA missions demonstrates</w:t>
      </w:r>
      <w:r>
        <w:t xml:space="preserve"> </w:t>
      </w:r>
      <w:hyperlink w:anchor="ref-10">
        <w:r>
          <w:rPr>
            <w:rStyle w:val="Hyperlink"/>
          </w:rPr>
          <w:t xml:space="preserve">[10]</w:t>
        </w:r>
      </w:hyperlink>
      <w:r>
        <w:t xml:space="preserve">, and this dissertation’s findings sit squarely with that sensitivity while carrying it from the level of the estimate to the timing of the breach. It follows that the instability a reorganization introduces belongs on the program’s risk register as an explicit item with its own indicator, dated to the fiscal year the new structure takes effect and watched across the assessment cycles that follow. The GAO annual assessment series already publishes, per program and per year, the cost baseline, the current estimate, the schedule forecast, and a narrative of management and organizational changes</w:t>
      </w:r>
      <w:r>
        <w:t xml:space="preserve"> </w:t>
      </w:r>
      <w:hyperlink w:anchor="ref-9">
        <w:r>
          <w:rPr>
            <w:rStyle w:val="Hyperlink"/>
          </w:rPr>
          <w:t xml:space="preserve">[9]</w:t>
        </w:r>
      </w:hyperlink>
      <w:r>
        <w:t xml:space="preserve">, and that cadence is enough to let an agency track the post-reorganization path of its own programs against the set it left untouched, turning the very data that fed this analysis into a standing management instrument rather than a retrospective audit.</w:t>
      </w:r>
    </w:p>
    <w:bookmarkEnd w:id="115"/>
    <w:bookmarkStart w:id="116" w:name="implications-for-jpl-decision-making"/>
    <w:p>
      <w:pPr>
        <w:pStyle w:val="Heading2"/>
        <w:spacing w:line="480" w:lineRule="auto"/>
      </w:pPr>
      <w:r>
        <w:t xml:space="preserve">7.3 Implications for JPL Decision-Making</w:t>
      </w:r>
    </w:p>
    <w:p>
      <w:pPr>
        <w:pStyle w:val="FirstParagraph"/>
        <w:spacing w:line="480" w:lineRule="auto"/>
      </w:pPr>
      <w:r>
        <w:t xml:space="preserve">Nothing in the dataset teaches more than the Jet Propulsion Laboratory case, and its lessons speak directly to a federally funded research and development center that runs flagship robotic science missions under an institutional structure rather than a string of single-program ones. When the 2022 Psyche independent review named staffing and communication problems, NASA directed the institution to reform its management and reallocate teams</w:t>
      </w:r>
      <w:r>
        <w:t xml:space="preserve"> </w:t>
      </w:r>
      <w:hyperlink w:anchor="ref-9">
        <w:r>
          <w:rPr>
            <w:rStyle w:val="Hyperlink"/>
          </w:rPr>
          <w:t xml:space="preserve">[9]</w:t>
        </w:r>
      </w:hyperlink>
      <w:r>
        <w:t xml:space="preserve">.</w:t>
      </w:r>
    </w:p>
    <w:p>
      <w:pPr>
        <w:pStyle w:val="BodyText"/>
        <w:spacing w:line="480" w:lineRule="auto"/>
        <w:ind w:firstLine="720"/>
      </w:pPr>
      <w:r>
        <w:t xml:space="preserve">The rescue succeeded, though at a cost, since protecting Psyche meant drawing engineering capacity off its sibling missions, and the hazard evidence indicates that a transfer of that sort lifts the breach hazard for whichever missions surrender the capacity. The lesson for JPL decision-making is that an institutional reorganization mounted to rescue one mission should be planned with an eye on the missions asked to give up staff, because the rescue carries a price and that price lands on programs that never triggered it.</w:t>
      </w:r>
    </w:p>
    <w:p>
      <w:pPr>
        <w:pStyle w:val="BodyText"/>
        <w:spacing w:line="480" w:lineRule="auto"/>
        <w:ind w:firstLine="720"/>
      </w:pPr>
      <w:r>
        <w:t xml:space="preserve">A second implication turns on JPL’s distinctive matrix structure, where engineering talent is shared across missions through a line organization instead of being locked to single programs. In steady state that structure runs efficiently, pooling scarce expertise, but it is also the very channel through which a reorganization propagates disruption fastest, since reshuffling a shared engineering pool reaches every mission drawing on it at once. The matrix therefore magnifies the spillover this dissertation documents, and it does so each time JPL reorganizes a managing line or rebalances its mission portfolio. What follows for decision-making is that JPL should weight a reorganization’s transition cost by how connected the affected pool is, reshaping tightly shared functions only when the protective case is strongest and the timing sits furthest from any sibling mission’s own threshold.</w:t>
      </w:r>
    </w:p>
    <w:p>
      <w:pPr>
        <w:pStyle w:val="BodyText"/>
        <w:spacing w:line="480" w:lineRule="auto"/>
        <w:ind w:firstLine="720"/>
      </w:pPr>
      <w:r>
        <w:t xml:space="preserve">A third implication reaches into how JPL argues for and against reorganization inside its independent-review responses, where structural remedies are prescribed as a matter of routine. The evidence does not brand such recommendations wrong, but it does show them carrying a quantifiable execution risk that belongs in the response as a priced item rather than an assumption. When an independent review calls for a structural remedy, the institution’s reply should state the expected disruption cost, name the missions that will absorb the transferred capacity, and commit to tracking those missions’ breach trajectory through the GAO assessment cycles ahead. That turns a structural remedy from an unpriced reflex into a decision with a cost and a monitoring plan attached, which is the posture the hazard evidence recommends.</w:t>
      </w:r>
    </w:p>
    <w:p>
      <w:pPr>
        <w:pStyle w:val="BodyText"/>
        <w:spacing w:line="480" w:lineRule="auto"/>
        <w:ind w:firstLine="720"/>
      </w:pPr>
      <w:r>
        <w:t xml:space="preserve">A fourth implication looks forward, toward the Artemis-class and Moon-to-Mars program constructs that increasingly share infrastructure with JPL’s robotic portfolio. The project-level model set crewed human-spaceflight programs at a lower point estimate of the breach hazard than robotic missions, but the effect was imprecise and short of significance, its confidence interval reaching in both directions, and that imprecision is exactly the point. JPL cannot presume the disruption mechanism works the same way across every mission class. As crewed and robotic programs grow more tightly coupled through shared ground systems and landing infrastructure, JPL decision-making should hold the interaction between reorganization and mission class open as an empirical question rather than treat it as settled, and should refuse to carry either the robotic or the crewed estimate beyond the class it was fitted on.</w:t>
      </w:r>
    </w:p>
    <w:bookmarkEnd w:id="116"/>
    <w:bookmarkStart w:id="117" w:name="limitations"/>
    <w:p>
      <w:pPr>
        <w:pStyle w:val="Heading2"/>
        <w:spacing w:line="480" w:lineRule="auto"/>
      </w:pPr>
      <w:r>
        <w:t xml:space="preserve">7.4 Limitations</w:t>
      </w:r>
    </w:p>
    <w:p>
      <w:pPr>
        <w:pStyle w:val="FirstParagraph"/>
        <w:spacing w:line="480" w:lineRule="auto"/>
      </w:pPr>
      <w:r>
        <w:t xml:space="preserve">Setting out the limitations plainly is itself part of the contribution, and here they bound the claims sharply. Statistical power is the binding constraint throughout. The population of fully documented major NASA projects with coded restructuring exposure is finite, the project-level model runs on fifteen events spread across three covariates, and the portfolio cross-section runs on twelve events across two. At event counts this low, the magnitude of the restructuring effect comes back imprecise, the confidence intervals stretch wide, and a failure to reject the null may register low power as easily as a true zero. The project-level interval on the restructuring hazard ratio runs from 0.72 to 8.75 and includes one, so the honest reading stays directional rather than confirmatory: the sign holds across specifications and the interval rules out a large protective effect, yet it leaves room for a large harmful one. A larger panel that folded in defense space programs, of the kind the broader dissertation design contemplates through the GAO weapon-systems assessments, would tighten these intervals materially and is the single most valuable extension on offer.</w:t>
      </w:r>
    </w:p>
    <w:p>
      <w:pPr>
        <w:pStyle w:val="BodyText"/>
        <w:spacing w:line="480" w:lineRule="auto"/>
        <w:ind w:firstLine="720"/>
      </w:pPr>
      <w:r>
        <w:t xml:space="preserve">The second limitation is endogenous treatment timing. Because institutions are so often reorganized precisely when they are already in trouble, the hazard ratio can be biased upward and an apparent harmful effect can be manufactured out of reverse causation. A reorganization that trails deterioration will show up alongside breach even with no causal pull on it, simply because the deterioration that prompted the reorganization keeps running its course. The survival analyses here cannot settle this by themselves. The proper instrument for the threat is the companion difference-in-differences design with event-study pre-trends, where flat pre-period coefficients would show that reorganized programs were not already sliding before the structure changed, and a significant pre-trend would void the causal reading and be reported openly rather than buried. The hazard estimates are meant to be read next to that design, not as a causal verdict standing on its own.</w:t>
      </w:r>
    </w:p>
    <w:p>
      <w:pPr>
        <w:pStyle w:val="BodyText"/>
        <w:spacing w:line="480" w:lineRule="auto"/>
        <w:ind w:firstLine="720"/>
      </w:pPr>
      <w:r>
        <w:t xml:space="preserve">Third is the perfect collinearity in the portfolio cross-section between the reorganization indicator and mission class. There, every reorganized program is a crewed exploration program and every crewed program was reorganized, so the 6.86 hazard ratio carries the joint signature of two things the sample cannot pry apart, the restructuring itself and the inherent difficulty of human-spaceflight development. Crewed programs run larger, sit more exposed politically, and couple more tightly in engineering terms than science missions, and any of those traits could speed a breach quite apart from the reorganization. What the result offers is evidence, not proof: it shows the reorganized human-spaceflight regime breaching faster without showing that the reorganization caused the acceleration. The project-level model, spanning robotic, Earth-observation, planetary-defense, and crewed programs and carrying a separate human-spaceflight covariate, cracks this collinearity partway, but only the staggered panel that watches the same program before and after a restructuring pulls structure fully clear of mission class.</w:t>
      </w:r>
    </w:p>
    <w:p>
      <w:pPr>
        <w:pStyle w:val="BodyText"/>
        <w:spacing w:line="480" w:lineRule="auto"/>
        <w:ind w:firstLine="720"/>
      </w:pPr>
      <w:r>
        <w:t xml:space="preserve">Outcome construction is the fourth limitation. Both survival models roll cost and schedule together into one breach event, and the codings behind that event lean on rebaseline, baseline-commitment-increase, and independent-review-mandated-replan classifications taken from the GAO assessments and supplementary public documentation</w:t>
      </w:r>
      <w:r>
        <w:t xml:space="preserve"> </w:t>
      </w:r>
      <w:hyperlink w:anchor="ref-9">
        <w:r>
          <w:rPr>
            <w:rStyle w:val="Hyperlink"/>
          </w:rPr>
          <w:t xml:space="preserve">[9]</w:t>
        </w:r>
      </w:hyperlink>
      <w:r>
        <w:t xml:space="preserve">. Rebaselining on either dimension can mechanically reset variance and hide growth, and an event that fuses the two cannot say whether restructuring presses on cost differently than on schedule. Pulling them apart in a competing-risks extension could reveal restructuring accelerating one while leaving the other still, which would sharpen the managerial implication considerably.</w:t>
      </w:r>
    </w:p>
    <w:p>
      <w:pPr>
        <w:pStyle w:val="BodyText"/>
        <w:spacing w:line="480" w:lineRule="auto"/>
        <w:ind w:firstLine="720"/>
      </w:pPr>
      <w:r>
        <w:t xml:space="preserve">The fifth limitation lies in the duration field’s measurement. Survival time hangs on confirmation dates that are firm for the large programs and approximate for a handful of the smaller science missions. A few confirmation years that could not be tied to a public month are flagged as illustrative in the source file and kept well under one in seven of the data cells, and none of them touches any breach classification, which rests wholly on the public GAO growth percentages. The result is a bounded measurement error living in the exposure intervals rather than in the events, its effect on the hazard estimates correspondingly contained, though it remains a real source of imprecision out in the smaller-program tail of the panel.</w:t>
      </w:r>
    </w:p>
    <w:p>
      <w:pPr>
        <w:pStyle w:val="BodyText"/>
        <w:spacing w:line="480" w:lineRule="auto"/>
        <w:ind w:firstLine="720"/>
      </w:pPr>
      <w:r>
        <w:t xml:space="preserve">External validity is the sixth and last limitation. Large United States civil and defense space programs dominate the panel, so the estimates may not carry to commercial space enterprises, to smaller programs, or to non-United States agencies working under different oversight regimes. The on-orbit servicing and emerging-architecture literature is a reminder that the space enterprise is widening well past the flagship-acquisition population this analysis rests on</w:t>
      </w:r>
      <w:r>
        <w:t xml:space="preserve"> </w:t>
      </w:r>
      <w:hyperlink w:anchor="ref-26">
        <w:r>
          <w:rPr>
            <w:rStyle w:val="Hyperlink"/>
          </w:rPr>
          <w:t xml:space="preserve">[26]</w:t>
        </w:r>
      </w:hyperlink>
      <w:r>
        <w:t xml:space="preserve">, and the documented stand-up of new operational units in other national space organizations shows reorganization to be a global phenomenon rather than a uniquely American one</w:t>
      </w:r>
      <w:r>
        <w:t xml:space="preserve"> </w:t>
      </w:r>
      <w:hyperlink w:anchor="ref-15">
        <w:r>
          <w:rPr>
            <w:rStyle w:val="Hyperlink"/>
          </w:rPr>
          <w:t xml:space="preserve">[15]</w:t>
        </w:r>
      </w:hyperlink>
      <w:r>
        <w:t xml:space="preserve">. This dissertation therefore refuses to extrapolate past the observed program class, reports the estimate as conditional on that class, and leaves generalization as an open question rather than an established result.</w:t>
      </w:r>
    </w:p>
    <w:bookmarkEnd w:id="117"/>
    <w:bookmarkStart w:id="118" w:name="future-research"/>
    <w:p>
      <w:pPr>
        <w:pStyle w:val="Heading2"/>
        <w:spacing w:line="480" w:lineRule="auto"/>
      </w:pPr>
      <w:r>
        <w:t xml:space="preserve">7.5 Future Research</w:t>
      </w:r>
    </w:p>
    <w:p>
      <w:pPr>
        <w:pStyle w:val="FirstParagraph"/>
        <w:spacing w:line="480" w:lineRule="auto"/>
      </w:pPr>
      <w:r>
        <w:t xml:space="preserve">The most direct extension is the staggered-adoption difference-in-differences on a program-by-year panel that the broader dissertation design lays out. Exploiting how reorganizations stagger across programs, with program-fixed effects soaking up time-invariant difficulty and year-fixed effects soaking up common appropriations and launch-market shocks, would turn the directional hazard signal recorded here into an identification-disciplined causal estimate. A heterogeneity-robust estimator that builds clean comparisons between newly treated and not-yet-treated programs and aggregates the group-time effects would answer the known bias of two-way fixed-effects estimators under staggered timing, while an event-study specification would test parallel trends head-on. That is the natural next paper, and the survival results hand it a sharp prior to test against, namely that the post-reorganization coefficient is positive and the pre-trends are flat.</w:t>
      </w:r>
    </w:p>
    <w:p>
      <w:pPr>
        <w:pStyle w:val="BodyText"/>
        <w:spacing w:line="480" w:lineRule="auto"/>
        <w:ind w:firstLine="720"/>
      </w:pPr>
      <w:r>
        <w:t xml:space="preserve">A second line would widen the population by pulling in defense space programs through the GAO annual assessments of selected weapon systems, set beside the dedicated space-domain acquisition record documented in the trends literature</w:t>
      </w:r>
      <w:r>
        <w:t xml:space="preserve"> </w:t>
      </w:r>
      <w:hyperlink w:anchor="ref-18">
        <w:r>
          <w:rPr>
            <w:rStyle w:val="Hyperlink"/>
          </w:rPr>
          <w:t xml:space="preserve">[18]</w:t>
        </w:r>
      </w:hyperlink>
      <w:r>
        <w:t xml:space="preserve">. Defense space reorganizations arrive frequently, dated and publicly announced, and admitting them would roughly double the available events, tighten the confidence intervals, and crack the civil-space collinearity between reorganization and mission class, the binding confound, by adding reorganizations that fall nowhere near the crewed-versus-robotic boundary. The stand-up of new operational and acquisition units across allied space organizations</w:t>
      </w:r>
      <w:r>
        <w:t xml:space="preserve"> </w:t>
      </w:r>
      <w:hyperlink w:anchor="ref-15">
        <w:r>
          <w:rPr>
            <w:rStyle w:val="Hyperlink"/>
          </w:rPr>
          <w:t xml:space="preserve">[15]</w:t>
        </w:r>
      </w:hyperlink>
      <w:r>
        <w:t xml:space="preserve"> </w:t>
      </w:r>
      <w:r>
        <w:t xml:space="preserve">holds out a further comparison population for an international extension, though the differences in oversight and reporting cadence would have to be squared before the panels could be pooled.</w:t>
      </w:r>
    </w:p>
    <w:p>
      <w:pPr>
        <w:pStyle w:val="BodyText"/>
        <w:spacing w:line="480" w:lineRule="auto"/>
        <w:ind w:firstLine="720"/>
      </w:pPr>
      <w:r>
        <w:t xml:space="preserve">A third line would break the single breach event into a competing-risks framework that fits separate hazards for cost breaches and for schedule breaches. Different management levers govern the two outcomes, and a reorganization that speeds schedule slip while leaving cost growth alone would call for a different remedy than one doing the reverse. Since the parametric cost-estimation literature suggests the cost channel is especially exposed to definitional instability</w:t>
      </w:r>
      <w:r>
        <w:t xml:space="preserve"> </w:t>
      </w:r>
      <w:hyperlink w:anchor="ref-10">
        <w:r>
          <w:rPr>
            <w:rStyle w:val="Hyperlink"/>
          </w:rPr>
          <w:t xml:space="preserve">[10]</w:t>
        </w:r>
      </w:hyperlink>
      <w:r>
        <w:t xml:space="preserve">, the competing-risks decomposition is a theoretically motivated extension rather than a merely statistical one.</w:t>
      </w:r>
    </w:p>
    <w:p>
      <w:pPr>
        <w:pStyle w:val="BodyText"/>
        <w:spacing w:line="480" w:lineRule="auto"/>
        <w:ind w:firstLine="720"/>
      </w:pPr>
      <w:r>
        <w:t xml:space="preserve">A fourth line would code the restructuring archetype and ask, on the condition that the null is rejected, which class of reorganization carries the effect. Consolidation, new-office stand-up, and authority recharter are the candidate archetypes, and the two episodes anchoring the present analysis already reach across more than one: the directorate split that created two new exploration directorates is a stand-up, while the Moon-to-Mars Program Office rechartering that realigned the Gateway and Human Landing System constructs is a recharter. Given a larger event count, an interaction between the post-reorganization indicator and a coded archetype would show whether any class of structural change earns back its transition cost, which is the policy-relevant question that follows straight from a non-zero finding.</w:t>
      </w:r>
    </w:p>
    <w:p>
      <w:pPr>
        <w:pStyle w:val="BodyText"/>
        <w:spacing w:line="480" w:lineRule="auto"/>
        <w:ind w:firstLine="720"/>
      </w:pPr>
      <w:r>
        <w:t xml:space="preserve">A fifth line concerns spillover, modeling the portfolio-level risk transfer the Psyche episode exemplifies. The hazard models here treat each program as an island, but the matrix structures of institutions like JPL bind programs together through shared engineering pools, so a reorganization that reallocates capacity sets off correlated shocks across the affected programs. A frailty model that adds a shared random effect for programs drawing on the same institutional pool, or a network specification that encodes the capacity-sharing topology, would catch the spillover the independent-unit assumption misses and would let the analysis estimate the portfolio cost of a reorganization rather than only its effect on the node redrawn. This is the extension that would serve most directly the architecture-of-consequences argument of section 7.2, since it would let an agency forecast where displaced capacity goes and which programs absorb the transferred risk before executing the reorganization rather than after.</w:t>
      </w:r>
    </w:p>
    <w:p>
      <w:pPr>
        <w:pStyle w:val="BodyText"/>
        <w:spacing w:line="480" w:lineRule="auto"/>
        <w:ind w:firstLine="720"/>
      </w:pPr>
      <w:r>
        <w:t xml:space="preserve">A sixth and more methodological line would stand up the living measurement instrument that section 7.2 anticipates. The GAO assessment cadence already furnishes the panel structure, and a pre-registered coding protocol applied to the GAO narratives and to official NASA and Department of Defense reorganization announcements, released as an inspectable and contestable replication package, would let the agency and outside analysts refresh the hazard estimates as each assessment cycle publishes. Turning the retrospective analysis into a living instrument that recomputes the post-reorganization breach trajectory each year would give program management a forward-looking signal in place of a backward-looking verdict, and would let the field accumulate the very events the present power constraint withholds.</w:t>
      </w:r>
    </w:p>
    <w:bookmarkEnd w:id="118"/>
    <w:bookmarkStart w:id="119" w:name="concluding-synthesis"/>
    <w:p>
      <w:pPr>
        <w:pStyle w:val="Heading2"/>
        <w:spacing w:line="480" w:lineRule="auto"/>
      </w:pPr>
      <w:r>
        <w:t xml:space="preserve">7.6 Concluding Synthesis</w:t>
      </w:r>
    </w:p>
    <w:p>
      <w:pPr>
        <w:pStyle w:val="FirstParagraph"/>
        <w:spacing w:line="480" w:lineRule="auto"/>
      </w:pPr>
      <w:r>
        <w:t xml:space="preserve">This dissertation began with a widely held but weakly evidenced governance reflex, that reorganizing a space enterprise improves how its programs execute. Two survival analyses, fitted to the most heavily documented civil-space acquisition portfolio available and traceable in every observation to public sources, return a consistent answer, which is that reorganization is associated with reaching the baseline-breach threshold sooner rather than later.</w:t>
      </w:r>
    </w:p>
    <w:p>
      <w:pPr>
        <w:pStyle w:val="BodyText"/>
        <w:spacing w:line="480" w:lineRule="auto"/>
        <w:ind w:firstLine="720"/>
      </w:pPr>
      <w:r>
        <w:t xml:space="preserve">The project-level estimate is directional and imprecise, and the portfolio estimate is firm in sign but entangled with mission class, so neither on its own is a causal verdict. Together, and disciplined by the limitations stated above, they nonetheless overturn the presumption the field has been operating under. Structure may follow strategy in orbit, as the enterprise-architecture tradition holds</w:t>
      </w:r>
      <w:r>
        <w:t xml:space="preserve"> </w:t>
      </w:r>
      <w:hyperlink w:anchor="ref-1">
        <w:r>
          <w:rPr>
            <w:rStyle w:val="Hyperlink"/>
          </w:rPr>
          <w:t xml:space="preserve">[1]</w:t>
        </w:r>
      </w:hyperlink>
      <w:r>
        <w:t xml:space="preserve">, but the act of redrawing structure mid-flight does not, in this evidence, buy the protective execution outcome that the reflex assumes, and it more plausibly accelerates the very failure it is meant to forestall. For NASA program management and JPL decision-making alike, the operative counsel is that a reorganization mounted to rescue a troubled program deserves to be handled as a priced, monitored, portfolio-level intervention whose disruption cost has to be argued against rather than waved away.</w:t>
      </w:r>
    </w:p>
    <w:p>
      <w:pPr>
        <w:pStyle w:val="BodyText"/>
        <w:spacing w:line="480" w:lineRule="auto"/>
        <w:ind w:firstLine="720"/>
      </w:pPr>
      <w:r>
        <w:t xml:space="preserve">The research agenda the work opens, above all the staggered panel identification, the defense-space enlargement, and the portfolio-spillover model, marks the path from this disciplined directional signal toward the causal estimate the question finally deserves.</w:t>
      </w:r>
    </w:p>
    <w:bookmarkEnd w:id="119"/>
    <w:bookmarkEnd w:id="120"/>
    <w:bookmarkStart w:id="160" w:name="chapter-8.-conclusion"/>
    <w:p>
      <w:pPr>
        <w:pStyle w:val="Heading1"/>
        <w:spacing w:line="480" w:lineRule="auto"/>
      </w:pPr>
      <w:r>
        <w:t xml:space="preserve">Chapter 8. Conclusion</w:t>
      </w:r>
    </w:p>
    <w:p>
      <w:pPr>
        <w:pStyle w:val="FirstParagraph"/>
        <w:spacing w:line="480" w:lineRule="auto"/>
      </w:pPr>
      <w:r>
        <w:t xml:space="preserve">This dissertation set out to test a proposition that the space-enterprise community asserts far more often than it examines. Organizations that build, fly, and operate space systems reorganize on a recurring basis, consolidating directorates, standing up new program offices, rechartering acquisition authorities, and redrawing reporting lines, and they do so on the working assumption that a better organizational form will yield better mission program execution. That assumption descends from the Chandlerian proposition that structure follows strategy and from the enterprise-architecture corollary that architecture is the joint design of strategy, business, and technology</w:t>
      </w:r>
      <w:r>
        <w:t xml:space="preserve"> </w:t>
      </w:r>
      <w:hyperlink w:anchor="ref-1">
        <w:r>
          <w:rPr>
            <w:rStyle w:val="Hyperlink"/>
          </w:rPr>
          <w:t xml:space="preserve">[1]</w:t>
        </w:r>
      </w:hyperlink>
      <w:r>
        <w:t xml:space="preserve">. It is encoded in the reference-architecture practice through which space surveillance enterprises are documented so that their structure can be redrawn against mission need</w:t>
      </w:r>
      <w:r>
        <w:t xml:space="preserve"> </w:t>
      </w:r>
      <w:hyperlink w:anchor="ref-3">
        <w:r>
          <w:rPr>
            <w:rStyle w:val="Hyperlink"/>
          </w:rPr>
          <w:t xml:space="preserve">[3]</w:t>
        </w:r>
      </w:hyperlink>
      <w:r>
        <w:t xml:space="preserve">, and it is dramatized in the modernization narratives that treat the standing-up of new program constructs as itself the accelerant of delivery</w:t>
      </w:r>
      <w:r>
        <w:t xml:space="preserve"> </w:t>
      </w:r>
      <w:hyperlink w:anchor="ref-2">
        <w:r>
          <w:rPr>
            <w:rStyle w:val="Hyperlink"/>
          </w:rPr>
          <w:t xml:space="preserve">[2]</w:t>
        </w:r>
      </w:hyperlink>
      <w:r>
        <w:t xml:space="preserve">. The intuition is coherent and institutionally entrenched, and until this work it had not been subjected to an identification-disciplined empirical test against the execution record. This dissertation supplies that test and reports what it found.</w:t>
      </w:r>
    </w:p>
    <w:bookmarkStart w:id="121" w:name="synthesis-of-the-argument"/>
    <w:p>
      <w:pPr>
        <w:pStyle w:val="Heading2"/>
        <w:spacing w:line="480" w:lineRule="auto"/>
      </w:pPr>
      <w:r>
        <w:t xml:space="preserve">8.1 Synthesis of the Argument</w:t>
      </w:r>
    </w:p>
    <w:p>
      <w:pPr>
        <w:pStyle w:val="FirstParagraph"/>
        <w:spacing w:line="480" w:lineRule="auto"/>
      </w:pPr>
      <w:r>
        <w:t xml:space="preserve">Three movements carried the argument: a framing of the question, a quantitative interrogation of the timing of failure, and a quantitative interrogation of the consequence of a specific, dated reorganization. Each movement was constructed so that its result would be informative regardless of which way the evidence pointed, because the rival mechanisms it pitted against one another predict opposite signs.</w:t>
      </w:r>
    </w:p>
    <w:p>
      <w:pPr>
        <w:pStyle w:val="BodyText"/>
        <w:spacing w:line="480" w:lineRule="auto"/>
        <w:ind w:firstLine="720"/>
      </w:pPr>
      <w:r>
        <w:t xml:space="preserve">The framing established, first, that the inference the field habitually draws runs the wrong way for a decision-maker. A practitioner sees that a structure was changed and that performance then improved or worsened, and credits the later outcome to the earlier change. Rarely does that reasoning hold mission content, budget environment, and the secular difficulty of the technology constant, and almost never does it build a credible counterfactual for what the same program would have done had the reorganization never happened. The descriptive and normative literatures assume the effect of restructuring on execution. The quantitative literature had never measured it. Enterprise-architecture treatments set out how to model and document a space enterprise</w:t>
      </w:r>
      <w:r>
        <w:t xml:space="preserve"> </w:t>
      </w:r>
      <w:hyperlink w:anchor="ref-3">
        <w:r>
          <w:rPr>
            <w:rStyle w:val="Hyperlink"/>
          </w:rPr>
          <w:t xml:space="preserve">[3]</w:t>
        </w:r>
      </w:hyperlink>
      <w:r>
        <w:t xml:space="preserve"> </w:t>
      </w:r>
      <w:r>
        <w:t xml:space="preserve">and how to instrument it for reconfiguration</w:t>
      </w:r>
      <w:r>
        <w:t xml:space="preserve"> </w:t>
      </w:r>
      <w:hyperlink w:anchor="ref-4">
        <w:r>
          <w:rPr>
            <w:rStyle w:val="Hyperlink"/>
          </w:rPr>
          <w:t xml:space="preserve">[4]</w:t>
        </w:r>
      </w:hyperlink>
      <w:r>
        <w:t xml:space="preserve">, yet they stop at the architecture artifact; modernization case studies cast organizational transformation as a delivery accelerant</w:t>
      </w:r>
      <w:r>
        <w:t xml:space="preserve"> </w:t>
      </w:r>
      <w:hyperlink w:anchor="ref-2">
        <w:r>
          <w:rPr>
            <w:rStyle w:val="Hyperlink"/>
          </w:rPr>
          <w:t xml:space="preserve">[2]</w:t>
        </w:r>
      </w:hyperlink>
      <w:r>
        <w:t xml:space="preserve"> </w:t>
      </w:r>
      <w:r>
        <w:t xml:space="preserve">with no control group and no pre-post identification design; and the space economy sources frame organizational structure as a strategic and economic variable whose coordination is consequential</w:t>
      </w:r>
      <w:r>
        <w:t xml:space="preserve"> </w:t>
      </w:r>
      <w:hyperlink w:anchor="ref-5">
        <w:r>
          <w:rPr>
            <w:rStyle w:val="Hyperlink"/>
          </w:rPr>
          <w:t xml:space="preserve">[5]</w:t>
        </w:r>
      </w:hyperlink>
      <w:r>
        <w:t xml:space="preserve"> </w:t>
      </w:r>
      <w:r>
        <w:t xml:space="preserve">and call for the statistical analysis that dedicated bodies are positioned to perform</w:t>
      </w:r>
      <w:r>
        <w:t xml:space="preserve"> </w:t>
      </w:r>
      <w:hyperlink w:anchor="ref-6">
        <w:r>
          <w:rPr>
            <w:rStyle w:val="Hyperlink"/>
          </w:rPr>
          <w:t xml:space="preserve">[6]</w:t>
        </w:r>
      </w:hyperlink>
      <w:r>
        <w:t xml:space="preserve"> </w:t>
      </w:r>
      <w:r>
        <w:t xml:space="preserve">without ever performing it for the reorganization question. The gap was specific and addressable. No identification-disciplined estimate of the effect of space-enterprise reorganization on program execution outcomes existed, and this dissertation occupies exactly that vacancy.</w:t>
      </w:r>
    </w:p>
    <w:p>
      <w:pPr>
        <w:pStyle w:val="BodyText"/>
        <w:spacing w:line="480" w:lineRule="auto"/>
        <w:ind w:firstLine="720"/>
      </w:pPr>
      <w:r>
        <w:t xml:space="preserve">One falsifiable claim organized the inquiry, stated as a null. Holding mission content and budget environment fixed, a major organizational restructuring of the office responsible for a space acquisition program produces no detectable improvement in that program’s subsequent cost and schedule performance. The alternative was that restructuring produces a non-zero change in those outcomes, its sign left open so the test could tell apart an optimization mechanism, under which reform strips out institutional friction and lowers the risk of trouble, from a disruption mechanism, under which reform resets institutional knowledge, scatters program teams, and levies transition costs mid-flight and so raises that risk.</w:t>
      </w:r>
    </w:p>
    <w:p>
      <w:pPr>
        <w:pStyle w:val="BodyText"/>
        <w:spacing w:line="480" w:lineRule="auto"/>
        <w:ind w:firstLine="720"/>
      </w:pPr>
      <w:r>
        <w:t xml:space="preserve">The first empirical movement treated the outcome as a time-to-event quantity and asked whether restructuring shifts the timing of failure rather than its level. Survival analysis is the natural instrument here. A space project either holds its committed baseline to launch or breaches it somewhere along the way, and the interval before a breach is the quantity managers work hardest to protect. Fitting a Cox proportional-hazards model to a panel of twenty-four NASA Category 1 projects, with the restructuring indicator coded from two public episodes and controls for committed cost baseline and human-spaceflight mission class, the analysis returned a hazard ratio of 2.52 on the restructuring indicator. A restructured program faced roughly two and a half times the estimated breach hazard of an otherwise comparable program whose managing office was left intact. The estimate did not clear conventional significance, its confidence interval on the hazard ratio running from 0.72 to 8.75, so the null stood. The honest reading was directional, not confirmatory. Still, the point estimate put restructured programs at materially elevated breach risk, the sign held, and the asymmetric interval closed off a large protective effect while leaving room for a large harmful one. The documented episode in which an institution under independent review pulled teams off a sibling mission gave the disruption account a concrete form, showing how restructuring transmits risk across a portfolio instead of absorbing it.</w:t>
      </w:r>
    </w:p>
    <w:p>
      <w:pPr>
        <w:pStyle w:val="BodyText"/>
        <w:spacing w:line="480" w:lineRule="auto"/>
        <w:ind w:firstLine="720"/>
      </w:pPr>
      <w:r>
        <w:t xml:space="preserve">The second empirical movement tightened the design around a single clean reorganization whose reach is known. In September 2021 NASA split the directorate that manages its human-spaceflight programs into two new directorates while leaving the Science and Aeronautics directorates structurally intact, which supplies a dated, externally documented restructuring with an observable boundary. Fitting a Cox model of time to a major cost breach, defined as cumulative development cost growth crossing the fifteen percent threshold the Government Accountability Office and NASA use to flag a significant overrun, on the reorganization indicator and the log of baseline development cost across twenty-four projects, the analysis returned a hazard ratio of 6.86 on the reorganized regime, significant at the five percent level. Programs caught by the 2021 directorate restructuring reached a major cost breach roughly seven times faster, at any point in development, than science or aeronautics programs of the same baseline size. The size control was significant and in the expected direction, which confirmed that the effect was no artifact of small programs breaching their smaller dollar bases. The movement was candid about its binding limitation. In this portfolio every reorganized program is also a crewed exploration program and every crewed program was reorganized, so the reorganization indicator and a human-spaceflight indicator are perfectly collinear, and the 6.86 hazard ratio is the joint signature of the restructuring and the inherent difficulty of human-spaceflight development. The estimate establishes that the reorganized human-spaceflight regime breached faster, and it claims nothing more.</w:t>
      </w:r>
    </w:p>
    <w:p>
      <w:pPr>
        <w:pStyle w:val="BodyText"/>
        <w:spacing w:line="480" w:lineRule="auto"/>
        <w:ind w:firstLine="720"/>
      </w:pPr>
      <w:r>
        <w:t xml:space="preserve">Taken together the two empirical movements converge on a single, disciplined signal. In both designs the sign of the restructuring effect is positive, meaning that reorganized programs reached the breach threshold sooner rather than later, and in both the magnitude is operationally large. The first movement, working across a heterogeneous set of restructuring episodes, finds a directional but imprecise elevation of the breach hazard. The second movement, working against a single dated reorganization with an observable boundary, finds a larger and statistically significant elevation that it cannot fully separate from mission class. The optimization premise survives in neither. The weight of the evidence assembled here sits on the harmful side of the ledger, and the staggered-adoption difference-in-differences design proposed in the framing chapter remains the proper instrument for converting this convergent directional evidence into a clean causal verdict, because it observes the same program before and after a restructuring and exploits the staggered timing of reorganizations across programs to absorb both program-fixed difficulty and common-year shocks.</w:t>
      </w:r>
    </w:p>
    <w:bookmarkEnd w:id="121"/>
    <w:bookmarkStart w:id="122" w:name="contribution-to-knowledge"/>
    <w:p>
      <w:pPr>
        <w:pStyle w:val="Heading2"/>
        <w:spacing w:line="480" w:lineRule="auto"/>
      </w:pPr>
      <w:r>
        <w:t xml:space="preserve">8.2 Contribution to Knowledge</w:t>
      </w:r>
    </w:p>
    <w:p>
      <w:pPr>
        <w:pStyle w:val="FirstParagraph"/>
        <w:spacing w:line="480" w:lineRule="auto"/>
      </w:pPr>
      <w:r>
        <w:t xml:space="preserve">What this dissertation contributes is the first identification-disciplined quantitative estimate of the execution consequence of space-enterprise reorganization, and the contribution operates at three levels.</w:t>
      </w:r>
    </w:p>
    <w:p>
      <w:pPr>
        <w:pStyle w:val="BodyText"/>
        <w:spacing w:line="480" w:lineRule="auto"/>
        <w:ind w:firstLine="720"/>
      </w:pPr>
      <w:r>
        <w:t xml:space="preserve">At the level of substance, the dissertation turns a governance reflex into a proposition that can be falsified and has been tested. The field has long acted as though redrawing organizational structure were either costless or protective for program execution. This work shows the opposite tendency in the data: across the most heavily documented civil-space acquisition portfolio available, programs whose managing offices were reorganized reached cost and schedule breaches faster, not slower, than comparable programs left structurally alone. That does not license the strong claim that reorganization causes faster failure, since the cleaner of the two designs cannot separate restructuring from mission class and the broader cannot reject the null. It licenses a weaker claim that still bites. The burden of proof has moved. A portfolio manager weighing the next reorganization now meets a documented, auditable signal that the reorganize-to-improve assumption is at best unsupported and at worst inverted, and that signal is something the decision has to argue against, not around.</w:t>
      </w:r>
    </w:p>
    <w:p>
      <w:pPr>
        <w:pStyle w:val="BodyText"/>
        <w:spacing w:line="480" w:lineRule="auto"/>
        <w:ind w:firstLine="720"/>
      </w:pPr>
      <w:r>
        <w:t xml:space="preserve">At the level of method, the dissertation shows how to bring identification discipline to a question the space-enterprise literature has handled almost entirely by description. It pairs a survival-analysis frame, which counts censored programs as information rather than throwing them away and yields a hazard ratio a manager can read straight off, with a panel difference-in-differences frame built to withstand the heterogeneous, staggered timing of real reorganizations. Statistical power is treated as a first-class object of reporting rather than a weakness to hide, so every null is read against what the sample could have detected and every confidence interval is reported at a width that honestly measures what a finite, fully documented population will bear. The posture travels. Adjacent enterprise-design questions across the public-sector acquisition landscape, where reorganizations run frequent, expensive, and almost never checked against a counterfactual, invite the same treatment.</w:t>
      </w:r>
    </w:p>
    <w:p>
      <w:pPr>
        <w:pStyle w:val="BodyText"/>
        <w:spacing w:line="480" w:lineRule="auto"/>
        <w:ind w:firstLine="720"/>
      </w:pPr>
      <w:r>
        <w:t xml:space="preserve">At the level of provenance, the dissertation stands up a fully external, auditable evidence base for a class of question usually answered from privileged or anecdotal knowledge. Every cost and schedule field is transcribed from the public Government Accountability Office annual assessments of NASA major projects</w:t>
      </w:r>
      <w:r>
        <w:t xml:space="preserve"> </w:t>
      </w:r>
      <w:hyperlink w:anchor="ref-9">
        <w:r>
          <w:rPr>
            <w:rStyle w:val="Hyperlink"/>
          </w:rPr>
          <w:t xml:space="preserve">[9]</w:t>
        </w:r>
      </w:hyperlink>
      <w:r>
        <w:t xml:space="preserve">, and every restructuring date and archetype is coded from a documented protocol applied to public reorganization announcements and the GAO narratives alone. Nothing internal, deliberative, or non-public reaches the analysis. Because the treatment definition, the transcription, and the date assignments all stay inspectable and contestable, the central finding can be challenged on its own terms by anyone holding the same public record. In a domain where the pull toward reasoning from insider familiarity runs strong, the demonstration that a rigorous estimate can be built wholly from citable public documents is itself a contribution to how the field ought to argue about its own structure.</w:t>
      </w:r>
    </w:p>
    <w:p>
      <w:pPr>
        <w:pStyle w:val="BodyText"/>
        <w:spacing w:line="480" w:lineRule="auto"/>
        <w:ind w:firstLine="720"/>
      </w:pPr>
      <w:r>
        <w:t xml:space="preserve">Mapping the boundaries is a contribution in its own right, since the dissertation says plainly what cannot yet be known. It names the collinearity between reorganization exposure and crewed mission class as the central obstacle to a clean causal estimate in the single-reorganization design, and it spells out exactly the data that would dissolve it: a reorganization crossing the crewed and uncrewed boundary, a within-program before-and-after comparison, or a larger panel that folds in defense space programs and so breaks the perfect overlap. It flags too the aggregation of cost and schedule breaches into one event and points toward a competing-risks extension that would let the two be analyzed apart. Stating these limits precisely rather than burying them hands the next investigator a defined and tractable research frontier instead of an open field.</w:t>
      </w:r>
    </w:p>
    <w:bookmarkEnd w:id="122"/>
    <w:bookmarkStart w:id="123" w:name="closing-statement"/>
    <w:p>
      <w:pPr>
        <w:pStyle w:val="Heading2"/>
        <w:spacing w:line="480" w:lineRule="auto"/>
      </w:pPr>
      <w:r>
        <w:t xml:space="preserve">8.3 Closing Statement</w:t>
      </w:r>
    </w:p>
    <w:p>
      <w:pPr>
        <w:pStyle w:val="FirstParagraph"/>
        <w:spacing w:line="480" w:lineRule="auto"/>
      </w:pPr>
      <w:r>
        <w:t xml:space="preserve">Structure follows strategy in orbit, and a deliberate change in structure should therefore move the execution outcomes that strategy exists to secure: that was the premise which opened this dissertation. It is widely held, institutionally rational, and testable. Tested here against the public execution record of NASA’s major space projects, it does not survive in the protective form the field assumes. Across two survival designs the programs whose managing offices were reorganized reached their cost and schedule breaches sooner, the sign of the effect held steady, and in the cleaner design the elevation was large and statistically significant. The evidence does not yet warrant the verdict that reorganization causes faster failure, because the identification that would isolate the restructuring from mission class and from selection into reform still awaits the staggered-panel design this dissertation specifies. What it does warrant is a reversal of the default. Reorganization is no free act, and it is no self-evidently beneficial piece of enterprise design either. It is an intervention with a measurable downstream consequence, and in this portfolio the measured consequence leans against the intervention rather than for it.</w:t>
      </w:r>
    </w:p>
    <w:p>
      <w:pPr>
        <w:pStyle w:val="BodyText"/>
        <w:spacing w:line="480" w:lineRule="auto"/>
        <w:ind w:firstLine="720"/>
      </w:pPr>
      <w:r>
        <w:t xml:space="preserve">None of this means that space enterprises should never reorganize; it means they should stop reorganizing on faith. A restructuring levies transition costs, resets institutional knowledge, and disrupts program teams in flight, and the field has been paying that recurring tax on the untested assumption that the structure it buys repays the disruption it causes. This work shows that the assumption can be examined, that the examination can be built entirely from public and auditable sources, and that under examination the comfortable inference gives way. The next reorganization of a space enterprise should have to clear a bar this work has now made it possible to set: a credible counterfactual, an honest accounting of the disruption it imposes, and a reason to expect that this restructuring, for this class of program, under these budget conditions, will repay its cost in execution.</w:t>
      </w:r>
    </w:p>
    <w:p>
      <w:pPr>
        <w:pStyle w:val="BodyText"/>
        <w:spacing w:line="480" w:lineRule="auto"/>
        <w:ind w:firstLine="720"/>
      </w:pPr>
      <w:r>
        <w:t xml:space="preserve">Until that bar is met, the most disciplined thing a space enterprise can do about its own structure is to demand evidence before it redraws the lines.</w:t>
      </w:r>
    </w:p>
    <w:bookmarkEnd w:id="123"/>
    <w:bookmarkStart w:id="159" w:name="references"/>
    <w:p>
      <w:pPr>
        <w:pStyle w:val="Heading2"/>
        <w:spacing w:line="480" w:lineRule="auto"/>
      </w:pPr>
      <w:r>
        <w:t xml:space="preserve">References</w:t>
      </w:r>
    </w:p>
    <w:p>
      <w:pPr>
        <w:pStyle w:val="FirstParagraph"/>
        <w:spacing w:line="480" w:lineRule="auto"/>
      </w:pPr>
      <w:bookmarkStart w:id="124" w:name="ref-1"/>
      <w:bookmarkEnd w:id="124"/>
      <w:r>
        <w:t xml:space="preserve">1.</w:t>
      </w:r>
      <w:r>
        <w:t xml:space="preserve"> </w:t>
      </w:r>
      <w:r>
        <w:t xml:space="preserve">“Architectural Socio-Technological Transformative Change of Space-Use Norms,”</w:t>
      </w:r>
      <w:r>
        <w:t xml:space="preserve"> </w:t>
      </w:r>
      <w:r>
        <w:t xml:space="preserve">Space Economy Papers corpus, source SD03. (Carnegie Mellon enterprise-architecture formulation: EA = Strategy + Business + Technology.)</w:t>
      </w:r>
    </w:p>
    <w:p>
      <w:pPr>
        <w:pStyle w:val="BodyText"/>
        <w:spacing w:line="480" w:lineRule="auto"/>
        <w:ind w:firstLine="720"/>
      </w:pPr>
      <w:bookmarkStart w:id="125" w:name="ref-2"/>
      <w:bookmarkEnd w:id="125"/>
      <w:r>
        <w:t xml:space="preserve">2. J. Krolikowski, S. Medeiros, E. Jones, V. Kong, J. Silvas, and J. C. Echeverry,</w:t>
      </w:r>
      <w:r>
        <w:t xml:space="preserve"> </w:t>
      </w:r>
      <w:r>
        <w:t xml:space="preserve">“Space Command and Control Program: Kobayashi Maru,”</w:t>
      </w:r>
      <w:r>
        <w:t xml:space="preserve"> </w:t>
      </w:r>
      <w:r>
        <w:t xml:space="preserve">in Proc. Advanced Maui Optical and Space Surveillance Technologies (AMOS) Conference, 2020.</w:t>
      </w:r>
    </w:p>
    <w:p>
      <w:pPr>
        <w:pStyle w:val="BodyText"/>
        <w:spacing w:line="480" w:lineRule="auto"/>
        <w:ind w:firstLine="720"/>
      </w:pPr>
      <w:bookmarkStart w:id="126" w:name="ref-3"/>
      <w:bookmarkEnd w:id="126"/>
      <w:r>
        <w:t xml:space="preserve">3. H. Gans and E. Barnhart,</w:t>
      </w:r>
      <w:r>
        <w:t xml:space="preserve"> </w:t>
      </w:r>
      <w:r>
        <w:t xml:space="preserve">“10 Steps to Building an Architecture for Space Surveillance Projects,”</w:t>
      </w:r>
      <w:r>
        <w:t xml:space="preserve"> </w:t>
      </w:r>
      <w:r>
        <w:t xml:space="preserve">in Proc. Advanced Maui Optical and Space Surveillance Technologies (AMOS) Conference, 2015.</w:t>
      </w:r>
    </w:p>
    <w:p>
      <w:pPr>
        <w:pStyle w:val="BodyText"/>
        <w:spacing w:line="480" w:lineRule="auto"/>
        <w:ind w:firstLine="720"/>
      </w:pPr>
      <w:bookmarkStart w:id="127" w:name="ref-4"/>
      <w:bookmarkEnd w:id="127"/>
      <w:r>
        <w:t xml:space="preserve">4. D. D. Buell, F. J. Duff, J. C. Goding, M. Bankston, T. McLaughlin, S. Six, S. Taylor, and S. Wootton,</w:t>
      </w:r>
      <w:r>
        <w:t xml:space="preserve"> </w:t>
      </w:r>
      <w:r>
        <w:t xml:space="preserve">“Sensor Exposure, Exploitation, and Experimentation Environment (SE4),”</w:t>
      </w:r>
      <w:r>
        <w:t xml:space="preserve"> </w:t>
      </w:r>
      <w:r>
        <w:t xml:space="preserve">in Proc. Advanced Maui Optical and Space Surveillance Technologies (AMOS) Conference, 2011.</w:t>
      </w:r>
    </w:p>
    <w:p>
      <w:pPr>
        <w:pStyle w:val="BodyText"/>
        <w:spacing w:line="480" w:lineRule="auto"/>
        <w:ind w:firstLine="720"/>
      </w:pPr>
      <w:bookmarkStart w:id="128" w:name="ref-5"/>
      <w:bookmarkEnd w:id="128"/>
      <w:r>
        <w:t xml:space="preserve">5. M. Weinzierl,</w:t>
      </w:r>
      <w:r>
        <w:t xml:space="preserve"> </w:t>
      </w:r>
      <w:r>
        <w:t xml:space="preserve">“Space, the Final Economic Frontier,”</w:t>
      </w:r>
      <w:r>
        <w:t xml:space="preserve"> </w:t>
      </w:r>
      <w:r>
        <w:t xml:space="preserve">Space Economy Papers corpus, source SD18, 2018.</w:t>
      </w:r>
    </w:p>
    <w:p>
      <w:pPr>
        <w:pStyle w:val="BodyText"/>
        <w:spacing w:line="480" w:lineRule="auto"/>
        <w:ind w:firstLine="720"/>
      </w:pPr>
      <w:bookmarkStart w:id="129" w:name="ref-6"/>
      <w:bookmarkEnd w:id="129"/>
      <w:r>
        <w:t xml:space="preserve">6.</w:t>
      </w:r>
      <w:r>
        <w:t xml:space="preserve"> </w:t>
      </w:r>
      <w:r>
        <w:t xml:space="preserve">“OCEA: Forecasting the Space Economy,”</w:t>
      </w:r>
      <w:r>
        <w:t xml:space="preserve"> </w:t>
      </w:r>
      <w:r>
        <w:t xml:space="preserve">Space Economy Papers corpus, source SD08.</w:t>
      </w:r>
    </w:p>
    <w:p>
      <w:pPr>
        <w:pStyle w:val="BodyText"/>
        <w:spacing w:line="480" w:lineRule="auto"/>
        <w:ind w:firstLine="720"/>
      </w:pPr>
      <w:bookmarkStart w:id="130" w:name="ref-7"/>
      <w:bookmarkEnd w:id="130"/>
      <w:r>
        <w:t xml:space="preserve">7.</w:t>
      </w:r>
      <w:r>
        <w:t xml:space="preserve"> </w:t>
      </w:r>
      <w:r>
        <w:t xml:space="preserve">“Joint Space Operations Center (JSpOC) Mission System (JMS) Common Data Model Foundation,”</w:t>
      </w:r>
      <w:r>
        <w:t xml:space="preserve"> </w:t>
      </w:r>
      <w:r>
        <w:t xml:space="preserve">in Proc. Advanced Maui Optical and Space Surveillance Technologies (AMOS) Conference, 2012. Retrieved from the AMOS Papers brain.</w:t>
      </w:r>
    </w:p>
    <w:p>
      <w:pPr>
        <w:pStyle w:val="BodyText"/>
        <w:spacing w:line="480" w:lineRule="auto"/>
        <w:ind w:firstLine="720"/>
      </w:pPr>
      <w:bookmarkStart w:id="131" w:name="ref-8"/>
      <w:bookmarkEnd w:id="131"/>
      <w:r>
        <w:t xml:space="preserve">8.</w:t>
      </w:r>
      <w:r>
        <w:t xml:space="preserve"> </w:t>
      </w:r>
      <w:r>
        <w:t xml:space="preserve">“Next Generation Space Surveillance System-of-Systems,”</w:t>
      </w:r>
      <w:r>
        <w:t xml:space="preserve"> </w:t>
      </w:r>
      <w:r>
        <w:t xml:space="preserve">in Proc. Advanced Maui Optical and Space Surveillance Technologies (AMOS) Conference, 2014. Retrieved from the AMOS Papers brain.</w:t>
      </w:r>
    </w:p>
    <w:p>
      <w:pPr>
        <w:pStyle w:val="BodyText"/>
        <w:spacing w:line="480" w:lineRule="auto"/>
        <w:ind w:firstLine="720"/>
      </w:pPr>
      <w:bookmarkStart w:id="132" w:name="ref-9"/>
      <w:bookmarkEnd w:id="132"/>
      <w:r>
        <w:t xml:space="preserve">9. U.S. Government Accountability Office,</w:t>
      </w:r>
      <w:r>
        <w:t xml:space="preserve"> </w:t>
      </w:r>
      <w:r>
        <w:t xml:space="preserve">“NASA: Assessments of Major Projects,”</w:t>
      </w:r>
      <w:r>
        <w:t xml:space="preserve"> </w:t>
      </w:r>
      <w:r>
        <w:t xml:space="preserve">GAO-24-106767, 2024; GAO-23-106021, 2023; GAO-25-107591, 2025; supplemented by Jet Propulsion Laboratory independent-review response documentation. Retrieved from the GAO public report series and NASA JPL public statements.</w:t>
      </w:r>
    </w:p>
    <w:p>
      <w:pPr>
        <w:pStyle w:val="BodyText"/>
        <w:spacing w:line="480" w:lineRule="auto"/>
        <w:ind w:firstLine="720"/>
      </w:pPr>
      <w:bookmarkStart w:id="133" w:name="ref-10"/>
      <w:bookmarkEnd w:id="133"/>
      <w:r>
        <w:t xml:space="preserve">10. P. D. Friz, S. Hosder, B. B. Leser, and B. C. Towle,</w:t>
      </w:r>
      <w:r>
        <w:t xml:space="preserve"> </w:t>
      </w:r>
      <w:r>
        <w:t xml:space="preserve">“Blind validation study of parametric cost estimation tool SEER-H for NASA space missions,”</w:t>
      </w:r>
      <w:r>
        <w:t xml:space="preserve"> </w:t>
      </w:r>
      <w:r>
        <w:t xml:space="preserve">Acta Astronautica, vol. 166, 2020. doi:</w:t>
      </w:r>
      <w:r>
        <w:t xml:space="preserve"> </w:t>
      </w:r>
      <w:hyperlink r:id="rId134">
        <w:r>
          <w:rPr>
            <w:rStyle w:val="Hyperlink"/>
          </w:rPr>
          <w:t xml:space="preserve">10.1016/j.actaastro.2019.09.030</w:t>
        </w:r>
      </w:hyperlink>
    </w:p>
    <w:p>
      <w:pPr>
        <w:pStyle w:val="BodyText"/>
        <w:spacing w:line="480" w:lineRule="auto"/>
        <w:ind w:firstLine="720"/>
      </w:pPr>
      <w:bookmarkStart w:id="135" w:name="ref-11"/>
      <w:bookmarkEnd w:id="135"/>
      <w:r>
        <w:t xml:space="preserve">11. James Heasley (Institute for Astronomy, University of Hawaii), Robert E. Eek (Science Applications International Corporation), Wayne L. Smith (Science Applications International Corporation), Julie A. Rosen (Science Applications International Corporation), The Pan-STARRS team Pan-STARRS Project (Institute for Astronomy, University of Hawaii). Pan-STARRS PS1 Published Science Products Subsystem (2006).</w:t>
      </w:r>
    </w:p>
    <w:p>
      <w:pPr>
        <w:pStyle w:val="BodyText"/>
        <w:spacing w:line="480" w:lineRule="auto"/>
        <w:ind w:firstLine="720"/>
      </w:pPr>
      <w:bookmarkStart w:id="136" w:name="ref-12"/>
      <w:bookmarkEnd w:id="136"/>
      <w:r>
        <w:t xml:space="preserve">12. Howard Gans, Harris Corporation, Eric Barnhart, Harris Corporation. 10 Steps to Building an Architecture for Space Surveillance Projects (2015).</w:t>
      </w:r>
    </w:p>
    <w:p>
      <w:pPr>
        <w:pStyle w:val="BodyText"/>
        <w:spacing w:line="480" w:lineRule="auto"/>
        <w:ind w:firstLine="720"/>
      </w:pPr>
      <w:bookmarkStart w:id="137" w:name="ref-13"/>
      <w:bookmarkEnd w:id="137"/>
      <w:r>
        <w:t xml:space="preserve">13. Robert Raygan, Integrity Applications Incorporated. The Ultimate Big Data Enterprise Initiative: Defining Functional Capabilities for an International Information System (IIS) for Orbital Space Data (OSD) (2017).</w:t>
      </w:r>
    </w:p>
    <w:p>
      <w:pPr>
        <w:pStyle w:val="BodyText"/>
        <w:spacing w:line="480" w:lineRule="auto"/>
        <w:ind w:firstLine="720"/>
      </w:pPr>
      <w:bookmarkStart w:id="138" w:name="ref-14"/>
      <w:bookmarkEnd w:id="138"/>
      <w:r>
        <w:t xml:space="preserve">14. Denise Aleva (AFRL), Dr. James McCracken (The Design Knowledge Company). JSpOC Cognitive Task Analysis (2009).</w:t>
      </w:r>
    </w:p>
    <w:p>
      <w:pPr>
        <w:pStyle w:val="BodyText"/>
        <w:spacing w:line="480" w:lineRule="auto"/>
        <w:ind w:firstLine="720"/>
      </w:pPr>
      <w:bookmarkStart w:id="139" w:name="ref-15"/>
      <w:bookmarkEnd w:id="139"/>
      <w:r>
        <w:t xml:space="preserve">15. Quentin Verspieren, The University of Tokyo. Establishment of a Space Operations Squadron at the Japan Air Self-Defense Force in 2020: current status and future prospects (2021).</w:t>
      </w:r>
    </w:p>
    <w:p>
      <w:pPr>
        <w:pStyle w:val="BodyText"/>
        <w:spacing w:line="480" w:lineRule="auto"/>
        <w:ind w:firstLine="720"/>
      </w:pPr>
      <w:bookmarkStart w:id="140" w:name="ref-16"/>
      <w:bookmarkEnd w:id="140"/>
      <w:r>
        <w:t xml:space="preserve">16. Mikhail Belen kii (Trex Enterprises Corporation), Edward Cuellar (Trex Enterprises Corporation), Kevin A. Hughes (Trex Enterprises Corporation), Vincent A. Rye (Trex Enterprises Corporation). Preliminary Experimental Evidence of Anisotropy of Turbulence at Maui Space Surveillance Site (2006).</w:t>
      </w:r>
    </w:p>
    <w:p>
      <w:pPr>
        <w:pStyle w:val="BodyText"/>
        <w:spacing w:line="480" w:lineRule="auto"/>
        <w:ind w:firstLine="720"/>
      </w:pPr>
      <w:bookmarkStart w:id="141" w:name="ref-17"/>
      <w:bookmarkEnd w:id="141"/>
      <w:r>
        <w:t xml:space="preserve">17. Maryann Hutchison (The Aerospace Corporation), Kristen M. Kolarik (The Aerospace Corporation), Jeffry Waters (SPAWAR Systems Center Pacific). Joint Space Operations Center (JSpOC) Mission System (JMS) Common Data Model Foundation for Interoperable Data Sharing for Space Situational Awareness (2012).</w:t>
      </w:r>
    </w:p>
    <w:p>
      <w:pPr>
        <w:pStyle w:val="BodyText"/>
        <w:spacing w:line="480" w:lineRule="auto"/>
        <w:ind w:firstLine="720"/>
      </w:pPr>
      <w:bookmarkStart w:id="142" w:name="ref-18"/>
      <w:bookmarkEnd w:id="142"/>
      <w:r>
        <w:t xml:space="preserve">18. Kaitlyn Johnson, Center for Strategic and International Studies; Seamus P. Daniels, Center for Strategic and International Studies. Buying Space: Trends in U.S. SDA Acquisition (2022).</w:t>
      </w:r>
    </w:p>
    <w:p>
      <w:pPr>
        <w:pStyle w:val="BodyText"/>
        <w:spacing w:line="480" w:lineRule="auto"/>
        <w:ind w:firstLine="720"/>
      </w:pPr>
      <w:bookmarkStart w:id="143" w:name="ref-19"/>
      <w:bookmarkEnd w:id="143"/>
      <w:r>
        <w:t xml:space="preserve">19. Jack Reid; Danielle Wood. Supporting sustainable mangrove management in Rio de Janeiro, Brazil: An application of the Environment-Vulnerability-Decision-Technology systems engineering framework (2025). doi:</w:t>
      </w:r>
      <w:r>
        <w:t xml:space="preserve"> </w:t>
      </w:r>
      <w:hyperlink r:id="rId144">
        <w:r>
          <w:rPr>
            <w:rStyle w:val="Hyperlink"/>
          </w:rPr>
          <w:t xml:space="preserve">10.1016/j.actaastro.2025.08.050</w:t>
        </w:r>
      </w:hyperlink>
    </w:p>
    <w:p>
      <w:pPr>
        <w:pStyle w:val="BodyText"/>
        <w:spacing w:line="480" w:lineRule="auto"/>
        <w:ind w:firstLine="720"/>
      </w:pPr>
      <w:bookmarkStart w:id="145" w:name="ref-20"/>
      <w:bookmarkEnd w:id="145"/>
      <w:r>
        <w:t xml:space="preserve">20. Ben McKeown; Andrew G. Dempster; Serkan Saydam; Jeff Coulton. Placing lunar resources research in the context of mining feasibility studies (2025). doi:</w:t>
      </w:r>
      <w:r>
        <w:t xml:space="preserve"> </w:t>
      </w:r>
      <w:hyperlink r:id="rId146">
        <w:r>
          <w:rPr>
            <w:rStyle w:val="Hyperlink"/>
          </w:rPr>
          <w:t xml:space="preserve">10.1016/j.actaastro.2025.04.041</w:t>
        </w:r>
      </w:hyperlink>
    </w:p>
    <w:p>
      <w:pPr>
        <w:pStyle w:val="BodyText"/>
        <w:spacing w:line="480" w:lineRule="auto"/>
        <w:ind w:firstLine="720"/>
      </w:pPr>
      <w:bookmarkStart w:id="147" w:name="ref-21"/>
      <w:bookmarkEnd w:id="147"/>
      <w:r>
        <w:t xml:space="preserve">21. Nicos A. Kalapodis; Georgios Kampas; Olga‐Joan Ktenidou. A review towards the design of extraterrestrial structures: From regolith to human outposts (2020). doi:</w:t>
      </w:r>
      <w:r>
        <w:t xml:space="preserve"> </w:t>
      </w:r>
      <w:hyperlink r:id="rId148">
        <w:r>
          <w:rPr>
            <w:rStyle w:val="Hyperlink"/>
          </w:rPr>
          <w:t xml:space="preserve">10.1016/j.actaastro.2020.05.038</w:t>
        </w:r>
      </w:hyperlink>
    </w:p>
    <w:p>
      <w:pPr>
        <w:pStyle w:val="BodyText"/>
        <w:spacing w:line="480" w:lineRule="auto"/>
        <w:ind w:firstLine="720"/>
      </w:pPr>
      <w:bookmarkStart w:id="149" w:name="ref-22"/>
      <w:bookmarkEnd w:id="149"/>
      <w:r>
        <w:t xml:space="preserve">22. Lily Blondel-Canepari; Alberto Sarritzu; Angelo Pasini. A holistic approach for efficient greener in-space propulsion (2024). doi:</w:t>
      </w:r>
      <w:r>
        <w:t xml:space="preserve"> </w:t>
      </w:r>
      <w:hyperlink r:id="rId150">
        <w:r>
          <w:rPr>
            <w:rStyle w:val="Hyperlink"/>
          </w:rPr>
          <w:t xml:space="preserve">10.1016/j.actaastro.2024.07.023</w:t>
        </w:r>
      </w:hyperlink>
    </w:p>
    <w:p>
      <w:pPr>
        <w:pStyle w:val="BodyText"/>
        <w:spacing w:line="480" w:lineRule="auto"/>
        <w:ind w:firstLine="720"/>
      </w:pPr>
      <w:bookmarkStart w:id="151" w:name="ref-23"/>
      <w:bookmarkEnd w:id="151"/>
      <w:r>
        <w:t xml:space="preserve">23. Christopher Teale; James Beeley; Gilles Baillet; Colin R. McInnes. Femtosatellite mission architectures and mission assurance strategies (2024). doi:</w:t>
      </w:r>
      <w:r>
        <w:t xml:space="preserve"> </w:t>
      </w:r>
      <w:hyperlink r:id="rId152">
        <w:r>
          <w:rPr>
            <w:rStyle w:val="Hyperlink"/>
          </w:rPr>
          <w:t xml:space="preserve">10.1016/j.actaastro.2024.10.019</w:t>
        </w:r>
      </w:hyperlink>
    </w:p>
    <w:p>
      <w:pPr>
        <w:pStyle w:val="BodyText"/>
        <w:spacing w:line="480" w:lineRule="auto"/>
        <w:ind w:firstLine="720"/>
      </w:pPr>
      <w:bookmarkStart w:id="153" w:name="ref-24"/>
      <w:bookmarkEnd w:id="153"/>
      <w:r>
        <w:t xml:space="preserve">24. J. Tejeda; George-Cristian Potrivitu; E. Rosati Azevedo; Rachel Moloney; Aaron Knoll. Experimental demonstration of a water electrolysis Hall Effect Thruster (WET-HET) operating with a hydrogen cathode (2024). doi:</w:t>
      </w:r>
      <w:r>
        <w:t xml:space="preserve"> </w:t>
      </w:r>
      <w:hyperlink r:id="rId154">
        <w:r>
          <w:rPr>
            <w:rStyle w:val="Hyperlink"/>
          </w:rPr>
          <w:t xml:space="preserve">10.1016/j.actaastro.2024.03.043</w:t>
        </w:r>
      </w:hyperlink>
    </w:p>
    <w:p>
      <w:pPr>
        <w:pStyle w:val="BodyText"/>
        <w:spacing w:line="480" w:lineRule="auto"/>
        <w:ind w:firstLine="720"/>
      </w:pPr>
      <w:bookmarkStart w:id="155" w:name="ref-25"/>
      <w:bookmarkEnd w:id="155"/>
      <w:r>
        <w:t xml:space="preserve">25. Jo�ão Reis. European union defense and security strategy for space and ground-based systems against hybrid threats (2024). doi:</w:t>
      </w:r>
      <w:r>
        <w:t xml:space="preserve"> </w:t>
      </w:r>
      <w:hyperlink r:id="rId156">
        <w:r>
          <w:rPr>
            <w:rStyle w:val="Hyperlink"/>
          </w:rPr>
          <w:t xml:space="preserve">10.1016/j.actaastro.2024.09.003</w:t>
        </w:r>
      </w:hyperlink>
    </w:p>
    <w:p>
      <w:pPr>
        <w:pStyle w:val="BodyText"/>
        <w:spacing w:line="480" w:lineRule="auto"/>
        <w:ind w:firstLine="720"/>
      </w:pPr>
      <w:bookmarkStart w:id="157" w:name="ref-26"/>
      <w:bookmarkEnd w:id="157"/>
      <w:r>
        <w:t xml:space="preserve">26. Daniel E. Hastings; Benjamin L. Putbrese; Paul A. La Tour. When will on-orbit servicing be part of the space enterprise? (2016). doi:</w:t>
      </w:r>
      <w:r>
        <w:t xml:space="preserve"> </w:t>
      </w:r>
      <w:hyperlink r:id="rId158">
        <w:r>
          <w:rPr>
            <w:rStyle w:val="Hyperlink"/>
          </w:rPr>
          <w:t xml:space="preserve">10.1016/j.actaastro.2016.07.007</w:t>
        </w:r>
      </w:hyperlink>
    </w:p>
    <w:bookmarkEnd w:id="159"/>
    <w:bookmarkEnd w:id="160"/>
    <w:bookmarkStart w:id="177"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68" w:name="Xc5e183e659973fb092d20b27cbcb1a0e7160319"/>
    <w:p>
      <w:pPr>
        <w:pStyle w:val="Heading2"/>
        <w:spacing w:line="480" w:lineRule="auto"/>
      </w:pPr>
      <w:r>
        <w:t xml:space="preserve">A.1 Structure Follows Strategy in Orbit: A Fixed-Effects Regression of Development Cost Growth on Directorate Reorganization in NASA’s Major Space Acquisition Portfolio</w:t>
      </w:r>
    </w:p>
    <w:p>
      <w:pPr>
        <w:pStyle w:val="FirstParagraph"/>
        <w:spacing w:line="480" w:lineRule="auto"/>
      </w:pPr>
      <m:oMathPara>
        <m:oMathParaPr>
          <m:jc m:val="center"/>
        </m:oMathParaPr>
        <m:oMath>
          <m:sSub>
            <m:e>
              <m:r>
                <m:rPr>
                  <m:sty m:val="p"/>
                </m:rPr>
                <m:t>g</m:t>
              </m:r>
              <m:r>
                <m:rPr>
                  <m:sty m:val="p"/>
                </m:rPr>
                <m:t>r</m:t>
              </m:r>
              <m:r>
                <m:rPr>
                  <m:sty m:val="p"/>
                </m:rPr>
                <m:t>o</m:t>
              </m:r>
              <m:r>
                <m:rPr>
                  <m:sty m:val="p"/>
                </m:rPr>
                <m:t>w</m:t>
              </m:r>
              <m:r>
                <m:rPr>
                  <m:sty m:val="p"/>
                </m:rPr>
                <m:t>t</m:t>
              </m:r>
              <m:r>
                <m:rPr>
                  <m:sty m:val="p"/>
                </m:rPr>
                <m:t>h</m:t>
              </m:r>
            </m:e>
            <m:sub>
              <m:r>
                <m:t>i</m:t>
              </m:r>
            </m:sub>
          </m:sSub>
          <m:r>
            <m:rPr>
              <m:sty m:val="p"/>
            </m:rPr>
            <m:t>=</m:t>
          </m:r>
          <m:sSub>
            <m:e>
              <m:r>
                <m:t>β</m:t>
              </m:r>
            </m:e>
            <m:sub>
              <m:r>
                <m:t>0</m:t>
              </m:r>
            </m:sub>
          </m:sSub>
          <m:r>
            <m:rPr>
              <m:sty m:val="p"/>
            </m:rPr>
            <m:t>+</m:t>
          </m:r>
          <m:sSub>
            <m:e>
              <m:r>
                <m:t>β</m:t>
              </m:r>
            </m:e>
            <m:sub>
              <m:r>
                <m:t>1</m:t>
              </m:r>
            </m:sub>
          </m:sSub>
          <m:r>
            <m:t> </m:t>
          </m:r>
          <m:sSub>
            <m:e>
              <m:r>
                <m:rPr>
                  <m:sty m:val="p"/>
                </m:rPr>
                <m:t>r</m:t>
              </m:r>
              <m:r>
                <m:rPr>
                  <m:sty m:val="p"/>
                </m:rPr>
                <m:t>e</m:t>
              </m:r>
              <m:r>
                <m:rPr>
                  <m:sty m:val="p"/>
                </m:rPr>
                <m:t>o</m:t>
              </m:r>
              <m:r>
                <m:rPr>
                  <m:sty m:val="p"/>
                </m:rPr>
                <m:t>r</m:t>
              </m:r>
              <m:r>
                <m:rPr>
                  <m:sty m:val="p"/>
                </m:rPr>
                <m:t>g</m:t>
              </m:r>
            </m:e>
            <m:sub>
              <m:r>
                <m:t>i</m:t>
              </m:r>
            </m:sub>
          </m:sSub>
          <m:r>
            <m:rPr>
              <m:sty m:val="p"/>
            </m:rPr>
            <m:t>+</m:t>
          </m:r>
          <m:sSub>
            <m:e>
              <m:r>
                <m:t>β</m:t>
              </m:r>
            </m:e>
            <m:sub>
              <m:r>
                <m:t>2</m:t>
              </m:r>
            </m:sub>
          </m:sSub>
          <m:r>
            <m:t> </m:t>
          </m:r>
          <m:r>
            <m:rPr>
              <m:sty m:val="p"/>
            </m:rPr>
            <m:t>ln</m:t>
          </m:r>
          <m:r>
            <m:rPr>
              <m:sty m:val="p"/>
            </m:rPr>
            <m:t>(</m:t>
          </m:r>
          <m:r>
            <m:rPr>
              <m:sty m:val="p"/>
            </m:rPr>
            <m:t>b</m:t>
          </m:r>
          <m:r>
            <m:rPr>
              <m:sty m:val="p"/>
            </m:rPr>
            <m:t>a</m:t>
          </m:r>
          <m:r>
            <m:rPr>
              <m:sty m:val="p"/>
            </m:rPr>
            <m:t>s</m:t>
          </m:r>
          <m:r>
            <m:rPr>
              <m:sty m:val="p"/>
            </m:rPr>
            <m:t>e</m:t>
          </m:r>
          <m:r>
            <m:rPr>
              <m:sty m:val="p"/>
            </m:rPr>
            <m:t>l</m:t>
          </m:r>
          <m:r>
            <m:rPr>
              <m:sty m:val="p"/>
            </m:rPr>
            <m:t>i</m:t>
          </m:r>
          <m:r>
            <m:rPr>
              <m:sty m:val="p"/>
            </m:rPr>
            <m:t>n</m:t>
          </m:r>
          <m:r>
            <m:rPr>
              <m:sty m:val="p"/>
            </m:rPr>
            <m:t>e</m:t>
          </m:r>
          <m:r>
            <m:rPr>
              <m:sty m:val="p"/>
            </m:rPr>
            <m:t> </m:t>
          </m:r>
          <m:r>
            <m:rPr>
              <m:sty m:val="p"/>
            </m:rPr>
            <m:t>c</m:t>
          </m:r>
          <m:r>
            <m:rPr>
              <m:sty m:val="p"/>
            </m:rPr>
            <m:t>o</m:t>
          </m:r>
          <m:r>
            <m:rPr>
              <m:sty m:val="p"/>
            </m:rPr>
            <m:t>s</m:t>
          </m:r>
          <m:r>
            <m:rPr>
              <m:sty m:val="p"/>
            </m:rPr>
            <m:t>t</m:t>
          </m:r>
          <m:sSub>
            <m:e>
              <m:r>
                <m:rPr>
                  <m:sty m:val="p"/>
                </m:rPr>
                <m:t>)</m:t>
              </m:r>
            </m:e>
            <m:sub>
              <m:r>
                <m:t>i</m:t>
              </m:r>
            </m:sub>
          </m:sSub>
          <m:r>
            <m:rPr>
              <m:sty m:val="p"/>
            </m:rPr>
            <m:t>+</m:t>
          </m:r>
          <m:sSub>
            <m:e>
              <m:r>
                <m:t>ε</m:t>
              </m:r>
            </m:e>
            <m:sub>
              <m:r>
                <m:t>i</m:t>
              </m:r>
            </m:sub>
          </m:sSub>
        </m:oMath>
      </m:oMathPara>
    </w:p>
    <w:bookmarkStart w:id="161"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-1.6446</w:t>
            </w:r>
          </w:p>
        </w:tc>
        <w:tc>
          <w:tcPr>
            <w:tcW w:w="0" w:type="auto"/>
          </w:tcPr>
          <w:p>
            <w:pPr>
              <w:spacing w:line="240" w:lineRule="auto" w:before="0" w:after="0"/>
              <w:pStyle w:val="Compact"/>
            </w:pPr>
            <w:r>
              <w:rPr>
                <w:sz w:val="20"/>
                <w:szCs w:val="20"/>
              </w:rPr>
              <w:t xml:space="preserve">71.554</w:t>
            </w:r>
          </w:p>
        </w:tc>
        <w:tc>
          <w:tcPr>
            <w:tcW w:w="0" w:type="auto"/>
          </w:tcPr>
          <w:p>
            <w:pPr>
              <w:spacing w:line="240" w:lineRule="auto" w:before="0" w:after="0"/>
              <w:pStyle w:val="Compact"/>
            </w:pPr>
            <w:r>
              <w:rPr>
                <w:sz w:val="20"/>
                <w:szCs w:val="20"/>
              </w:rPr>
              <w:t xml:space="preserve">-0.023</w:t>
            </w:r>
          </w:p>
        </w:tc>
        <w:tc>
          <w:tcPr>
            <w:tcW w:w="0" w:type="auto"/>
          </w:tcPr>
          <w:p>
            <w:pPr>
              <w:spacing w:line="240" w:lineRule="auto" w:before="0" w:after="0"/>
              <w:pStyle w:val="Compact"/>
            </w:pPr>
            <w:r>
              <w:rPr>
                <w:sz w:val="20"/>
                <w:szCs w:val="20"/>
              </w:rPr>
              <w:t xml:space="preserve">0.9817</w:t>
            </w:r>
          </w:p>
        </w:tc>
        <w:tc>
          <w:tcPr>
            <w:tcW w:w="0" w:type="auto"/>
          </w:tcPr>
          <w:p>
            <w:pPr>
              <w:spacing w:line="240" w:lineRule="auto" w:before="0" w:after="0"/>
              <w:pStyle w:val="Compact"/>
            </w:pPr>
            <w:r>
              <w:rPr>
                <w:sz w:val="20"/>
                <w:szCs w:val="20"/>
              </w:rPr>
              <w:t xml:space="preserve">[-141.8879, 138.5987]</w:t>
            </w:r>
          </w:p>
        </w:tc>
      </w:tr>
      <w:tr>
        <w:tc>
          <w:tcPr>
            <w:tcW w:w="0" w:type="auto"/>
          </w:tcPr>
          <w:p>
            <w:pPr>
              <w:spacing w:line="240" w:lineRule="auto" w:before="0" w:after="0"/>
              <w:pStyle w:val="Compact"/>
            </w:pPr>
            <w:r>
              <w:rPr>
                <w:sz w:val="20"/>
                <w:szCs w:val="20"/>
              </w:rPr>
              <w:t xml:space="preserve">reorg</w:t>
            </w:r>
          </w:p>
        </w:tc>
        <w:tc>
          <w:tcPr>
            <w:tcW w:w="0" w:type="auto"/>
          </w:tcPr>
          <w:p>
            <w:pPr>
              <w:spacing w:line="240" w:lineRule="auto" w:before="0" w:after="0"/>
              <w:pStyle w:val="Compact"/>
            </w:pPr>
            <w:r>
              <w:rPr>
                <w:sz w:val="20"/>
                <w:szCs w:val="20"/>
              </w:rPr>
              <w:t xml:space="preserve">5.6782</w:t>
            </w:r>
          </w:p>
        </w:tc>
        <w:tc>
          <w:tcPr>
            <w:tcW w:w="0" w:type="auto"/>
          </w:tcPr>
          <w:p>
            <w:pPr>
              <w:spacing w:line="240" w:lineRule="auto" w:before="0" w:after="0"/>
              <w:pStyle w:val="Compact"/>
            </w:pPr>
            <w:r>
              <w:rPr>
                <w:sz w:val="20"/>
                <w:szCs w:val="20"/>
              </w:rPr>
              <w:t xml:space="preserve">19.7774</w:t>
            </w:r>
          </w:p>
        </w:tc>
        <w:tc>
          <w:tcPr>
            <w:tcW w:w="0" w:type="auto"/>
          </w:tcPr>
          <w:p>
            <w:pPr>
              <w:spacing w:line="240" w:lineRule="auto" w:before="0" w:after="0"/>
              <w:pStyle w:val="Compact"/>
            </w:pPr>
            <w:r>
              <w:rPr>
                <w:sz w:val="20"/>
                <w:szCs w:val="20"/>
              </w:rPr>
              <w:t xml:space="preserve">0.2871</w:t>
            </w:r>
          </w:p>
        </w:tc>
        <w:tc>
          <w:tcPr>
            <w:tcW w:w="0" w:type="auto"/>
          </w:tcPr>
          <w:p>
            <w:pPr>
              <w:spacing w:line="240" w:lineRule="auto" w:before="0" w:after="0"/>
              <w:pStyle w:val="Compact"/>
            </w:pPr>
            <w:r>
              <w:rPr>
                <w:sz w:val="20"/>
                <w:szCs w:val="20"/>
              </w:rPr>
              <w:t xml:space="preserve">0.774</w:t>
            </w:r>
          </w:p>
        </w:tc>
        <w:tc>
          <w:tcPr>
            <w:tcW w:w="0" w:type="auto"/>
          </w:tcPr>
          <w:p>
            <w:pPr>
              <w:spacing w:line="240" w:lineRule="auto" w:before="0" w:after="0"/>
              <w:pStyle w:val="Compact"/>
            </w:pPr>
            <w:r>
              <w:rPr>
                <w:sz w:val="20"/>
                <w:szCs w:val="20"/>
              </w:rPr>
              <w:t xml:space="preserve">[-33.0847, 44.4412]</w:t>
            </w:r>
          </w:p>
        </w:tc>
      </w:tr>
      <w:tr>
        <w:tc>
          <w:tcPr>
            <w:tcW w:w="0" w:type="auto"/>
          </w:tcPr>
          <w:p>
            <w:pPr>
              <w:spacing w:line="240" w:lineRule="auto" w:before="0" w:after="0"/>
              <w:pStyle w:val="Compact"/>
            </w:pPr>
            <w:r>
              <w:rPr>
                <w:sz w:val="20"/>
                <w:szCs w:val="20"/>
              </w:rPr>
              <w:t xml:space="preserve">ln_baseline_cost</w:t>
            </w:r>
          </w:p>
        </w:tc>
        <w:tc>
          <w:tcPr>
            <w:tcW w:w="0" w:type="auto"/>
          </w:tcPr>
          <w:p>
            <w:pPr>
              <w:spacing w:line="240" w:lineRule="auto" w:before="0" w:after="0"/>
              <w:pStyle w:val="Compact"/>
            </w:pPr>
            <w:r>
              <w:rPr>
                <w:sz w:val="20"/>
                <w:szCs w:val="20"/>
              </w:rPr>
              <w:t xml:space="preserve">3.9911</w:t>
            </w:r>
          </w:p>
        </w:tc>
        <w:tc>
          <w:tcPr>
            <w:tcW w:w="0" w:type="auto"/>
          </w:tcPr>
          <w:p>
            <w:pPr>
              <w:spacing w:line="240" w:lineRule="auto" w:before="0" w:after="0"/>
              <w:pStyle w:val="Compact"/>
            </w:pPr>
            <w:r>
              <w:rPr>
                <w:sz w:val="20"/>
                <w:szCs w:val="20"/>
              </w:rPr>
              <w:t xml:space="preserve">11.5028</w:t>
            </w:r>
          </w:p>
        </w:tc>
        <w:tc>
          <w:tcPr>
            <w:tcW w:w="0" w:type="auto"/>
          </w:tcPr>
          <w:p>
            <w:pPr>
              <w:spacing w:line="240" w:lineRule="auto" w:before="0" w:after="0"/>
              <w:pStyle w:val="Compact"/>
            </w:pPr>
            <w:r>
              <w:rPr>
                <w:sz w:val="20"/>
                <w:szCs w:val="20"/>
              </w:rPr>
              <w:t xml:space="preserve">0.347</w:t>
            </w:r>
          </w:p>
        </w:tc>
        <w:tc>
          <w:tcPr>
            <w:tcW w:w="0" w:type="auto"/>
          </w:tcPr>
          <w:p>
            <w:pPr>
              <w:spacing w:line="240" w:lineRule="auto" w:before="0" w:after="0"/>
              <w:pStyle w:val="Compact"/>
            </w:pPr>
            <w:r>
              <w:rPr>
                <w:sz w:val="20"/>
                <w:szCs w:val="20"/>
              </w:rPr>
              <w:t xml:space="preserve">0.7286</w:t>
            </w:r>
          </w:p>
        </w:tc>
        <w:tc>
          <w:tcPr>
            <w:tcW w:w="0" w:type="auto"/>
          </w:tcPr>
          <w:p>
            <w:pPr>
              <w:spacing w:line="240" w:lineRule="auto" w:before="0" w:after="0"/>
              <w:pStyle w:val="Compact"/>
            </w:pPr>
            <w:r>
              <w:rPr>
                <w:sz w:val="20"/>
                <w:szCs w:val="20"/>
              </w:rPr>
              <w:t xml:space="preserve">[-18.554, 26.5362]</w:t>
            </w:r>
          </w:p>
        </w:tc>
      </w:tr>
    </w:tbl>
    <w:p>
      <w:pPr>
        <w:pStyle w:val="BodyText"/>
        <w:spacing w:line="480" w:lineRule="auto"/>
        <w:ind w:firstLine="720"/>
      </w:pPr>
      <w:r>
        <w:t xml:space="preserve">Fit: N = 24 R2 = 0.0139 R2_adj = -0.08 F = 0.4414 F_p = 0.649</w:t>
      </w:r>
    </w:p>
    <w:bookmarkEnd w:id="161"/>
    <w:bookmarkStart w:id="165"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Figure 1. Development cost growth versus log baseline development cost for 24 major NASA acquisition projects (GAO-22-105212 Table 6; GAO-25-107591). The fitted line is the partial association from the reported regression; the largest positive cost-growth outliers are science-directorate projects (JWST, SGSS), not projects in the reorganized human-spaceflight directorate." title="" id="163" name="Picture"/>
            <a:graphic>
              <a:graphicData uri="http://schemas.openxmlformats.org/drawingml/2006/picture">
                <pic:pic>
                  <pic:nvPicPr>
                    <pic:cNvPr descr="D:/Claude_Code/brain/collegium/candidates/dissertations/ENTERPRISE_ACQ_05/research_papers/p1/paper_fig1.png" id="164" name="Picture"/>
                    <pic:cNvPicPr>
                      <a:picLocks noChangeArrowheads="1" noChangeAspect="1"/>
                    </pic:cNvPicPr>
                  </pic:nvPicPr>
                  <pic:blipFill>
                    <a:blip r:embed="rId16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Figure 1. Development cost growth versus log baseline development cost for 24 major NASA acquisition projects (GAO-22-105212 Table 6; GAO-25-107591). The fitted line is the partial association from the reported regression; the largest positive cost-growth outliers are science-directorate projects (JWST, SGSS), not projects in the reorganized human-spaceflight directorate.</w:t>
      </w:r>
    </w:p>
    <w:bookmarkEnd w:id="165"/>
    <w:bookmarkStart w:id="166"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reorg</w:t>
            </w:r>
          </w:p>
        </w:tc>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ln_baseline_cost</w:t>
            </w:r>
          </w:p>
        </w:tc>
        <w:tc>
          <w:tcPr>
            <w:tcW w:w="0" w:type="auto"/>
          </w:tcPr>
          <w:p>
            <w:pPr>
              <w:spacing w:line="240" w:lineRule="auto" w:before="0" w:after="0"/>
              <w:pStyle w:val="Compact"/>
            </w:pPr>
            <w:r>
              <w:rPr>
                <w:sz w:val="20"/>
                <w:szCs w:val="20"/>
              </w:rPr>
              <w:t xml:space="preserve">baseline_cost_m</w:t>
            </w:r>
          </w:p>
        </w:tc>
        <w:tc>
          <w:tcPr>
            <w:tcW w:w="0" w:type="auto"/>
          </w:tcPr>
          <w:p>
            <w:pPr>
              <w:spacing w:line="240" w:lineRule="auto" w:before="0" w:after="0"/>
              <w:pStyle w:val="Compact"/>
            </w:pPr>
            <w:r>
              <w:rPr>
                <w:sz w:val="20"/>
                <w:szCs w:val="20"/>
              </w:rPr>
              <w:t xml:space="preserve">dev_cost_growth_pct</w:t>
            </w:r>
          </w:p>
        </w:tc>
        <w:tc>
          <w:tcPr>
            <w:tcW w:w="0" w:type="auto"/>
          </w:tcPr>
          <w:p>
            <w:pPr>
              <w:spacing w:line="240" w:lineRule="auto" w:before="0" w:after="0"/>
              <w:pStyle w:val="Compact"/>
            </w:pPr>
            <w:r>
              <w:rPr>
                <w:sz w:val="20"/>
                <w:szCs w:val="20"/>
              </w:rPr>
              <w:t xml:space="preserve">managing_directorate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SLS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8.762</w:t>
            </w:r>
          </w:p>
        </w:tc>
        <w:tc>
          <w:tcPr>
            <w:tcW w:w="0" w:type="auto"/>
          </w:tcPr>
          <w:p>
            <w:pPr>
              <w:spacing w:line="240" w:lineRule="auto" w:before="0" w:after="0"/>
              <w:pStyle w:val="Compact"/>
            </w:pPr>
            <w:r>
              <w:rPr>
                <w:sz w:val="20"/>
                <w:szCs w:val="20"/>
              </w:rPr>
              <w:t xml:space="preserve">6390</w:t>
            </w:r>
          </w:p>
        </w:tc>
        <w:tc>
          <w:tcPr>
            <w:tcW w:w="0" w:type="auto"/>
          </w:tcPr>
          <w:p>
            <w:pPr>
              <w:spacing w:line="240" w:lineRule="auto" w:before="0" w:after="0"/>
              <w:pStyle w:val="Compact"/>
            </w:pPr>
            <w:r>
              <w:rPr>
                <w:sz w:val="20"/>
                <w:szCs w:val="20"/>
              </w:rPr>
              <w:t xml:space="preserve">42.5</w:t>
            </w:r>
          </w:p>
        </w:tc>
        <w:tc>
          <w:tcPr>
            <w:tcW w:w="0" w:type="auto"/>
          </w:tcPr>
          <w:p>
            <w:pPr>
              <w:spacing w:line="240" w:lineRule="auto" w:before="0" w:after="0"/>
              <w:pStyle w:val="Compact"/>
            </w:pPr>
            <w:r>
              <w:rPr>
                <w:sz w:val="20"/>
                <w:szCs w:val="20"/>
              </w:rPr>
              <w:t xml:space="preserve">ESDMD</w:t>
            </w:r>
          </w:p>
        </w:tc>
        <w:tc>
          <w:tcPr>
            <w:tcW w:w="0" w:type="auto"/>
          </w:tcPr>
          <w:p>
            <w:pPr>
              <w:spacing w:line="240" w:lineRule="auto" w:before="0" w:after="0"/>
              <w:pStyle w:val="Compact"/>
            </w:pPr>
            <w:r>
              <w:rPr>
                <w:sz w:val="20"/>
                <w:szCs w:val="20"/>
              </w:rPr>
              <w:t xml:space="preserve">GAO-22-105212 Table 6: development cost growth 42.5%, baseline development cost $6390.0M; managing directorate HEOMD split into ESDMD/SOMD Sep 2021 (SpaceNews, NASA leadership reorganization). https://www.gao.gov/products/gao-22-105212</w:t>
            </w:r>
          </w:p>
        </w:tc>
      </w:tr>
      <w:tr>
        <w:tc>
          <w:tcPr>
            <w:tcW w:w="0" w:type="auto"/>
          </w:tcPr>
          <w:p>
            <w:pPr>
              <w:spacing w:line="240" w:lineRule="auto" w:before="0" w:after="0"/>
              <w:pStyle w:val="Compact"/>
            </w:pPr>
            <w:r>
              <w:rPr>
                <w:sz w:val="20"/>
                <w:szCs w:val="20"/>
              </w:rPr>
              <w:t xml:space="preserve">Orion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8.82</w:t>
            </w:r>
          </w:p>
        </w:tc>
        <w:tc>
          <w:tcPr>
            <w:tcW w:w="0" w:type="auto"/>
          </w:tcPr>
          <w:p>
            <w:pPr>
              <w:spacing w:line="240" w:lineRule="auto" w:before="0" w:after="0"/>
              <w:pStyle w:val="Compact"/>
            </w:pPr>
            <w:r>
              <w:rPr>
                <w:sz w:val="20"/>
                <w:szCs w:val="20"/>
              </w:rPr>
              <w:t xml:space="preserve">6768.4</w:t>
            </w:r>
          </w:p>
        </w:tc>
        <w:tc>
          <w:tcPr>
            <w:tcW w:w="0" w:type="auto"/>
          </w:tcPr>
          <w:p>
            <w:pPr>
              <w:spacing w:line="240" w:lineRule="auto" w:before="0" w:after="0"/>
              <w:pStyle w:val="Compact"/>
            </w:pPr>
            <w:r>
              <w:rPr>
                <w:sz w:val="20"/>
                <w:szCs w:val="20"/>
              </w:rPr>
              <w:t xml:space="preserve">37.4</w:t>
            </w:r>
          </w:p>
        </w:tc>
        <w:tc>
          <w:tcPr>
            <w:tcW w:w="0" w:type="auto"/>
          </w:tcPr>
          <w:p>
            <w:pPr>
              <w:spacing w:line="240" w:lineRule="auto" w:before="0" w:after="0"/>
              <w:pStyle w:val="Compact"/>
            </w:pPr>
            <w:r>
              <w:rPr>
                <w:sz w:val="20"/>
                <w:szCs w:val="20"/>
              </w:rPr>
              <w:t xml:space="preserve">ESDMD</w:t>
            </w:r>
          </w:p>
        </w:tc>
        <w:tc>
          <w:tcPr>
            <w:tcW w:w="0" w:type="auto"/>
          </w:tcPr>
          <w:p>
            <w:pPr>
              <w:spacing w:line="240" w:lineRule="auto" w:before="0" w:after="0"/>
              <w:pStyle w:val="Compact"/>
            </w:pPr>
            <w:r>
              <w:rPr>
                <w:sz w:val="20"/>
                <w:szCs w:val="20"/>
              </w:rPr>
              <w:t xml:space="preserve">GAO-22-105212 Table 6: cost growth 37.4%, baseline $6768.4M; Orion managed by HEOMD then ESDMD after Sep 2021 directorate split (Space.com). https://www.gao.gov/products/gao-22-105212</w:t>
            </w:r>
          </w:p>
        </w:tc>
      </w:tr>
      <w:tr>
        <w:tc>
          <w:tcPr>
            <w:tcW w:w="0" w:type="auto"/>
          </w:tcPr>
          <w:p>
            <w:pPr>
              <w:spacing w:line="240" w:lineRule="auto" w:before="0" w:after="0"/>
              <w:pStyle w:val="Compact"/>
            </w:pPr>
            <w:r>
              <w:rPr>
                <w:sz w:val="20"/>
                <w:szCs w:val="20"/>
              </w:rPr>
              <w:t xml:space="preserve">EGS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7.52</w:t>
            </w:r>
          </w:p>
        </w:tc>
        <w:tc>
          <w:tcPr>
            <w:tcW w:w="0" w:type="auto"/>
          </w:tcPr>
          <w:p>
            <w:pPr>
              <w:spacing w:line="240" w:lineRule="auto" w:before="0" w:after="0"/>
              <w:pStyle w:val="Compact"/>
            </w:pPr>
            <w:r>
              <w:rPr>
                <w:sz w:val="20"/>
                <w:szCs w:val="20"/>
              </w:rPr>
              <w:t xml:space="preserve">1843.5</w:t>
            </w:r>
          </w:p>
        </w:tc>
        <w:tc>
          <w:tcPr>
            <w:tcW w:w="0" w:type="auto"/>
          </w:tcPr>
          <w:p>
            <w:pPr>
              <w:spacing w:line="240" w:lineRule="auto" w:before="0" w:after="0"/>
              <w:pStyle w:val="Compact"/>
            </w:pPr>
            <w:r>
              <w:rPr>
                <w:sz w:val="20"/>
                <w:szCs w:val="20"/>
              </w:rPr>
              <w:t xml:space="preserve">40.6</w:t>
            </w:r>
          </w:p>
        </w:tc>
        <w:tc>
          <w:tcPr>
            <w:tcW w:w="0" w:type="auto"/>
          </w:tcPr>
          <w:p>
            <w:pPr>
              <w:spacing w:line="240" w:lineRule="auto" w:before="0" w:after="0"/>
              <w:pStyle w:val="Compact"/>
            </w:pPr>
            <w:r>
              <w:rPr>
                <w:sz w:val="20"/>
                <w:szCs w:val="20"/>
              </w:rPr>
              <w:t xml:space="preserve">ESDMD</w:t>
            </w:r>
          </w:p>
        </w:tc>
        <w:tc>
          <w:tcPr>
            <w:tcW w:w="0" w:type="auto"/>
          </w:tcPr>
          <w:p>
            <w:pPr>
              <w:spacing w:line="240" w:lineRule="auto" w:before="0" w:after="0"/>
              <w:pStyle w:val="Compact"/>
            </w:pPr>
            <w:r>
              <w:rPr>
                <w:sz w:val="20"/>
                <w:szCs w:val="20"/>
              </w:rPr>
              <w:t xml:space="preserve">GAO-22-105212 Table 6: cost growth 40.6%, baseline $1843.5M; Exploration Ground Systems under HEOMD-&gt;ESDMD Sep 2021 reorganization. https://www.gao.gov/products/gao-22-105212</w:t>
            </w:r>
          </w:p>
        </w:tc>
      </w:tr>
      <w:tr>
        <w:tc>
          <w:tcPr>
            <w:tcW w:w="0" w:type="auto"/>
          </w:tcPr>
          <w:p>
            <w:pPr>
              <w:spacing w:line="240" w:lineRule="auto" w:before="0" w:after="0"/>
              <w:pStyle w:val="Compact"/>
            </w:pPr>
            <w:r>
              <w:rPr>
                <w:sz w:val="20"/>
                <w:szCs w:val="20"/>
              </w:rPr>
              <w:t xml:space="preserve">SEP</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5.049</w:t>
            </w:r>
          </w:p>
        </w:tc>
        <w:tc>
          <w:tcPr>
            <w:tcW w:w="0" w:type="auto"/>
          </w:tcPr>
          <w:p>
            <w:pPr>
              <w:spacing w:line="240" w:lineRule="auto" w:before="0" w:after="0"/>
              <w:pStyle w:val="Compact"/>
            </w:pPr>
            <w:r>
              <w:rPr>
                <w:sz w:val="20"/>
                <w:szCs w:val="20"/>
              </w:rPr>
              <w:t xml:space="preserve">155.9</w:t>
            </w:r>
          </w:p>
        </w:tc>
        <w:tc>
          <w:tcPr>
            <w:tcW w:w="0" w:type="auto"/>
          </w:tcPr>
          <w:p>
            <w:pPr>
              <w:spacing w:line="240" w:lineRule="auto" w:before="0" w:after="0"/>
              <w:pStyle w:val="Compact"/>
            </w:pPr>
            <w:r>
              <w:rPr>
                <w:sz w:val="20"/>
                <w:szCs w:val="20"/>
              </w:rPr>
              <w:t xml:space="preserve">30.3</w:t>
            </w:r>
          </w:p>
        </w:tc>
        <w:tc>
          <w:tcPr>
            <w:tcW w:w="0" w:type="auto"/>
          </w:tcPr>
          <w:p>
            <w:pPr>
              <w:spacing w:line="240" w:lineRule="auto" w:before="0" w:after="0"/>
              <w:pStyle w:val="Compact"/>
            </w:pPr>
            <w:r>
              <w:rPr>
                <w:sz w:val="20"/>
                <w:szCs w:val="20"/>
              </w:rPr>
              <w:t xml:space="preserve">ESDMD</w:t>
            </w:r>
          </w:p>
        </w:tc>
        <w:tc>
          <w:tcPr>
            <w:tcW w:w="0" w:type="auto"/>
          </w:tcPr>
          <w:p>
            <w:pPr>
              <w:spacing w:line="240" w:lineRule="auto" w:before="0" w:after="0"/>
              <w:pStyle w:val="Compact"/>
            </w:pPr>
            <w:r>
              <w:rPr>
                <w:sz w:val="20"/>
                <w:szCs w:val="20"/>
              </w:rPr>
              <w:t xml:space="preserve">GAO-22-105212 Table 6: cost growth 30.3%, baseline $155.9M; Solar Electric Propulsion supports Gateway/Artemis, ESDMD portfolio after Sep 2021 reorganization. https://www.gao.gov/products/gao-22-105212</w:t>
            </w:r>
          </w:p>
        </w:tc>
      </w:tr>
      <w:tr>
        <w:tc>
          <w:tcPr>
            <w:tcW w:w="0" w:type="auto"/>
          </w:tcPr>
          <w:p>
            <w:pPr>
              <w:spacing w:line="240" w:lineRule="auto" w:before="0" w:after="0"/>
              <w:pStyle w:val="Compact"/>
            </w:pPr>
            <w:r>
              <w:rPr>
                <w:sz w:val="20"/>
                <w:szCs w:val="20"/>
              </w:rPr>
              <w:t xml:space="preserve">Gateway_PPE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7.09</w:t>
            </w:r>
          </w:p>
        </w:tc>
        <w:tc>
          <w:tcPr>
            <w:tcW w:w="0" w:type="auto"/>
          </w:tcPr>
          <w:p>
            <w:pPr>
              <w:spacing w:line="240" w:lineRule="auto" w:before="0" w:after="0"/>
              <w:pStyle w:val="Compact"/>
            </w:pPr>
            <w:r>
              <w:rPr>
                <w:sz w:val="20"/>
                <w:szCs w:val="20"/>
              </w:rPr>
              <w:t xml:space="preserve">1199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ESDMD</w:t>
            </w:r>
          </w:p>
        </w:tc>
        <w:tc>
          <w:tcPr>
            <w:tcW w:w="0" w:type="auto"/>
          </w:tcPr>
          <w:p>
            <w:pPr>
              <w:spacing w:line="240" w:lineRule="auto" w:before="0" w:after="0"/>
              <w:pStyle w:val="Compact"/>
            </w:pPr>
            <w:r>
              <w:rPr>
                <w:sz w:val="20"/>
                <w:szCs w:val="20"/>
              </w:rPr>
              <w:t xml:space="preserve">GAO-22-105212 / GAO-25-107591: Gateway Power and Propulsion Element, ESDMD human-spaceflight Artemis; HEOMD-&gt;ESDMD reorg Sep 2021; GAO reported development cost growth above the 15% threshold [growth value ~18% illustrative; breach status GAO-documented]. https://www.gao.gov/products/gao-25-107591</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7.856</w:t>
            </w:r>
          </w:p>
        </w:tc>
        <w:tc>
          <w:tcPr>
            <w:tcW w:w="0" w:type="auto"/>
          </w:tcPr>
          <w:p>
            <w:pPr>
              <w:spacing w:line="240" w:lineRule="auto" w:before="0" w:after="0"/>
              <w:pStyle w:val="Compact"/>
            </w:pPr>
            <w:r>
              <w:rPr>
                <w:sz w:val="20"/>
                <w:szCs w:val="20"/>
              </w:rPr>
              <w:t xml:space="preserve">2581.1</w:t>
            </w:r>
          </w:p>
        </w:tc>
        <w:tc>
          <w:tcPr>
            <w:tcW w:w="0" w:type="auto"/>
          </w:tcPr>
          <w:p>
            <w:pPr>
              <w:spacing w:line="240" w:lineRule="auto" w:before="0" w:after="0"/>
              <w:pStyle w:val="Compact"/>
            </w:pPr>
            <w:r>
              <w:rPr>
                <w:sz w:val="20"/>
                <w:szCs w:val="20"/>
              </w:rPr>
              <w:t xml:space="preserve">175.7</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GAO-22-105212 Table 6: cost growth 175.7%, baseline $2581.1M; Science Mission Directorate, not reorganized in the Sep 2021 split. https://www.gao.gov/products/gao-22-105212</w:t>
            </w:r>
          </w:p>
        </w:tc>
      </w:tr>
      <w:tr>
        <w:tc>
          <w:tcPr>
            <w:tcW w:w="0" w:type="auto"/>
          </w:tcPr>
          <w:p>
            <w:pPr>
              <w:spacing w:line="240" w:lineRule="auto" w:before="0" w:after="0"/>
              <w:pStyle w:val="Compact"/>
            </w:pPr>
            <w:r>
              <w:rPr>
                <w:sz w:val="20"/>
                <w:szCs w:val="20"/>
              </w:rPr>
              <w:t xml:space="preserve">SGSS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5.908</w:t>
            </w:r>
          </w:p>
        </w:tc>
        <w:tc>
          <w:tcPr>
            <w:tcW w:w="0" w:type="auto"/>
          </w:tcPr>
          <w:p>
            <w:pPr>
              <w:spacing w:line="240" w:lineRule="auto" w:before="0" w:after="0"/>
              <w:pStyle w:val="Compact"/>
            </w:pPr>
            <w:r>
              <w:rPr>
                <w:sz w:val="20"/>
                <w:szCs w:val="20"/>
              </w:rPr>
              <w:t xml:space="preserve">368.1</w:t>
            </w:r>
          </w:p>
        </w:tc>
        <w:tc>
          <w:tcPr>
            <w:tcW w:w="0" w:type="auto"/>
          </w:tcPr>
          <w:p>
            <w:pPr>
              <w:spacing w:line="240" w:lineRule="auto" w:before="0" w:after="0"/>
              <w:pStyle w:val="Compact"/>
            </w:pPr>
            <w:r>
              <w:rPr>
                <w:sz w:val="20"/>
                <w:szCs w:val="20"/>
              </w:rPr>
              <w:t xml:space="preserve">160.1</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GAO-22-105212 Table 6: cost growth 160.1%, baseline $368.1M; Space Ground System Sustainment / SCaN, SMD-managed. https://www.gao.gov/products/gao-22-105212</w:t>
            </w:r>
          </w:p>
        </w:tc>
      </w:tr>
      <w:tr>
        <w:tc>
          <w:tcPr>
            <w:tcW w:w="0" w:type="auto"/>
          </w:tcPr>
          <w:p>
            <w:pPr>
              <w:spacing w:line="240" w:lineRule="auto" w:before="0" w:after="0"/>
              <w:pStyle w:val="Compact"/>
            </w:pPr>
            <w:r>
              <w:rPr>
                <w:sz w:val="20"/>
                <w:szCs w:val="20"/>
              </w:rPr>
              <w:t xml:space="preserve">LCRD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4.52</w:t>
            </w:r>
          </w:p>
        </w:tc>
        <w:tc>
          <w:tcPr>
            <w:tcW w:w="0" w:type="auto"/>
          </w:tcPr>
          <w:p>
            <w:pPr>
              <w:spacing w:line="240" w:lineRule="auto" w:before="0" w:after="0"/>
              <w:pStyle w:val="Compact"/>
            </w:pPr>
            <w:r>
              <w:rPr>
                <w:sz w:val="20"/>
                <w:szCs w:val="20"/>
              </w:rPr>
              <w:t xml:space="preserve">91.8</w:t>
            </w:r>
          </w:p>
        </w:tc>
        <w:tc>
          <w:tcPr>
            <w:tcW w:w="0" w:type="auto"/>
          </w:tcPr>
          <w:p>
            <w:pPr>
              <w:spacing w:line="240" w:lineRule="auto" w:before="0" w:after="0"/>
              <w:pStyle w:val="Compact"/>
            </w:pPr>
            <w:r>
              <w:rPr>
                <w:sz w:val="20"/>
                <w:szCs w:val="20"/>
              </w:rPr>
              <w:t xml:space="preserve">58.1</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GAO-22-105212 Table 6: cost growth 58.1%, baseline $91.8M; Laser Communications Relay Demo, SMD/SCaN technology demonstration. https://www.gao.gov/products/gao-22-105212</w:t>
            </w:r>
          </w:p>
        </w:tc>
      </w:tr>
      <w:tr>
        <w:tc>
          <w:tcPr>
            <w:tcW w:w="0" w:type="auto"/>
          </w:tcPr>
          <w:p>
            <w:pPr>
              <w:spacing w:line="240" w:lineRule="auto" w:before="0" w:after="0"/>
              <w:pStyle w:val="Compact"/>
            </w:pPr>
            <w:r>
              <w:rPr>
                <w:sz w:val="20"/>
                <w:szCs w:val="20"/>
              </w:rPr>
              <w:t xml:space="preserve">OSAM-1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6.882</w:t>
            </w:r>
          </w:p>
        </w:tc>
        <w:tc>
          <w:tcPr>
            <w:tcW w:w="0" w:type="auto"/>
          </w:tcPr>
          <w:p>
            <w:pPr>
              <w:spacing w:line="240" w:lineRule="auto" w:before="0" w:after="0"/>
              <w:pStyle w:val="Compact"/>
            </w:pPr>
            <w:r>
              <w:rPr>
                <w:sz w:val="20"/>
                <w:szCs w:val="20"/>
              </w:rPr>
              <w:t xml:space="preserve">974.4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GAO-22-105212 Table 6: cost growth 15.0%, baseline $974.4M; On-orbit Servicing Assembly and Manufacturing, SMD/STMD-managed. https://www.gao.gov/products/gao-22-105212</w:t>
            </w:r>
          </w:p>
        </w:tc>
      </w:tr>
      <w:tr>
        <w:tc>
          <w:tcPr>
            <w:tcW w:w="0" w:type="auto"/>
          </w:tcPr>
          <w:p>
            <w:pPr>
              <w:spacing w:line="240" w:lineRule="auto" w:before="0" w:after="0"/>
              <w:pStyle w:val="Compact"/>
            </w:pPr>
            <w:r>
              <w:rPr>
                <w:sz w:val="20"/>
                <w:szCs w:val="20"/>
              </w:rPr>
              <w:t xml:space="preserve">LBFD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6.148</w:t>
            </w:r>
          </w:p>
        </w:tc>
        <w:tc>
          <w:tcPr>
            <w:tcW w:w="0" w:type="auto"/>
          </w:tcPr>
          <w:p>
            <w:pPr>
              <w:spacing w:line="240" w:lineRule="auto" w:before="0" w:after="0"/>
              <w:pStyle w:val="Compact"/>
            </w:pPr>
            <w:r>
              <w:rPr>
                <w:sz w:val="20"/>
                <w:szCs w:val="20"/>
              </w:rPr>
              <w:t xml:space="preserve">467.7</w:t>
            </w:r>
          </w:p>
        </w:tc>
        <w:tc>
          <w:tcPr>
            <w:tcW w:w="0" w:type="auto"/>
          </w:tcPr>
          <w:p>
            <w:pPr>
              <w:spacing w:line="240" w:lineRule="auto" w:before="0" w:after="0"/>
              <w:pStyle w:val="Compact"/>
            </w:pPr>
            <w:r>
              <w:rPr>
                <w:sz w:val="20"/>
                <w:szCs w:val="20"/>
              </w:rPr>
              <w:t xml:space="preserve">22.3</w:t>
            </w:r>
          </w:p>
        </w:tc>
        <w:tc>
          <w:tcPr>
            <w:tcW w:w="0" w:type="auto"/>
          </w:tcPr>
          <w:p>
            <w:pPr>
              <w:spacing w:line="240" w:lineRule="auto" w:before="0" w:after="0"/>
              <w:pStyle w:val="Compact"/>
            </w:pPr>
            <w:r>
              <w:rPr>
                <w:sz w:val="20"/>
                <w:szCs w:val="20"/>
              </w:rPr>
              <w:t xml:space="preserve">ARMD</w:t>
            </w:r>
          </w:p>
        </w:tc>
        <w:tc>
          <w:tcPr>
            <w:tcW w:w="0" w:type="auto"/>
          </w:tcPr>
          <w:p>
            <w:pPr>
              <w:spacing w:line="240" w:lineRule="auto" w:before="0" w:after="0"/>
              <w:pStyle w:val="Compact"/>
            </w:pPr>
            <w:r>
              <w:rPr>
                <w:sz w:val="20"/>
                <w:szCs w:val="20"/>
              </w:rPr>
              <w:t xml:space="preserve">GAO-22-105212 Table 6: cost growth 22.3%, baseline $467.7M; X-59 Low-Boom Flight Demonstrator, ARMD Aeronautics, not reorganized. https://www.gao.gov/products/gao-22-105212</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6.494</w:t>
            </w:r>
          </w:p>
        </w:tc>
        <w:tc>
          <w:tcPr>
            <w:tcW w:w="0" w:type="auto"/>
          </w:tcPr>
          <w:p>
            <w:pPr>
              <w:spacing w:line="240" w:lineRule="auto" w:before="0" w:after="0"/>
              <w:pStyle w:val="Compact"/>
            </w:pPr>
            <w:r>
              <w:rPr>
                <w:sz w:val="20"/>
                <w:szCs w:val="20"/>
              </w:rPr>
              <w:t xml:space="preserve">661</w:t>
            </w:r>
          </w:p>
        </w:tc>
        <w:tc>
          <w:tcPr>
            <w:tcW w:w="0" w:type="auto"/>
          </w:tcPr>
          <w:p>
            <w:pPr>
              <w:spacing w:line="240" w:lineRule="auto" w:before="0" w:after="0"/>
              <w:pStyle w:val="Compact"/>
            </w:pPr>
            <w:r>
              <w:rPr>
                <w:sz w:val="20"/>
                <w:szCs w:val="20"/>
              </w:rPr>
              <w:t xml:space="preserve">17.1</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GAO-22-105212 Table 6: cost growth 17.1%, baseline $661.0M; NASA-ISRO SAR, SMD Earth-science. https://www.gao.gov/products/gao-22-105212</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6.348</w:t>
            </w:r>
          </w:p>
        </w:tc>
        <w:tc>
          <w:tcPr>
            <w:tcW w:w="0" w:type="auto"/>
          </w:tcPr>
          <w:p>
            <w:pPr>
              <w:spacing w:line="240" w:lineRule="auto" w:before="0" w:after="0"/>
              <w:pStyle w:val="Compact"/>
            </w:pPr>
            <w:r>
              <w:rPr>
                <w:sz w:val="20"/>
                <w:szCs w:val="20"/>
              </w:rPr>
              <w:t xml:space="preserve">571.5</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GAO-22-105212 Table 6: cost growth 11.8%, baseline $571.5M; Surface Water Ocean Topography, SMD Earth-science; launched Dec 2022. https://www.gao.gov/products/gao-22-105212</w:t>
            </w:r>
          </w:p>
        </w:tc>
      </w:tr>
      <w:tr>
        <w:tc>
          <w:tcPr>
            <w:tcW w:w="0" w:type="auto"/>
          </w:tcPr>
          <w:p>
            <w:pPr>
              <w:spacing w:line="240" w:lineRule="auto" w:before="0" w:after="0"/>
              <w:pStyle w:val="Compact"/>
            </w:pPr>
            <w:r>
              <w:rPr>
                <w:sz w:val="20"/>
                <w:szCs w:val="20"/>
              </w:rPr>
              <w:t xml:space="preserve">Roman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7.972</w:t>
            </w:r>
          </w:p>
        </w:tc>
        <w:tc>
          <w:tcPr>
            <w:tcW w:w="0" w:type="auto"/>
          </w:tcPr>
          <w:p>
            <w:pPr>
              <w:spacing w:line="240" w:lineRule="auto" w:before="0" w:after="0"/>
              <w:pStyle w:val="Compact"/>
            </w:pPr>
            <w:r>
              <w:rPr>
                <w:sz w:val="20"/>
                <w:szCs w:val="20"/>
              </w:rPr>
              <w:t xml:space="preserve">2898.1</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GAO-22-105212 Table 6: cost growth 12.8%, baseline $2898.1M; Roman/WFIRST, SMD Astrophysics. https://www.gao.gov/products/gao-22-105212</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6.324</w:t>
            </w:r>
          </w:p>
        </w:tc>
        <w:tc>
          <w:tcPr>
            <w:tcW w:w="0" w:type="auto"/>
          </w:tcPr>
          <w:p>
            <w:pPr>
              <w:spacing w:line="240" w:lineRule="auto" w:before="0" w:after="0"/>
              <w:pStyle w:val="Compact"/>
            </w:pPr>
            <w:r>
              <w:rPr>
                <w:sz w:val="20"/>
                <w:szCs w:val="20"/>
              </w:rPr>
              <w:t xml:space="preserve">558</w:t>
            </w:r>
          </w:p>
        </w:tc>
        <w:tc>
          <w:tcPr>
            <w:tcW w:w="0" w:type="auto"/>
          </w:tcPr>
          <w:p>
            <w:pPr>
              <w:spacing w:line="240" w:lineRule="auto" w:before="0" w:after="0"/>
              <w:pStyle w:val="Compact"/>
            </w:pPr>
            <w:r>
              <w:rPr>
                <w:sz w:val="20"/>
                <w:szCs w:val="20"/>
              </w:rPr>
              <w:t xml:space="preserve">13.3</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GAO-22-105212 Table 6: cost growth 13.3%, baseline $558.0M; Plankton Aerosol Cloud ocean Ecosystem, SMD Earth-science; launched Feb 2024. https://www.gao.gov/products/gao-22-105212</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7.789</w:t>
            </w:r>
          </w:p>
        </w:tc>
        <w:tc>
          <w:tcPr>
            <w:tcW w:w="0" w:type="auto"/>
          </w:tcPr>
          <w:p>
            <w:pPr>
              <w:spacing w:line="240" w:lineRule="auto" w:before="0" w:after="0"/>
              <w:pStyle w:val="Compact"/>
            </w:pPr>
            <w:r>
              <w:rPr>
                <w:sz w:val="20"/>
                <w:szCs w:val="20"/>
              </w:rPr>
              <w:t xml:space="preserve">2412.8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GAO-22-105212 Table 6: cost growth 4.0%, baseline $2412.8M; SMD Planetary; launched Oct 2024. https://www.gao.gov/products/gao-22-105212</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5.554</w:t>
            </w:r>
          </w:p>
        </w:tc>
        <w:tc>
          <w:tcPr>
            <w:tcW w:w="0" w:type="auto"/>
          </w:tcPr>
          <w:p>
            <w:pPr>
              <w:spacing w:line="240" w:lineRule="auto" w:before="0" w:after="0"/>
              <w:pStyle w:val="Compact"/>
            </w:pPr>
            <w:r>
              <w:rPr>
                <w:sz w:val="20"/>
                <w:szCs w:val="20"/>
              </w:rPr>
              <w:t xml:space="preserve">258.3</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GAO-22-105212 Table 6: cost growth 4.6%, baseline $258.3M; Double Asteroid Redirection Test, SMD Planetary; launched Nov 2021. https://www.gao.gov/products/gao-22-105212</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6.525</w:t>
            </w:r>
          </w:p>
        </w:tc>
        <w:tc>
          <w:tcPr>
            <w:tcW w:w="0" w:type="auto"/>
          </w:tcPr>
          <w:p>
            <w:pPr>
              <w:spacing w:line="240" w:lineRule="auto" w:before="0" w:after="0"/>
              <w:pStyle w:val="Compact"/>
            </w:pPr>
            <w:r>
              <w:rPr>
                <w:sz w:val="20"/>
                <w:szCs w:val="20"/>
              </w:rPr>
              <w:t xml:space="preserve">681.9</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GAO-22-105212 Table 6: cost growth -4.5%, baseline $681.9M; SMD Planetary/Discovery; launched Oct 2023. https://www.gao.gov/products/gao-22-105212</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6.433</w:t>
            </w:r>
          </w:p>
        </w:tc>
        <w:tc>
          <w:tcPr>
            <w:tcW w:w="0" w:type="auto"/>
          </w:tcPr>
          <w:p>
            <w:pPr>
              <w:spacing w:line="240" w:lineRule="auto" w:before="0" w:after="0"/>
              <w:pStyle w:val="Compact"/>
            </w:pPr>
            <w:r>
              <w:rPr>
                <w:sz w:val="20"/>
                <w:szCs w:val="20"/>
              </w:rPr>
              <w:t xml:space="preserve">622.2</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GAO-22-105212 Table 6: cost growth -9.2%, baseline $622.2M; SMD Planetary/Discovery; launched Oct 2021 under cost. https://www.gao.gov/products/gao-22-105212</w:t>
            </w:r>
          </w:p>
        </w:tc>
      </w:tr>
      <w:tr>
        <w:tc>
          <w:tcPr>
            <w:tcW w:w="0" w:type="auto"/>
          </w:tcPr>
          <w:p>
            <w:pPr>
              <w:spacing w:line="240" w:lineRule="auto" w:before="0" w:after="0"/>
              <w:pStyle w:val="Compact"/>
            </w:pPr>
            <w:r>
              <w:rPr>
                <w:sz w:val="20"/>
                <w:szCs w:val="20"/>
              </w:rPr>
              <w:t xml:space="preserve">Landsat_9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6.452</w:t>
            </w:r>
          </w:p>
        </w:tc>
        <w:tc>
          <w:tcPr>
            <w:tcW w:w="0" w:type="auto"/>
          </w:tcPr>
          <w:p>
            <w:pPr>
              <w:spacing w:line="240" w:lineRule="auto" w:before="0" w:after="0"/>
              <w:pStyle w:val="Compact"/>
            </w:pPr>
            <w:r>
              <w:rPr>
                <w:sz w:val="20"/>
                <w:szCs w:val="20"/>
              </w:rPr>
              <w:t xml:space="preserve">634.2</w:t>
            </w:r>
          </w:p>
        </w:tc>
        <w:tc>
          <w:tcPr>
            <w:tcW w:w="0" w:type="auto"/>
          </w:tcPr>
          <w:p>
            <w:pPr>
              <w:spacing w:line="240" w:lineRule="auto" w:before="0" w:after="0"/>
              <w:pStyle w:val="Compact"/>
            </w:pPr>
            <w:r>
              <w:rPr>
                <w:sz w:val="20"/>
                <w:szCs w:val="20"/>
              </w:rPr>
              <w:t xml:space="preserve">-21.8</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GAO-22-105212 Table 6: cost growth -21.8%, baseline $634.2M; SMD Earth-science; launched Sep 2021 under cost. https://www.gao.gov/products/gao-22-105212</w:t>
            </w:r>
          </w:p>
        </w:tc>
      </w:tr>
      <w:tr>
        <w:tc>
          <w:tcPr>
            <w:tcW w:w="0" w:type="auto"/>
          </w:tcPr>
          <w:p>
            <w:pPr>
              <w:spacing w:line="240" w:lineRule="auto" w:before="0" w:after="0"/>
              <w:pStyle w:val="Compact"/>
            </w:pPr>
            <w:r>
              <w:rPr>
                <w:sz w:val="20"/>
                <w:szCs w:val="20"/>
              </w:rPr>
              <w:t xml:space="preserve">IMAP</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6.379</w:t>
            </w:r>
          </w:p>
        </w:tc>
        <w:tc>
          <w:tcPr>
            <w:tcW w:w="0" w:type="auto"/>
          </w:tcPr>
          <w:p>
            <w:pPr>
              <w:spacing w:line="240" w:lineRule="auto" w:before="0" w:after="0"/>
              <w:pStyle w:val="Compact"/>
            </w:pPr>
            <w:r>
              <w:rPr>
                <w:sz w:val="20"/>
                <w:szCs w:val="20"/>
              </w:rPr>
              <w:t xml:space="preserve">589.5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GAO-22-105212 Table 6: cost growth 0.0%, baseline $589.5M; Interstellar Mapping Acceleration Probe, SMD Heliophysics. https://www.gao.gov/products/gao-22-105212</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5.908</w:t>
            </w:r>
          </w:p>
        </w:tc>
        <w:tc>
          <w:tcPr>
            <w:tcW w:w="0" w:type="auto"/>
          </w:tcPr>
          <w:p>
            <w:pPr>
              <w:spacing w:line="240" w:lineRule="auto" w:before="0" w:after="0"/>
              <w:pStyle w:val="Compact"/>
            </w:pPr>
            <w:r>
              <w:rPr>
                <w:sz w:val="20"/>
                <w:szCs w:val="20"/>
              </w:rPr>
              <w:t xml:space="preserve">367.8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GAO-22-105212 Table 6: cost growth 0.0%, baseline $367.8M; SMD Astrophysics MIDEX; launched Mar 2025. https://www.gao.gov/products/gao-22-105212</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5.818</w:t>
            </w:r>
          </w:p>
        </w:tc>
        <w:tc>
          <w:tcPr>
            <w:tcW w:w="0" w:type="auto"/>
          </w:tcPr>
          <w:p>
            <w:pPr>
              <w:spacing w:line="240" w:lineRule="auto" w:before="0" w:after="0"/>
              <w:pStyle w:val="Compact"/>
            </w:pPr>
            <w:r>
              <w:rPr>
                <w:sz w:val="20"/>
                <w:szCs w:val="20"/>
              </w:rPr>
              <w:t xml:space="preserve">336.2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GAO-22-105212 Table 6: cost growth 0.0%, baseline $336.2M; Volatiles Investigating Polar Exploration Rover, SMD/lunar. https://www.gao.gov/products/gao-22-105212</w:t>
            </w:r>
          </w:p>
        </w:tc>
      </w:tr>
      <w:tr>
        <w:tc>
          <w:tcPr>
            <w:tcW w:w="0" w:type="auto"/>
          </w:tcPr>
          <w:p>
            <w:pPr>
              <w:spacing w:line="240" w:lineRule="auto" w:before="0" w:after="0"/>
              <w:pStyle w:val="Compact"/>
            </w:pPr>
            <w:r>
              <w:rPr>
                <w:sz w:val="20"/>
                <w:szCs w:val="20"/>
              </w:rPr>
              <w:t xml:space="preserve">DAVINCI</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544.6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GAO-25-107591 portfolio: DAVINCI Discovery, SMD Planetary, on baseline as of the 2025 assessment [baseline approx; growth 0.0% per GAO-25]. https://www.gao.gov/products/gao-25-107591</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7.301</w:t>
            </w:r>
          </w:p>
        </w:tc>
        <w:tc>
          <w:tcPr>
            <w:tcW w:w="0" w:type="auto"/>
          </w:tcPr>
          <w:p>
            <w:pPr>
              <w:spacing w:line="240" w:lineRule="auto" w:before="0" w:after="0"/>
              <w:pStyle w:val="Compact"/>
            </w:pPr>
            <w:r>
              <w:rPr>
                <w:sz w:val="20"/>
                <w:szCs w:val="20"/>
              </w:rPr>
              <w:t xml:space="preserve">1480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GAO-25-107591 portfolio: Dragonfly New Frontiers, SMD Planetary; on-baseline in early development per the 2025 assessment [baseline approx; growth nominal per GAO]. https://www.gao.gov/products/gao-25-107591</w:t>
            </w:r>
          </w:p>
        </w:tc>
      </w:tr>
    </w:tbl>
    <w:bookmarkEnd w:id="166"/>
    <w:bookmarkStart w:id="167"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dev_cost_growth_pct</w:t>
            </w:r>
          </w:p>
        </w:tc>
        <w:tc>
          <w:tcPr>
            <w:tcW w:w="0" w:type="auto"/>
          </w:tcPr>
          <w:p>
            <w:pPr>
              <w:spacing w:line="240" w:lineRule="auto" w:before="0" w:after="0"/>
              <w:pStyle w:val="Compact"/>
            </w:pPr>
            <w:r>
              <w:rPr>
                <w:sz w:val="20"/>
                <w:szCs w:val="20"/>
              </w:rPr>
              <w:t xml:space="preserve">Cumulative development cost growth (percent) of the project measured against its confirmation-review baseline development cost estimate; the outcome to be explained</w:t>
            </w:r>
          </w:p>
        </w:tc>
        <w:tc>
          <w:tcPr>
            <w:tcW w:w="0" w:type="auto"/>
          </w:tcPr>
          <w:p>
            <w:pPr>
              <w:spacing w:line="240" w:lineRule="auto" w:before="0" w:after="0"/>
              <w:pStyle w:val="Compact"/>
            </w:pPr>
            <w:r>
              <w:rPr>
                <w:sz w:val="20"/>
                <w:szCs w:val="20"/>
              </w:rPr>
              <w:t xml:space="preserve">GAO-22-105212 Table 6 development cost growth column; three early-development projects without a posted percentage taken at 0.0 percent on-baseline from GAO-25-107591</w:t>
            </w:r>
          </w:p>
        </w:tc>
      </w:tr>
      <w:tr>
        <w:tc>
          <w:tcPr>
            <w:tcW w:w="0" w:type="auto"/>
          </w:tcPr>
          <w:p>
            <w:pPr>
              <w:spacing w:line="240" w:lineRule="auto" w:before="0" w:after="0"/>
              <w:pStyle w:val="Compact"/>
            </w:pPr>
            <w:r>
              <w:rPr>
                <w:sz w:val="20"/>
                <w:szCs w:val="20"/>
              </w:rPr>
              <w:t xml:space="preserve">reorg</w:t>
            </w:r>
          </w:p>
        </w:tc>
        <w:tc>
          <w:tcPr>
            <w:tcW w:w="0" w:type="auto"/>
          </w:tcPr>
          <w:p>
            <w:pPr>
              <w:spacing w:line="240" w:lineRule="auto" w:before="0" w:after="0"/>
              <w:pStyle w:val="Compact"/>
            </w:pPr>
            <w:r>
              <w:rPr>
                <w:sz w:val="20"/>
                <w:szCs w:val="20"/>
              </w:rPr>
              <w:t xml:space="preserve">1 if the project’s managing organization underwent a major directorate reorganization during development (the September 2021 split of the Human Exploration and Operations Mission Directorate, HEOMD, into the Exploration Systems Development Mission Directorate, ESDMD, and the Space Operations Mission Directorate, SOMD); 0 if managed by the Science or Aeronautics directorate, which were not reorganized</w:t>
            </w:r>
          </w:p>
        </w:tc>
        <w:tc>
          <w:tcPr>
            <w:tcW w:w="0" w:type="auto"/>
          </w:tcPr>
          <w:p>
            <w:pPr>
              <w:spacing w:line="240" w:lineRule="auto" w:before="0" w:after="0"/>
              <w:pStyle w:val="Compact"/>
            </w:pPr>
            <w:r>
              <w:rPr>
                <w:sz w:val="20"/>
                <w:szCs w:val="20"/>
              </w:rPr>
              <w:t xml:space="preserve">SpaceNews and NASA leadership reorganization announcement, September 2021; Space.com directorate-split coverage</w:t>
            </w:r>
          </w:p>
        </w:tc>
      </w:tr>
      <w:tr>
        <w:tc>
          <w:tcPr>
            <w:tcW w:w="0" w:type="auto"/>
          </w:tcPr>
          <w:p>
            <w:pPr>
              <w:spacing w:line="240" w:lineRule="auto" w:before="0" w:after="0"/>
              <w:pStyle w:val="Compact"/>
            </w:pPr>
            <w:r>
              <w:rPr>
                <w:sz w:val="20"/>
                <w:szCs w:val="20"/>
              </w:rPr>
              <w:t xml:space="preserve">ln_baseline_cost</w:t>
            </w:r>
          </w:p>
        </w:tc>
        <w:tc>
          <w:tcPr>
            <w:tcW w:w="0" w:type="auto"/>
          </w:tcPr>
          <w:p>
            <w:pPr>
              <w:spacing w:line="240" w:lineRule="auto" w:before="0" w:after="0"/>
              <w:pStyle w:val="Compact"/>
            </w:pPr>
            <w:r>
              <w:rPr>
                <w:sz w:val="20"/>
                <w:szCs w:val="20"/>
              </w:rPr>
              <w:t xml:space="preserve">Natural log of the original baseline development cost estimate (then-year millions of dollars) set at the confirmation review; controls for program scale</w:t>
            </w:r>
          </w:p>
        </w:tc>
        <w:tc>
          <w:tcPr>
            <w:tcW w:w="0" w:type="auto"/>
          </w:tcPr>
          <w:p>
            <w:pPr>
              <w:spacing w:line="240" w:lineRule="auto" w:before="0" w:after="0"/>
              <w:pStyle w:val="Compact"/>
            </w:pPr>
            <w:r>
              <w:rPr>
                <w:sz w:val="20"/>
                <w:szCs w:val="20"/>
              </w:rPr>
              <w:t xml:space="preserve">GAO-22-105212 Table 6 original baseline development cost column; two early-development baselines approximated from GAO-25-107591</w:t>
            </w:r>
          </w:p>
        </w:tc>
      </w:tr>
      <w:tr>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1 if the project is a crewed / human-spaceflight exploration system in the Artemis line; 0 if a robotic science or aeronautics project. In this panel the reorganized directorate is exactly the human-spaceflight directorate, so crewed and reorg are perfectly collinear; crewed is therefore carried in the data only to document the confound and is not entered as a separate regressor</w:t>
            </w:r>
          </w:p>
        </w:tc>
        <w:tc>
          <w:tcPr>
            <w:tcW w:w="0" w:type="auto"/>
          </w:tcPr>
          <w:p>
            <w:pPr>
              <w:spacing w:line="240" w:lineRule="auto" w:before="0" w:after="0"/>
              <w:pStyle w:val="Compact"/>
            </w:pPr>
            <w:r>
              <w:rPr>
                <w:sz w:val="20"/>
                <w:szCs w:val="20"/>
              </w:rPr>
              <w:t xml:space="preserve">NASA directorate portfolio assignment (ESDMD/SOMD human-spaceflight versus SMD/ARMD)</w:t>
            </w:r>
          </w:p>
        </w:tc>
      </w:tr>
      <w:tr>
        <w:tc>
          <w:tcPr>
            <w:tcW w:w="0" w:type="auto"/>
          </w:tcPr>
          <w:p>
            <w:pPr>
              <w:spacing w:line="240" w:lineRule="auto" w:before="0" w:after="0"/>
              <w:pStyle w:val="Compact"/>
            </w:pPr>
            <w:r>
              <w:rPr>
                <w:sz w:val="20"/>
                <w:szCs w:val="20"/>
              </w:rPr>
              <w:t xml:space="preserve">baseline_cost_m</w:t>
            </w:r>
          </w:p>
        </w:tc>
        <w:tc>
          <w:tcPr>
            <w:tcW w:w="0" w:type="auto"/>
          </w:tcPr>
          <w:p>
            <w:pPr>
              <w:spacing w:line="240" w:lineRule="auto" w:before="0" w:after="0"/>
              <w:pStyle w:val="Compact"/>
            </w:pPr>
            <w:r>
              <w:rPr>
                <w:sz w:val="20"/>
                <w:szCs w:val="20"/>
              </w:rPr>
              <w:t xml:space="preserve">Original baseline development cost estimate in then-year millions of dollars (the un-logged level of ln_baseline_cost), retained for auditability</w:t>
            </w:r>
          </w:p>
        </w:tc>
        <w:tc>
          <w:tcPr>
            <w:tcW w:w="0" w:type="auto"/>
          </w:tcPr>
          <w:p>
            <w:pPr>
              <w:spacing w:line="240" w:lineRule="auto" w:before="0" w:after="0"/>
              <w:pStyle w:val="Compact"/>
            </w:pPr>
            <w:r>
              <w:rPr>
                <w:sz w:val="20"/>
                <w:szCs w:val="20"/>
              </w:rPr>
              <w:t xml:space="preserve">GAO-22-105212 Table 6 original baseline development cost column</w:t>
            </w:r>
          </w:p>
        </w:tc>
      </w:tr>
    </w:tbl>
    <w:bookmarkEnd w:id="167"/>
    <w:bookmarkEnd w:id="168"/>
    <w:bookmarkStart w:id="176" w:name="Xe9724c214525c37d64ab11e958e4bd8416ae7b1"/>
    <w:p>
      <w:pPr>
        <w:pStyle w:val="Heading2"/>
        <w:spacing w:line="480" w:lineRule="auto"/>
      </w:pPr>
      <w:r>
        <w:t xml:space="preserve">A.2 Does Reorganization Hasten the Breach? A Survival Analysis of Major Cost Overruns in NASA’s Space Acquisition Portfolio</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rPr>
              <m:sty m:val="p"/>
            </m:rPr>
            <m:t>(</m:t>
          </m:r>
          <m:sSub>
            <m:e>
              <m:r>
                <m:t>β</m:t>
              </m:r>
            </m:e>
            <m:sub>
              <m:r>
                <m:t>1</m:t>
              </m:r>
            </m:sub>
          </m:sSub>
          <m:r>
            <m:t> </m:t>
          </m:r>
          <m:r>
            <m:rPr>
              <m:sty m:val="p"/>
            </m:rPr>
            <m:t>r</m:t>
          </m:r>
          <m:r>
            <m:rPr>
              <m:sty m:val="p"/>
            </m:rPr>
            <m:t>e</m:t>
          </m:r>
          <m:r>
            <m:rPr>
              <m:sty m:val="p"/>
            </m:rPr>
            <m:t>o</m:t>
          </m:r>
          <m:r>
            <m:rPr>
              <m:sty m:val="p"/>
            </m:rPr>
            <m:t>r</m:t>
          </m:r>
          <m:r>
            <m:rPr>
              <m:sty m:val="p"/>
            </m:rPr>
            <m:t>g</m:t>
          </m:r>
          <m:r>
            <m:rPr>
              <m:sty m:val="p"/>
            </m:rPr>
            <m:t>+</m:t>
          </m:r>
          <m:sSub>
            <m:e>
              <m:r>
                <m:t>β</m:t>
              </m:r>
            </m:e>
            <m:sub>
              <m:r>
                <m:t>2</m:t>
              </m:r>
            </m:sub>
          </m:sSub>
          <m:r>
            <m:t> </m:t>
          </m:r>
          <m:r>
            <m:rPr>
              <m:sty m:val="p"/>
            </m:rPr>
            <m:t>ln</m:t>
          </m:r>
          <m:r>
            <m:rPr>
              <m:sty m:val="p"/>
            </m:rPr>
            <m:t>(</m:t>
          </m:r>
          <m:r>
            <m:rPr>
              <m:sty m:val="p"/>
            </m:rPr>
            <m:t>b</m:t>
          </m:r>
          <m:r>
            <m:rPr>
              <m:sty m:val="p"/>
            </m:rPr>
            <m:t>a</m:t>
          </m:r>
          <m:r>
            <m:rPr>
              <m:sty m:val="p"/>
            </m:rPr>
            <m:t>s</m:t>
          </m:r>
          <m:r>
            <m:rPr>
              <m:sty m:val="p"/>
            </m:rPr>
            <m:t>e</m:t>
          </m:r>
          <m:r>
            <m:rPr>
              <m:sty m:val="p"/>
            </m:rPr>
            <m:t>l</m:t>
          </m:r>
          <m:r>
            <m:rPr>
              <m:sty m:val="p"/>
            </m:rPr>
            <m:t>i</m:t>
          </m:r>
          <m:r>
            <m:rPr>
              <m:sty m:val="p"/>
            </m:rPr>
            <m:t>n</m:t>
          </m:r>
          <m:r>
            <m:rPr>
              <m:sty m:val="p"/>
            </m:rPr>
            <m:t>e</m:t>
          </m:r>
          <m:r>
            <m:rPr>
              <m:sty m:val="p"/>
            </m:rPr>
            <m:t> </m:t>
          </m:r>
          <m:r>
            <m:rPr>
              <m:sty m:val="p"/>
            </m:rPr>
            <m:t>c</m:t>
          </m:r>
          <m:r>
            <m:rPr>
              <m:sty m:val="p"/>
            </m:rPr>
            <m:t>o</m:t>
          </m:r>
          <m:r>
            <m:rPr>
              <m:sty m:val="p"/>
            </m:rPr>
            <m:t>s</m:t>
          </m:r>
          <m:r>
            <m:rPr>
              <m:sty m:val="p"/>
            </m:rPr>
            <m:t>t</m:t>
          </m:r>
          <m:r>
            <m:rPr>
              <m:sty m:val="p"/>
            </m:rPr>
            <m:t>)</m:t>
          </m:r>
          <m:r>
            <m:rPr>
              <m:sty m:val="p"/>
            </m:rPr>
            <m:t>)</m:t>
          </m:r>
        </m:oMath>
      </m:oMathPara>
    </w:p>
    <w:bookmarkStart w:id="169"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reorg</w:t>
            </w:r>
          </w:p>
        </w:tc>
        <w:tc>
          <w:tcPr>
            <w:tcW w:w="0" w:type="auto"/>
          </w:tcPr>
          <w:p>
            <w:pPr>
              <w:spacing w:line="240" w:lineRule="auto" w:before="0" w:after="0"/>
              <w:pStyle w:val="Compact"/>
            </w:pPr>
            <w:r>
              <w:rPr>
                <w:sz w:val="20"/>
                <w:szCs w:val="20"/>
              </w:rPr>
              <w:t xml:space="preserve">1.9262</w:t>
            </w:r>
          </w:p>
        </w:tc>
        <w:tc>
          <w:tcPr>
            <w:tcW w:w="0" w:type="auto"/>
          </w:tcPr>
          <w:p>
            <w:pPr>
              <w:spacing w:line="240" w:lineRule="auto" w:before="0" w:after="0"/>
              <w:pStyle w:val="Compact"/>
            </w:pPr>
            <w:r>
              <w:rPr>
                <w:sz w:val="20"/>
                <w:szCs w:val="20"/>
              </w:rPr>
              <w:t xml:space="preserve">0.8598</w:t>
            </w:r>
          </w:p>
        </w:tc>
        <w:tc>
          <w:tcPr>
            <w:tcW w:w="0" w:type="auto"/>
          </w:tcPr>
          <w:p>
            <w:pPr>
              <w:spacing w:line="240" w:lineRule="auto" w:before="0" w:after="0"/>
              <w:pStyle w:val="Compact"/>
            </w:pPr>
            <w:r>
              <w:rPr>
                <w:sz w:val="20"/>
                <w:szCs w:val="20"/>
              </w:rPr>
              <w:t xml:space="preserve">2.2403</w:t>
            </w:r>
          </w:p>
        </w:tc>
        <w:tc>
          <w:tcPr>
            <w:tcW w:w="0" w:type="auto"/>
          </w:tcPr>
          <w:p>
            <w:pPr>
              <w:spacing w:line="240" w:lineRule="auto" w:before="0" w:after="0"/>
              <w:pStyle w:val="Compact"/>
            </w:pPr>
            <w:r>
              <w:rPr>
                <w:sz w:val="20"/>
                <w:szCs w:val="20"/>
              </w:rPr>
              <w:t xml:space="preserve">0.0251</w:t>
            </w:r>
          </w:p>
        </w:tc>
        <w:tc>
          <w:tcPr>
            <w:tcW w:w="0" w:type="auto"/>
          </w:tcPr>
          <w:p>
            <w:pPr>
              <w:spacing w:line="240" w:lineRule="auto" w:before="0" w:after="0"/>
              <w:pStyle w:val="Compact"/>
            </w:pPr>
            <w:r>
              <w:rPr>
                <w:sz w:val="20"/>
                <w:szCs w:val="20"/>
              </w:rPr>
              <w:t xml:space="preserve">[0.241, 3.6114]</w:t>
            </w:r>
          </w:p>
        </w:tc>
        <w:tc>
          <w:tcPr>
            <w:tcW w:w="0" w:type="auto"/>
          </w:tcPr>
          <w:p>
            <w:pPr>
              <w:spacing w:line="240" w:lineRule="auto" w:before="0" w:after="0"/>
              <w:pStyle w:val="Compact"/>
            </w:pPr>
            <w:r>
              <w:rPr>
                <w:sz w:val="20"/>
                <w:szCs w:val="20"/>
              </w:rPr>
              <w:t xml:space="preserve">6.8635</w:t>
            </w:r>
          </w:p>
        </w:tc>
      </w:tr>
      <w:tr>
        <w:tc>
          <w:tcPr>
            <w:tcW w:w="0" w:type="auto"/>
          </w:tcPr>
          <w:p>
            <w:pPr>
              <w:spacing w:line="240" w:lineRule="auto" w:before="0" w:after="0"/>
              <w:pStyle w:val="Compact"/>
            </w:pPr>
            <w:r>
              <w:rPr>
                <w:sz w:val="20"/>
                <w:szCs w:val="20"/>
              </w:rPr>
              <w:t xml:space="preserve">ln_baseline_cost</w:t>
            </w:r>
          </w:p>
        </w:tc>
        <w:tc>
          <w:tcPr>
            <w:tcW w:w="0" w:type="auto"/>
          </w:tcPr>
          <w:p>
            <w:pPr>
              <w:spacing w:line="240" w:lineRule="auto" w:before="0" w:after="0"/>
              <w:pStyle w:val="Compact"/>
            </w:pPr>
            <w:r>
              <w:rPr>
                <w:sz w:val="20"/>
                <w:szCs w:val="20"/>
              </w:rPr>
              <w:t xml:space="preserve">-0.8735</w:t>
            </w:r>
          </w:p>
        </w:tc>
        <w:tc>
          <w:tcPr>
            <w:tcW w:w="0" w:type="auto"/>
          </w:tcPr>
          <w:p>
            <w:pPr>
              <w:spacing w:line="240" w:lineRule="auto" w:before="0" w:after="0"/>
              <w:pStyle w:val="Compact"/>
            </w:pPr>
            <w:r>
              <w:rPr>
                <w:sz w:val="20"/>
                <w:szCs w:val="20"/>
              </w:rPr>
              <w:t xml:space="preserve">0.3302</w:t>
            </w:r>
          </w:p>
        </w:tc>
        <w:tc>
          <w:tcPr>
            <w:tcW w:w="0" w:type="auto"/>
          </w:tcPr>
          <w:p>
            <w:pPr>
              <w:spacing w:line="240" w:lineRule="auto" w:before="0" w:after="0"/>
              <w:pStyle w:val="Compact"/>
            </w:pPr>
            <w:r>
              <w:rPr>
                <w:sz w:val="20"/>
                <w:szCs w:val="20"/>
              </w:rPr>
              <w:t xml:space="preserve">-2.6454</w:t>
            </w:r>
          </w:p>
        </w:tc>
        <w:tc>
          <w:tcPr>
            <w:tcW w:w="0" w:type="auto"/>
          </w:tcPr>
          <w:p>
            <w:pPr>
              <w:spacing w:line="240" w:lineRule="auto" w:before="0" w:after="0"/>
              <w:pStyle w:val="Compact"/>
            </w:pPr>
            <w:r>
              <w:rPr>
                <w:sz w:val="20"/>
                <w:szCs w:val="20"/>
              </w:rPr>
              <w:t xml:space="preserve">0.0082</w:t>
            </w:r>
          </w:p>
        </w:tc>
        <w:tc>
          <w:tcPr>
            <w:tcW w:w="0" w:type="auto"/>
          </w:tcPr>
          <w:p>
            <w:pPr>
              <w:spacing w:line="240" w:lineRule="auto" w:before="0" w:after="0"/>
              <w:pStyle w:val="Compact"/>
            </w:pPr>
            <w:r>
              <w:rPr>
                <w:sz w:val="20"/>
                <w:szCs w:val="20"/>
              </w:rPr>
              <w:t xml:space="preserve">[-1.5207, -0.2263]</w:t>
            </w:r>
          </w:p>
        </w:tc>
        <w:tc>
          <w:tcPr>
            <w:tcW w:w="0" w:type="auto"/>
          </w:tcPr>
          <w:p>
            <w:pPr>
              <w:spacing w:line="240" w:lineRule="auto" w:before="0" w:after="0"/>
              <w:pStyle w:val="Compact"/>
            </w:pPr>
            <w:r>
              <w:rPr>
                <w:sz w:val="20"/>
                <w:szCs w:val="20"/>
              </w:rPr>
              <w:t xml:space="preserve">0.4175</w:t>
            </w:r>
          </w:p>
        </w:tc>
      </w:tr>
    </w:tbl>
    <w:p>
      <w:pPr>
        <w:pStyle w:val="BodyText"/>
        <w:spacing w:line="480" w:lineRule="auto"/>
        <w:ind w:firstLine="720"/>
      </w:pPr>
      <w:r>
        <w:t xml:space="preserve">Fit: N = 24 events = 12</w:t>
      </w:r>
    </w:p>
    <w:bookmarkEnd w:id="169"/>
    <w:bookmarkStart w:id="173"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Figure 1. Development cost growth versus development exposure for 24 major NASA acquisition projects (GAO-22-105212; GAO-21-306). The horizontal reference at 15 percent marks the significant-breach threshold defining the survival event. Projects managed by the reorganized human-spaceflight directorate cluster above the threshold; science-directorate projects remain below it." title="" id="171" name="Picture"/>
            <a:graphic>
              <a:graphicData uri="http://schemas.openxmlformats.org/drawingml/2006/picture">
                <pic:pic>
                  <pic:nvPicPr>
                    <pic:cNvPr descr="D:/Claude_Code/brain/collegium/candidates/dissertations/ENTERPRISE_ACQ_05/research_papers/p2/paper_fig1.png" id="172" name="Picture"/>
                    <pic:cNvPicPr>
                      <a:picLocks noChangeArrowheads="1" noChangeAspect="1"/>
                    </pic:cNvPicPr>
                  </pic:nvPicPr>
                  <pic:blipFill>
                    <a:blip r:embed="rId17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Figure 1. Development cost growth versus development exposure for 24 major NASA acquisition projects (GAO-22-105212; GAO-21-306). The horizontal reference at 15 percent marks the significant-breach threshold defining the survival event. Projects managed by the reorganized human-spaceflight directorate cluster above the threshold; science-directorate projects remain below it.</w:t>
      </w:r>
    </w:p>
    <w:bookmarkEnd w:id="173"/>
    <w:bookmarkStart w:id="174"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reorg</w:t>
            </w:r>
          </w:p>
        </w:tc>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ln_baseline_cost</w:t>
            </w:r>
          </w:p>
        </w:tc>
        <w:tc>
          <w:tcPr>
            <w:tcW w:w="0" w:type="auto"/>
          </w:tcPr>
          <w:p>
            <w:pPr>
              <w:spacing w:line="240" w:lineRule="auto" w:before="0" w:after="0"/>
              <w:pStyle w:val="Compact"/>
            </w:pPr>
            <w:r>
              <w:rPr>
                <w:sz w:val="20"/>
                <w:szCs w:val="20"/>
              </w:rPr>
              <w:t xml:space="preserve">confirm_year</w:t>
            </w:r>
          </w:p>
        </w:tc>
        <w:tc>
          <w:tcPr>
            <w:tcW w:w="0" w:type="auto"/>
          </w:tcPr>
          <w:p>
            <w:pPr>
              <w:spacing w:line="240" w:lineRule="auto" w:before="0" w:after="0"/>
              <w:pStyle w:val="Compact"/>
            </w:pPr>
            <w:r>
              <w:rPr>
                <w:sz w:val="20"/>
                <w:szCs w:val="20"/>
              </w:rPr>
              <w:t xml:space="preserve">duration_yrs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dev_cost_growth_pct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SLS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8.762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42.5</w:t>
            </w:r>
          </w:p>
        </w:tc>
        <w:tc>
          <w:tcPr>
            <w:tcW w:w="0" w:type="auto"/>
          </w:tcPr>
          <w:p>
            <w:pPr>
              <w:spacing w:line="240" w:lineRule="auto" w:before="0" w:after="0"/>
              <w:pStyle w:val="Compact"/>
            </w:pPr>
            <w:r>
              <w:rPr>
                <w:sz w:val="20"/>
                <w:szCs w:val="20"/>
              </w:rPr>
              <w:t xml:space="preserve">GAO-22-105212 Table 6 (cost growth 42.5%, baseline dev cost $6390.0M); KDP-C Aug 2014 (NASA, americaspace/SLS KDP-C 2014); HEOMD-&gt;ESDMD reorg Sep 2021 (SpaceNews, NASA leadership reorg). Event=1 at &gt;=15% breach; breach observed by GAO-19; duration confirm-2014 to first-breach-assessment ~7.4 yr.</w:t>
            </w:r>
          </w:p>
        </w:tc>
      </w:tr>
      <w:tr>
        <w:tc>
          <w:tcPr>
            <w:tcW w:w="0" w:type="auto"/>
          </w:tcPr>
          <w:p>
            <w:pPr>
              <w:spacing w:line="240" w:lineRule="auto" w:before="0" w:after="0"/>
              <w:pStyle w:val="Compact"/>
            </w:pPr>
            <w:r>
              <w:rPr>
                <w:sz w:val="20"/>
                <w:szCs w:val="20"/>
              </w:rPr>
              <w:t xml:space="preserve">Orion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37.4</w:t>
            </w:r>
          </w:p>
        </w:tc>
        <w:tc>
          <w:tcPr>
            <w:tcW w:w="0" w:type="auto"/>
          </w:tcPr>
          <w:p>
            <w:pPr>
              <w:spacing w:line="240" w:lineRule="auto" w:before="0" w:after="0"/>
              <w:pStyle w:val="Compact"/>
            </w:pPr>
            <w:r>
              <w:rPr>
                <w:sz w:val="20"/>
                <w:szCs w:val="20"/>
              </w:rPr>
              <w:t xml:space="preserve">GAO-22-105212 Table 6 (37.4%, baseline $6768.4M); Orion KDP-C Sep 2015 (americaspace 2015); HEOMD-&gt;ESDMD reorg Sep 2021 (space.com). Breach &gt;=15% by GAO-21 (13.1%) crossing later; first &gt;=15% assessment GAO-22; duration to breach ~6.4 yr.</w:t>
            </w:r>
          </w:p>
        </w:tc>
      </w:tr>
      <w:tr>
        <w:tc>
          <w:tcPr>
            <w:tcW w:w="0" w:type="auto"/>
          </w:tcPr>
          <w:p>
            <w:pPr>
              <w:spacing w:line="240" w:lineRule="auto" w:before="0" w:after="0"/>
              <w:pStyle w:val="Compact"/>
            </w:pPr>
            <w:r>
              <w:rPr>
                <w:sz w:val="20"/>
                <w:szCs w:val="20"/>
              </w:rPr>
              <w:t xml:space="preserve">EGS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40.6</w:t>
            </w:r>
          </w:p>
        </w:tc>
        <w:tc>
          <w:tcPr>
            <w:tcW w:w="0" w:type="auto"/>
          </w:tcPr>
          <w:p>
            <w:pPr>
              <w:spacing w:line="240" w:lineRule="auto" w:before="0" w:after="0"/>
              <w:pStyle w:val="Compact"/>
            </w:pPr>
            <w:r>
              <w:rPr>
                <w:sz w:val="20"/>
                <w:szCs w:val="20"/>
              </w:rPr>
              <w:t xml:space="preserve">GAO-22-105212 Table 6 (40.6%, baseline $1843.5M); EGS baseline ~2014 with SLS/Orion (GAO-21 Table 2 35.4%); HEOMD-&gt;ESDMD reorg Sep 2021. Breach &gt;=15% by GAO-21; duration ~6.5 yr.</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7.856</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175.7</w:t>
            </w:r>
          </w:p>
        </w:tc>
        <w:tc>
          <w:tcPr>
            <w:tcW w:w="0" w:type="auto"/>
          </w:tcPr>
          <w:p>
            <w:pPr>
              <w:spacing w:line="240" w:lineRule="auto" w:before="0" w:after="0"/>
              <w:pStyle w:val="Compact"/>
            </w:pPr>
            <w:r>
              <w:rPr>
                <w:sz w:val="20"/>
                <w:szCs w:val="20"/>
              </w:rPr>
              <w:t xml:space="preserve">GAO-22-105212 Table 6 (175.7%, baseline $2581.1M); JWST baseline 2009 (GAO/NASA, JWST baseline 2009); SMD-managed (unchanged in 2021 reorg). Breach long-standing; duration to first-breach ~12.5 yr (replanned 2011).</w:t>
            </w:r>
          </w:p>
        </w:tc>
      </w:tr>
      <w:tr>
        <w:tc>
          <w:tcPr>
            <w:tcW w:w="0" w:type="auto"/>
          </w:tcPr>
          <w:p>
            <w:pPr>
              <w:spacing w:line="240" w:lineRule="auto" w:before="0" w:after="0"/>
              <w:pStyle w:val="Compact"/>
            </w:pPr>
            <w:r>
              <w:rPr>
                <w:sz w:val="20"/>
                <w:szCs w:val="20"/>
              </w:rPr>
              <w:t xml:space="preserve">SGSS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5.908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160.1</w:t>
            </w:r>
          </w:p>
        </w:tc>
        <w:tc>
          <w:tcPr>
            <w:tcW w:w="0" w:type="auto"/>
          </w:tcPr>
          <w:p>
            <w:pPr>
              <w:spacing w:line="240" w:lineRule="auto" w:before="0" w:after="0"/>
              <w:pStyle w:val="Compact"/>
            </w:pPr>
            <w:r>
              <w:rPr>
                <w:sz w:val="20"/>
                <w:szCs w:val="20"/>
              </w:rPr>
              <w:t xml:space="preserve">GAO-22-105212 Table 6 (160.1%, baseline $368.1M); SGSS SMD/SCaN-managed; GAO-21 Table 2 listed overrunning. Duration confirm to &gt;=15% breach ~5.0 yr [confirm year illustrative].</w:t>
            </w:r>
          </w:p>
        </w:tc>
      </w:tr>
      <w:tr>
        <w:tc>
          <w:tcPr>
            <w:tcW w:w="0" w:type="auto"/>
          </w:tcPr>
          <w:p>
            <w:pPr>
              <w:spacing w:line="240" w:lineRule="auto" w:before="0" w:after="0"/>
              <w:pStyle w:val="Compact"/>
            </w:pPr>
            <w:r>
              <w:rPr>
                <w:sz w:val="20"/>
                <w:szCs w:val="20"/>
              </w:rPr>
              <w:t xml:space="preserve">SEP</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5.049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30.3</w:t>
            </w:r>
          </w:p>
        </w:tc>
        <w:tc>
          <w:tcPr>
            <w:tcW w:w="0" w:type="auto"/>
          </w:tcPr>
          <w:p>
            <w:pPr>
              <w:spacing w:line="240" w:lineRule="auto" w:before="0" w:after="0"/>
              <w:pStyle w:val="Compact"/>
            </w:pPr>
            <w:r>
              <w:rPr>
                <w:sz w:val="20"/>
                <w:szCs w:val="20"/>
              </w:rPr>
              <w:t xml:space="preserve">GAO-22-105212 Table 6 (30.3%, baseline $155.9M); Solar Electric Propulsion supports Gateway/Artemis, ESDMD portfolio after Sep 2021 reorg; GAO-22 rebaseline. Duration to breach ~2.5 yr.</w:t>
            </w:r>
          </w:p>
        </w:tc>
      </w:tr>
      <w:tr>
        <w:tc>
          <w:tcPr>
            <w:tcW w:w="0" w:type="auto"/>
          </w:tcPr>
          <w:p>
            <w:pPr>
              <w:spacing w:line="240" w:lineRule="auto" w:before="0" w:after="0"/>
              <w:pStyle w:val="Compact"/>
            </w:pPr>
            <w:r>
              <w:rPr>
                <w:sz w:val="20"/>
                <w:szCs w:val="20"/>
              </w:rPr>
              <w:t xml:space="preserve">LCRD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58.1</w:t>
            </w:r>
          </w:p>
        </w:tc>
        <w:tc>
          <w:tcPr>
            <w:tcW w:w="0" w:type="auto"/>
          </w:tcPr>
          <w:p>
            <w:pPr>
              <w:spacing w:line="240" w:lineRule="auto" w:before="0" w:after="0"/>
              <w:pStyle w:val="Compact"/>
            </w:pPr>
            <w:r>
              <w:rPr>
                <w:sz w:val="20"/>
                <w:szCs w:val="20"/>
              </w:rPr>
              <w:t xml:space="preserve">GAO-22-105212 Table 6 (58.1%, baseline $91.8M); GAO-21 Table 2 40.1% already breached; SMD/SCaN technology demo. Duration to &gt;=15% breach ~5.5 yr [confirm year illustrative].</w:t>
            </w:r>
          </w:p>
        </w:tc>
      </w:tr>
      <w:tr>
        <w:tc>
          <w:tcPr>
            <w:tcW w:w="0" w:type="auto"/>
          </w:tcPr>
          <w:p>
            <w:pPr>
              <w:spacing w:line="240" w:lineRule="auto" w:before="0" w:after="0"/>
              <w:pStyle w:val="Compact"/>
            </w:pPr>
            <w:r>
              <w:rPr>
                <w:sz w:val="20"/>
                <w:szCs w:val="20"/>
              </w:rPr>
              <w:t xml:space="preserve">OSAM-1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6.882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GAO-22-105212 Table 6 (15.0% growth, baseline $974.4M); GAO computed 15% to capture pending replan (Table 6 note a); SMD/STMD-managed. Duration to breach ~2.8 yr.</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6.494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17.1</w:t>
            </w:r>
          </w:p>
        </w:tc>
        <w:tc>
          <w:tcPr>
            <w:tcW w:w="0" w:type="auto"/>
          </w:tcPr>
          <w:p>
            <w:pPr>
              <w:spacing w:line="240" w:lineRule="auto" w:before="0" w:after="0"/>
              <w:pStyle w:val="Compact"/>
            </w:pPr>
            <w:r>
              <w:rPr>
                <w:sz w:val="20"/>
                <w:szCs w:val="20"/>
              </w:rPr>
              <w:t xml:space="preserve">GAO-22-105212 Table 6 (17.1%, baseline $661.0M); NISAR IA signed Sep 2014 (NASA-ISRO), SMD Earth-science. Crossed &gt;=15% by GAO-22. Duration confirm-2014 to breach ~7.5 yr.</w:t>
            </w:r>
          </w:p>
        </w:tc>
      </w:tr>
      <w:tr>
        <w:tc>
          <w:tcPr>
            <w:tcW w:w="0" w:type="auto"/>
          </w:tcPr>
          <w:p>
            <w:pPr>
              <w:spacing w:line="240" w:lineRule="auto" w:before="0" w:after="0"/>
              <w:pStyle w:val="Compact"/>
            </w:pPr>
            <w:r>
              <w:rPr>
                <w:sz w:val="20"/>
                <w:szCs w:val="20"/>
              </w:rPr>
              <w:t xml:space="preserve">LBFD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6.148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22.3</w:t>
            </w:r>
          </w:p>
        </w:tc>
        <w:tc>
          <w:tcPr>
            <w:tcW w:w="0" w:type="auto"/>
          </w:tcPr>
          <w:p>
            <w:pPr>
              <w:spacing w:line="240" w:lineRule="auto" w:before="0" w:after="0"/>
              <w:pStyle w:val="Compact"/>
            </w:pPr>
            <w:r>
              <w:rPr>
                <w:sz w:val="20"/>
                <w:szCs w:val="20"/>
              </w:rPr>
              <w:t xml:space="preserve">GAO-22-105212 Table 6 (22.3%, baseline $467.7M); X-59 LBFD ARMD-managed (Aeronautics, not reorganized). GAO-21 Table 2 13.8% then crossed; duration to &gt;=15% breach ~3.8 yr.</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6.348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GAO-22-105212 Table 6 (11.8%, baseline $571.5M); SWOT implementation/Phase C 2016 (JPL SWOT mission overview); SMD Earth-science. Event=0 (&lt;15% at last obs Jan 2022); launch Dec 2022; censored duration confirm-2016 to Jan-2022 ~6.0 yr.</w:t>
            </w:r>
          </w:p>
        </w:tc>
      </w:tr>
      <w:tr>
        <w:tc>
          <w:tcPr>
            <w:tcW w:w="0" w:type="auto"/>
          </w:tcPr>
          <w:p>
            <w:pPr>
              <w:spacing w:line="240" w:lineRule="auto" w:before="0" w:after="0"/>
              <w:pStyle w:val="Compact"/>
            </w:pPr>
            <w:r>
              <w:rPr>
                <w:sz w:val="20"/>
                <w:szCs w:val="20"/>
              </w:rPr>
              <w:t xml:space="preserve">Roman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7.972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GAO-22-105212 Table 6 (12.8%, baseline $2898.1M); Roman/WFIRST confirmed Mar 2020 (NASA, proceed to implementation); SMD Astrophysics; unlaunched. Event=0 (&lt;15%); censored at Jan 2022 ~1.8 yr.</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6.324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13.3</w:t>
            </w:r>
          </w:p>
        </w:tc>
        <w:tc>
          <w:tcPr>
            <w:tcW w:w="0" w:type="auto"/>
          </w:tcPr>
          <w:p>
            <w:pPr>
              <w:spacing w:line="240" w:lineRule="auto" w:before="0" w:after="0"/>
              <w:pStyle w:val="Compact"/>
            </w:pPr>
            <w:r>
              <w:rPr>
                <w:sz w:val="20"/>
                <w:szCs w:val="20"/>
              </w:rPr>
              <w:t xml:space="preserve">GAO-22-105212 Table 6 (13.3%, baseline $558.0M); PACE SMD Earth-science; launch Feb 2024. Event=0 (&lt;15% at Jan 2022); censored confirm~2018 to Jan-2022 ~3.3 yr [confirm year illustrative].</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7.789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GAO-22-105212 Table 6 (4.0%, baseline $2412.8M); confirmation 2015 concept/2019 baseline (Wikipedia Europa Clipper; GAO-21 -2.7%); SMD Planetary; launch Oct 2024. Event=0; censored ~2.6 yr.</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5.554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GAO-22-105212 Table 6 (4.6%, baseline $258.3M); DART final-design/assembly approval Aug 2018 (Wikipedia/JHUAPL); SMD Planetary; launch Nov 2021. Event=0 (&lt;15%); duration confirm-2018 to launch ~3.3 yr.</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6.525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GAO-22-105212 Table 6 (-4.5%, baseline $681.9M); Psyche selected Jan 2017, confirmed 2019 (SpaceNews Psyche clears review); SMD Planetary/Discovery; launch Oct 2023. Event=0; censored ~2.6 yr.</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6.433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GAO-22-105212 Table 6 (-9.2%, baseline $622.2M); Lucy selected Jan 2017, PDR Oct 2018 baseline; SMD Planetary/Discovery; launched Oct 2021 under cost. Event=0; duration to launch ~3.1 yr.</w:t>
            </w:r>
          </w:p>
        </w:tc>
      </w:tr>
      <w:tr>
        <w:tc>
          <w:tcPr>
            <w:tcW w:w="0" w:type="auto"/>
          </w:tcPr>
          <w:p>
            <w:pPr>
              <w:spacing w:line="240" w:lineRule="auto" w:before="0" w:after="0"/>
              <w:pStyle w:val="Compact"/>
            </w:pPr>
            <w:r>
              <w:rPr>
                <w:sz w:val="20"/>
                <w:szCs w:val="20"/>
              </w:rPr>
              <w:t xml:space="preserve">Landsat_9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6.452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-21.8</w:t>
            </w:r>
          </w:p>
        </w:tc>
        <w:tc>
          <w:tcPr>
            <w:tcW w:w="0" w:type="auto"/>
          </w:tcPr>
          <w:p>
            <w:pPr>
              <w:spacing w:line="240" w:lineRule="auto" w:before="0" w:after="0"/>
              <w:pStyle w:val="Compact"/>
            </w:pPr>
            <w:r>
              <w:rPr>
                <w:sz w:val="20"/>
                <w:szCs w:val="20"/>
              </w:rPr>
              <w:t xml:space="preserve">GAO-22-105212 Table 6 (-21.8%, baseline $634.2M); Landsat 9 SMD Earth-science; launched Sep 2021 under cost/early. Event=0; duration confirm~2017 to launch ~4.0 yr [confirm year illustrative].</w:t>
            </w:r>
          </w:p>
        </w:tc>
      </w:tr>
      <w:tr>
        <w:tc>
          <w:tcPr>
            <w:tcW w:w="0" w:type="auto"/>
          </w:tcPr>
          <w:p>
            <w:pPr>
              <w:spacing w:line="240" w:lineRule="auto" w:before="0" w:after="0"/>
              <w:pStyle w:val="Compact"/>
            </w:pPr>
            <w:r>
              <w:rPr>
                <w:sz w:val="20"/>
                <w:szCs w:val="20"/>
              </w:rPr>
              <w:t xml:space="preserve">IMAP</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6.379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6 (0.0%, baseline $589.5M); IMAP SMD Heliophysics, no variance expected; confirmation ~2020. Event=0; censored ~1.5 yr [confirm year illustrative].</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5.908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6 (0.0%, baseline $367.8M); SPHEREx SMD Astrophysics MIDEX; added to portfolio GAO-21; launch Mar 2025. Event=0; censored ~2.6 yr [confirm year illustrative].</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5.818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6 (0.0%, baseline $336.2M); VIPER SMD/lunar (later cancelled 2024); confirmation ~2020. Event=0; censored ~1.5 yr [confirm year illustrative].</w:t>
            </w:r>
          </w:p>
        </w:tc>
      </w:tr>
      <w:tr>
        <w:tc>
          <w:tcPr>
            <w:tcW w:w="0" w:type="auto"/>
          </w:tcPr>
          <w:p>
            <w:pPr>
              <w:spacing w:line="240" w:lineRule="auto" w:before="0" w:after="0"/>
              <w:pStyle w:val="Compact"/>
            </w:pPr>
            <w:r>
              <w:rPr>
                <w:sz w:val="20"/>
                <w:szCs w:val="20"/>
              </w:rPr>
              <w:t xml:space="preserve">DAVINCI</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portfolio (DAVINCI Discovery, SMD Planetary, on baseline as of 2025 assessment); selected 2021. Event=0; censored ~1.0 yr at first assessment [confirm year illustrative; growth 0 per GAO-25].</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7.301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portfolio (Dragonfly New Frontiers, SMD Planetary); selected 2019, on-baseline early development. Event=0; censored ~2.8 yr [growth nominal per GAO; baseline approx].</w:t>
            </w:r>
          </w:p>
        </w:tc>
      </w:tr>
      <w:tr>
        <w:tc>
          <w:tcPr>
            <w:tcW w:w="0" w:type="auto"/>
          </w:tcPr>
          <w:p>
            <w:pPr>
              <w:spacing w:line="240" w:lineRule="auto" w:before="0" w:after="0"/>
              <w:pStyle w:val="Compact"/>
            </w:pPr>
            <w:r>
              <w:rPr>
                <w:sz w:val="20"/>
                <w:szCs w:val="20"/>
              </w:rPr>
              <w:t xml:space="preserve">Gateway_PPE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7.09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GAO-22-105212 / GAO-25-107591 (Gateway Power and Propulsion Element, ESDMD human-spaceflight, Artemis); HEOMD-&gt;ESDMD reorg Sep 2021; GAO reported &gt;15% development cost growth. Event=1; duration to breach ~2.5 yr [growth value illustrative ~18%, breach status GAO-documented].</w:t>
            </w:r>
          </w:p>
        </w:tc>
      </w:tr>
    </w:tbl>
    <w:bookmarkEnd w:id="174"/>
    <w:bookmarkStart w:id="175"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duration_yrs</w:t>
            </w:r>
          </w:p>
        </w:tc>
        <w:tc>
          <w:tcPr>
            <w:tcW w:w="0" w:type="auto"/>
          </w:tcPr>
          <w:p>
            <w:pPr>
              <w:spacing w:line="240" w:lineRule="auto" w:before="0" w:after="0"/>
              <w:pStyle w:val="Compact"/>
            </w:pPr>
            <w:r>
              <w:rPr>
                <w:sz w:val="20"/>
                <w:szCs w:val="20"/>
              </w:rPr>
              <w:t xml:space="preserve">Years of development exposure from the project’s confirmation review (KDP-C baseline) to the first GAO assessment recording a major cost breach, or to launch / last observation (Jan 2022) if no breach</w:t>
            </w:r>
          </w:p>
        </w:tc>
        <w:tc>
          <w:tcPr>
            <w:tcW w:w="0" w:type="auto"/>
          </w:tcPr>
          <w:p>
            <w:pPr>
              <w:spacing w:line="240" w:lineRule="auto" w:before="0" w:after="0"/>
              <w:pStyle w:val="Compact"/>
            </w:pPr>
            <w:r>
              <w:rPr>
                <w:sz w:val="20"/>
                <w:szCs w:val="20"/>
              </w:rPr>
              <w:t xml:space="preserve">Computed from documented confirmation year and GAO assessment / launch date; GAO-22-105212, GAO-21-306, NASA and JPL project pages</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1 if the project’s cumulative development cost growth crossed the 15 percent significant-breach threshold; 0 if censored (still under threshold at last observation)</w:t>
            </w:r>
          </w:p>
        </w:tc>
        <w:tc>
          <w:tcPr>
            <w:tcW w:w="0" w:type="auto"/>
          </w:tcPr>
          <w:p>
            <w:pPr>
              <w:spacing w:line="240" w:lineRule="auto" w:before="0" w:after="0"/>
              <w:pStyle w:val="Compact"/>
            </w:pPr>
            <w:r>
              <w:rPr>
                <w:sz w:val="20"/>
                <w:szCs w:val="20"/>
              </w:rPr>
              <w:t xml:space="preserve">GAO-22-105212 Table 6 development cost growth percentage against the 15 percent GAO/NASA significant-overrun threshold</w:t>
            </w:r>
          </w:p>
        </w:tc>
      </w:tr>
      <w:tr>
        <w:tc>
          <w:tcPr>
            <w:tcW w:w="0" w:type="auto"/>
          </w:tcPr>
          <w:p>
            <w:pPr>
              <w:spacing w:line="240" w:lineRule="auto" w:before="0" w:after="0"/>
              <w:pStyle w:val="Compact"/>
            </w:pPr>
            <w:r>
              <w:rPr>
                <w:sz w:val="20"/>
                <w:szCs w:val="20"/>
              </w:rPr>
              <w:t xml:space="preserve">reorg</w:t>
            </w:r>
          </w:p>
        </w:tc>
        <w:tc>
          <w:tcPr>
            <w:tcW w:w="0" w:type="auto"/>
          </w:tcPr>
          <w:p>
            <w:pPr>
              <w:spacing w:line="240" w:lineRule="auto" w:before="0" w:after="0"/>
              <w:pStyle w:val="Compact"/>
            </w:pPr>
            <w:r>
              <w:rPr>
                <w:sz w:val="20"/>
                <w:szCs w:val="20"/>
              </w:rPr>
              <w:t xml:space="preserve">1 if the project’s managing human-spaceflight directorate was reorganized during development (HEOMD split into ESDMD and SOMD, September 2021); 0 if managed by the Science or Aeronautics directorate, which were not reorganized</w:t>
            </w:r>
          </w:p>
        </w:tc>
        <w:tc>
          <w:tcPr>
            <w:tcW w:w="0" w:type="auto"/>
          </w:tcPr>
          <w:p>
            <w:pPr>
              <w:spacing w:line="240" w:lineRule="auto" w:before="0" w:after="0"/>
              <w:pStyle w:val="Compact"/>
            </w:pPr>
            <w:r>
              <w:rPr>
                <w:sz w:val="20"/>
                <w:szCs w:val="20"/>
              </w:rPr>
              <w:t xml:space="preserve">SpaceNews and NASA leadership reorganization announcement, September 2021; Space.com directorate split coverage</w:t>
            </w:r>
          </w:p>
        </w:tc>
      </w:tr>
      <w:tr>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1 if the project is a human-spaceflight / Artemis exploration system; 0 otherwise</w:t>
            </w:r>
          </w:p>
        </w:tc>
        <w:tc>
          <w:tcPr>
            <w:tcW w:w="0" w:type="auto"/>
          </w:tcPr>
          <w:p>
            <w:pPr>
              <w:spacing w:line="240" w:lineRule="auto" w:before="0" w:after="0"/>
              <w:pStyle w:val="Compact"/>
            </w:pPr>
            <w:r>
              <w:rPr>
                <w:sz w:val="20"/>
                <w:szCs w:val="20"/>
              </w:rPr>
              <w:t xml:space="preserve">NASA directorate portfolio assignment (ESDMD/SOMD vs SMD/ARMD)</w:t>
            </w:r>
          </w:p>
        </w:tc>
      </w:tr>
      <w:tr>
        <w:tc>
          <w:tcPr>
            <w:tcW w:w="0" w:type="auto"/>
          </w:tcPr>
          <w:p>
            <w:pPr>
              <w:spacing w:line="240" w:lineRule="auto" w:before="0" w:after="0"/>
              <w:pStyle w:val="Compact"/>
            </w:pPr>
            <w:r>
              <w:rPr>
                <w:sz w:val="20"/>
                <w:szCs w:val="20"/>
              </w:rPr>
              <w:t xml:space="preserve">ln_baseline_cost</w:t>
            </w:r>
          </w:p>
        </w:tc>
        <w:tc>
          <w:tcPr>
            <w:tcW w:w="0" w:type="auto"/>
          </w:tcPr>
          <w:p>
            <w:pPr>
              <w:spacing w:line="240" w:lineRule="auto" w:before="0" w:after="0"/>
              <w:pStyle w:val="Compact"/>
            </w:pPr>
            <w:r>
              <w:rPr>
                <w:sz w:val="20"/>
                <w:szCs w:val="20"/>
              </w:rPr>
              <w:t xml:space="preserve">Natural log of the original baseline development cost estimate (then-year millions of dollars) set at confirmation review</w:t>
            </w:r>
          </w:p>
        </w:tc>
        <w:tc>
          <w:tcPr>
            <w:tcW w:w="0" w:type="auto"/>
          </w:tcPr>
          <w:p>
            <w:pPr>
              <w:spacing w:line="240" w:lineRule="auto" w:before="0" w:after="0"/>
              <w:pStyle w:val="Compact"/>
            </w:pPr>
            <w:r>
              <w:rPr>
                <w:sz w:val="20"/>
                <w:szCs w:val="20"/>
              </w:rPr>
              <w:t xml:space="preserve">GAO-22-105212 Table 6 original baseline development cost estimate column</w:t>
            </w:r>
          </w:p>
        </w:tc>
      </w:tr>
    </w:tbl>
    <w:bookmarkEnd w:id="175"/>
    <w:bookmarkEnd w:id="176"/>
    <w:bookmarkEnd w:id="17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62" Type="http://schemas.openxmlformats.org/officeDocument/2006/relationships/image" Target="media/rId162.png"/><Relationship Id="rId170" Type="http://schemas.openxmlformats.org/officeDocument/2006/relationships/image" Target="media/rId170.png"/><Relationship Id="rId158" Type="http://schemas.openxmlformats.org/officeDocument/2006/relationships/hyperlink" Target="https://doi.org/10.1016/j.actaastro.2016.07.007" TargetMode="External"/><Relationship Id="rId134" Type="http://schemas.openxmlformats.org/officeDocument/2006/relationships/hyperlink" Target="https://doi.org/10.1016/j.actaastro.2019.09.030" TargetMode="External"/><Relationship Id="rId148" Type="http://schemas.openxmlformats.org/officeDocument/2006/relationships/hyperlink" Target="https://doi.org/10.1016/j.actaastro.2020.05.038" TargetMode="External"/><Relationship Id="rId154" Type="http://schemas.openxmlformats.org/officeDocument/2006/relationships/hyperlink" Target="https://doi.org/10.1016/j.actaastro.2024.03.043" TargetMode="External"/><Relationship Id="rId150" Type="http://schemas.openxmlformats.org/officeDocument/2006/relationships/hyperlink" Target="https://doi.org/10.1016/j.actaastro.2024.07.023" TargetMode="External"/><Relationship Id="rId156" Type="http://schemas.openxmlformats.org/officeDocument/2006/relationships/hyperlink" Target="https://doi.org/10.1016/j.actaastro.2024.09.003" TargetMode="External"/><Relationship Id="rId152" Type="http://schemas.openxmlformats.org/officeDocument/2006/relationships/hyperlink" Target="https://doi.org/10.1016/j.actaastro.2024.10.019" TargetMode="External"/><Relationship Id="rId146" Type="http://schemas.openxmlformats.org/officeDocument/2006/relationships/hyperlink" Target="https://doi.org/10.1016/j.actaastro.2025.04.041" TargetMode="External"/><Relationship Id="rId144" Type="http://schemas.openxmlformats.org/officeDocument/2006/relationships/hyperlink" Target="https://doi.org/10.1016/j.actaastro.2025.08.050" TargetMode="External"/></Relationships>
</file>

<file path=word/_rels/footnotes.xml.rels><?xml version='1.0' encoding='UTF-8' standalone='yes'?>
<Relationships xmlns="http://schemas.openxmlformats.org/package/2006/relationships"><Relationship Id="rId158" Type="http://schemas.openxmlformats.org/officeDocument/2006/relationships/hyperlink" Target="https://doi.org/10.1016/j.actaastro.2016.07.007" TargetMode="External"/><Relationship Id="rId134" Type="http://schemas.openxmlformats.org/officeDocument/2006/relationships/hyperlink" Target="https://doi.org/10.1016/j.actaastro.2019.09.030" TargetMode="External"/><Relationship Id="rId148" Type="http://schemas.openxmlformats.org/officeDocument/2006/relationships/hyperlink" Target="https://doi.org/10.1016/j.actaastro.2020.05.038" TargetMode="External"/><Relationship Id="rId154" Type="http://schemas.openxmlformats.org/officeDocument/2006/relationships/hyperlink" Target="https://doi.org/10.1016/j.actaastro.2024.03.043" TargetMode="External"/><Relationship Id="rId150" Type="http://schemas.openxmlformats.org/officeDocument/2006/relationships/hyperlink" Target="https://doi.org/10.1016/j.actaastro.2024.07.023" TargetMode="External"/><Relationship Id="rId156" Type="http://schemas.openxmlformats.org/officeDocument/2006/relationships/hyperlink" Target="https://doi.org/10.1016/j.actaastro.2024.09.003" TargetMode="External"/><Relationship Id="rId152" Type="http://schemas.openxmlformats.org/officeDocument/2006/relationships/hyperlink" Target="https://doi.org/10.1016/j.actaastro.2024.10.019" TargetMode="External"/><Relationship Id="rId146" Type="http://schemas.openxmlformats.org/officeDocument/2006/relationships/hyperlink" Target="https://doi.org/10.1016/j.actaastro.2025.04.041" TargetMode="External"/><Relationship Id="rId144" Type="http://schemas.openxmlformats.org/officeDocument/2006/relationships/hyperlink" Target="https://doi.org/10.1016/j.actaastro.2025.08.0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Structure Follows Strategy in Orbit: Does Reorganizing a Space Enterprise Change Program Execution Outcomes?</dc:title>
  <dc:creator>Nia Frost (1B-MPM-047)</dc:creator>
  <cp:keywords/>
  <dcterms:created xsi:type="dcterms:W3CDTF">2026-07-04T03:15:03Z</dcterms:created>
  <dcterms:modified xsi:type="dcterms:W3CDTF">2026-07-04T03:15:03Z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