
<file path=[Content_Types].xml><?xml version="1.0" encoding="utf-8"?>
<Types xmlns="http://schemas.openxmlformats.org/package/2006/content-types">
  <Default Extension="xml" ContentType="application/xml"/>
  <Default Extension="rels" ContentType="application/vnd.openxmlformats-package.relationships+xml"/>
  <Default Extension="odttf" ContentType="application/vnd.openxmlformats-officedocument.obfuscatedFont"/>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styles.xml" ContentType="application/vnd.openxmlformats-officedocument.wordprocessingml.styles+xml"/>
  <Override PartName="/word/document.xml" ContentType="application/vnd.openxmlformats-officedocument.wordprocessingml.document.main+xml"/>
  <Override PartName="/word/comments.xml" ContentType="application/vnd.openxmlformats-officedocument.wordprocessingml.comments+xml"/>
  <Override PartName="/word/footnotes.xml" ContentType="application/vnd.openxmlformats-officedocument.wordprocessingml.footnotes+xml"/>
  <Override PartName="/word/footer1.xml" ContentType="application/vnd.openxmlformats-officedocument.wordprocessingml.footer+xml"/>
  <Override PartName="/word/footer2.xml" ContentType="application/vnd.openxmlformats-officedocument.wordprocessingml.footer+xml"/>
  <Override PartName="/word/media/rId73.png" ContentType="image/png"/>
  <Override PartName="/word/media/image14.jpeg" ContentType="image/jpeg"/>
  <Override PartName="/word/media/image1.jpeg" ContentType="image/jpeg"/>
  <Override PartName="/word/media/image2.jpeg" ContentType="image/jpeg"/>
  <Override PartName="/word/media/image3.png" ContentType="image/png"/>
  <Override PartName="/word/media/image4.png" ContentType="image/png"/>
  <Override PartName="/word/media/image5.png" ContentType="image/png"/>
  <Override PartName="/word/media/image6.png" ContentType="image/png"/>
  <Override PartName="/word/media/image7.png" ContentType="image/png"/>
  <Override PartName="/word/media/image8.jpeg" ContentType="image/jpeg"/>
  <Override PartName="/word/media/image9.png" ContentType="image/png"/>
  <Override PartName="/word/media/image10.png" ContentType="image/png"/>
  <Override PartName="/word/media/image11.png" ContentType="image/png"/>
  <Override PartName="/word/media/image13.png" ContentType="image/png"/>
  <Override PartName="/word/media/image12.png" ContentType="image/png"/>
  <Override PartName="/word/media/image15.jpeg" ContentType="image/jpeg"/>
  <Override PartName="/word/media/image16.png" ContentType="image/png"/>
  <Override PartName="/word/media/image17.png" ContentType="image/png"/>
  <Override PartName="/word/media/image18.png" ContentType="image/png"/>
  <Override PartName="/word/media/image19.jpeg" ContentType="image/jpeg"/>
  <Override PartName="/word/media/image20.png" ContentType="image/png"/>
  <Override PartName="/word/media/image21.png" ContentType="image/png"/>
  <Override PartName="/word/media/image22.png" ContentType="image/png"/>
  <Override PartName="/word/media/image23.png" ContentType="image/png"/>
  <Override PartName="/word/media/image24.jpeg" ContentType="image/jpeg"/>
  <Override PartName="/word/media/image25.jpeg" ContentType="image/jpeg"/>
</Types>
</file>

<file path=_rels/.rels><?xml version="1.0" encoding="UTF-8"?><Relationships xmlns="http://schemas.openxmlformats.org/package/2006/relationships"><Relationship Id="rId1" Type="http://schemas.openxmlformats.org/officeDocument/2006/relationships/officeDocument" Target="word/document.xml" /><Relationship Id="rId4" Type="http://schemas.openxmlformats.org/officeDocument/2006/relationships/extended-properties" Target="docProps/app.xml" /><Relationship Id="rId3" Type="http://schemas.openxmlformats.org/package/2006/relationships/metadata/core-properties" Target="docProps/core.xml" /><Relationship Id="rId5" Type="http://schemas.openxmlformats.org/officeDocument/2006/relationships/custom-properties" Target="docProps/custom.xml" /></Relationships>
</file>

<file path=word/document.xml><?xml version="1.0" encoding="utf-8"?>
<w:document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body>
    <w:bookmarkStart w:id="81" w:name="Xee0712b02a837de7d00fef817d951e46b5ad07a"/>
    <w:p>
      <w:pPr>
        <w:pStyle w:val="Heading1"/>
      </w:pPr>
      <w:r>
        <w:t xml:space="preserve">Where Does FFRDC Systems Engineering Pay? An OLS Estimate of FFRDC-Intensive Engagement on Civil Space Project Cost Growth</w:t>
      </w:r>
    </w:p>
    <w:bookmarkStart w:id="61" w:name="introduction"/>
    <w:p>
      <w:pPr>
        <w:pStyle w:val="Heading2"/>
      </w:pPr>
      <w:r>
        <w:t xml:space="preserve">1. Introduction</w:t>
      </w:r>
    </w:p>
    <w:p>
      <w:pPr>
        <w:pStyle w:val="FirstParagraph"/>
      </w:pPr>
      <w:r>
        <w:t xml:space="preserve">Civil space major projects continue to overrun their Phase B cost baselines at rates that have moved very little across two decades of acquisition reform. The Government Accountability Office has documented this pattern in successive annual assessments of the NASA major project portfolio, with cumulative life cycle cost growth in the tens of billions of dollars across the largest twenty to thirty active projects</w:t>
      </w:r>
      <w:r>
        <w:t xml:space="preserve"> </w:t>
      </w:r>
      <w:hyperlink w:anchor="ref-1">
        <m:oMathPara>
          <m:oMathParaPr>
            <m:jc m:val="center"/>
          </m:oMathParaPr>
          <m:oMath>
            <m:r>
              <m:t>1</m:t>
            </m:r>
          </m:oMath>
        </m:oMathPara>
      </w:hyperlink>
      <w:r>
        <w:t xml:space="preserve">. Inside that portfolio, a federally funded research and development center routinely sits as the systems engineering and technical assurance lead. The doctrinal justification for that placement rests on continuity, objectivity, and freedom from competitive conflict. The empirical question this paper takes up is narrower and more uncomfortable. Conditional on what a project looks like, does an FFRDC systems engineering role show up in the cost record as lower cost growth, or does the cost growth distribution look the same with or without the FFRDC inside the seam.</w:t>
      </w:r>
    </w:p>
    <w:p>
      <w:pPr>
        <w:pStyle w:val="FirstParagraph"/>
      </w:pPr>
      <w:r>
        <w:t xml:space="preserve">The paper estimates a single ordinary least squares regression on a hand-compiled panel of thirty NASA and NOAA major projects drawn from successive GAO assessments, with FFRDC systems engineering intensity coded as a binary treatment and with development duration and instrument count as the two control covariates that the GAO and the NASA program offices themselves use to characterize project difficulty. The estimate is meant to be read against a single null. The doctrine says FFRDC engagement should be a general cost discipline mechanism. The null says the FFRDC indicator should be statistically indistinguishable from zero, or signed in the opposite direction, once project difficulty is held constant.</w:t>
      </w:r>
    </w:p>
    <w:bookmarkEnd w:id="61"/>
    <w:bookmarkStart w:id="62" w:name="theory-and-hypotheses"/>
    <w:p>
      <w:pPr>
        <w:pStyle w:val="Heading2"/>
      </w:pPr>
      <w:r>
        <w:t xml:space="preserve">2. Theory and Hypotheses</w:t>
      </w:r>
    </w:p>
    <w:p>
      <w:pPr>
        <w:pStyle w:val="FirstParagraph"/>
      </w:pPr>
      <w:r>
        <w:t xml:space="preserve">The space economics literature treats the public sector as a coordinator of market failures in a sector that is durably capital intensive and durably bound to long technology development arcs</w:t>
      </w:r>
      <w:r>
        <w:t xml:space="preserve"> </w:t>
      </w:r>
      <w:hyperlink w:anchor="ref-2">
        <m:oMathPara>
          <m:oMathParaPr>
            <m:jc m:val="center"/>
          </m:oMathParaPr>
          <m:oMath>
            <m:r>
              <m:t>2</m:t>
            </m:r>
          </m:oMath>
        </m:oMathPara>
      </w:hyperlink>
      <w:r>
        <w:t xml:space="preserve">. The same literature treats the institutional mix inside the public sector as essentially exogenous, a frame inherited from the early program decade and not revisited as the sector reconfigured around private capital and around an expanded array of mission directorates</w:t>
      </w:r>
      <w:r>
        <w:t xml:space="preserve"> </w:t>
      </w:r>
      <w:hyperlink w:anchor="ref-3">
        <m:oMathPara>
          <m:oMathParaPr>
            <m:jc m:val="center"/>
          </m:oMathParaPr>
          <m:oMath>
            <m:r>
              <m:t>3</m:t>
            </m:r>
          </m:oMath>
        </m:oMathPara>
      </w:hyperlink>
      <w:r>
        <w:t xml:space="preserve">. The architectural and norms literature documents a parallel reconfiguration on the demand side, with civil space mission programs sitting inside a multi-actor governance fabric and an enlarged technical surface</w:t>
      </w:r>
      <w:r>
        <w:t xml:space="preserve"> </w:t>
      </w:r>
      <w:hyperlink w:anchor="ref-4">
        <m:oMathPara>
          <m:oMathParaPr>
            <m:jc m:val="center"/>
          </m:oMathParaPr>
          <m:oMath>
            <m:r>
              <m:t>4</m:t>
            </m:r>
          </m:oMath>
        </m:oMathPara>
      </w:hyperlink>
      <w:r>
        <w:t xml:space="preserve">. None of these three strands estimates what an FFRDC role does to project execution. The omission matters, because the program manager who decides what to route through an FFRDC every fiscal year decides under a doctrine that has never been disciplined by a regression.</w:t>
      </w:r>
    </w:p>
    <w:p>
      <w:pPr>
        <w:pStyle w:val="FirstParagraph"/>
      </w:pPr>
      <w:r>
        <w:t xml:space="preserve">The hypothesis tested is simple. If FFRDC systems engineering carries the general cost discipline effect the doctrine attributes to it, the FFRDC indicator should carry a negative and statistically detectable coefficient in a cost growth regression with development duration and instrument count as controls. The alternative, which this paper expects to find and which the doctrine would have to absorb, is that the FFRDC indicator is not statistically distinguishable from zero, or carries a positive sign, because the projects that are routed to FFRDC systems engineering are the projects whose intrinsic difficulty already predicts higher cost growth.</w:t>
      </w:r>
    </w:p>
    <w:bookmarkEnd w:id="62"/>
    <w:bookmarkStart w:id="63" w:name="data"/>
    <w:p>
      <w:pPr>
        <w:pStyle w:val="Heading2"/>
      </w:pPr>
      <w:r>
        <w:t xml:space="preserve">3. Data</w:t>
      </w:r>
    </w:p>
    <w:p>
      <w:pPr>
        <w:pStyle w:val="FirstParagraph"/>
      </w:pPr>
      <w:r>
        <w:t xml:space="preserve">The unit of observation is a NASA or NOAA major project for which GAO has published a Phase B or Agency Baseline Commitment cost baseline and at least one subsequent life cycle cost estimate. The panel covers thirty projects spanning the 2008 through 2024 GAO assessment cycles. Cost growth is computed as the percentage change from the project’s Phase B baseline to the most recent GAO reported life cycle cost estimate. Planned development duration is the months between Key Decision Point C and the baseline launch readiness date. Instrument count is the number of distinct science instruments or major flight payloads in the as baselined design, set to zero for the human spaceflight transportation elements, which carry no science payload. The FFRDC systems engineering indicator is hand coded from the GAO assessments and from the NASA project pages, taking the value one when the documented prime systems engineering and technical assurance role is performed by a NASA FFRDC, by a UARC operating under FFRDC equivalent terms for the mission, or by a NASA center with substantial and documented FFRDC SETA support, and zero when the systems engineering integration role is industry prime led with no documented FFRDC SE role. Schedule slip is carried in the workbook as an auxiliary observable but does not enter the regression. Every row carries a source string naming the specific GAO product number and the supporting public NASA or operator citation.</w:t>
      </w:r>
    </w:p>
    <w:bookmarkEnd w:id="63"/>
    <w:bookmarkStart w:id="64" w:name="method"/>
    <w:p>
      <w:pPr>
        <w:pStyle w:val="Heading2"/>
      </w:pPr>
      <w:r>
        <w:t xml:space="preserve">4. Method</w:t>
      </w:r>
    </w:p>
    <w:p>
      <w:pPr>
        <w:pStyle w:val="FirstParagraph"/>
      </w:pPr>
      <w:r>
        <w:t xml:space="preserve">The estimator is ordinary least squares with heteroskedasticity consistent standard errors of the HC1 form. The specification regresses cost growth in percent on the FFRDC indicator, planned development duration in months, and instrument count, with a constant. The choice of OLS reflects two design constraints. The first is that the GAO panel is short and the projects are heterogeneous, which makes a richer estimator unidentified at the available sample size. The second is that the doctrine the regression is meant to discipline is itself a level claim about cost discipline, not a claim about a more elaborate functional form, so the simplest level regression is also the most evidentiary regression. The coefficient of interest is the FFRDC indicator. The decision rule is that the doctrine fails if the FFRDC indicator is not statistically distinguishable from zero in the negative direction at the conventional five percent level.</w:t>
      </w:r>
    </w:p>
    <w:bookmarkEnd w:id="64"/>
    <w:bookmarkStart w:id="65" w:name="findings"/>
    <w:p>
      <w:pPr>
        <w:pStyle w:val="Heading2"/>
      </w:pPr>
      <w:r>
        <w:t xml:space="preserve">5. Findings</w:t>
      </w:r>
    </w:p>
    <w:p>
      <w:pPr>
        <w:pStyle w:val="FirstParagraph"/>
      </w:pPr>
      <w:r>
        <w:t xml:space="preserve">The fitted model returns N equal to 30, R squared equal to 0.206, adjusted R squared equal to 0.114, and a model F statistic with a p value of 0.136. The intercept is essentially zero at minus 0.98 percent with a p value of 0.95. The FFRDC systems engineering indicator carries a coefficient of plus 8.83 percentage points of cost growth with a p value of 0.31. The planned development duration coefficient is 0.33 percentage points of additional cost growth per planned development month, with a p value of 0.20. The instrument count coefficient is minus 0.76 percentage points per instrument, with a p value of 0.58.</w:t>
      </w:r>
    </w:p>
    <w:p>
      <w:pPr>
        <w:pStyle w:val="BodyText"/>
      </w:pPr>
      <w:r>
        <w:t xml:space="preserve">The doctrinal claim that FFRDC systems engineering acts as a general cost discipline mechanism does not survive the regression. The point estimate on the FFRDC indicator is positive rather than negative, although it is not statistically distinguishable from zero at any conventional level. Read narrowly, the regression does not find FFRDC engagement to be a cost discipline lever. Read more broadly, against the doctrine that FFRDC engagement is generally protective of cost performance, the regression refuses to provide support. The duration coefficient signs as expected and is the closest the model comes to a marginal result, consistent with the intuition that longer planned development arcs accumulate more decision points and more rebaseline pressure. The instrument count coefficient does not sign as expected and is far from significant, which is consistent with the small panel and with the heterogeneous role of instrument count across science and human spaceflight projects.</w:t>
      </w:r>
    </w:p>
    <w:p>
      <w:pPr>
        <w:pStyle w:val="BodyText"/>
      </w:pPr>
      <w:r>
        <w:t xml:space="preserve">The null is not rejected. The doctrinal claim is not supported. Both readings are necessary, because a small panel with a wide confidence interval cannot by itself establish the substitute claim that FFRDC engagement raises cost growth. What the regression does establish is that the program manager who routes work to an FFRDC under the doctrinal expectation of cost discipline is routing under a prior the data do not endorse.</w:t>
      </w:r>
    </w:p>
    <w:bookmarkEnd w:id="65"/>
    <w:bookmarkStart w:id="66" w:name="discussion"/>
    <w:p>
      <w:pPr>
        <w:pStyle w:val="Heading2"/>
      </w:pPr>
      <w:r>
        <w:t xml:space="preserve">6. Discussion</w:t>
      </w:r>
    </w:p>
    <w:p>
      <w:pPr>
        <w:pStyle w:val="FirstParagraph"/>
      </w:pPr>
      <w:r>
        <w:t xml:space="preserve">Three implications follow. First, the result is consistent with treatment assignment that is not random. Projects routed to FFRDC systems engineering are routed because the work is hard. Any unconditional comparison of FFRDC and non FFRDC project cost growth will therefore be biased toward zero or toward the wrong sign, and the regression here, which conditions only on the two most visible difficulty controls, recovers exactly that pattern. The dissertation’s larger identification strategy, which descends to the work package level inside individual programs and uses staggered task order timing, is designed to escape this bias. The paper level estimate here is the upper bound regression the dissertation has to clear, and clearing it would require either a much larger panel or a finer treatment than program level FFRDC presence. Second, the result is consistent with a different theory of what FFRDC engagement is for. If the FFRDC indicator does not predict cost discipline, the doctrinal justification has to migrate to claims the regression cannot test, including continuity across program transitions, objectivity in independent review, and freedom from contractor conflict in source selection. Those claims may be true, but they are not cost discipline. Third, the result disciplines the routing decision. A program manager who routes work to an FFRDC every fiscal year cannot defend the routing on a general cost discipline prior, because the panel does not produce one. The routing has to be defended on the narrower claim, evaluated work package by work package, and the dissertation’s mixed methods design takes up that evaluation.</w:t>
      </w:r>
    </w:p>
    <w:bookmarkEnd w:id="66"/>
    <w:bookmarkStart w:id="71" w:name="references"/>
    <w:p>
      <w:pPr>
        <w:pStyle w:val="Heading2"/>
      </w:pPr>
      <w:r>
        <w:t xml:space="preserve">References</w:t>
      </w:r>
    </w:p>
    <w:p>
      <w:pPr>
        <w:pStyle w:val="FirstParagraph"/>
      </w:pPr>
      <w:bookmarkStart w:id="67" w:name="ref-1"/>
      <w:bookmarkEnd w:id="67"/>
      <w:r>
        <w:t xml:space="preserve">1. U.S. Government Accountability Office.</w:t>
      </w:r>
      <w:r>
        <w:t xml:space="preserve"> </w:t>
      </w:r>
      <w:r>
        <w:rPr>
          <w:i/>
          <w:iCs/>
        </w:rPr>
        <w:t xml:space="preserve">NASA Assessments of Major Projects</w:t>
      </w:r>
      <w:r>
        <w:t xml:space="preserve"> </w:t>
      </w:r>
      <w:r>
        <w:t xml:space="preserve">and successor</w:t>
      </w:r>
      <w:r>
        <w:t xml:space="preserve"> </w:t>
      </w:r>
      <w:r>
        <w:rPr>
          <w:i/>
          <w:iCs/>
        </w:rPr>
        <w:t xml:space="preserve">NASA Major Project Assessment</w:t>
      </w:r>
      <w:r>
        <w:t xml:space="preserve"> </w:t>
      </w:r>
      <w:r>
        <w:t xml:space="preserve">annual report series. Retrieved as products GAO-08-1004SP, GAO-12-207SP, GAO-13-276SP, GAO-14-338SP, GAO-15-315SP, GAO-16-309SP, GAO-17-262SP, GAO-18-280SP, GAO-20-405, GAO-21-306, GAO-22-105212, and GAO-23-106021. https://www.gao.gov/</w:t>
      </w:r>
    </w:p>
    <w:p>
      <w:pPr>
        <w:pStyle w:val="BodyText"/>
      </w:pPr>
      <w:bookmarkStart w:id="68" w:name="ref-2"/>
      <w:bookmarkEnd w:id="68"/>
      <w:r>
        <w:t xml:space="preserve">2. Weinzierl, M. (2018). Space, the Final Economic Frontier.</w:t>
      </w:r>
      <w:r>
        <w:t xml:space="preserve"> </w:t>
      </w:r>
      <w:r>
        <w:rPr>
          <w:i/>
          <w:iCs/>
        </w:rPr>
        <w:t xml:space="preserve">Journal of Economic Perspectives</w:t>
      </w:r>
      <w:r>
        <w:t xml:space="preserve"> </w:t>
      </w:r>
      <w:r>
        <w:t xml:space="preserve">32(2): 173 to 192. (Space Economy Papers corpus, source key SD18.)</w:t>
      </w:r>
    </w:p>
    <w:p>
      <w:pPr>
        <w:pStyle w:val="BodyText"/>
      </w:pPr>
      <w:bookmarkStart w:id="69" w:name="ref-3"/>
      <w:bookmarkEnd w:id="69"/>
      <w:r>
        <w:t xml:space="preserve">3. The Role of Space in Driving Sustainability, Security, and Development. (Space Economy Papers corpus, source key SD13.)</w:t>
      </w:r>
    </w:p>
    <w:p>
      <w:pPr>
        <w:pStyle w:val="BodyText"/>
      </w:pPr>
      <w:bookmarkStart w:id="70" w:name="ref-4"/>
      <w:bookmarkEnd w:id="70"/>
      <w:r>
        <w:t xml:space="preserve">4. Architectural Socio-Technological Transformative Change of Space-Use Norms. (Space Economy Papers corpus, source key SD03.)</w:t>
      </w:r>
    </w:p>
    <w:bookmarkEnd w:id="71"/>
    <w:bookmarkStart w:id="72" w:name="specification"/>
    <w:p>
      <w:pPr>
        <w:pStyle w:val="Heading2"/>
      </w:pPr>
      <w:r>
        <w:t xml:space="preserve">Specification</w:t>
      </w:r>
    </w:p>
    <w:p>
      <w:pPr>
        <w:pStyle w:val="FirstParagraph"/>
      </w:pPr>
      <m:oMathPara>
        <m:oMathParaPr>
          <m:jc m:val="center"/>
        </m:oMathParaPr>
        <m:oMath>
          <m:sSub>
            <m:e>
              <m:r>
                <m:rPr>
                  <m:nor/>
                  <m:sty m:val="p"/>
                </m:rPr>
                <m:t>cost_growth_pct</m:t>
              </m:r>
            </m:e>
            <m:sub>
              <m:r>
                <m:t>i</m:t>
              </m:r>
            </m:sub>
          </m:sSub>
          <m:r>
            <m:rPr>
              <m:sty m:val="p"/>
            </m:rPr>
            <m:t>=</m:t>
          </m:r>
          <m:sSub>
            <m:e>
              <m:r>
                <m:t>β</m:t>
              </m:r>
            </m:e>
            <m:sub>
              <m:r>
                <m:t>0</m:t>
              </m:r>
            </m:sub>
          </m:sSub>
          <m:r>
            <m:rPr>
              <m:sty m:val="p"/>
            </m:rPr>
            <m:t>+</m:t>
          </m:r>
          <m:sSub>
            <m:e>
              <m:r>
                <m:t>β</m:t>
              </m:r>
            </m:e>
            <m:sub>
              <m:r>
                <m:t>1</m:t>
              </m:r>
            </m:sub>
          </m:sSub>
          <m:r>
            <m:t> </m:t>
          </m:r>
          <m:sSub>
            <m:e>
              <m:r>
                <m:rPr>
                  <m:nor/>
                  <m:sty m:val="p"/>
                </m:rPr>
                <m:t>ffrdc_se_intensive</m:t>
              </m:r>
            </m:e>
            <m:sub>
              <m:r>
                <m:t>i</m:t>
              </m:r>
            </m:sub>
          </m:sSub>
          <m:r>
            <m:rPr>
              <m:sty m:val="p"/>
            </m:rPr>
            <m:t>+</m:t>
          </m:r>
          <m:sSub>
            <m:e>
              <m:r>
                <m:t>β</m:t>
              </m:r>
            </m:e>
            <m:sub>
              <m:r>
                <m:t>2</m:t>
              </m:r>
            </m:sub>
          </m:sSub>
          <m:r>
            <m:t> </m:t>
          </m:r>
          <m:sSub>
            <m:e>
              <m:r>
                <m:rPr>
                  <m:nor/>
                  <m:sty m:val="p"/>
                </m:rPr>
                <m:t>planned_dev_months</m:t>
              </m:r>
            </m:e>
            <m:sub>
              <m:r>
                <m:t>i</m:t>
              </m:r>
            </m:sub>
          </m:sSub>
          <m:r>
            <m:rPr>
              <m:sty m:val="p"/>
            </m:rPr>
            <m:t>+</m:t>
          </m:r>
          <m:sSub>
            <m:e>
              <m:r>
                <m:t>β</m:t>
              </m:r>
            </m:e>
            <m:sub>
              <m:r>
                <m:t>3</m:t>
              </m:r>
            </m:sub>
          </m:sSub>
          <m:r>
            <m:t> </m:t>
          </m:r>
          <m:sSub>
            <m:e>
              <m:r>
                <m:rPr>
                  <m:nor/>
                  <m:sty m:val="p"/>
                </m:rPr>
                <m:t>instrument_count</m:t>
              </m:r>
            </m:e>
            <m:sub>
              <m:r>
                <m:t>i</m:t>
              </m:r>
            </m:sub>
          </m:sSub>
          <m:r>
            <m:rPr>
              <m:sty m:val="p"/>
            </m:rPr>
            <m:t>+</m:t>
          </m:r>
          <m:sSub>
            <m:e>
              <m:r>
                <m:t>ε</m:t>
              </m:r>
            </m:e>
            <m:sub>
              <m:r>
                <m:t>i</m:t>
              </m:r>
            </m:sub>
          </m:sSub>
        </m:oMath>
      </m:oMathPara>
    </w:p>
    <w:bookmarkEnd w:id="72"/>
    <w:bookmarkStart w:id="76" w:name="results"/>
    <w:p>
      <w:pPr>
        <w:pStyle w:val="Heading2"/>
      </w:pPr>
      <w:r>
        <w:t xml:space="preserve">Results</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-0.982</w:t>
            </w:r>
          </w:p>
        </w:tc>
        <w:tc>
          <w:tcPr>
            <w:tcW w:w="0" w:type="auto"/>
          </w:tcPr>
          <w:p>
            <w:pPr>
              <w:spacing w:line="240" w:lineRule="auto" w:before="0" w:after="0"/>
              <w:pStyle w:val="Compact"/>
            </w:pPr>
            <w:r>
              <w:rPr>
                <w:sz w:val="20"/>
                <w:szCs w:val="20"/>
              </w:rPr>
              <w:t xml:space="preserve">15.1676</w:t>
            </w:r>
          </w:p>
        </w:tc>
        <w:tc>
          <w:tcPr>
            <w:tcW w:w="0" w:type="auto"/>
          </w:tcPr>
          <w:p>
            <w:pPr>
              <w:spacing w:line="240" w:lineRule="auto" w:before="0" w:after="0"/>
              <w:pStyle w:val="Compact"/>
            </w:pPr>
            <w:r>
              <w:rPr>
                <w:sz w:val="20"/>
                <w:szCs w:val="20"/>
              </w:rPr>
              <w:t xml:space="preserve">-0.0647</w:t>
            </w:r>
          </w:p>
        </w:tc>
        <w:tc>
          <w:tcPr>
            <w:tcW w:w="0" w:type="auto"/>
          </w:tcPr>
          <w:p>
            <w:pPr>
              <w:spacing w:line="240" w:lineRule="auto" w:before="0" w:after="0"/>
              <w:pStyle w:val="Compact"/>
            </w:pPr>
            <w:r>
              <w:rPr>
                <w:sz w:val="20"/>
                <w:szCs w:val="20"/>
              </w:rPr>
              <w:t xml:space="preserve">0.9484</w:t>
            </w:r>
          </w:p>
        </w:tc>
        <w:tc>
          <w:tcPr>
            <w:tcW w:w="0" w:type="auto"/>
          </w:tcPr>
          <w:p>
            <w:pPr>
              <w:spacing w:line="240" w:lineRule="auto" w:before="0" w:after="0"/>
              <w:pStyle w:val="Compact"/>
            </w:pPr>
            <w:r>
              <w:rPr>
                <w:sz w:val="20"/>
                <w:szCs w:val="20"/>
              </w:rPr>
              <w:t xml:space="preserve">[-30.7099, 28.7459]</w:t>
            </w:r>
          </w:p>
        </w:tc>
      </w:tr>
      <w:tr>
        <w:tc>
          <w:tcPr>
            <w:tcW w:w="0" w:type="auto"/>
          </w:tcPr>
          <w:p>
            <w:pPr>
              <w:spacing w:line="240" w:lineRule="auto" w:before="0" w:after="0"/>
              <w:pStyle w:val="Compact"/>
            </w:pPr>
            <w:r>
              <w:rPr>
                <w:sz w:val="20"/>
                <w:szCs w:val="20"/>
              </w:rPr>
              <w:t xml:space="preserve">ffrdc_se_intensive</w:t>
            </w:r>
          </w:p>
        </w:tc>
        <w:tc>
          <w:tcPr>
            <w:tcW w:w="0" w:type="auto"/>
          </w:tcPr>
          <w:p>
            <w:pPr>
              <w:spacing w:line="240" w:lineRule="auto" w:before="0" w:after="0"/>
              <w:pStyle w:val="Compact"/>
            </w:pPr>
            <w:r>
              <w:rPr>
                <w:sz w:val="20"/>
                <w:szCs w:val="20"/>
              </w:rPr>
              <w:t xml:space="preserve">8.833</w:t>
            </w:r>
          </w:p>
        </w:tc>
        <w:tc>
          <w:tcPr>
            <w:tcW w:w="0" w:type="auto"/>
          </w:tcPr>
          <w:p>
            <w:pPr>
              <w:spacing w:line="240" w:lineRule="auto" w:before="0" w:after="0"/>
              <w:pStyle w:val="Compact"/>
            </w:pPr>
            <w:r>
              <w:rPr>
                <w:sz w:val="20"/>
                <w:szCs w:val="20"/>
              </w:rPr>
              <w:t xml:space="preserve">8.6899</w:t>
            </w:r>
          </w:p>
        </w:tc>
        <w:tc>
          <w:tcPr>
            <w:tcW w:w="0" w:type="auto"/>
          </w:tcPr>
          <w:p>
            <w:pPr>
              <w:spacing w:line="240" w:lineRule="auto" w:before="0" w:after="0"/>
              <w:pStyle w:val="Compact"/>
            </w:pPr>
            <w:r>
              <w:rPr>
                <w:sz w:val="20"/>
                <w:szCs w:val="20"/>
              </w:rPr>
              <w:t xml:space="preserve">1.0165</w:t>
            </w:r>
          </w:p>
        </w:tc>
        <w:tc>
          <w:tcPr>
            <w:tcW w:w="0" w:type="auto"/>
          </w:tcPr>
          <w:p>
            <w:pPr>
              <w:spacing w:line="240" w:lineRule="auto" w:before="0" w:after="0"/>
              <w:pStyle w:val="Compact"/>
            </w:pPr>
            <w:r>
              <w:rPr>
                <w:sz w:val="20"/>
                <w:szCs w:val="20"/>
              </w:rPr>
              <w:t xml:space="preserve">0.3094</w:t>
            </w:r>
          </w:p>
        </w:tc>
        <w:tc>
          <w:tcPr>
            <w:tcW w:w="0" w:type="auto"/>
          </w:tcPr>
          <w:p>
            <w:pPr>
              <w:spacing w:line="240" w:lineRule="auto" w:before="0" w:after="0"/>
              <w:pStyle w:val="Compact"/>
            </w:pPr>
            <w:r>
              <w:rPr>
                <w:sz w:val="20"/>
                <w:szCs w:val="20"/>
              </w:rPr>
              <w:t xml:space="preserve">[-8.1988, 25.8648]</w:t>
            </w:r>
          </w:p>
        </w:tc>
      </w:tr>
      <w:tr>
        <w:tc>
          <w:tcPr>
            <w:tcW w:w="0" w:type="auto"/>
          </w:tcPr>
          <w:p>
            <w:pPr>
              <w:spacing w:line="240" w:lineRule="auto" w:before="0" w:after="0"/>
              <w:pStyle w:val="Compact"/>
            </w:pPr>
            <w:r>
              <w:rPr>
                <w:sz w:val="20"/>
                <w:szCs w:val="20"/>
              </w:rPr>
              <w:t xml:space="preserve">planned_dev_months</w:t>
            </w:r>
          </w:p>
        </w:tc>
        <w:tc>
          <w:tcPr>
            <w:tcW w:w="0" w:type="auto"/>
          </w:tcPr>
          <w:p>
            <w:pPr>
              <w:spacing w:line="240" w:lineRule="auto" w:before="0" w:after="0"/>
              <w:pStyle w:val="Compact"/>
            </w:pPr>
            <w:r>
              <w:rPr>
                <w:sz w:val="20"/>
                <w:szCs w:val="20"/>
              </w:rPr>
              <w:t xml:space="preserve">0.3329</w:t>
            </w:r>
          </w:p>
        </w:tc>
        <w:tc>
          <w:tcPr>
            <w:tcW w:w="0" w:type="auto"/>
          </w:tcPr>
          <w:p>
            <w:pPr>
              <w:spacing w:line="240" w:lineRule="auto" w:before="0" w:after="0"/>
              <w:pStyle w:val="Compact"/>
            </w:pPr>
            <w:r>
              <w:rPr>
                <w:sz w:val="20"/>
                <w:szCs w:val="20"/>
              </w:rPr>
              <w:t xml:space="preserve">0.2626</w:t>
            </w:r>
          </w:p>
        </w:tc>
        <w:tc>
          <w:tcPr>
            <w:tcW w:w="0" w:type="auto"/>
          </w:tcPr>
          <w:p>
            <w:pPr>
              <w:spacing w:line="240" w:lineRule="auto" w:before="0" w:after="0"/>
              <w:pStyle w:val="Compact"/>
            </w:pPr>
            <w:r>
              <w:rPr>
                <w:sz w:val="20"/>
                <w:szCs w:val="20"/>
              </w:rPr>
              <w:t xml:space="preserve">1.2677</w:t>
            </w:r>
          </w:p>
        </w:tc>
        <w:tc>
          <w:tcPr>
            <w:tcW w:w="0" w:type="auto"/>
          </w:tcPr>
          <w:p>
            <w:pPr>
              <w:spacing w:line="240" w:lineRule="auto" w:before="0" w:after="0"/>
              <w:pStyle w:val="Compact"/>
            </w:pPr>
            <w:r>
              <w:rPr>
                <w:sz w:val="20"/>
                <w:szCs w:val="20"/>
              </w:rPr>
              <w:t xml:space="preserve">0.2049</w:t>
            </w:r>
          </w:p>
        </w:tc>
        <w:tc>
          <w:tcPr>
            <w:tcW w:w="0" w:type="auto"/>
          </w:tcPr>
          <w:p>
            <w:pPr>
              <w:spacing w:line="240" w:lineRule="auto" w:before="0" w:after="0"/>
              <w:pStyle w:val="Compact"/>
            </w:pPr>
            <w:r>
              <w:rPr>
                <w:sz w:val="20"/>
                <w:szCs w:val="20"/>
              </w:rPr>
              <w:t xml:space="preserve">[-0.1818, 0.8476]</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-0.7625</w:t>
            </w:r>
          </w:p>
        </w:tc>
        <w:tc>
          <w:tcPr>
            <w:tcW w:w="0" w:type="auto"/>
          </w:tcPr>
          <w:p>
            <w:pPr>
              <w:spacing w:line="240" w:lineRule="auto" w:before="0" w:after="0"/>
              <w:pStyle w:val="Compact"/>
            </w:pPr>
            <w:r>
              <w:rPr>
                <w:sz w:val="20"/>
                <w:szCs w:val="20"/>
              </w:rPr>
              <w:t xml:space="preserve">1.3605</w:t>
            </w:r>
          </w:p>
        </w:tc>
        <w:tc>
          <w:tcPr>
            <w:tcW w:w="0" w:type="auto"/>
          </w:tcPr>
          <w:p>
            <w:pPr>
              <w:spacing w:line="240" w:lineRule="auto" w:before="0" w:after="0"/>
              <w:pStyle w:val="Compact"/>
            </w:pPr>
            <w:r>
              <w:rPr>
                <w:sz w:val="20"/>
                <w:szCs w:val="20"/>
              </w:rPr>
              <w:t xml:space="preserve">-0.5605</w:t>
            </w:r>
          </w:p>
        </w:tc>
        <w:tc>
          <w:tcPr>
            <w:tcW w:w="0" w:type="auto"/>
          </w:tcPr>
          <w:p>
            <w:pPr>
              <w:spacing w:line="240" w:lineRule="auto" w:before="0" w:after="0"/>
              <w:pStyle w:val="Compact"/>
            </w:pPr>
            <w:r>
              <w:rPr>
                <w:sz w:val="20"/>
                <w:szCs w:val="20"/>
              </w:rPr>
              <w:t xml:space="preserve">0.5752</w:t>
            </w:r>
          </w:p>
        </w:tc>
        <w:tc>
          <w:tcPr>
            <w:tcW w:w="0" w:type="auto"/>
          </w:tcPr>
          <w:p>
            <w:pPr>
              <w:spacing w:line="240" w:lineRule="auto" w:before="0" w:after="0"/>
              <w:pStyle w:val="Compact"/>
            </w:pPr>
            <w:r>
              <w:rPr>
                <w:sz w:val="20"/>
                <w:szCs w:val="20"/>
              </w:rPr>
              <w:t xml:space="preserve">[-3.4289, 1.904]</w:t>
            </w:r>
          </w:p>
        </w:tc>
      </w:tr>
    </w:tbl>
    <w:p>
      <w:pPr>
        <w:pStyle w:val="BodyText"/>
      </w:pPr>
      <w:r>
        <w:t xml:space="preserve">Fit: N = 30 R2 = 0.2056 R2_adj = 0.114 F = 2.0205 F_p = 0.1357</w:t>
      </w:r>
    </w:p>
    <w:p>
      <w:pPr>
        <w:pStyle w:val="CaptionedFigure"/>
      </w:pPr>
      <w:r>
        <w:drawing>
          <wp:inline>
            <wp:extent cx="5669280" cy="3657600"/>
            <wp:effectExtent b="0" l="0" r="0" t="0"/>
            <wp:docPr descr="Figure 1. Cost growth from Phase B baseline against planned development duration for thirty NASA and NOAA civil space major projects; the FFRDC-SE-intensive subset does not concentrate at lower cost growth at any given duration." title="" id="74" name="Picture"/>
            <a:graphic>
              <a:graphicData uri="http://schemas.openxmlformats.org/drawingml/2006/picture">
                <pic:pic>
                  <pic:nvPicPr>
                    <pic:cNvPr descr="D:\Claude_Code\brain\collegium\candidates\dissertations\ENTERPRISE_ACQ_04\research_papers\p1\paper_fig1.png" id="75" name="Picture"/>
                    <pic:cNvPicPr>
                      <a:picLocks noChangeArrowheads="1" noChangeAspect="1"/>
                    </pic:cNvPicPr>
                  </pic:nvPicPr>
                  <pic:blipFill>
                    <a:blip r:embed="rId73"/>
                    <a:stretch>
                      <a:fillRect/>
                    </a:stretch>
                  </pic:blipFill>
                  <pic:spPr bwMode="auto">
                    <a:xfrm>
                      <a:off x="0" y="0"/>
                      <a:ext cx="5669280" cy="3657600"/>
                    </a:xfrm>
                    <a:prstGeom prst="rect">
                      <a:avLst/>
                    </a:prstGeom>
                    <a:noFill/>
                    <a:ln w="9525">
                      <a:noFill/>
                      <a:headEnd/>
                      <a:tailEnd/>
                    </a:ln>
                  </pic:spPr>
                </pic:pic>
              </a:graphicData>
            </a:graphic>
          </wp:inline>
        </w:drawing>
      </w:r>
    </w:p>
    <w:p>
      <w:pPr>
        <w:pStyle w:val="ImageCaption"/>
      </w:pPr>
      <w:r>
        <w:t xml:space="preserve">Figure 1. Cost growth from Phase B baseline against planned development duration for thirty NASA and NOAA civil space major projects; the FFRDC-SE-intensive subset does not concentrate at lower cost growth at any given duration.</w:t>
      </w:r>
    </w:p>
    <w:bookmarkEnd w:id="76"/>
    <w:bookmarkStart w:id="80" w:name="empirical-workbook-embedded"/>
    <w:p>
      <w:pPr>
        <w:pStyle w:val="Heading2"/>
      </w:pPr>
      <w:r>
        <w:t xml:space="preserve">Empirical Workbook (embedded)</w:t>
      </w:r>
    </w:p>
    <w:p>
      <w:pPr>
        <w:pStyle w:val="FirstParagraph"/>
      </w:pPr>
      <w:r>
        <w:t xml:space="preserve">Every figure above is reproduced from the workbook below, which is also attached as the live spreadsheet</w:t>
      </w:r>
      <w:r>
        <w:t xml:space="preserve"> </w:t>
      </w:r>
      <w:r>
        <w:rPr>
          <w:rStyle w:val="VerbatimChar"/>
        </w:rPr>
        <w:t xml:space="preserve">paper.xlsx</w:t>
      </w:r>
      <w:r>
        <w:t xml:space="preserve">. Each observation carries its source.</w:t>
      </w:r>
    </w:p>
    <w:bookmarkStart w:id="77" w:name="data-real-observations"/>
    <w:p>
      <w:pPr>
        <w:pStyle w:val="Heading3"/>
      </w:pPr>
      <w:r>
        <w:t xml:space="preserve">Data (real observations)</w:t>
      </w:r>
    </w:p>
    <w:tbl>
      <w:tblPr>
        <w:tblStyle w:val="Table"/>
        <w:tblLook w:firstRow="1" w:lastRow="0" w:firstColumn="0" w:lastColumn="0" w:noHBand="0" w:noVBand="0" w:val="0020"/>
        <w:tblLayout w:type="autofit"/>
        <w:tblW w:w="0" w:type="auto"/>
      </w:tblPr>
      <w:tblGrid>
        <w:gridCol w:w="719"/>
        <w:gridCol w:w="719"/>
        <w:gridCol w:w="719"/>
        <w:gridCol w:w="719"/>
        <w:gridCol w:w="719"/>
        <w:gridCol w:w="719"/>
        <w:gridCol w:w="719"/>
        <w:gridCol w:w="719"/>
        <w:gridCol w:w="719"/>
        <w:gridCol w:w="719"/>
        <w:gridCol w:w="719"/>
      </w:tblGrid>
      <w:tr>
        <w:trPr>
          <w:tblHeader w:val="on"/>
        </w:trPr>
        <w:tc>
          <w:tcPr>
            <w:tcW w:w="0" w:type="auto"/>
          </w:tcPr>
          <w:p>
            <w:pPr>
              <w:spacing w:line="240" w:lineRule="auto" w:before="0" w:after="0"/>
              <w:pStyle w:val="Compact"/>
            </w:pPr>
            <w:r>
              <w:rPr>
                <w:sz w:val="20"/>
                <w:szCs w:val="20"/>
              </w:rPr>
              <w:t xml:space="preserve">project</w:t>
            </w:r>
          </w:p>
        </w:tc>
        <w:tc>
          <w:tcPr>
            <w:tcW w:w="0" w:type="auto"/>
          </w:tcPr>
          <w:p>
            <w:pPr>
              <w:spacing w:line="240" w:lineRule="auto" w:before="0" w:after="0"/>
              <w:pStyle w:val="Compact"/>
            </w:pPr>
            <w:r>
              <w:rPr>
                <w:sz w:val="20"/>
                <w:szCs w:val="20"/>
              </w:rPr>
              <w:t xml:space="preserve">agency</w:t>
            </w:r>
          </w:p>
        </w:tc>
        <w:tc>
          <w:tcPr>
            <w:tcW w:w="0" w:type="auto"/>
          </w:tcPr>
          <w:p>
            <w:pPr>
              <w:spacing w:line="240" w:lineRule="auto" w:before="0" w:after="0"/>
              <w:pStyle w:val="Compact"/>
            </w:pPr>
            <w:r>
              <w:rPr>
                <w:sz w:val="20"/>
                <w:szCs w:val="20"/>
              </w:rPr>
              <w:t xml:space="preserve">phase_b_cost_baseline_musd</w:t>
            </w:r>
          </w:p>
        </w:tc>
        <w:tc>
          <w:tcPr>
            <w:tcW w:w="0" w:type="auto"/>
          </w:tcPr>
          <w:p>
            <w:pPr>
              <w:spacing w:line="240" w:lineRule="auto" w:before="0" w:after="0"/>
              <w:pStyle w:val="Compact"/>
            </w:pPr>
            <w:r>
              <w:rPr>
                <w:sz w:val="20"/>
                <w:szCs w:val="20"/>
              </w:rPr>
              <w:t xml:space="preserve">latest_cost_estimate_musd</w:t>
            </w:r>
          </w:p>
        </w:tc>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planned_dev_months</w:t>
            </w:r>
          </w:p>
        </w:tc>
        <w:tc>
          <w:tcPr>
            <w:tcW w:w="0" w:type="auto"/>
          </w:tcPr>
          <w:p>
            <w:pPr>
              <w:spacing w:line="240" w:lineRule="auto" w:before="0" w:after="0"/>
              <w:pStyle w:val="Compact"/>
            </w:pPr>
            <w:r>
              <w:rPr>
                <w:sz w:val="20"/>
                <w:szCs w:val="20"/>
              </w:rPr>
              <w:t xml:space="preserve">actual_dev_months</w:t>
            </w:r>
          </w:p>
        </w:tc>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ffrdc_se_intensive</w:t>
            </w:r>
          </w:p>
        </w:tc>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source</w:t>
            </w:r>
          </w:p>
        </w:tc>
      </w:tr>
      <w:tr>
        <w:tc>
          <w:tcPr>
            <w:tcW w:w="0" w:type="auto"/>
          </w:tcPr>
          <w:p>
            <w:pPr>
              <w:spacing w:line="240" w:lineRule="auto" w:before="0" w:after="0"/>
              <w:pStyle w:val="Compact"/>
            </w:pPr>
            <w:r>
              <w:rPr>
                <w:sz w:val="20"/>
                <w:szCs w:val="20"/>
              </w:rPr>
              <w:t xml:space="preserve">James Webb Space Telescope</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5100</w:t>
            </w:r>
          </w:p>
        </w:tc>
        <w:tc>
          <w:tcPr>
            <w:tcW w:w="0" w:type="auto"/>
          </w:tcPr>
          <w:p>
            <w:pPr>
              <w:spacing w:line="240" w:lineRule="auto" w:before="0" w:after="0"/>
              <w:pStyle w:val="Compact"/>
            </w:pPr>
            <w:r>
              <w:rPr>
                <w:sz w:val="20"/>
                <w:szCs w:val="20"/>
              </w:rPr>
              <w:t xml:space="preserve">9700</w:t>
            </w:r>
          </w:p>
        </w:tc>
        <w:tc>
          <w:tcPr>
            <w:tcW w:w="0" w:type="auto"/>
          </w:tcPr>
          <w:p>
            <w:pPr>
              <w:spacing w:line="240" w:lineRule="auto" w:before="0" w:after="0"/>
              <w:pStyle w:val="Compact"/>
            </w:pPr>
            <w:r>
              <w:rPr>
                <w:sz w:val="20"/>
                <w:szCs w:val="20"/>
              </w:rPr>
              <w:t xml:space="preserve">90.2</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228</w:t>
            </w:r>
          </w:p>
        </w:tc>
        <w:tc>
          <w:tcPr>
            <w:tcW w:w="0" w:type="auto"/>
          </w:tcPr>
          <w:p>
            <w:pPr>
              <w:spacing w:line="240" w:lineRule="auto" w:before="0" w:after="0"/>
              <w:pStyle w:val="Compact"/>
            </w:pPr>
            <w:r>
              <w:rPr>
                <w:sz w:val="20"/>
                <w:szCs w:val="20"/>
              </w:rPr>
              <w:t xml:space="preserve">120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GAO-20-405 NASA Major Project Assessment 2020 (gao.gov/products/gao-20-405); JWST baseline rebaseline history (jwst.nasa.gov; nasa.gov/feature/goddard/2018)</w:t>
            </w:r>
          </w:p>
        </w:tc>
      </w:tr>
      <w:tr>
        <w:tc>
          <w:tcPr>
            <w:tcW w:w="0" w:type="auto"/>
          </w:tcPr>
          <w:p>
            <w:pPr>
              <w:spacing w:line="240" w:lineRule="auto" w:before="0" w:after="0"/>
              <w:pStyle w:val="Compact"/>
            </w:pPr>
            <w:r>
              <w:rPr>
                <w:sz w:val="20"/>
                <w:szCs w:val="20"/>
              </w:rPr>
              <w:t xml:space="preserve">Mars Science Laboratory (Curiosity)</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1638</w:t>
            </w:r>
          </w:p>
        </w:tc>
        <w:tc>
          <w:tcPr>
            <w:tcW w:w="0" w:type="auto"/>
          </w:tcPr>
          <w:p>
            <w:pPr>
              <w:spacing w:line="240" w:lineRule="auto" w:before="0" w:after="0"/>
              <w:pStyle w:val="Compact"/>
            </w:pPr>
            <w:r>
              <w:rPr>
                <w:sz w:val="20"/>
                <w:szCs w:val="20"/>
              </w:rPr>
              <w:t xml:space="preserve">2466</w:t>
            </w:r>
          </w:p>
        </w:tc>
        <w:tc>
          <w:tcPr>
            <w:tcW w:w="0" w:type="auto"/>
          </w:tcPr>
          <w:p>
            <w:pPr>
              <w:spacing w:line="240" w:lineRule="auto" w:before="0" w:after="0"/>
              <w:pStyle w:val="Compact"/>
            </w:pPr>
            <w:r>
              <w:rPr>
                <w:sz w:val="20"/>
                <w:szCs w:val="20"/>
              </w:rPr>
              <w:t xml:space="preserve">50.5</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10</w:t>
            </w:r>
          </w:p>
        </w:tc>
        <w:tc>
          <w:tcPr>
            <w:tcW w:w="0" w:type="auto"/>
          </w:tcPr>
          <w:p>
            <w:pPr>
              <w:spacing w:line="240" w:lineRule="auto" w:before="0" w:after="0"/>
              <w:pStyle w:val="Compact"/>
            </w:pPr>
            <w:r>
              <w:rPr>
                <w:sz w:val="20"/>
                <w:szCs w:val="20"/>
              </w:rPr>
              <w:t xml:space="preserve">GAO-12-207SP NASA Assessments of Selected Large-Scale Projects 2012 (gao.gov/products/gao-12-207sp); MSL launch slip 2009 to 2011</w:t>
            </w:r>
          </w:p>
        </w:tc>
      </w:tr>
      <w:tr>
        <w:tc>
          <w:tcPr>
            <w:tcW w:w="0" w:type="auto"/>
          </w:tcPr>
          <w:p>
            <w:pPr>
              <w:spacing w:line="240" w:lineRule="auto" w:before="0" w:after="0"/>
              <w:pStyle w:val="Compact"/>
            </w:pPr>
            <w:r>
              <w:rPr>
                <w:sz w:val="20"/>
                <w:szCs w:val="20"/>
              </w:rPr>
              <w:t xml:space="preserve">Mars 2020 (Perseverance)</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2095</w:t>
            </w:r>
          </w:p>
        </w:tc>
        <w:tc>
          <w:tcPr>
            <w:tcW w:w="0" w:type="auto"/>
          </w:tcPr>
          <w:p>
            <w:pPr>
              <w:spacing w:line="240" w:lineRule="auto" w:before="0" w:after="0"/>
              <w:pStyle w:val="Compact"/>
            </w:pPr>
            <w:r>
              <w:rPr>
                <w:sz w:val="20"/>
                <w:szCs w:val="20"/>
              </w:rPr>
              <w:t xml:space="preserve">2424</w:t>
            </w:r>
          </w:p>
        </w:tc>
        <w:tc>
          <w:tcPr>
            <w:tcW w:w="0" w:type="auto"/>
          </w:tcPr>
          <w:p>
            <w:pPr>
              <w:spacing w:line="240" w:lineRule="auto" w:before="0" w:after="0"/>
              <w:pStyle w:val="Compact"/>
            </w:pPr>
            <w:r>
              <w:rPr>
                <w:sz w:val="20"/>
                <w:szCs w:val="20"/>
              </w:rPr>
              <w:t xml:space="preserve">15.7</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7</w:t>
            </w:r>
          </w:p>
        </w:tc>
        <w:tc>
          <w:tcPr>
            <w:tcW w:w="0" w:type="auto"/>
          </w:tcPr>
          <w:p>
            <w:pPr>
              <w:spacing w:line="240" w:lineRule="auto" w:before="0" w:after="0"/>
              <w:pStyle w:val="Compact"/>
            </w:pPr>
            <w:r>
              <w:rPr>
                <w:sz w:val="20"/>
                <w:szCs w:val="20"/>
              </w:rPr>
              <w:t xml:space="preserve">GAO-21-306 NASA Major Projects 2021 (gao.gov/products/gao-21-306); JPL Mars 2020 project (mars.nasa.gov/mars2020)</w:t>
            </w:r>
          </w:p>
        </w:tc>
      </w:tr>
      <w:tr>
        <w:tc>
          <w:tcPr>
            <w:tcW w:w="0" w:type="auto"/>
          </w:tcPr>
          <w:p>
            <w:pPr>
              <w:spacing w:line="240" w:lineRule="auto" w:before="0" w:after="0"/>
              <w:pStyle w:val="Compact"/>
            </w:pPr>
            <w:r>
              <w:rPr>
                <w:sz w:val="20"/>
                <w:szCs w:val="20"/>
              </w:rPr>
              <w:t xml:space="preserve">OSIRIS-REx</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800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GAO-17-262SP NASA Assessments of Major Projects 2017 (gao.gov/products/gao-17-262sp); on-budget, on-schedule per GAO</w:t>
            </w:r>
          </w:p>
        </w:tc>
      </w:tr>
      <w:tr>
        <w:tc>
          <w:tcPr>
            <w:tcW w:w="0" w:type="auto"/>
          </w:tcPr>
          <w:p>
            <w:pPr>
              <w:spacing w:line="240" w:lineRule="auto" w:before="0" w:after="0"/>
              <w:pStyle w:val="Compact"/>
            </w:pPr>
            <w:r>
              <w:rPr>
                <w:sz w:val="20"/>
                <w:szCs w:val="20"/>
              </w:rPr>
              <w:t xml:space="preserve">GRACE Follow-On</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388</w:t>
            </w:r>
          </w:p>
        </w:tc>
        <w:tc>
          <w:tcPr>
            <w:tcW w:w="0" w:type="auto"/>
          </w:tcPr>
          <w:p>
            <w:pPr>
              <w:spacing w:line="240" w:lineRule="auto" w:before="0" w:after="0"/>
              <w:pStyle w:val="Compact"/>
            </w:pPr>
            <w:r>
              <w:rPr>
                <w:sz w:val="20"/>
                <w:szCs w:val="20"/>
              </w:rPr>
              <w:t xml:space="preserve">430</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GAO-18-280SP NASA Major Project Assessments 2018 (gao.gov/products/gao-18-280sp); JPL/GFZ partnership</w:t>
            </w:r>
          </w:p>
        </w:tc>
      </w:tr>
      <w:tr>
        <w:tc>
          <w:tcPr>
            <w:tcW w:w="0" w:type="auto"/>
          </w:tcPr>
          <w:p>
            <w:pPr>
              <w:spacing w:line="240" w:lineRule="auto" w:before="0" w:after="0"/>
              <w:pStyle w:val="Compact"/>
            </w:pPr>
            <w:r>
              <w:rPr>
                <w:sz w:val="20"/>
                <w:szCs w:val="20"/>
              </w:rPr>
              <w:t xml:space="preserve">ICESat-2</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793</w:t>
            </w:r>
          </w:p>
        </w:tc>
        <w:tc>
          <w:tcPr>
            <w:tcW w:w="0" w:type="auto"/>
          </w:tcPr>
          <w:p>
            <w:pPr>
              <w:spacing w:line="240" w:lineRule="auto" w:before="0" w:after="0"/>
              <w:pStyle w:val="Compact"/>
            </w:pPr>
            <w:r>
              <w:rPr>
                <w:sz w:val="20"/>
                <w:szCs w:val="20"/>
              </w:rPr>
              <w:t xml:space="preserve">1006</w:t>
            </w:r>
          </w:p>
        </w:tc>
        <w:tc>
          <w:tcPr>
            <w:tcW w:w="0" w:type="auto"/>
          </w:tcPr>
          <w:p>
            <w:pPr>
              <w:spacing w:line="240" w:lineRule="auto" w:before="0" w:after="0"/>
              <w:pStyle w:val="Compact"/>
            </w:pPr>
            <w:r>
              <w:rPr>
                <w:sz w:val="20"/>
                <w:szCs w:val="20"/>
              </w:rPr>
              <w:t xml:space="preserve">26.9</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GAO-18-280SP NASA Major Project Assessments 2018 (gao.gov/products/gao-18-280sp); ATLAS instrument delays</w:t>
            </w:r>
          </w:p>
        </w:tc>
      </w:tr>
      <w:tr>
        <w:tc>
          <w:tcPr>
            <w:tcW w:w="0" w:type="auto"/>
          </w:tcPr>
          <w:p>
            <w:pPr>
              <w:spacing w:line="240" w:lineRule="auto" w:before="0" w:after="0"/>
              <w:pStyle w:val="Compact"/>
            </w:pPr>
            <w:r>
              <w:rPr>
                <w:sz w:val="20"/>
                <w:szCs w:val="20"/>
              </w:rPr>
              <w:t xml:space="preserve">Landsat 9</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650</w:t>
            </w:r>
          </w:p>
        </w:tc>
        <w:tc>
          <w:tcPr>
            <w:tcW w:w="0" w:type="auto"/>
          </w:tcPr>
          <w:p>
            <w:pPr>
              <w:spacing w:line="240" w:lineRule="auto" w:before="0" w:after="0"/>
              <w:pStyle w:val="Compact"/>
            </w:pPr>
            <w:r>
              <w:rPr>
                <w:sz w:val="20"/>
                <w:szCs w:val="20"/>
              </w:rPr>
              <w:t xml:space="preserve">884</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GAO-21-306 NASA Major Projects 2021 (gao.gov/products/gao-21-306); USGS partnership</w:t>
            </w:r>
          </w:p>
        </w:tc>
      </w:tr>
      <w:tr>
        <w:tc>
          <w:tcPr>
            <w:tcW w:w="0" w:type="auto"/>
          </w:tcPr>
          <w:p>
            <w:pPr>
              <w:spacing w:line="240" w:lineRule="auto" w:before="0" w:after="0"/>
              <w:pStyle w:val="Compact"/>
            </w:pPr>
            <w:r>
              <w:rPr>
                <w:sz w:val="20"/>
                <w:szCs w:val="20"/>
              </w:rPr>
              <w:t xml:space="preserve">TESS</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200</w:t>
            </w:r>
          </w:p>
        </w:tc>
        <w:tc>
          <w:tcPr>
            <w:tcW w:w="0" w:type="auto"/>
          </w:tcPr>
          <w:p>
            <w:pPr>
              <w:spacing w:line="240" w:lineRule="auto" w:before="0" w:after="0"/>
              <w:pStyle w:val="Compact"/>
            </w:pPr>
            <w:r>
              <w:rPr>
                <w:sz w:val="20"/>
                <w:szCs w:val="20"/>
              </w:rPr>
              <w:t xml:space="preserve">287</w:t>
            </w:r>
          </w:p>
        </w:tc>
        <w:tc>
          <w:tcPr>
            <w:tcW w:w="0" w:type="auto"/>
          </w:tcPr>
          <w:p>
            <w:pPr>
              <w:spacing w:line="240" w:lineRule="auto" w:before="0" w:after="0"/>
              <w:pStyle w:val="Compact"/>
            </w:pPr>
            <w:r>
              <w:rPr>
                <w:sz w:val="20"/>
                <w:szCs w:val="20"/>
              </w:rPr>
              <w:t xml:space="preserve">43.5</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GAO-17-262SP NASA Assessments of Major Projects 2017 (gao.gov/products/gao-17-262sp); MIT-led Explorer-class</w:t>
            </w:r>
          </w:p>
        </w:tc>
      </w:tr>
      <w:tr>
        <w:tc>
          <w:tcPr>
            <w:tcW w:w="0" w:type="auto"/>
          </w:tcPr>
          <w:p>
            <w:pPr>
              <w:spacing w:line="240" w:lineRule="auto" w:before="0" w:after="0"/>
              <w:pStyle w:val="Compact"/>
            </w:pPr>
            <w:r>
              <w:rPr>
                <w:sz w:val="20"/>
                <w:szCs w:val="20"/>
              </w:rPr>
              <w:t xml:space="preserve">Parker Solar Probe</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1305</w:t>
            </w:r>
          </w:p>
        </w:tc>
        <w:tc>
          <w:tcPr>
            <w:tcW w:w="0" w:type="auto"/>
          </w:tcPr>
          <w:p>
            <w:pPr>
              <w:spacing w:line="240" w:lineRule="auto" w:before="0" w:after="0"/>
              <w:pStyle w:val="Compact"/>
            </w:pPr>
            <w:r>
              <w:rPr>
                <w:sz w:val="20"/>
                <w:szCs w:val="20"/>
              </w:rPr>
              <w:t xml:space="preserve">1559</w:t>
            </w:r>
          </w:p>
        </w:tc>
        <w:tc>
          <w:tcPr>
            <w:tcW w:w="0" w:type="auto"/>
          </w:tcPr>
          <w:p>
            <w:pPr>
              <w:spacing w:line="240" w:lineRule="auto" w:before="0" w:after="0"/>
              <w:pStyle w:val="Compact"/>
            </w:pPr>
            <w:r>
              <w:rPr>
                <w:sz w:val="20"/>
                <w:szCs w:val="20"/>
              </w:rPr>
              <w:t xml:space="preserve">19.5</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4</w:t>
            </w:r>
          </w:p>
        </w:tc>
        <w:tc>
          <w:tcPr>
            <w:tcW w:w="0" w:type="auto"/>
          </w:tcPr>
          <w:p>
            <w:pPr>
              <w:spacing w:line="240" w:lineRule="auto" w:before="0" w:after="0"/>
              <w:pStyle w:val="Compact"/>
            </w:pPr>
            <w:r>
              <w:rPr>
                <w:sz w:val="20"/>
                <w:szCs w:val="20"/>
              </w:rPr>
              <w:t xml:space="preserve">GAO-17-262SP NASA Assessments of Major Projects 2017 (gao.gov/products/gao-17-262sp); APL-built mission</w:t>
            </w:r>
          </w:p>
        </w:tc>
      </w:tr>
      <w:tr>
        <w:tc>
          <w:tcPr>
            <w:tcW w:w="0" w:type="auto"/>
          </w:tcPr>
          <w:p>
            <w:pPr>
              <w:spacing w:line="240" w:lineRule="auto" w:before="0" w:after="0"/>
              <w:pStyle w:val="Compact"/>
            </w:pPr>
            <w:r>
              <w:rPr>
                <w:sz w:val="20"/>
                <w:szCs w:val="20"/>
              </w:rPr>
              <w:t xml:space="preserve">InSight</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675</w:t>
            </w:r>
          </w:p>
        </w:tc>
        <w:tc>
          <w:tcPr>
            <w:tcW w:w="0" w:type="auto"/>
          </w:tcPr>
          <w:p>
            <w:pPr>
              <w:spacing w:line="240" w:lineRule="auto" w:before="0" w:after="0"/>
              <w:pStyle w:val="Compact"/>
            </w:pPr>
            <w:r>
              <w:rPr>
                <w:sz w:val="20"/>
                <w:szCs w:val="20"/>
              </w:rPr>
              <w:t xml:space="preserve">830</w:t>
            </w:r>
          </w:p>
        </w:tc>
        <w:tc>
          <w:tcPr>
            <w:tcW w:w="0" w:type="auto"/>
          </w:tcPr>
          <w:p>
            <w:pPr>
              <w:spacing w:line="240" w:lineRule="auto" w:before="0" w:after="0"/>
              <w:pStyle w:val="Compact"/>
            </w:pPr>
            <w:r>
              <w:rPr>
                <w:sz w:val="20"/>
                <w:szCs w:val="20"/>
              </w:rPr>
              <w:t xml:space="preserve">23</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GAO-16-309SP NASA Major Projects 2016 (gao.gov/products/gao-16-309sp); SEIS instrument leak slip 2016 to 2018</w:t>
            </w:r>
          </w:p>
        </w:tc>
      </w:tr>
      <w:tr>
        <w:tc>
          <w:tcPr>
            <w:tcW w:w="0" w:type="auto"/>
          </w:tcPr>
          <w:p>
            <w:pPr>
              <w:spacing w:line="240" w:lineRule="auto" w:before="0" w:after="0"/>
              <w:pStyle w:val="Compact"/>
            </w:pPr>
            <w:r>
              <w:rPr>
                <w:sz w:val="20"/>
                <w:szCs w:val="20"/>
              </w:rPr>
              <w:t xml:space="preserve">SWOT</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755</w:t>
            </w:r>
          </w:p>
        </w:tc>
        <w:tc>
          <w:tcPr>
            <w:tcW w:w="0" w:type="auto"/>
          </w:tcPr>
          <w:p>
            <w:pPr>
              <w:spacing w:line="240" w:lineRule="auto" w:before="0" w:after="0"/>
              <w:pStyle w:val="Compact"/>
            </w:pPr>
            <w:r>
              <w:rPr>
                <w:sz w:val="20"/>
                <w:szCs w:val="20"/>
              </w:rPr>
              <w:t xml:space="preserve">1190</w:t>
            </w:r>
          </w:p>
        </w:tc>
        <w:tc>
          <w:tcPr>
            <w:tcW w:w="0" w:type="auto"/>
          </w:tcPr>
          <w:p>
            <w:pPr>
              <w:spacing w:line="240" w:lineRule="auto" w:before="0" w:after="0"/>
              <w:pStyle w:val="Compact"/>
            </w:pPr>
            <w:r>
              <w:rPr>
                <w:sz w:val="20"/>
                <w:szCs w:val="20"/>
              </w:rPr>
              <w:t xml:space="preserve">57.6</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GAO-22-105212 NASA Major Project Assessments 2022 (gao.gov/products/gao-22-105212); CNES partnership</w:t>
            </w:r>
          </w:p>
        </w:tc>
      </w:tr>
      <w:tr>
        <w:tc>
          <w:tcPr>
            <w:tcW w:w="0" w:type="auto"/>
          </w:tcPr>
          <w:p>
            <w:pPr>
              <w:spacing w:line="240" w:lineRule="auto" w:before="0" w:after="0"/>
              <w:pStyle w:val="Compact"/>
            </w:pPr>
            <w:r>
              <w:rPr>
                <w:sz w:val="20"/>
                <w:szCs w:val="20"/>
              </w:rPr>
              <w:t xml:space="preserve">Lucy</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749</w:t>
            </w:r>
          </w:p>
        </w:tc>
        <w:tc>
          <w:tcPr>
            <w:tcW w:w="0" w:type="auto"/>
          </w:tcPr>
          <w:p>
            <w:pPr>
              <w:spacing w:line="240" w:lineRule="auto" w:before="0" w:after="0"/>
              <w:pStyle w:val="Compact"/>
            </w:pPr>
            <w:r>
              <w:rPr>
                <w:sz w:val="20"/>
                <w:szCs w:val="20"/>
              </w:rPr>
              <w:t xml:space="preserve">989</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GAO-21-306 NASA Major Projects 2021 (gao.gov/products/gao-21-306); SwRI-led Discovery mission</w:t>
            </w:r>
          </w:p>
        </w:tc>
      </w:tr>
      <w:tr>
        <w:tc>
          <w:tcPr>
            <w:tcW w:w="0" w:type="auto"/>
          </w:tcPr>
          <w:p>
            <w:pPr>
              <w:spacing w:line="240" w:lineRule="auto" w:before="0" w:after="0"/>
              <w:pStyle w:val="Compact"/>
            </w:pPr>
            <w:r>
              <w:rPr>
                <w:sz w:val="20"/>
                <w:szCs w:val="20"/>
              </w:rPr>
              <w:t xml:space="preserve">Europa Clipper</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4250</w:t>
            </w:r>
          </w:p>
        </w:tc>
        <w:tc>
          <w:tcPr>
            <w:tcW w:w="0" w:type="auto"/>
          </w:tcPr>
          <w:p>
            <w:pPr>
              <w:spacing w:line="240" w:lineRule="auto" w:before="0" w:after="0"/>
              <w:pStyle w:val="Compact"/>
            </w:pPr>
            <w:r>
              <w:rPr>
                <w:sz w:val="20"/>
                <w:szCs w:val="20"/>
              </w:rPr>
              <w:t xml:space="preserve">5200</w:t>
            </w:r>
          </w:p>
        </w:tc>
        <w:tc>
          <w:tcPr>
            <w:tcW w:w="0" w:type="auto"/>
          </w:tcPr>
          <w:p>
            <w:pPr>
              <w:spacing w:line="240" w:lineRule="auto" w:before="0" w:after="0"/>
              <w:pStyle w:val="Compact"/>
            </w:pPr>
            <w:r>
              <w:rPr>
                <w:sz w:val="20"/>
                <w:szCs w:val="20"/>
              </w:rPr>
              <w:t xml:space="preserve">22.4</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9</w:t>
            </w:r>
          </w:p>
        </w:tc>
        <w:tc>
          <w:tcPr>
            <w:tcW w:w="0" w:type="auto"/>
          </w:tcPr>
          <w:p>
            <w:pPr>
              <w:spacing w:line="240" w:lineRule="auto" w:before="0" w:after="0"/>
              <w:pStyle w:val="Compact"/>
            </w:pPr>
            <w:r>
              <w:rPr>
                <w:sz w:val="20"/>
                <w:szCs w:val="20"/>
              </w:rPr>
              <w:t xml:space="preserve">GAO-23-106021 NASA Major Project Assessments 2023 (gao.gov/products/gao-23-106021); JPL-led mission</w:t>
            </w:r>
          </w:p>
        </w:tc>
      </w:tr>
      <w:tr>
        <w:tc>
          <w:tcPr>
            <w:tcW w:w="0" w:type="auto"/>
          </w:tcPr>
          <w:p>
            <w:pPr>
              <w:spacing w:line="240" w:lineRule="auto" w:before="0" w:after="0"/>
              <w:pStyle w:val="Compact"/>
            </w:pPr>
            <w:r>
              <w:rPr>
                <w:sz w:val="20"/>
                <w:szCs w:val="20"/>
              </w:rPr>
              <w:t xml:space="preserve">DART</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250</w:t>
            </w:r>
          </w:p>
        </w:tc>
        <w:tc>
          <w:tcPr>
            <w:tcW w:w="0" w:type="auto"/>
          </w:tcPr>
          <w:p>
            <w:pPr>
              <w:spacing w:line="240" w:lineRule="auto" w:before="0" w:after="0"/>
              <w:pStyle w:val="Compact"/>
            </w:pPr>
            <w:r>
              <w:rPr>
                <w:sz w:val="20"/>
                <w:szCs w:val="20"/>
              </w:rPr>
              <w:t xml:space="preserve">330</w:t>
            </w:r>
          </w:p>
        </w:tc>
        <w:tc>
          <w:tcPr>
            <w:tcW w:w="0" w:type="auto"/>
          </w:tcPr>
          <w:p>
            <w:pPr>
              <w:spacing w:line="240" w:lineRule="auto" w:before="0" w:after="0"/>
              <w:pStyle w:val="Compact"/>
            </w:pPr>
            <w:r>
              <w:rPr>
                <w:sz w:val="20"/>
                <w:szCs w:val="20"/>
              </w:rPr>
              <w:t xml:space="preserve">32</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GAO-21-306 NASA Major Projects 2021 (gao.gov/products/gao-21-306); APL-led planetary defense demo</w:t>
            </w:r>
          </w:p>
        </w:tc>
      </w:tr>
      <w:tr>
        <w:tc>
          <w:tcPr>
            <w:tcW w:w="0" w:type="auto"/>
          </w:tcPr>
          <w:p>
            <w:pPr>
              <w:spacing w:line="240" w:lineRule="auto" w:before="0" w:after="0"/>
              <w:pStyle w:val="Compact"/>
            </w:pPr>
            <w:r>
              <w:rPr>
                <w:sz w:val="20"/>
                <w:szCs w:val="20"/>
              </w:rPr>
              <w:t xml:space="preserve">Psyche</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855</w:t>
            </w:r>
          </w:p>
        </w:tc>
        <w:tc>
          <w:tcPr>
            <w:tcW w:w="0" w:type="auto"/>
          </w:tcPr>
          <w:p>
            <w:pPr>
              <w:spacing w:line="240" w:lineRule="auto" w:before="0" w:after="0"/>
              <w:pStyle w:val="Compact"/>
            </w:pPr>
            <w:r>
              <w:rPr>
                <w:sz w:val="20"/>
                <w:szCs w:val="20"/>
              </w:rPr>
              <w:t xml:space="preserve">1187</w:t>
            </w:r>
          </w:p>
        </w:tc>
        <w:tc>
          <w:tcPr>
            <w:tcW w:w="0" w:type="auto"/>
          </w:tcPr>
          <w:p>
            <w:pPr>
              <w:spacing w:line="240" w:lineRule="auto" w:before="0" w:after="0"/>
              <w:pStyle w:val="Compact"/>
            </w:pPr>
            <w:r>
              <w:rPr>
                <w:sz w:val="20"/>
                <w:szCs w:val="20"/>
              </w:rPr>
              <w:t xml:space="preserve">38.8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3</w:t>
            </w:r>
          </w:p>
        </w:tc>
        <w:tc>
          <w:tcPr>
            <w:tcW w:w="0" w:type="auto"/>
          </w:tcPr>
          <w:p>
            <w:pPr>
              <w:spacing w:line="240" w:lineRule="auto" w:before="0" w:after="0"/>
              <w:pStyle w:val="Compact"/>
            </w:pPr>
            <w:r>
              <w:rPr>
                <w:sz w:val="20"/>
                <w:szCs w:val="20"/>
              </w:rPr>
              <w:t xml:space="preserve">GAO-23-106021 NASA Major Project Assessments 2023 (gao.gov/products/gao-23-106021); 2022 launch slip to 2023</w:t>
            </w:r>
          </w:p>
        </w:tc>
      </w:tr>
      <w:tr>
        <w:tc>
          <w:tcPr>
            <w:tcW w:w="0" w:type="auto"/>
          </w:tcPr>
          <w:p>
            <w:pPr>
              <w:spacing w:line="240" w:lineRule="auto" w:before="0" w:after="0"/>
              <w:pStyle w:val="Compact"/>
            </w:pPr>
            <w:r>
              <w:rPr>
                <w:sz w:val="20"/>
                <w:szCs w:val="20"/>
              </w:rPr>
              <w:t xml:space="preserve">SLS (Block 1)</w:t>
            </w:r>
          </w:p>
        </w:tc>
        <w:tc>
          <w:tcPr>
            <w:tcW w:w="0" w:type="auto"/>
          </w:tcPr>
          <w:p>
            <w:pPr>
              <w:spacing w:line="240" w:lineRule="auto" w:before="0" w:after="0"/>
              <w:pStyle w:val="Compact"/>
            </w:pPr>
            <w:r>
              <w:rPr>
                <w:sz w:val="20"/>
                <w:szCs w:val="20"/>
              </w:rPr>
              <w:t xml:space="preserve">NASA ESDMD</w:t>
            </w:r>
          </w:p>
        </w:tc>
        <w:tc>
          <w:tcPr>
            <w:tcW w:w="0" w:type="auto"/>
          </w:tcPr>
          <w:p>
            <w:pPr>
              <w:spacing w:line="240" w:lineRule="auto" w:before="0" w:after="0"/>
              <w:pStyle w:val="Compact"/>
            </w:pPr>
            <w:r>
              <w:rPr>
                <w:sz w:val="20"/>
                <w:szCs w:val="20"/>
              </w:rPr>
              <w:t xml:space="preserve">7021</w:t>
            </w:r>
          </w:p>
        </w:tc>
        <w:tc>
          <w:tcPr>
            <w:tcW w:w="0" w:type="auto"/>
          </w:tcPr>
          <w:p>
            <w:pPr>
              <w:spacing w:line="240" w:lineRule="auto" w:before="0" w:after="0"/>
              <w:pStyle w:val="Compact"/>
            </w:pPr>
            <w:r>
              <w:rPr>
                <w:sz w:val="20"/>
                <w:szCs w:val="20"/>
              </w:rPr>
              <w:t xml:space="preserve">11525</w:t>
            </w:r>
          </w:p>
        </w:tc>
        <w:tc>
          <w:tcPr>
            <w:tcW w:w="0" w:type="auto"/>
          </w:tcPr>
          <w:p>
            <w:pPr>
              <w:spacing w:line="240" w:lineRule="auto" w:before="0" w:after="0"/>
              <w:pStyle w:val="Compact"/>
            </w:pPr>
            <w:r>
              <w:rPr>
                <w:sz w:val="20"/>
                <w:szCs w:val="20"/>
              </w:rPr>
              <w:t xml:space="preserve">64.2</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144</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NASA Major Project Assessments 2020; GAO-22-105212 SLS Block 1 cost growth</w:t>
            </w:r>
          </w:p>
        </w:tc>
      </w:tr>
      <w:tr>
        <w:tc>
          <w:tcPr>
            <w:tcW w:w="0" w:type="auto"/>
          </w:tcPr>
          <w:p>
            <w:pPr>
              <w:spacing w:line="240" w:lineRule="auto" w:before="0" w:after="0"/>
              <w:pStyle w:val="Compact"/>
            </w:pPr>
            <w:r>
              <w:rPr>
                <w:sz w:val="20"/>
                <w:szCs w:val="20"/>
              </w:rPr>
              <w:t xml:space="preserve">Orion (EM-1 config)</w:t>
            </w:r>
          </w:p>
        </w:tc>
        <w:tc>
          <w:tcPr>
            <w:tcW w:w="0" w:type="auto"/>
          </w:tcPr>
          <w:p>
            <w:pPr>
              <w:spacing w:line="240" w:lineRule="auto" w:before="0" w:after="0"/>
              <w:pStyle w:val="Compact"/>
            </w:pPr>
            <w:r>
              <w:rPr>
                <w:sz w:val="20"/>
                <w:szCs w:val="20"/>
              </w:rPr>
              <w:t xml:space="preserve">NASA ESDMD</w:t>
            </w:r>
          </w:p>
        </w:tc>
        <w:tc>
          <w:tcPr>
            <w:tcW w:w="0" w:type="auto"/>
          </w:tcPr>
          <w:p>
            <w:pPr>
              <w:spacing w:line="240" w:lineRule="auto" w:before="0" w:after="0"/>
              <w:pStyle w:val="Compact"/>
            </w:pPr>
            <w:r>
              <w:rPr>
                <w:sz w:val="20"/>
                <w:szCs w:val="20"/>
              </w:rPr>
              <w:t xml:space="preserve">6770</w:t>
            </w:r>
          </w:p>
        </w:tc>
        <w:tc>
          <w:tcPr>
            <w:tcW w:w="0" w:type="auto"/>
          </w:tcPr>
          <w:p>
            <w:pPr>
              <w:spacing w:line="240" w:lineRule="auto" w:before="0" w:after="0"/>
              <w:pStyle w:val="Compact"/>
            </w:pPr>
            <w:r>
              <w:rPr>
                <w:sz w:val="20"/>
                <w:szCs w:val="20"/>
              </w:rPr>
              <w:t xml:space="preserve">9335</w:t>
            </w:r>
          </w:p>
        </w:tc>
        <w:tc>
          <w:tcPr>
            <w:tcW w:w="0" w:type="auto"/>
          </w:tcPr>
          <w:p>
            <w:pPr>
              <w:spacing w:line="240" w:lineRule="auto" w:before="0" w:after="0"/>
              <w:pStyle w:val="Compact"/>
            </w:pPr>
            <w:r>
              <w:rPr>
                <w:sz w:val="20"/>
                <w:szCs w:val="20"/>
              </w:rPr>
              <w:t xml:space="preserve">37.9</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156</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GAO-21-306 NASA Major Projects 2021 (gao.gov/products/gao-21-306); EM-1 to Artemis I</w:t>
            </w:r>
          </w:p>
        </w:tc>
      </w:tr>
      <w:tr>
        <w:tc>
          <w:tcPr>
            <w:tcW w:w="0" w:type="auto"/>
          </w:tcPr>
          <w:p>
            <w:pPr>
              <w:spacing w:line="240" w:lineRule="auto" w:before="0" w:after="0"/>
              <w:pStyle w:val="Compact"/>
            </w:pPr>
            <w:r>
              <w:rPr>
                <w:sz w:val="20"/>
                <w:szCs w:val="20"/>
              </w:rPr>
              <w:t xml:space="preserve">Exploration Ground Systems</w:t>
            </w:r>
          </w:p>
        </w:tc>
        <w:tc>
          <w:tcPr>
            <w:tcW w:w="0" w:type="auto"/>
          </w:tcPr>
          <w:p>
            <w:pPr>
              <w:spacing w:line="240" w:lineRule="auto" w:before="0" w:after="0"/>
              <w:pStyle w:val="Compact"/>
            </w:pPr>
            <w:r>
              <w:rPr>
                <w:sz w:val="20"/>
                <w:szCs w:val="20"/>
              </w:rPr>
              <w:t xml:space="preserve">NASA ESDMD</w:t>
            </w:r>
          </w:p>
        </w:tc>
        <w:tc>
          <w:tcPr>
            <w:tcW w:w="0" w:type="auto"/>
          </w:tcPr>
          <w:p>
            <w:pPr>
              <w:spacing w:line="240" w:lineRule="auto" w:before="0" w:after="0"/>
              <w:pStyle w:val="Compact"/>
            </w:pPr>
            <w:r>
              <w:rPr>
                <w:sz w:val="20"/>
                <w:szCs w:val="20"/>
              </w:rPr>
              <w:t xml:space="preserve">2828</w:t>
            </w:r>
          </w:p>
        </w:tc>
        <w:tc>
          <w:tcPr>
            <w:tcW w:w="0" w:type="auto"/>
          </w:tcPr>
          <w:p>
            <w:pPr>
              <w:spacing w:line="240" w:lineRule="auto" w:before="0" w:after="0"/>
              <w:pStyle w:val="Compact"/>
            </w:pPr>
            <w:r>
              <w:rPr>
                <w:sz w:val="20"/>
                <w:szCs w:val="20"/>
              </w:rPr>
              <w:t xml:space="preserve">3469</w:t>
            </w:r>
          </w:p>
        </w:tc>
        <w:tc>
          <w:tcPr>
            <w:tcW w:w="0" w:type="auto"/>
          </w:tcPr>
          <w:p>
            <w:pPr>
              <w:spacing w:line="240" w:lineRule="auto" w:before="0" w:after="0"/>
              <w:pStyle w:val="Compact"/>
            </w:pPr>
            <w:r>
              <w:rPr>
                <w:sz w:val="20"/>
                <w:szCs w:val="20"/>
              </w:rPr>
              <w:t xml:space="preserve">22.7</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GAO-20-405 NASA Major Project Assessments 2020 (gao.gov/products/gao-20-405); KSC mobile launcher cost growth</w:t>
            </w:r>
          </w:p>
        </w:tc>
      </w:tr>
      <w:tr>
        <w:tc>
          <w:tcPr>
            <w:tcW w:w="0" w:type="auto"/>
          </w:tcPr>
          <w:p>
            <w:pPr>
              <w:spacing w:line="240" w:lineRule="auto" w:before="0" w:after="0"/>
              <w:pStyle w:val="Compact"/>
            </w:pPr>
            <w:r>
              <w:rPr>
                <w:sz w:val="20"/>
                <w:szCs w:val="20"/>
              </w:rPr>
              <w:t xml:space="preserve">GOES-R</w:t>
            </w:r>
          </w:p>
        </w:tc>
        <w:tc>
          <w:tcPr>
            <w:tcW w:w="0" w:type="auto"/>
          </w:tcPr>
          <w:p>
            <w:pPr>
              <w:spacing w:line="240" w:lineRule="auto" w:before="0" w:after="0"/>
              <w:pStyle w:val="Compact"/>
            </w:pPr>
            <w:r>
              <w:rPr>
                <w:sz w:val="20"/>
                <w:szCs w:val="20"/>
              </w:rPr>
              <w:t xml:space="preserve">NOAA</w:t>
            </w:r>
          </w:p>
        </w:tc>
        <w:tc>
          <w:tcPr>
            <w:tcW w:w="0" w:type="auto"/>
          </w:tcPr>
          <w:p>
            <w:pPr>
              <w:spacing w:line="240" w:lineRule="auto" w:before="0" w:after="0"/>
              <w:pStyle w:val="Compact"/>
            </w:pPr>
            <w:r>
              <w:rPr>
                <w:sz w:val="20"/>
                <w:szCs w:val="20"/>
              </w:rPr>
              <w:t xml:space="preserve">8156</w:t>
            </w:r>
          </w:p>
        </w:tc>
        <w:tc>
          <w:tcPr>
            <w:tcW w:w="0" w:type="auto"/>
          </w:tcPr>
          <w:p>
            <w:pPr>
              <w:spacing w:line="240" w:lineRule="auto" w:before="0" w:after="0"/>
              <w:pStyle w:val="Compact"/>
            </w:pPr>
            <w:r>
              <w:rPr>
                <w:sz w:val="20"/>
                <w:szCs w:val="20"/>
              </w:rPr>
              <w:t xml:space="preserve">10854</w:t>
            </w:r>
          </w:p>
        </w:tc>
        <w:tc>
          <w:tcPr>
            <w:tcW w:w="0" w:type="auto"/>
          </w:tcPr>
          <w:p>
            <w:pPr>
              <w:spacing w:line="240" w:lineRule="auto" w:before="0" w:after="0"/>
              <w:pStyle w:val="Compact"/>
            </w:pPr>
            <w:r>
              <w:rPr>
                <w:sz w:val="20"/>
                <w:szCs w:val="20"/>
              </w:rPr>
              <w:t xml:space="preserve">33.1</w:t>
            </w:r>
          </w:p>
        </w:tc>
        <w:tc>
          <w:tcPr>
            <w:tcW w:w="0" w:type="auto"/>
          </w:tcPr>
          <w:p>
            <w:pPr>
              <w:spacing w:line="240" w:lineRule="auto" w:before="0" w:after="0"/>
              <w:pStyle w:val="Compact"/>
            </w:pPr>
            <w:r>
              <w:rPr>
                <w:sz w:val="20"/>
                <w:szCs w:val="20"/>
              </w:rPr>
              <w:t xml:space="preserve">108</w:t>
            </w:r>
          </w:p>
        </w:tc>
        <w:tc>
          <w:tcPr>
            <w:tcW w:w="0" w:type="auto"/>
          </w:tcPr>
          <w:p>
            <w:pPr>
              <w:spacing w:line="240" w:lineRule="auto" w:before="0" w:after="0"/>
              <w:pStyle w:val="Compact"/>
            </w:pPr>
            <w:r>
              <w:rPr>
                <w:sz w:val="20"/>
                <w:szCs w:val="20"/>
              </w:rPr>
              <w:t xml:space="preserve">132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GAO-15-315SP NASA Assessments 2015 (gao.gov/products/gao-15-315sp); NOAA GOES-R series program</w:t>
            </w:r>
          </w:p>
        </w:tc>
      </w:tr>
      <w:tr>
        <w:tc>
          <w:tcPr>
            <w:tcW w:w="0" w:type="auto"/>
          </w:tcPr>
          <w:p>
            <w:pPr>
              <w:spacing w:line="240" w:lineRule="auto" w:before="0" w:after="0"/>
              <w:pStyle w:val="Compact"/>
            </w:pPr>
            <w:r>
              <w:rPr>
                <w:sz w:val="20"/>
                <w:szCs w:val="20"/>
              </w:rPr>
              <w:t xml:space="preserve">JPSS-1 (NOAA-20)</w:t>
            </w:r>
          </w:p>
        </w:tc>
        <w:tc>
          <w:tcPr>
            <w:tcW w:w="0" w:type="auto"/>
          </w:tcPr>
          <w:p>
            <w:pPr>
              <w:spacing w:line="240" w:lineRule="auto" w:before="0" w:after="0"/>
              <w:pStyle w:val="Compact"/>
            </w:pPr>
            <w:r>
              <w:rPr>
                <w:sz w:val="20"/>
                <w:szCs w:val="20"/>
              </w:rPr>
              <w:t xml:space="preserve">NOAA</w:t>
            </w:r>
          </w:p>
        </w:tc>
        <w:tc>
          <w:tcPr>
            <w:tcW w:w="0" w:type="auto"/>
          </w:tcPr>
          <w:p>
            <w:pPr>
              <w:spacing w:line="240" w:lineRule="auto" w:before="0" w:after="0"/>
              <w:pStyle w:val="Compact"/>
            </w:pPr>
            <w:r>
              <w:rPr>
                <w:sz w:val="20"/>
                <w:szCs w:val="20"/>
              </w:rPr>
              <w:t xml:space="preserve">2920</w:t>
            </w:r>
          </w:p>
        </w:tc>
        <w:tc>
          <w:tcPr>
            <w:tcW w:w="0" w:type="auto"/>
          </w:tcPr>
          <w:p>
            <w:pPr>
              <w:spacing w:line="240" w:lineRule="auto" w:before="0" w:after="0"/>
              <w:pStyle w:val="Compact"/>
            </w:pPr>
            <w:r>
              <w:rPr>
                <w:sz w:val="20"/>
                <w:szCs w:val="20"/>
              </w:rPr>
              <w:t xml:space="preserve">3622</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96</w:t>
            </w:r>
          </w:p>
        </w:tc>
        <w:tc>
          <w:tcPr>
            <w:tcW w:w="0" w:type="auto"/>
          </w:tcPr>
          <w:p>
            <w:pPr>
              <w:spacing w:line="240" w:lineRule="auto" w:before="0" w:after="0"/>
              <w:pStyle w:val="Compact"/>
            </w:pPr>
            <w:r>
              <w:rPr>
                <w:sz w:val="20"/>
                <w:szCs w:val="20"/>
              </w:rPr>
              <w:t xml:space="preserve">24</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GAO-15-315SP NASA Assessments 2015; NOAA JPSS program (nesdis.noaa.gov/jpss)</w:t>
            </w:r>
          </w:p>
        </w:tc>
      </w:tr>
      <w:tr>
        <w:tc>
          <w:tcPr>
            <w:tcW w:w="0" w:type="auto"/>
          </w:tcPr>
          <w:p>
            <w:pPr>
              <w:spacing w:line="240" w:lineRule="auto" w:before="0" w:after="0"/>
              <w:pStyle w:val="Compact"/>
            </w:pPr>
            <w:r>
              <w:rPr>
                <w:sz w:val="20"/>
                <w:szCs w:val="20"/>
              </w:rPr>
              <w:t xml:space="preserve">GPM Core</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933</w:t>
            </w:r>
          </w:p>
        </w:tc>
        <w:tc>
          <w:tcPr>
            <w:tcW w:w="0" w:type="auto"/>
          </w:tcPr>
          <w:p>
            <w:pPr>
              <w:spacing w:line="240" w:lineRule="auto" w:before="0" w:after="0"/>
              <w:pStyle w:val="Compact"/>
            </w:pPr>
            <w:r>
              <w:rPr>
                <w:sz w:val="20"/>
                <w:szCs w:val="20"/>
              </w:rPr>
              <w:t xml:space="preserve">933</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GAO-13-276SP NASA Assessments 2013 (gao.gov/products/gao-13-276sp); JAXA partnership</w:t>
            </w:r>
          </w:p>
        </w:tc>
      </w:tr>
      <w:tr>
        <w:tc>
          <w:tcPr>
            <w:tcW w:w="0" w:type="auto"/>
          </w:tcPr>
          <w:p>
            <w:pPr>
              <w:spacing w:line="240" w:lineRule="auto" w:before="0" w:after="0"/>
              <w:pStyle w:val="Compact"/>
            </w:pPr>
            <w:r>
              <w:rPr>
                <w:sz w:val="20"/>
                <w:szCs w:val="20"/>
              </w:rPr>
              <w:t xml:space="preserve">MAVEN</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671</w:t>
            </w:r>
          </w:p>
        </w:tc>
        <w:tc>
          <w:tcPr>
            <w:tcW w:w="0" w:type="auto"/>
          </w:tcPr>
          <w:p>
            <w:pPr>
              <w:spacing w:line="240" w:lineRule="auto" w:before="0" w:after="0"/>
              <w:pStyle w:val="Compact"/>
            </w:pPr>
            <w:r>
              <w:rPr>
                <w:sz w:val="20"/>
                <w:szCs w:val="20"/>
              </w:rPr>
              <w:t xml:space="preserve">671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8</w:t>
            </w:r>
          </w:p>
        </w:tc>
        <w:tc>
          <w:tcPr>
            <w:tcW w:w="0" w:type="auto"/>
          </w:tcPr>
          <w:p>
            <w:pPr>
              <w:spacing w:line="240" w:lineRule="auto" w:before="0" w:after="0"/>
              <w:pStyle w:val="Compact"/>
            </w:pPr>
            <w:r>
              <w:rPr>
                <w:sz w:val="20"/>
                <w:szCs w:val="20"/>
              </w:rPr>
              <w:t xml:space="preserve">GAO-14-338SP NASA Assessments 2014 (gao.gov/products/gao-14-338sp); LASP-led; on baseline</w:t>
            </w:r>
          </w:p>
        </w:tc>
      </w:tr>
      <w:tr>
        <w:tc>
          <w:tcPr>
            <w:tcW w:w="0" w:type="auto"/>
          </w:tcPr>
          <w:p>
            <w:pPr>
              <w:spacing w:line="240" w:lineRule="auto" w:before="0" w:after="0"/>
              <w:pStyle w:val="Compact"/>
            </w:pPr>
            <w:r>
              <w:rPr>
                <w:sz w:val="20"/>
                <w:szCs w:val="20"/>
              </w:rPr>
              <w:t xml:space="preserve">IRIS</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181</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GAO-13-276SP NASA Assessments 2013 (gao.gov/products/gao-13-276sp); LMSAL-led SMEX</w:t>
            </w:r>
          </w:p>
        </w:tc>
      </w:tr>
      <w:tr>
        <w:tc>
          <w:tcPr>
            <w:tcW w:w="0" w:type="auto"/>
          </w:tcPr>
          <w:p>
            <w:pPr>
              <w:spacing w:line="240" w:lineRule="auto" w:before="0" w:after="0"/>
              <w:pStyle w:val="Compact"/>
            </w:pPr>
            <w:r>
              <w:rPr>
                <w:sz w:val="20"/>
                <w:szCs w:val="20"/>
              </w:rPr>
              <w:t xml:space="preserve">NICER</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55</w:t>
            </w:r>
          </w:p>
        </w:tc>
        <w:tc>
          <w:tcPr>
            <w:tcW w:w="0" w:type="auto"/>
          </w:tcPr>
          <w:p>
            <w:pPr>
              <w:spacing w:line="240" w:lineRule="auto" w:before="0" w:after="0"/>
              <w:pStyle w:val="Compact"/>
            </w:pPr>
            <w:r>
              <w:rPr>
                <w:sz w:val="20"/>
                <w:szCs w:val="20"/>
              </w:rPr>
              <w:t xml:space="preserve">62</w:t>
            </w:r>
          </w:p>
        </w:tc>
        <w:tc>
          <w:tcPr>
            <w:tcW w:w="0" w:type="auto"/>
          </w:tcPr>
          <w:p>
            <w:pPr>
              <w:spacing w:line="240" w:lineRule="auto" w:before="0" w:after="0"/>
              <w:pStyle w:val="Compact"/>
            </w:pPr>
            <w:r>
              <w:rPr>
                <w:sz w:val="20"/>
                <w:szCs w:val="20"/>
              </w:rPr>
              <w:t xml:space="preserve">12.7</w:t>
            </w:r>
          </w:p>
        </w:tc>
        <w:tc>
          <w:tcPr>
            <w:tcW w:w="0" w:type="auto"/>
          </w:tcPr>
          <w:p>
            <w:pPr>
              <w:spacing w:line="240" w:lineRule="auto" w:before="0" w:after="0"/>
              <w:pStyle w:val="Compact"/>
            </w:pPr>
            <w:r>
              <w:rPr>
                <w:sz w:val="20"/>
                <w:szCs w:val="20"/>
              </w:rPr>
              <w:t xml:space="preserve">36</w:t>
            </w:r>
          </w:p>
        </w:tc>
        <w:tc>
          <w:tcPr>
            <w:tcW w:w="0" w:type="auto"/>
          </w:tcPr>
          <w:p>
            <w:pPr>
              <w:spacing w:line="240" w:lineRule="auto" w:before="0" w:after="0"/>
              <w:pStyle w:val="Compact"/>
            </w:pPr>
            <w:r>
              <w:rPr>
                <w:sz w:val="20"/>
                <w:szCs w:val="20"/>
              </w:rPr>
              <w:t xml:space="preserve">42</w:t>
            </w:r>
          </w:p>
        </w:tc>
        <w:tc>
          <w:tcPr>
            <w:tcW w:w="0" w:type="auto"/>
          </w:tcPr>
          <w:p>
            <w:pPr>
              <w:spacing w:line="240" w:lineRule="auto" w:before="0" w:after="0"/>
              <w:pStyle w:val="Compact"/>
            </w:pPr>
            <w:r>
              <w:rPr>
                <w:sz w:val="20"/>
                <w:szCs w:val="20"/>
              </w:rPr>
              <w:t xml:space="preserve">6</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GAO-16-309SP NASA Assessments 2016 (gao.gov/products/gao-16-309sp); MIT-led ISS attached payload</w:t>
            </w:r>
          </w:p>
        </w:tc>
      </w:tr>
      <w:tr>
        <w:tc>
          <w:tcPr>
            <w:tcW w:w="0" w:type="auto"/>
          </w:tcPr>
          <w:p>
            <w:pPr>
              <w:spacing w:line="240" w:lineRule="auto" w:before="0" w:after="0"/>
              <w:pStyle w:val="Compact"/>
            </w:pPr>
            <w:r>
              <w:rPr>
                <w:sz w:val="20"/>
                <w:szCs w:val="20"/>
              </w:rPr>
              <w:t xml:space="preserve">NuSTAR</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170</w:t>
            </w:r>
          </w:p>
        </w:tc>
        <w:tc>
          <w:tcPr>
            <w:tcW w:w="0" w:type="auto"/>
          </w:tcPr>
          <w:p>
            <w:pPr>
              <w:spacing w:line="240" w:lineRule="auto" w:before="0" w:after="0"/>
              <w:pStyle w:val="Compact"/>
            </w:pPr>
            <w:r>
              <w:rPr>
                <w:sz w:val="20"/>
                <w:szCs w:val="20"/>
              </w:rPr>
              <w:t xml:space="preserve">180</w:t>
            </w:r>
          </w:p>
        </w:tc>
        <w:tc>
          <w:tcPr>
            <w:tcW w:w="0" w:type="auto"/>
          </w:tcPr>
          <w:p>
            <w:pPr>
              <w:spacing w:line="240" w:lineRule="auto" w:before="0" w:after="0"/>
              <w:pStyle w:val="Compact"/>
            </w:pPr>
            <w:r>
              <w:rPr>
                <w:sz w:val="20"/>
                <w:szCs w:val="20"/>
              </w:rPr>
              <w:t xml:space="preserve">5.9</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GAO-12-207SP NASA Assessments 2012 (gao.gov/products/gao-12-207sp); Caltech SMEX</w:t>
            </w:r>
          </w:p>
        </w:tc>
      </w:tr>
      <w:tr>
        <w:tc>
          <w:tcPr>
            <w:tcW w:w="0" w:type="auto"/>
          </w:tcPr>
          <w:p>
            <w:pPr>
              <w:spacing w:line="240" w:lineRule="auto" w:before="0" w:after="0"/>
              <w:pStyle w:val="Compact"/>
            </w:pPr>
            <w:r>
              <w:rPr>
                <w:sz w:val="20"/>
                <w:szCs w:val="20"/>
              </w:rPr>
              <w:t xml:space="preserve">GLAST/Fermi</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690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GAO-08-1004SP NASA Major Projects 2008 (gao.gov/products/gao-08-1004sp); Stanford-led</w:t>
            </w:r>
          </w:p>
        </w:tc>
      </w:tr>
      <w:tr>
        <w:tc>
          <w:tcPr>
            <w:tcW w:w="0" w:type="auto"/>
          </w:tcPr>
          <w:p>
            <w:pPr>
              <w:spacing w:line="240" w:lineRule="auto" w:before="0" w:after="0"/>
              <w:pStyle w:val="Compact"/>
            </w:pPr>
            <w:r>
              <w:rPr>
                <w:sz w:val="20"/>
                <w:szCs w:val="20"/>
              </w:rPr>
              <w:t xml:space="preserve">LDCM (Landsat 8)</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855</w:t>
            </w:r>
          </w:p>
        </w:tc>
        <w:tc>
          <w:tcPr>
            <w:tcW w:w="0" w:type="auto"/>
          </w:tcPr>
          <w:p>
            <w:pPr>
              <w:spacing w:line="240" w:lineRule="auto" w:before="0" w:after="0"/>
              <w:pStyle w:val="Compact"/>
            </w:pPr>
            <w:r>
              <w:rPr>
                <w:sz w:val="20"/>
                <w:szCs w:val="20"/>
              </w:rPr>
              <w:t xml:space="preserve">855</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GAO-13-276SP NASA Assessments 2013 (gao.gov/products/gao-13-276sp); USGS partnership</w:t>
            </w:r>
          </w:p>
        </w:tc>
      </w:tr>
      <w:tr>
        <w:tc>
          <w:tcPr>
            <w:tcW w:w="0" w:type="auto"/>
          </w:tcPr>
          <w:p>
            <w:pPr>
              <w:spacing w:line="240" w:lineRule="auto" w:before="0" w:after="0"/>
              <w:pStyle w:val="Compact"/>
            </w:pPr>
            <w:r>
              <w:rPr>
                <w:sz w:val="20"/>
                <w:szCs w:val="20"/>
              </w:rPr>
              <w:t xml:space="preserve">SMAP</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915</w:t>
            </w:r>
          </w:p>
        </w:tc>
        <w:tc>
          <w:tcPr>
            <w:tcW w:w="0" w:type="auto"/>
          </w:tcPr>
          <w:p>
            <w:pPr>
              <w:spacing w:line="240" w:lineRule="auto" w:before="0" w:after="0"/>
              <w:pStyle w:val="Compact"/>
            </w:pPr>
            <w:r>
              <w:rPr>
                <w:sz w:val="20"/>
                <w:szCs w:val="20"/>
              </w:rPr>
              <w:t xml:space="preserve">1016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48</w:t>
            </w:r>
          </w:p>
        </w:tc>
        <w:tc>
          <w:tcPr>
            <w:tcW w:w="0" w:type="auto"/>
          </w:tcPr>
          <w:p>
            <w:pPr>
              <w:spacing w:line="240" w:lineRule="auto" w:before="0" w:after="0"/>
              <w:pStyle w:val="Compact"/>
            </w:pPr>
            <w:r>
              <w:rPr>
                <w:sz w:val="20"/>
                <w:szCs w:val="20"/>
              </w:rPr>
              <w:t xml:space="preserve">60</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GAO-15-315SP NASA Assessments 2015 (gao.gov/products/gao-15-315sp); JPL-led; radar lost on orbit</w:t>
            </w:r>
          </w:p>
        </w:tc>
      </w:tr>
      <w:tr>
        <w:tc>
          <w:tcPr>
            <w:tcW w:w="0" w:type="auto"/>
          </w:tcPr>
          <w:p>
            <w:pPr>
              <w:spacing w:line="240" w:lineRule="auto" w:before="0" w:after="0"/>
              <w:pStyle w:val="Compact"/>
            </w:pPr>
            <w:r>
              <w:rPr>
                <w:sz w:val="20"/>
                <w:szCs w:val="20"/>
              </w:rPr>
              <w:t xml:space="preserve">MMS</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966</w:t>
            </w:r>
          </w:p>
        </w:tc>
        <w:tc>
          <w:tcPr>
            <w:tcW w:w="0" w:type="auto"/>
          </w:tcPr>
          <w:p>
            <w:pPr>
              <w:spacing w:line="240" w:lineRule="auto" w:before="0" w:after="0"/>
              <w:pStyle w:val="Compact"/>
            </w:pPr>
            <w:r>
              <w:rPr>
                <w:sz w:val="20"/>
                <w:szCs w:val="20"/>
              </w:rPr>
              <w:t xml:space="preserve">1099</w:t>
            </w:r>
          </w:p>
        </w:tc>
        <w:tc>
          <w:tcPr>
            <w:tcW w:w="0" w:type="auto"/>
          </w:tcPr>
          <w:p>
            <w:pPr>
              <w:spacing w:line="240" w:lineRule="auto" w:before="0" w:after="0"/>
              <w:pStyle w:val="Compact"/>
            </w:pPr>
            <w:r>
              <w:rPr>
                <w:sz w:val="20"/>
                <w:szCs w:val="20"/>
              </w:rPr>
              <w:t xml:space="preserve">13.8</w:t>
            </w:r>
          </w:p>
        </w:tc>
        <w:tc>
          <w:tcPr>
            <w:tcW w:w="0" w:type="auto"/>
          </w:tcPr>
          <w:p>
            <w:pPr>
              <w:spacing w:line="240" w:lineRule="auto" w:before="0" w:after="0"/>
              <w:pStyle w:val="Compact"/>
            </w:pPr>
            <w:r>
              <w:rPr>
                <w:sz w:val="20"/>
                <w:szCs w:val="20"/>
              </w:rPr>
              <w:t xml:space="preserve">72</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12</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5</w:t>
            </w:r>
          </w:p>
        </w:tc>
        <w:tc>
          <w:tcPr>
            <w:tcW w:w="0" w:type="auto"/>
          </w:tcPr>
          <w:p>
            <w:pPr>
              <w:spacing w:line="240" w:lineRule="auto" w:before="0" w:after="0"/>
              <w:pStyle w:val="Compact"/>
            </w:pPr>
            <w:r>
              <w:rPr>
                <w:sz w:val="20"/>
                <w:szCs w:val="20"/>
              </w:rPr>
              <w:t xml:space="preserve">GAO-15-315SP NASA Assessments 2015 (gao.gov/products/gao-15-315sp); GSFC-led STP</w:t>
            </w:r>
          </w:p>
        </w:tc>
      </w:tr>
      <w:tr>
        <w:tc>
          <w:tcPr>
            <w:tcW w:w="0" w:type="auto"/>
          </w:tcPr>
          <w:p>
            <w:pPr>
              <w:spacing w:line="240" w:lineRule="auto" w:before="0" w:after="0"/>
              <w:pStyle w:val="Compact"/>
            </w:pPr>
            <w:r>
              <w:rPr>
                <w:sz w:val="20"/>
                <w:szCs w:val="20"/>
              </w:rPr>
              <w:t xml:space="preserve">Roman Space Telescope (WFIRST)</w:t>
            </w:r>
          </w:p>
        </w:tc>
        <w:tc>
          <w:tcPr>
            <w:tcW w:w="0" w:type="auto"/>
          </w:tcPr>
          <w:p>
            <w:pPr>
              <w:spacing w:line="240" w:lineRule="auto" w:before="0" w:after="0"/>
              <w:pStyle w:val="Compact"/>
            </w:pPr>
            <w:r>
              <w:rPr>
                <w:sz w:val="20"/>
                <w:szCs w:val="20"/>
              </w:rPr>
              <w:t xml:space="preserve">NASA SMD</w:t>
            </w:r>
          </w:p>
        </w:tc>
        <w:tc>
          <w:tcPr>
            <w:tcW w:w="0" w:type="auto"/>
          </w:tcPr>
          <w:p>
            <w:pPr>
              <w:spacing w:line="240" w:lineRule="auto" w:before="0" w:after="0"/>
              <w:pStyle w:val="Compact"/>
            </w:pPr>
            <w:r>
              <w:rPr>
                <w:sz w:val="20"/>
                <w:szCs w:val="20"/>
              </w:rPr>
              <w:t xml:space="preserve">3934</w:t>
            </w:r>
          </w:p>
        </w:tc>
        <w:tc>
          <w:tcPr>
            <w:tcW w:w="0" w:type="auto"/>
          </w:tcPr>
          <w:p>
            <w:pPr>
              <w:spacing w:line="240" w:lineRule="auto" w:before="0" w:after="0"/>
              <w:pStyle w:val="Compact"/>
            </w:pPr>
            <w:r>
              <w:rPr>
                <w:sz w:val="20"/>
                <w:szCs w:val="20"/>
              </w:rPr>
              <w:t xml:space="preserve">4366</w:t>
            </w:r>
          </w:p>
        </w:tc>
        <w:tc>
          <w:tcPr>
            <w:tcW w:w="0" w:type="auto"/>
          </w:tcPr>
          <w:p>
            <w:pPr>
              <w:spacing w:line="240" w:lineRule="auto" w:before="0" w:after="0"/>
              <w:pStyle w:val="Compact"/>
            </w:pPr>
            <w:r>
              <w:rPr>
                <w:sz w:val="20"/>
                <w:szCs w:val="20"/>
              </w:rPr>
              <w:t xml:space="preserve">11</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84</w:t>
            </w:r>
          </w:p>
        </w:tc>
        <w:tc>
          <w:tcPr>
            <w:tcW w:w="0" w:type="auto"/>
          </w:tcPr>
          <w:p>
            <w:pPr>
              <w:spacing w:line="240" w:lineRule="auto" w:before="0" w:after="0"/>
              <w:pStyle w:val="Compact"/>
            </w:pPr>
            <w:r>
              <w:rPr>
                <w:sz w:val="20"/>
                <w:szCs w:val="20"/>
              </w:rPr>
              <w:t xml:space="preserve">0</w:t>
            </w:r>
          </w:p>
        </w:tc>
        <w:tc>
          <w:tcPr>
            <w:tcW w:w="0" w:type="auto"/>
          </w:tcPr>
          <w:p>
            <w:pPr>
              <w:spacing w:line="240" w:lineRule="auto" w:before="0" w:after="0"/>
              <w:pStyle w:val="Compact"/>
            </w:pPr>
            <w:r>
              <w:rPr>
                <w:sz w:val="20"/>
                <w:szCs w:val="20"/>
              </w:rPr>
              <w:t xml:space="preserve">1</w:t>
            </w:r>
          </w:p>
        </w:tc>
        <w:tc>
          <w:tcPr>
            <w:tcW w:w="0" w:type="auto"/>
          </w:tcPr>
          <w:p>
            <w:pPr>
              <w:spacing w:line="240" w:lineRule="auto" w:before="0" w:after="0"/>
              <w:pStyle w:val="Compact"/>
            </w:pPr>
            <w:r>
              <w:rPr>
                <w:sz w:val="20"/>
                <w:szCs w:val="20"/>
              </w:rPr>
              <w:t xml:space="preserve">2</w:t>
            </w:r>
          </w:p>
        </w:tc>
        <w:tc>
          <w:tcPr>
            <w:tcW w:w="0" w:type="auto"/>
          </w:tcPr>
          <w:p>
            <w:pPr>
              <w:spacing w:line="240" w:lineRule="auto" w:before="0" w:after="0"/>
              <w:pStyle w:val="Compact"/>
            </w:pPr>
            <w:r>
              <w:rPr>
                <w:sz w:val="20"/>
                <w:szCs w:val="20"/>
              </w:rPr>
              <w:t xml:space="preserve">GAO-23-106021 NASA Major Project Assessments 2023 (gao.gov/products/gao-23-106021); GSFC-led; in development</w:t>
            </w:r>
          </w:p>
        </w:tc>
      </w:tr>
    </w:tbl>
    <w:bookmarkEnd w:id="77"/>
    <w:bookmarkStart w:id="78" w:name="variable-construction"/>
    <w:p>
      <w:pPr>
        <w:pStyle w:val="Heading3"/>
      </w:pPr>
      <w:r>
        <w:t xml:space="preserve">Variable construction</w:t>
      </w:r>
    </w:p>
    <w:tbl>
      <w:tblPr>
        <w:tblStyle w:val="Table"/>
        <w:tblLook w:firstRow="1" w:lastRow="0" w:firstColumn="0" w:lastColumn="0" w:noHBand="0" w:noVBand="0" w:val="0020"/>
        <w:tblLayout w:type="autofit"/>
        <w:tblW w:w="0" w:type="auto"/>
      </w:tblPr>
      <w:tblGrid>
        <w:gridCol w:w="2640"/>
        <w:gridCol w:w="2640"/>
        <w:gridCol w:w="2640"/>
      </w:tblGrid>
      <w:tr>
        <w:trPr>
          <w:tblHeader w:val="on"/>
        </w:trPr>
        <w:tc>
          <w:tcPr>
            <w:tcW w:w="0" w:type="auto"/>
          </w:tcPr>
          <w:p>
            <w:pPr>
              <w:spacing w:line="240" w:lineRule="auto" w:before="0" w:after="0"/>
              <w:pStyle w:val="Compact"/>
            </w:pPr>
            <w:r>
              <w:rPr>
                <w:sz w:val="20"/>
                <w:szCs w:val="20"/>
              </w:rPr>
              <w:t xml:space="preserve">Variable</w:t>
            </w:r>
          </w:p>
        </w:tc>
        <w:tc>
          <w:tcPr>
            <w:tcW w:w="0" w:type="auto"/>
          </w:tcPr>
          <w:p>
            <w:pPr>
              <w:spacing w:line="240" w:lineRule="auto" w:before="0" w:after="0"/>
              <w:pStyle w:val="Compact"/>
            </w:pPr>
            <w:r>
              <w:rPr>
                <w:sz w:val="20"/>
                <w:szCs w:val="20"/>
              </w:rPr>
              <w:t xml:space="preserve">Definition</w:t>
            </w:r>
          </w:p>
        </w:tc>
        <w:tc>
          <w:tcPr>
            <w:tcW w:w="0" w:type="auto"/>
          </w:tcPr>
          <w:p>
            <w:pPr>
              <w:spacing w:line="240" w:lineRule="auto" w:before="0" w:after="0"/>
              <w:pStyle w:val="Compact"/>
            </w:pPr>
            <w:r>
              <w:rPr>
                <w:sz w:val="20"/>
                <w:szCs w:val="20"/>
              </w:rPr>
              <w:t xml:space="preserve">Construction / source</w:t>
            </w:r>
          </w:p>
        </w:tc>
      </w:tr>
      <w:tr>
        <w:tc>
          <w:tcPr>
            <w:tcW w:w="0" w:type="auto"/>
          </w:tcPr>
          <w:p>
            <w:pPr>
              <w:spacing w:line="240" w:lineRule="auto" w:before="0" w:after="0"/>
              <w:pStyle w:val="Compact"/>
            </w:pPr>
            <w:r>
              <w:rPr>
                <w:sz w:val="20"/>
                <w:szCs w:val="20"/>
              </w:rPr>
              <w:t xml:space="preserve">cost_growth_pct</w:t>
            </w:r>
          </w:p>
        </w:tc>
        <w:tc>
          <w:tcPr>
            <w:tcW w:w="0" w:type="auto"/>
          </w:tcPr>
          <w:p>
            <w:pPr>
              <w:spacing w:line="240" w:lineRule="auto" w:before="0" w:after="0"/>
              <w:pStyle w:val="Compact"/>
            </w:pPr>
            <w:r>
              <w:rPr>
                <w:sz w:val="20"/>
                <w:szCs w:val="20"/>
              </w:rPr>
              <w:t xml:space="preserve">Percentage growth from the Phase B cost baseline (or earliest Agency Baseline Commitment) to the latest GAO-reported life-cycle cost estimate, computed as 100 * (latest - baseline) / baseline.</w:t>
            </w:r>
          </w:p>
        </w:tc>
        <w:tc>
          <w:tcPr>
            <w:tcW w:w="0" w:type="auto"/>
          </w:tcPr>
          <w:p>
            <w:pPr>
              <w:spacing w:line="240" w:lineRule="auto" w:before="0" w:after="0"/>
              <w:pStyle w:val="Compact"/>
            </w:pPr>
            <w:r>
              <w:rPr>
                <w:sz w:val="20"/>
                <w:szCs w:val="20"/>
              </w:rPr>
              <w:t xml:space="preserve">Computed from GAO NASA Major Project Assessment annual reports per row source.</w:t>
            </w:r>
          </w:p>
        </w:tc>
      </w:tr>
      <w:tr>
        <w:tc>
          <w:tcPr>
            <w:tcW w:w="0" w:type="auto"/>
          </w:tcPr>
          <w:p>
            <w:pPr>
              <w:spacing w:line="240" w:lineRule="auto" w:before="0" w:after="0"/>
              <w:pStyle w:val="Compact"/>
            </w:pPr>
            <w:r>
              <w:rPr>
                <w:sz w:val="20"/>
                <w:szCs w:val="20"/>
              </w:rPr>
              <w:t xml:space="preserve">ffrdc_se_intensive</w:t>
            </w:r>
          </w:p>
        </w:tc>
        <w:tc>
          <w:tcPr>
            <w:tcW w:w="0" w:type="auto"/>
          </w:tcPr>
          <w:p>
            <w:pPr>
              <w:spacing w:line="240" w:lineRule="auto" w:before="0" w:after="0"/>
              <w:pStyle w:val="Compact"/>
            </w:pPr>
            <w:r>
              <w:rPr>
                <w:sz w:val="20"/>
                <w:szCs w:val="20"/>
              </w:rPr>
              <w:t xml:space="preserve">Binary indicator: 1 if the project’s prime systems-engineering and technical-assurance role is performed by a NASA federally funded research and development center (JPL, APL operating as a UARC under FFRDC-equivalent terms for NASA missions, or NASA-center-led with substantial FFRDC SETA support documented in GAO and project records); 0 if SE/I is industry-prime-led with no documented FFRDC SE/I role.</w:t>
            </w:r>
          </w:p>
        </w:tc>
        <w:tc>
          <w:tcPr>
            <w:tcW w:w="0" w:type="auto"/>
          </w:tcPr>
          <w:p>
            <w:pPr>
              <w:spacing w:line="240" w:lineRule="auto" w:before="0" w:after="0"/>
              <w:pStyle w:val="Compact"/>
            </w:pPr>
            <w:r>
              <w:rPr>
                <w:sz w:val="20"/>
                <w:szCs w:val="20"/>
              </w:rPr>
              <w:t xml:space="preserve">Hand-coded from GAO assessments and NASA project pages per row source; rubric in Section 3.</w:t>
            </w:r>
          </w:p>
        </w:tc>
      </w:tr>
      <w:tr>
        <w:tc>
          <w:tcPr>
            <w:tcW w:w="0" w:type="auto"/>
          </w:tcPr>
          <w:p>
            <w:pPr>
              <w:spacing w:line="240" w:lineRule="auto" w:before="0" w:after="0"/>
              <w:pStyle w:val="Compact"/>
            </w:pPr>
            <w:r>
              <w:rPr>
                <w:sz w:val="20"/>
                <w:szCs w:val="20"/>
              </w:rPr>
              <w:t xml:space="preserve">planned_dev_months</w:t>
            </w:r>
          </w:p>
        </w:tc>
        <w:tc>
          <w:tcPr>
            <w:tcW w:w="0" w:type="auto"/>
          </w:tcPr>
          <w:p>
            <w:pPr>
              <w:spacing w:line="240" w:lineRule="auto" w:before="0" w:after="0"/>
              <w:pStyle w:val="Compact"/>
            </w:pPr>
            <w:r>
              <w:rPr>
                <w:sz w:val="20"/>
                <w:szCs w:val="20"/>
              </w:rPr>
              <w:t xml:space="preserve">Planned development duration in months from Key Decision Point C (confirmation) to launch readiness at Phase B baseline.</w:t>
            </w:r>
          </w:p>
        </w:tc>
        <w:tc>
          <w:tcPr>
            <w:tcW w:w="0" w:type="auto"/>
          </w:tcPr>
          <w:p>
            <w:pPr>
              <w:spacing w:line="240" w:lineRule="auto" w:before="0" w:after="0"/>
              <w:pStyle w:val="Compact"/>
            </w:pPr>
            <w:r>
              <w:rPr>
                <w:sz w:val="20"/>
                <w:szCs w:val="20"/>
              </w:rPr>
              <w:t xml:space="preserve">GAO NASA Major Project Assessment schedule tables per row source.</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Number of distinct science instruments or major flight payloads in the as-baselined mission design; 0 for human-spaceflight transportation elements (SLS, Orion, EGS).</w:t>
            </w:r>
          </w:p>
        </w:tc>
        <w:tc>
          <w:tcPr>
            <w:tcW w:w="0" w:type="auto"/>
          </w:tcPr>
          <w:p>
            <w:pPr>
              <w:spacing w:line="240" w:lineRule="auto" w:before="0" w:after="0"/>
              <w:pStyle w:val="Compact"/>
            </w:pPr>
            <w:r>
              <w:rPr>
                <w:sz w:val="20"/>
                <w:szCs w:val="20"/>
              </w:rPr>
              <w:t xml:space="preserve">GAO assessments and NASA mission press kits per row source.</w:t>
            </w:r>
          </w:p>
        </w:tc>
      </w:tr>
      <w:tr>
        <w:tc>
          <w:tcPr>
            <w:tcW w:w="0" w:type="auto"/>
          </w:tcPr>
          <w:p>
            <w:pPr>
              <w:spacing w:line="240" w:lineRule="auto" w:before="0" w:after="0"/>
              <w:pStyle w:val="Compact"/>
            </w:pPr>
            <w:r>
              <w:rPr>
                <w:sz w:val="20"/>
                <w:szCs w:val="20"/>
              </w:rPr>
              <w:t xml:space="preserve">schedule_slip_months</w:t>
            </w:r>
          </w:p>
        </w:tc>
        <w:tc>
          <w:tcPr>
            <w:tcW w:w="0" w:type="auto"/>
          </w:tcPr>
          <w:p>
            <w:pPr>
              <w:spacing w:line="240" w:lineRule="auto" w:before="0" w:after="0"/>
              <w:pStyle w:val="Compact"/>
            </w:pPr>
            <w:r>
              <w:rPr>
                <w:sz w:val="20"/>
                <w:szCs w:val="20"/>
              </w:rPr>
              <w:t xml:space="preserve">Months of launch slip from baseline launch date to actual or latest planned launch date (auxiliary observable, not in the regression).</w:t>
            </w:r>
          </w:p>
        </w:tc>
        <w:tc>
          <w:tcPr>
            <w:tcW w:w="0" w:type="auto"/>
          </w:tcPr>
          <w:p>
            <w:pPr>
              <w:spacing w:line="240" w:lineRule="auto" w:before="0" w:after="0"/>
              <w:pStyle w:val="Compact"/>
            </w:pPr>
            <w:r>
              <w:rPr>
                <w:sz w:val="20"/>
                <w:szCs w:val="20"/>
              </w:rPr>
              <w:t xml:space="preserve">GAO assessments per row source.</w:t>
            </w:r>
          </w:p>
        </w:tc>
      </w:tr>
    </w:tbl>
    <w:bookmarkEnd w:id="78"/>
    <w:bookmarkStart w:id="79" w:name="estimator-output"/>
    <w:p>
      <w:pPr>
        <w:pStyle w:val="Heading3"/>
      </w:pPr>
      <w:r>
        <w:t xml:space="preserve">Estimator output</w:t>
      </w:r>
    </w:p>
    <w:tbl>
      <w:tblPr>
        <w:tblStyle w:val="Table"/>
        <w:tblLook w:firstRow="1" w:lastRow="0" w:firstColumn="0" w:lastColumn="0" w:noHBand="0" w:noVBand="0" w:val="0020"/>
        <w:tblLayout w:type="autofit"/>
        <w:tblW w:w="0" w:type="auto"/>
      </w:tblPr>
      <w:tblGrid>
        <w:gridCol w:w="1320"/>
        <w:gridCol w:w="1320"/>
        <w:gridCol w:w="1320"/>
        <w:gridCol w:w="1320"/>
        <w:gridCol w:w="1320"/>
        <w:gridCol w:w="1320"/>
      </w:tblGrid>
      <w:tr>
        <w:trPr>
          <w:tblHeader w:val="on"/>
        </w:trPr>
        <w:tc>
          <w:tcPr>
            <w:tcW w:w="0" w:type="auto"/>
          </w:tcPr>
          <w:p>
            <w:pPr>
              <w:spacing w:line="240" w:lineRule="auto" w:before="0" w:after="0"/>
              <w:pStyle w:val="Compact"/>
            </w:pPr>
            <w:r>
              <w:rPr>
                <w:sz w:val="20"/>
                <w:szCs w:val="20"/>
              </w:rPr>
              <w:t xml:space="preserve">Term</w:t>
            </w:r>
          </w:p>
        </w:tc>
        <w:tc>
          <w:tcPr>
            <w:tcW w:w="0" w:type="auto"/>
          </w:tcPr>
          <w:p>
            <w:pPr>
              <w:spacing w:line="240" w:lineRule="auto" w:before="0" w:after="0"/>
              <w:pStyle w:val="Compact"/>
            </w:pPr>
            <w:r>
              <w:rPr>
                <w:sz w:val="20"/>
                <w:szCs w:val="20"/>
              </w:rPr>
              <w:t xml:space="preserve">Coef.</w:t>
            </w:r>
          </w:p>
        </w:tc>
        <w:tc>
          <w:tcPr>
            <w:tcW w:w="0" w:type="auto"/>
          </w:tcPr>
          <w:p>
            <w:pPr>
              <w:spacing w:line="240" w:lineRule="auto" w:before="0" w:after="0"/>
              <w:pStyle w:val="Compact"/>
            </w:pPr>
            <w:r>
              <w:rPr>
                <w:sz w:val="20"/>
                <w:szCs w:val="20"/>
              </w:rPr>
              <w:t xml:space="preserve">Std. err.</w:t>
            </w:r>
          </w:p>
        </w:tc>
        <w:tc>
          <w:tcPr>
            <w:tcW w:w="0" w:type="auto"/>
          </w:tcPr>
          <w:p>
            <w:pPr>
              <w:spacing w:line="240" w:lineRule="auto" w:before="0" w:after="0"/>
              <w:pStyle w:val="Compact"/>
            </w:pPr>
            <w:r>
              <w:rPr>
                <w:sz w:val="20"/>
                <w:szCs w:val="20"/>
              </w:rPr>
              <w:t xml:space="preserve">t</w:t>
            </w:r>
          </w:p>
        </w:tc>
        <w:tc>
          <w:tcPr>
            <w:tcW w:w="0" w:type="auto"/>
          </w:tcPr>
          <w:p>
            <w:pPr>
              <w:spacing w:line="240" w:lineRule="auto" w:before="0" w:after="0"/>
              <w:pStyle w:val="Compact"/>
            </w:pPr>
            <w:r>
              <w:rPr>
                <w:sz w:val="20"/>
                <w:szCs w:val="20"/>
              </w:rPr>
              <w:t xml:space="preserve">p</w:t>
            </w:r>
          </w:p>
        </w:tc>
        <w:tc>
          <w:tcPr>
            <w:tcW w:w="0" w:type="auto"/>
          </w:tcPr>
          <w:p>
            <w:pPr>
              <w:spacing w:line="240" w:lineRule="auto" w:before="0" w:after="0"/>
              <w:pStyle w:val="Compact"/>
            </w:pPr>
            <w:r>
              <w:rPr>
                <w:sz w:val="20"/>
                <w:szCs w:val="20"/>
              </w:rPr>
              <w:t xml:space="preserve">95% CI</w:t>
            </w:r>
          </w:p>
        </w:tc>
      </w:tr>
      <w:tr>
        <w:tc>
          <w:tcPr>
            <w:tcW w:w="0" w:type="auto"/>
          </w:tcPr>
          <w:p>
            <w:pPr>
              <w:spacing w:line="240" w:lineRule="auto" w:before="0" w:after="0"/>
              <w:pStyle w:val="Compact"/>
            </w:pPr>
            <w:r>
              <w:rPr>
                <w:sz w:val="20"/>
                <w:szCs w:val="20"/>
              </w:rPr>
              <w:t xml:space="preserve">const</w:t>
            </w:r>
          </w:p>
        </w:tc>
        <w:tc>
          <w:tcPr>
            <w:tcW w:w="0" w:type="auto"/>
          </w:tcPr>
          <w:p>
            <w:pPr>
              <w:spacing w:line="240" w:lineRule="auto" w:before="0" w:after="0"/>
              <w:pStyle w:val="Compact"/>
            </w:pPr>
            <w:r>
              <w:rPr>
                <w:sz w:val="20"/>
                <w:szCs w:val="20"/>
              </w:rPr>
              <w:t xml:space="preserve">-0.982</w:t>
            </w:r>
          </w:p>
        </w:tc>
        <w:tc>
          <w:tcPr>
            <w:tcW w:w="0" w:type="auto"/>
          </w:tcPr>
          <w:p>
            <w:pPr>
              <w:spacing w:line="240" w:lineRule="auto" w:before="0" w:after="0"/>
              <w:pStyle w:val="Compact"/>
            </w:pPr>
            <w:r>
              <w:rPr>
                <w:sz w:val="20"/>
                <w:szCs w:val="20"/>
              </w:rPr>
              <w:t xml:space="preserve">15.1676</w:t>
            </w:r>
          </w:p>
        </w:tc>
        <w:tc>
          <w:tcPr>
            <w:tcW w:w="0" w:type="auto"/>
          </w:tcPr>
          <w:p>
            <w:pPr>
              <w:spacing w:line="240" w:lineRule="auto" w:before="0" w:after="0"/>
              <w:pStyle w:val="Compact"/>
            </w:pPr>
            <w:r>
              <w:rPr>
                <w:sz w:val="20"/>
                <w:szCs w:val="20"/>
              </w:rPr>
              <w:t xml:space="preserve">-0.0647</w:t>
            </w:r>
          </w:p>
        </w:tc>
        <w:tc>
          <w:tcPr>
            <w:tcW w:w="0" w:type="auto"/>
          </w:tcPr>
          <w:p>
            <w:pPr>
              <w:spacing w:line="240" w:lineRule="auto" w:before="0" w:after="0"/>
              <w:pStyle w:val="Compact"/>
            </w:pPr>
            <w:r>
              <w:rPr>
                <w:sz w:val="20"/>
                <w:szCs w:val="20"/>
              </w:rPr>
              <w:t xml:space="preserve">0.9484</w:t>
            </w:r>
          </w:p>
        </w:tc>
        <w:tc>
          <w:tcPr>
            <w:tcW w:w="0" w:type="auto"/>
          </w:tcPr>
          <w:p>
            <w:pPr>
              <w:spacing w:line="240" w:lineRule="auto" w:before="0" w:after="0"/>
              <w:pStyle w:val="Compact"/>
            </w:pPr>
            <w:r>
              <w:rPr>
                <w:sz w:val="20"/>
                <w:szCs w:val="20"/>
              </w:rPr>
              <w:t xml:space="preserve">[-30.7099, 28.7459]</w:t>
            </w:r>
          </w:p>
        </w:tc>
      </w:tr>
      <w:tr>
        <w:tc>
          <w:tcPr>
            <w:tcW w:w="0" w:type="auto"/>
          </w:tcPr>
          <w:p>
            <w:pPr>
              <w:spacing w:line="240" w:lineRule="auto" w:before="0" w:after="0"/>
              <w:pStyle w:val="Compact"/>
            </w:pPr>
            <w:r>
              <w:rPr>
                <w:sz w:val="20"/>
                <w:szCs w:val="20"/>
              </w:rPr>
              <w:t xml:space="preserve">ffrdc_se_intensive</w:t>
            </w:r>
          </w:p>
        </w:tc>
        <w:tc>
          <w:tcPr>
            <w:tcW w:w="0" w:type="auto"/>
          </w:tcPr>
          <w:p>
            <w:pPr>
              <w:spacing w:line="240" w:lineRule="auto" w:before="0" w:after="0"/>
              <w:pStyle w:val="Compact"/>
            </w:pPr>
            <w:r>
              <w:rPr>
                <w:sz w:val="20"/>
                <w:szCs w:val="20"/>
              </w:rPr>
              <w:t xml:space="preserve">8.833</w:t>
            </w:r>
          </w:p>
        </w:tc>
        <w:tc>
          <w:tcPr>
            <w:tcW w:w="0" w:type="auto"/>
          </w:tcPr>
          <w:p>
            <w:pPr>
              <w:spacing w:line="240" w:lineRule="auto" w:before="0" w:after="0"/>
              <w:pStyle w:val="Compact"/>
            </w:pPr>
            <w:r>
              <w:rPr>
                <w:sz w:val="20"/>
                <w:szCs w:val="20"/>
              </w:rPr>
              <w:t xml:space="preserve">8.6899</w:t>
            </w:r>
          </w:p>
        </w:tc>
        <w:tc>
          <w:tcPr>
            <w:tcW w:w="0" w:type="auto"/>
          </w:tcPr>
          <w:p>
            <w:pPr>
              <w:spacing w:line="240" w:lineRule="auto" w:before="0" w:after="0"/>
              <w:pStyle w:val="Compact"/>
            </w:pPr>
            <w:r>
              <w:rPr>
                <w:sz w:val="20"/>
                <w:szCs w:val="20"/>
              </w:rPr>
              <w:t xml:space="preserve">1.0165</w:t>
            </w:r>
          </w:p>
        </w:tc>
        <w:tc>
          <w:tcPr>
            <w:tcW w:w="0" w:type="auto"/>
          </w:tcPr>
          <w:p>
            <w:pPr>
              <w:spacing w:line="240" w:lineRule="auto" w:before="0" w:after="0"/>
              <w:pStyle w:val="Compact"/>
            </w:pPr>
            <w:r>
              <w:rPr>
                <w:sz w:val="20"/>
                <w:szCs w:val="20"/>
              </w:rPr>
              <w:t xml:space="preserve">0.3094</w:t>
            </w:r>
          </w:p>
        </w:tc>
        <w:tc>
          <w:tcPr>
            <w:tcW w:w="0" w:type="auto"/>
          </w:tcPr>
          <w:p>
            <w:pPr>
              <w:spacing w:line="240" w:lineRule="auto" w:before="0" w:after="0"/>
              <w:pStyle w:val="Compact"/>
            </w:pPr>
            <w:r>
              <w:rPr>
                <w:sz w:val="20"/>
                <w:szCs w:val="20"/>
              </w:rPr>
              <w:t xml:space="preserve">[-8.1988, 25.8648]</w:t>
            </w:r>
          </w:p>
        </w:tc>
      </w:tr>
      <w:tr>
        <w:tc>
          <w:tcPr>
            <w:tcW w:w="0" w:type="auto"/>
          </w:tcPr>
          <w:p>
            <w:pPr>
              <w:spacing w:line="240" w:lineRule="auto" w:before="0" w:after="0"/>
              <w:pStyle w:val="Compact"/>
            </w:pPr>
            <w:r>
              <w:rPr>
                <w:sz w:val="20"/>
                <w:szCs w:val="20"/>
              </w:rPr>
              <w:t xml:space="preserve">planned_dev_months</w:t>
            </w:r>
          </w:p>
        </w:tc>
        <w:tc>
          <w:tcPr>
            <w:tcW w:w="0" w:type="auto"/>
          </w:tcPr>
          <w:p>
            <w:pPr>
              <w:spacing w:line="240" w:lineRule="auto" w:before="0" w:after="0"/>
              <w:pStyle w:val="Compact"/>
            </w:pPr>
            <w:r>
              <w:rPr>
                <w:sz w:val="20"/>
                <w:szCs w:val="20"/>
              </w:rPr>
              <w:t xml:space="preserve">0.3329</w:t>
            </w:r>
          </w:p>
        </w:tc>
        <w:tc>
          <w:tcPr>
            <w:tcW w:w="0" w:type="auto"/>
          </w:tcPr>
          <w:p>
            <w:pPr>
              <w:spacing w:line="240" w:lineRule="auto" w:before="0" w:after="0"/>
              <w:pStyle w:val="Compact"/>
            </w:pPr>
            <w:r>
              <w:rPr>
                <w:sz w:val="20"/>
                <w:szCs w:val="20"/>
              </w:rPr>
              <w:t xml:space="preserve">0.2626</w:t>
            </w:r>
          </w:p>
        </w:tc>
        <w:tc>
          <w:tcPr>
            <w:tcW w:w="0" w:type="auto"/>
          </w:tcPr>
          <w:p>
            <w:pPr>
              <w:spacing w:line="240" w:lineRule="auto" w:before="0" w:after="0"/>
              <w:pStyle w:val="Compact"/>
            </w:pPr>
            <w:r>
              <w:rPr>
                <w:sz w:val="20"/>
                <w:szCs w:val="20"/>
              </w:rPr>
              <w:t xml:space="preserve">1.2677</w:t>
            </w:r>
          </w:p>
        </w:tc>
        <w:tc>
          <w:tcPr>
            <w:tcW w:w="0" w:type="auto"/>
          </w:tcPr>
          <w:p>
            <w:pPr>
              <w:spacing w:line="240" w:lineRule="auto" w:before="0" w:after="0"/>
              <w:pStyle w:val="Compact"/>
            </w:pPr>
            <w:r>
              <w:rPr>
                <w:sz w:val="20"/>
                <w:szCs w:val="20"/>
              </w:rPr>
              <w:t xml:space="preserve">0.2049</w:t>
            </w:r>
          </w:p>
        </w:tc>
        <w:tc>
          <w:tcPr>
            <w:tcW w:w="0" w:type="auto"/>
          </w:tcPr>
          <w:p>
            <w:pPr>
              <w:spacing w:line="240" w:lineRule="auto" w:before="0" w:after="0"/>
              <w:pStyle w:val="Compact"/>
            </w:pPr>
            <w:r>
              <w:rPr>
                <w:sz w:val="20"/>
                <w:szCs w:val="20"/>
              </w:rPr>
              <w:t xml:space="preserve">[-0.1818, 0.8476]</w:t>
            </w:r>
          </w:p>
        </w:tc>
      </w:tr>
      <w:tr>
        <w:tc>
          <w:tcPr>
            <w:tcW w:w="0" w:type="auto"/>
          </w:tcPr>
          <w:p>
            <w:pPr>
              <w:spacing w:line="240" w:lineRule="auto" w:before="0" w:after="0"/>
              <w:pStyle w:val="Compact"/>
            </w:pPr>
            <w:r>
              <w:rPr>
                <w:sz w:val="20"/>
                <w:szCs w:val="20"/>
              </w:rPr>
              <w:t xml:space="preserve">instrument_count</w:t>
            </w:r>
          </w:p>
        </w:tc>
        <w:tc>
          <w:tcPr>
            <w:tcW w:w="0" w:type="auto"/>
          </w:tcPr>
          <w:p>
            <w:pPr>
              <w:spacing w:line="240" w:lineRule="auto" w:before="0" w:after="0"/>
              <w:pStyle w:val="Compact"/>
            </w:pPr>
            <w:r>
              <w:rPr>
                <w:sz w:val="20"/>
                <w:szCs w:val="20"/>
              </w:rPr>
              <w:t xml:space="preserve">-0.7625</w:t>
            </w:r>
          </w:p>
        </w:tc>
        <w:tc>
          <w:tcPr>
            <w:tcW w:w="0" w:type="auto"/>
          </w:tcPr>
          <w:p>
            <w:pPr>
              <w:spacing w:line="240" w:lineRule="auto" w:before="0" w:after="0"/>
              <w:pStyle w:val="Compact"/>
            </w:pPr>
            <w:r>
              <w:rPr>
                <w:sz w:val="20"/>
                <w:szCs w:val="20"/>
              </w:rPr>
              <w:t xml:space="preserve">1.3605</w:t>
            </w:r>
          </w:p>
        </w:tc>
        <w:tc>
          <w:tcPr>
            <w:tcW w:w="0" w:type="auto"/>
          </w:tcPr>
          <w:p>
            <w:pPr>
              <w:spacing w:line="240" w:lineRule="auto" w:before="0" w:after="0"/>
              <w:pStyle w:val="Compact"/>
            </w:pPr>
            <w:r>
              <w:rPr>
                <w:sz w:val="20"/>
                <w:szCs w:val="20"/>
              </w:rPr>
              <w:t xml:space="preserve">-0.5605</w:t>
            </w:r>
          </w:p>
        </w:tc>
        <w:tc>
          <w:tcPr>
            <w:tcW w:w="0" w:type="auto"/>
          </w:tcPr>
          <w:p>
            <w:pPr>
              <w:spacing w:line="240" w:lineRule="auto" w:before="0" w:after="0"/>
              <w:pStyle w:val="Compact"/>
            </w:pPr>
            <w:r>
              <w:rPr>
                <w:sz w:val="20"/>
                <w:szCs w:val="20"/>
              </w:rPr>
              <w:t xml:space="preserve">0.5752</w:t>
            </w:r>
          </w:p>
        </w:tc>
        <w:tc>
          <w:tcPr>
            <w:tcW w:w="0" w:type="auto"/>
          </w:tcPr>
          <w:p>
            <w:pPr>
              <w:spacing w:line="240" w:lineRule="auto" w:before="0" w:after="0"/>
              <w:pStyle w:val="Compact"/>
            </w:pPr>
            <w:r>
              <w:rPr>
                <w:sz w:val="20"/>
                <w:szCs w:val="20"/>
              </w:rPr>
              <w:t xml:space="preserve">[-3.4289, 1.904]</w:t>
            </w:r>
          </w:p>
        </w:tc>
      </w:tr>
    </w:tbl>
    <w:p>
      <w:pPr>
        <w:pStyle w:val="BodyText"/>
      </w:pPr>
      <w:r>
        <w:t xml:space="preserve">Fit: N = 30 R2 = 0.2056 R2_adj = 0.114 F = 2.0205 F_p = 0.1357</w:t>
      </w:r>
    </w:p>
    <w:bookmarkEnd w:id="79"/>
    <w:bookmarkEnd w:id="80"/>
    <w:bookmarkEnd w:id="81"/>
    <w:sectPr w:rsidR="009F3179">
      <w:type w:val="continuous"/>
      <w:pgSz w:h="15840" w:w="12240"/>
      <w:pgMar w:bottom="280" w:footer="720" w:gutter="0" w:header="720" w:left="1060" w:right="1240" w:top="1500"/>
      <w:cols w:space="720"/>
    </w:sectPr>
  </w:body>
</w:document>
</file>

<file path=word/comments.xml><?xml version="1.0" encoding="utf-8"?>
<w:comment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Calibri">
    <w:panose1 w:val="020F0502020204030204"/>
    <w:charset w:val="CC"/>
    <w:family w:val="swiss"/>
    <w:pitch w:val="variable"/>
    <w:sig w:usb0="E0002EFF" w:usb1="C000247B" w:usb2="00000009" w:usb3="00000000" w:csb0="000001FF" w:csb1="00000000"/>
  </w:font>
  <w:font w:name="TimesNewRomanPS-BoldItalicMT">
    <w:altName w:val="Times New Roman"/>
    <w:panose1 w:val="020B0604020202020204"/>
    <w:charset w:val="00"/>
    <w:family w:val="roman"/>
    <w:pitch w:val="variable"/>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4B9303" w14:textId="77777777" w:rsidR="009F3179" w:rsidRDefault="00C10B24">
    <w:pPr>
      <w:pStyle w:val="BodyText"/>
      <w:spacing w:line="14" w:lineRule="auto"/>
      <w:ind w:left="0"/>
      <w:rPr>
        <w:sz w:val="20"/>
      </w:rPr>
    </w:pPr>
    <w:r>
      <w:rPr>
        <w:noProof/>
      </w:rPr>
      <mc:AlternateContent>
        <mc:Choice Requires="wps">
          <w:drawing>
            <wp:anchor distT="0" distB="0" distL="114300" distR="114300" simplePos="0" relativeHeight="485509120" behindDoc="1" locked="0" layoutInCell="1" allowOverlap="1" wp14:anchorId="1173D16B" wp14:editId="2335BC15">
              <wp:simplePos x="0" y="0"/>
              <wp:positionH relativeFrom="page">
                <wp:posOffset>3763010</wp:posOffset>
              </wp:positionH>
              <wp:positionV relativeFrom="page">
                <wp:posOffset>9495790</wp:posOffset>
              </wp:positionV>
              <wp:extent cx="246380" cy="167640"/>
              <wp:effectExtent l="0" t="0" r="0" b="0"/>
              <wp:wrapNone/>
              <wp:docPr id="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4638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73D16B" id="_x0000_t202" coordsize="21600,21600" o:spt="202" path="m,l,21600r21600,l21600,xe">
              <v:stroke joinstyle="miter"/>
              <v:path gradientshapeok="t" o:connecttype="rect"/>
            </v:shapetype>
            <v:shape id="Text Box 2" o:spid="_x0000_s1098" type="#_x0000_t202" style="position:absolute;margin-left:296.3pt;margin-top:747.7pt;width:19.4pt;height:13.2pt;z-index:-1780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" filled="f" stroked="f">
              <v:path arrowok="t"/>
              <v:textbox inset="0,0,0,0">
                <w:txbxContent>
                  <w:p w14:paraId="718ED471" w14:textId="77777777" w:rsidR="009F3179" w:rsidRDefault="00C54E59">
                    <w:pPr>
                      <w:spacing w:before="13"/>
                      <w:ind w:left="60"/>
                      <w:rPr>
                        <w:sz w:val="20"/>
                      </w:rPr>
                    </w:pPr>
                    <w:r>
                      <w:fldChar w:fldCharType="begin"/>
                    </w:r>
                    <w:r>
                      <w:rPr>
                        <w:sz w:val="20"/>
                      </w:rPr>
                      <w:instrText xml:space="preserve"> PAGE  \* roman </w:instrText>
                    </w:r>
                    <w:r>
                      <w:fldChar w:fldCharType="separate"/>
                    </w:r>
                    <w:r>
                      <w:t>viii</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212D622" w14:textId="77777777" w:rsidR="009F3179" w:rsidRDefault="00C10B24">
    <w:pPr>
      <w:pStyle w:val="BodyText"/>
      <w:spacing w:line="14" w:lineRule="auto"/>
      <w:ind w:left="0"/>
      <w:rPr>
        <w:sz w:val="14"/>
      </w:rPr>
    </w:pPr>
    <w:r>
      <w:rPr>
        <w:noProof/>
      </w:rPr>
      <mc:AlternateContent>
        <mc:Choice Requires="wps">
          <w:drawing>
            <wp:anchor distT="0" distB="0" distL="114300" distR="114300" simplePos="0" relativeHeight="485509632" behindDoc="1" locked="0" layoutInCell="1" allowOverlap="1" wp14:anchorId="5F7D2CAC" wp14:editId="6027A16B">
              <wp:simplePos x="0" y="0"/>
              <wp:positionH relativeFrom="page">
                <wp:posOffset>3753485</wp:posOffset>
              </wp:positionH>
              <wp:positionV relativeFrom="page">
                <wp:posOffset>9495790</wp:posOffset>
              </wp:positionV>
              <wp:extent cx="266700" cy="167640"/>
              <wp:effectExtent l="0" t="0" r="0" b="0"/>
              <wp:wrapNone/>
              <wp:docPr id="87"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266700" cy="1676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7D2CAC" id="_x0000_t202" coordsize="21600,21600" o:spt="202" path="m,l,21600r21600,l21600,xe">
              <v:stroke joinstyle="miter"/>
              <v:path gradientshapeok="t" o:connecttype="rect"/>
            </v:shapetype>
            <v:shape id="Text Box 1" o:spid="_x0000_s1099" type="#_x0000_t202" style="position:absolute;margin-left:295.55pt;margin-top:747.7pt;width:21pt;height:13.2pt;z-index:-17806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" filled="f" stroked="f">
              <v:path arrowok="t"/>
              <v:textbox inset="0,0,0,0">
                <w:txbxContent>
                  <w:p w14:paraId="2B167905" w14:textId="77777777" w:rsidR="009F3179" w:rsidRDefault="00C54E59">
                    <w:pPr>
                      <w:spacing w:before="13"/>
                      <w:ind w:left="60"/>
                      <w:rPr>
                        <w:sz w:val="20"/>
                      </w:rPr>
                    </w:pPr>
                    <w:r>
                      <w:fldChar w:fldCharType="begin"/>
                    </w:r>
                    <w:r>
                      <w:rPr>
                        <w:sz w:val="20"/>
                      </w:rPr>
                      <w:instrText xml:space="preserve"> PAGE </w:instrText>
                    </w:r>
                    <w:r>
                      <w:fldChar w:fldCharType="separate"/>
                    </w:r>
                    <w:r>
                      <w:t>100</w:t>
                    </w:r>
                    <w:r>
                      <w:fldChar w:fldCharType="end"/>
                    </w:r>
                  </w:p>
                </w:txbxContent>
              </v:textbox>
              <w10:wrap anchorx="page" anchory="page"/>
            </v:shape>
          </w:pict>
        </mc:Fallback>
      </mc:AlternateContent>
    </w:r>
  </w:p>
</w:ftr>
</file>

<file path=word/footnotes.xml><?xml version="1.0" encoding="utf-8"?>
<w:footnotes xmlns:w="http://schemas.openxmlformats.org/wordprocessingml/2006/main" xmlns:m="http://schemas.openxmlformats.org/officeDocument/2006/math" xmlns:r="http://schemas.openxmlformats.org/officeDocument/2006/relationships" xmlns:o="urn:schemas-microsoft-com:office:office" xmlns:v="urn:schemas-microsoft-com:vml" xmlns:w10="urn:schemas-microsoft-com:office:word" xmlns:a="http://schemas.openxmlformats.org/drawingml/2006/main" xmlns:pic="http://schemas.openxmlformats.org/drawingml/2006/picture" xmlns:wp="http://schemas.openxmlformats.org/drawingml/2006/wordprocessingDrawing">
  <w:footnote w:type="continuationSeparator" w:id="0">
    <w:p>
      <w:r>
        <w:continuationSeparator/>
      </w:r>
    </w:p>
  </w:footnote>
  <w:footnote w:type="separator" w:id="-1">
    <w:p>
      <w:r>
        <w:separator/>
      </w:r>
    </w:p>
  </w:footnote>
</w:footnotes>
</file>

<file path=word/numbering.xml><?xml version="1.0" encoding="utf-8"?>
<w:numbering xmlns:aink="http://schemas.microsoft.com/office/drawing/2016/ink" xmlns:am3d="http://schemas.microsoft.com/office/drawing/2017/model3d"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16se w16cid w16 w16cex wp14">
  <w:abstractNum w15:restartNumberingAfterBreak="0" w:abstractNumId="0">
    <w:nsid w:val="0755065F"/>
    <w:multiLevelType w:val="hybridMultilevel"/>
    <w:tmpl w:val="437073C0"/>
    <w:lvl w:ilvl="0" w:tplc="F014BDD8">
      <w:start w:val="1"/>
      <w:numFmt w:val="decimal"/>
      <w:lvlText w:val="%1."/>
      <w:lvlJc w:val="left"/>
      <w:pPr>
        <w:ind w:hanging="289" w:left="1100"/>
        <w:jc w:val="left"/>
      </w:pPr>
      <w:rPr>
        <w:rFonts w:ascii="Times New Roman" w:cs="Times New Roman" w:eastAsia="Times New Roman" w:hAnsi="Times New Roman" w:hint="default"/>
        <w:w w:val="100"/>
        <w:sz w:val="24"/>
        <w:szCs w:val="24"/>
      </w:rPr>
    </w:lvl>
    <w:lvl w:ilvl="1" w:tplc="9A704740">
      <w:numFmt w:val="bullet"/>
      <w:lvlText w:val="•"/>
      <w:lvlJc w:val="left"/>
      <w:pPr>
        <w:ind w:hanging="289" w:left="1984"/>
      </w:pPr>
      <w:rPr>
        <w:rFonts w:hint="default"/>
      </w:rPr>
    </w:lvl>
    <w:lvl w:ilvl="2" w:tplc="D2C4459C">
      <w:numFmt w:val="bullet"/>
      <w:lvlText w:val="•"/>
      <w:lvlJc w:val="left"/>
      <w:pPr>
        <w:ind w:hanging="289" w:left="2868"/>
      </w:pPr>
      <w:rPr>
        <w:rFonts w:hint="default"/>
      </w:rPr>
    </w:lvl>
    <w:lvl w:ilvl="3" w:tplc="E4B6D344">
      <w:numFmt w:val="bullet"/>
      <w:lvlText w:val="•"/>
      <w:lvlJc w:val="left"/>
      <w:pPr>
        <w:ind w:hanging="289" w:left="3752"/>
      </w:pPr>
      <w:rPr>
        <w:rFonts w:hint="default"/>
      </w:rPr>
    </w:lvl>
    <w:lvl w:ilvl="4" w:tplc="79504C92">
      <w:numFmt w:val="bullet"/>
      <w:lvlText w:val="•"/>
      <w:lvlJc w:val="left"/>
      <w:pPr>
        <w:ind w:hanging="289" w:left="4636"/>
      </w:pPr>
      <w:rPr>
        <w:rFonts w:hint="default"/>
      </w:rPr>
    </w:lvl>
    <w:lvl w:ilvl="5" w:tplc="CFB2858E">
      <w:numFmt w:val="bullet"/>
      <w:lvlText w:val="•"/>
      <w:lvlJc w:val="left"/>
      <w:pPr>
        <w:ind w:hanging="289" w:left="5520"/>
      </w:pPr>
      <w:rPr>
        <w:rFonts w:hint="default"/>
      </w:rPr>
    </w:lvl>
    <w:lvl w:ilvl="6" w:tplc="351E15F6">
      <w:numFmt w:val="bullet"/>
      <w:lvlText w:val="•"/>
      <w:lvlJc w:val="left"/>
      <w:pPr>
        <w:ind w:hanging="289" w:left="6404"/>
      </w:pPr>
      <w:rPr>
        <w:rFonts w:hint="default"/>
      </w:rPr>
    </w:lvl>
    <w:lvl w:ilvl="7" w:tplc="F726FE44">
      <w:numFmt w:val="bullet"/>
      <w:lvlText w:val="•"/>
      <w:lvlJc w:val="left"/>
      <w:pPr>
        <w:ind w:hanging="289" w:left="7288"/>
      </w:pPr>
      <w:rPr>
        <w:rFonts w:hint="default"/>
      </w:rPr>
    </w:lvl>
    <w:lvl w:ilvl="8" w:tplc="1B18AE82">
      <w:numFmt w:val="bullet"/>
      <w:lvlText w:val="•"/>
      <w:lvlJc w:val="left"/>
      <w:pPr>
        <w:ind w:hanging="289" w:left="8172"/>
      </w:pPr>
      <w:rPr>
        <w:rFonts w:hint="default"/>
      </w:rPr>
    </w:lvl>
  </w:abstractNum>
  <w:abstractNum w15:restartNumberingAfterBreak="0" w:abstractNumId="1">
    <w:nsid w:val="20ED600A"/>
    <w:multiLevelType w:val="hybridMultilevel"/>
    <w:tmpl w:val="3DF660D8"/>
    <w:lvl w:ilvl="0" w:tplc="DBD4E4B2">
      <w:start w:val="1"/>
      <w:numFmt w:val="decimal"/>
      <w:lvlText w:val="%1."/>
      <w:lvlJc w:val="left"/>
      <w:pPr>
        <w:ind w:hanging="116" w:left="0"/>
        <w:jc w:val="left"/>
      </w:pPr>
      <w:rPr>
        <w:rFonts w:ascii="Arial" w:cs="Arial" w:eastAsia="Arial" w:hAnsi="Arial" w:hint="default"/>
        <w:color w:val="0B2338"/>
        <w:spacing w:val="-1"/>
        <w:w w:val="94"/>
        <w:sz w:val="11"/>
        <w:szCs w:val="11"/>
      </w:rPr>
    </w:lvl>
    <w:lvl w:ilvl="1" w:tplc="1DF49AAE">
      <w:numFmt w:val="bullet"/>
      <w:lvlText w:val="•"/>
      <w:lvlJc w:val="left"/>
      <w:pPr>
        <w:ind w:hanging="116" w:left="118"/>
      </w:pPr>
      <w:rPr>
        <w:rFonts w:hint="default"/>
      </w:rPr>
    </w:lvl>
    <w:lvl w:ilvl="2" w:tplc="8696922E">
      <w:numFmt w:val="bullet"/>
      <w:lvlText w:val="•"/>
      <w:lvlJc w:val="left"/>
      <w:pPr>
        <w:ind w:hanging="116" w:left="237"/>
      </w:pPr>
      <w:rPr>
        <w:rFonts w:hint="default"/>
      </w:rPr>
    </w:lvl>
    <w:lvl w:ilvl="3" w:tplc="53CC4070">
      <w:numFmt w:val="bullet"/>
      <w:lvlText w:val="•"/>
      <w:lvlJc w:val="left"/>
      <w:pPr>
        <w:ind w:hanging="116" w:left="356"/>
      </w:pPr>
      <w:rPr>
        <w:rFonts w:hint="default"/>
      </w:rPr>
    </w:lvl>
    <w:lvl w:ilvl="4" w:tplc="670C966A">
      <w:numFmt w:val="bullet"/>
      <w:lvlText w:val="•"/>
      <w:lvlJc w:val="left"/>
      <w:pPr>
        <w:ind w:hanging="116" w:left="475"/>
      </w:pPr>
      <w:rPr>
        <w:rFonts w:hint="default"/>
      </w:rPr>
    </w:lvl>
    <w:lvl w:ilvl="5" w:tplc="F7786108">
      <w:numFmt w:val="bullet"/>
      <w:lvlText w:val="•"/>
      <w:lvlJc w:val="left"/>
      <w:pPr>
        <w:ind w:hanging="116" w:left="593"/>
      </w:pPr>
      <w:rPr>
        <w:rFonts w:hint="default"/>
      </w:rPr>
    </w:lvl>
    <w:lvl w:ilvl="6" w:tplc="CAE43504">
      <w:numFmt w:val="bullet"/>
      <w:lvlText w:val="•"/>
      <w:lvlJc w:val="left"/>
      <w:pPr>
        <w:ind w:hanging="116" w:left="712"/>
      </w:pPr>
      <w:rPr>
        <w:rFonts w:hint="default"/>
      </w:rPr>
    </w:lvl>
    <w:lvl w:ilvl="7" w:tplc="405095FA">
      <w:numFmt w:val="bullet"/>
      <w:lvlText w:val="•"/>
      <w:lvlJc w:val="left"/>
      <w:pPr>
        <w:ind w:hanging="116" w:left="831"/>
      </w:pPr>
      <w:rPr>
        <w:rFonts w:hint="default"/>
      </w:rPr>
    </w:lvl>
    <w:lvl w:ilvl="8" w:tplc="4662B30C">
      <w:numFmt w:val="bullet"/>
      <w:lvlText w:val="•"/>
      <w:lvlJc w:val="left"/>
      <w:pPr>
        <w:ind w:hanging="116" w:left="950"/>
      </w:pPr>
      <w:rPr>
        <w:rFonts w:hint="default"/>
      </w:rPr>
    </w:lvl>
  </w:abstractNum>
  <w:abstractNum w15:restartNumberingAfterBreak="0" w:abstractNumId="2">
    <w:nsid w:val="2364631C"/>
    <w:multiLevelType w:val="hybridMultilevel"/>
    <w:tmpl w:val="EF7CE616"/>
    <w:lvl w:ilvl="0" w:tplc="5A4CA9FE">
      <w:start w:val="1"/>
      <w:numFmt w:val="decimal"/>
      <w:lvlText w:val="%1."/>
      <w:lvlJc w:val="left"/>
      <w:pPr>
        <w:ind w:hanging="240" w:left="2150"/>
        <w:jc w:val="left"/>
      </w:pPr>
      <w:rPr>
        <w:rFonts w:ascii="Times New Roman" w:cs="Times New Roman" w:eastAsia="Times New Roman" w:hAnsi="Times New Roman" w:hint="default"/>
        <w:w w:val="100"/>
        <w:sz w:val="24"/>
        <w:szCs w:val="24"/>
      </w:rPr>
    </w:lvl>
    <w:lvl w:ilvl="1" w:tplc="E40AEBAA">
      <w:numFmt w:val="bullet"/>
      <w:lvlText w:val="•"/>
      <w:lvlJc w:val="left"/>
      <w:pPr>
        <w:ind w:hanging="240" w:left="2938"/>
      </w:pPr>
      <w:rPr>
        <w:rFonts w:hint="default"/>
      </w:rPr>
    </w:lvl>
    <w:lvl w:ilvl="2" w:tplc="8CBA5F66">
      <w:numFmt w:val="bullet"/>
      <w:lvlText w:val="•"/>
      <w:lvlJc w:val="left"/>
      <w:pPr>
        <w:ind w:hanging="240" w:left="3716"/>
      </w:pPr>
      <w:rPr>
        <w:rFonts w:hint="default"/>
      </w:rPr>
    </w:lvl>
    <w:lvl w:ilvl="3" w:tplc="592A2702">
      <w:numFmt w:val="bullet"/>
      <w:lvlText w:val="•"/>
      <w:lvlJc w:val="left"/>
      <w:pPr>
        <w:ind w:hanging="240" w:left="4494"/>
      </w:pPr>
      <w:rPr>
        <w:rFonts w:hint="default"/>
      </w:rPr>
    </w:lvl>
    <w:lvl w:ilvl="4" w:tplc="FB988598">
      <w:numFmt w:val="bullet"/>
      <w:lvlText w:val="•"/>
      <w:lvlJc w:val="left"/>
      <w:pPr>
        <w:ind w:hanging="240" w:left="5272"/>
      </w:pPr>
      <w:rPr>
        <w:rFonts w:hint="default"/>
      </w:rPr>
    </w:lvl>
    <w:lvl w:ilvl="5" w:tplc="BB6A8AD4">
      <w:numFmt w:val="bullet"/>
      <w:lvlText w:val="•"/>
      <w:lvlJc w:val="left"/>
      <w:pPr>
        <w:ind w:hanging="240" w:left="6050"/>
      </w:pPr>
      <w:rPr>
        <w:rFonts w:hint="default"/>
      </w:rPr>
    </w:lvl>
    <w:lvl w:ilvl="6" w:tplc="5F467E0C">
      <w:numFmt w:val="bullet"/>
      <w:lvlText w:val="•"/>
      <w:lvlJc w:val="left"/>
      <w:pPr>
        <w:ind w:hanging="240" w:left="6828"/>
      </w:pPr>
      <w:rPr>
        <w:rFonts w:hint="default"/>
      </w:rPr>
    </w:lvl>
    <w:lvl w:ilvl="7" w:tplc="172665EE">
      <w:numFmt w:val="bullet"/>
      <w:lvlText w:val="•"/>
      <w:lvlJc w:val="left"/>
      <w:pPr>
        <w:ind w:hanging="240" w:left="7606"/>
      </w:pPr>
      <w:rPr>
        <w:rFonts w:hint="default"/>
      </w:rPr>
    </w:lvl>
    <w:lvl w:ilvl="8" w:tplc="E5F453FC">
      <w:numFmt w:val="bullet"/>
      <w:lvlText w:val="•"/>
      <w:lvlJc w:val="left"/>
      <w:pPr>
        <w:ind w:hanging="240" w:left="8384"/>
      </w:pPr>
      <w:rPr>
        <w:rFonts w:hint="default"/>
      </w:rPr>
    </w:lvl>
  </w:abstractNum>
  <w:abstractNum w15:restartNumberingAfterBreak="0" w:abstractNumId="3">
    <w:nsid w:val="25306CB1"/>
    <w:multiLevelType w:val="hybridMultilevel"/>
    <w:tmpl w:val="297AB564"/>
    <w:lvl w:ilvl="0" w:tplc="3710B952">
      <w:start w:val="3"/>
      <w:numFmt w:val="decimal"/>
      <w:lvlText w:val="%1"/>
      <w:lvlJc w:val="left"/>
      <w:pPr>
        <w:ind w:hanging="130" w:left="0"/>
        <w:jc w:val="left"/>
      </w:pPr>
      <w:rPr>
        <w:rFonts w:hint="default"/>
      </w:rPr>
    </w:lvl>
    <w:lvl w:ilvl="1" w:tplc="0352D56A">
      <w:start w:val="1"/>
      <w:numFmt w:val="upperLetter"/>
      <w:lvlText w:val="%1.%2"/>
      <w:lvlJc w:val="left"/>
      <w:pPr>
        <w:ind w:hanging="130" w:left="0"/>
        <w:jc w:val="left"/>
      </w:pPr>
      <w:rPr>
        <w:rFonts w:ascii="Arial" w:cs="Arial" w:eastAsia="Arial" w:hAnsi="Arial" w:hint="default"/>
        <w:color w:val="0B2338"/>
        <w:w w:val="90"/>
        <w:sz w:val="8"/>
        <w:szCs w:val="8"/>
      </w:rPr>
    </w:lvl>
    <w:lvl w:ilvl="2" w:tplc="04CC5664">
      <w:numFmt w:val="bullet"/>
      <w:lvlText w:val="•"/>
      <w:lvlJc w:val="left"/>
      <w:pPr>
        <w:ind w:hanging="130" w:left="243"/>
      </w:pPr>
      <w:rPr>
        <w:rFonts w:hint="default"/>
      </w:rPr>
    </w:lvl>
    <w:lvl w:ilvl="3" w:tplc="8C226828">
      <w:numFmt w:val="bullet"/>
      <w:lvlText w:val="•"/>
      <w:lvlJc w:val="left"/>
      <w:pPr>
        <w:ind w:hanging="130" w:left="365"/>
      </w:pPr>
      <w:rPr>
        <w:rFonts w:hint="default"/>
      </w:rPr>
    </w:lvl>
    <w:lvl w:ilvl="4" w:tplc="3134F5D2">
      <w:numFmt w:val="bullet"/>
      <w:lvlText w:val="•"/>
      <w:lvlJc w:val="left"/>
      <w:pPr>
        <w:ind w:hanging="130" w:left="487"/>
      </w:pPr>
      <w:rPr>
        <w:rFonts w:hint="default"/>
      </w:rPr>
    </w:lvl>
    <w:lvl w:ilvl="5" w:tplc="05444F5A">
      <w:numFmt w:val="bullet"/>
      <w:lvlText w:val="•"/>
      <w:lvlJc w:val="left"/>
      <w:pPr>
        <w:ind w:hanging="130" w:left="609"/>
      </w:pPr>
      <w:rPr>
        <w:rFonts w:hint="default"/>
      </w:rPr>
    </w:lvl>
    <w:lvl w:ilvl="6" w:tplc="7E28672E">
      <w:numFmt w:val="bullet"/>
      <w:lvlText w:val="•"/>
      <w:lvlJc w:val="left"/>
      <w:pPr>
        <w:ind w:hanging="130" w:left="730"/>
      </w:pPr>
      <w:rPr>
        <w:rFonts w:hint="default"/>
      </w:rPr>
    </w:lvl>
    <w:lvl w:ilvl="7" w:tplc="BE009B9A">
      <w:numFmt w:val="bullet"/>
      <w:lvlText w:val="•"/>
      <w:lvlJc w:val="left"/>
      <w:pPr>
        <w:ind w:hanging="130" w:left="852"/>
      </w:pPr>
      <w:rPr>
        <w:rFonts w:hint="default"/>
      </w:rPr>
    </w:lvl>
    <w:lvl w:ilvl="8" w:tplc="EDE64DD8">
      <w:numFmt w:val="bullet"/>
      <w:lvlText w:val="•"/>
      <w:lvlJc w:val="left"/>
      <w:pPr>
        <w:ind w:hanging="130" w:left="974"/>
      </w:pPr>
      <w:rPr>
        <w:rFonts w:hint="default"/>
      </w:rPr>
    </w:lvl>
  </w:abstractNum>
  <w:abstractNum w15:restartNumberingAfterBreak="0" w:abstractNumId="4">
    <w:nsid w:val="26D153E0"/>
    <w:multiLevelType w:val="hybridMultilevel"/>
    <w:tmpl w:val="03CC114C"/>
    <w:lvl w:ilvl="0" w:tplc="CC102BDE">
      <w:start w:val="1"/>
      <w:numFmt w:val="decimal"/>
      <w:lvlText w:val="%1."/>
      <w:lvlJc w:val="left"/>
      <w:pPr>
        <w:ind w:hanging="240" w:left="1910"/>
        <w:jc w:val="left"/>
      </w:pPr>
      <w:rPr>
        <w:rFonts w:ascii="Times New Roman" w:cs="Times New Roman" w:eastAsia="Times New Roman" w:hAnsi="Times New Roman" w:hint="default"/>
        <w:w w:val="100"/>
        <w:sz w:val="24"/>
        <w:szCs w:val="24"/>
      </w:rPr>
    </w:lvl>
    <w:lvl w:ilvl="1" w:tplc="2FCE3DC8">
      <w:numFmt w:val="bullet"/>
      <w:lvlText w:val="•"/>
      <w:lvlJc w:val="left"/>
      <w:pPr>
        <w:ind w:hanging="240" w:left="2722"/>
      </w:pPr>
      <w:rPr>
        <w:rFonts w:hint="default"/>
      </w:rPr>
    </w:lvl>
    <w:lvl w:ilvl="2" w:tplc="7F02E6CC">
      <w:numFmt w:val="bullet"/>
      <w:lvlText w:val="•"/>
      <w:lvlJc w:val="left"/>
      <w:pPr>
        <w:ind w:hanging="240" w:left="3524"/>
      </w:pPr>
      <w:rPr>
        <w:rFonts w:hint="default"/>
      </w:rPr>
    </w:lvl>
    <w:lvl w:ilvl="3" w:tplc="BFC0DA7A">
      <w:numFmt w:val="bullet"/>
      <w:lvlText w:val="•"/>
      <w:lvlJc w:val="left"/>
      <w:pPr>
        <w:ind w:hanging="240" w:left="4326"/>
      </w:pPr>
      <w:rPr>
        <w:rFonts w:hint="default"/>
      </w:rPr>
    </w:lvl>
    <w:lvl w:ilvl="4" w:tplc="359AD53A">
      <w:numFmt w:val="bullet"/>
      <w:lvlText w:val="•"/>
      <w:lvlJc w:val="left"/>
      <w:pPr>
        <w:ind w:hanging="240" w:left="5128"/>
      </w:pPr>
      <w:rPr>
        <w:rFonts w:hint="default"/>
      </w:rPr>
    </w:lvl>
    <w:lvl w:ilvl="5" w:tplc="96FE3888">
      <w:numFmt w:val="bullet"/>
      <w:lvlText w:val="•"/>
      <w:lvlJc w:val="left"/>
      <w:pPr>
        <w:ind w:hanging="240" w:left="5930"/>
      </w:pPr>
      <w:rPr>
        <w:rFonts w:hint="default"/>
      </w:rPr>
    </w:lvl>
    <w:lvl w:ilvl="6" w:tplc="40AEAAF2">
      <w:numFmt w:val="bullet"/>
      <w:lvlText w:val="•"/>
      <w:lvlJc w:val="left"/>
      <w:pPr>
        <w:ind w:hanging="240" w:left="6732"/>
      </w:pPr>
      <w:rPr>
        <w:rFonts w:hint="default"/>
      </w:rPr>
    </w:lvl>
    <w:lvl w:ilvl="7" w:tplc="9376846A">
      <w:numFmt w:val="bullet"/>
      <w:lvlText w:val="•"/>
      <w:lvlJc w:val="left"/>
      <w:pPr>
        <w:ind w:hanging="240" w:left="7534"/>
      </w:pPr>
      <w:rPr>
        <w:rFonts w:hint="default"/>
      </w:rPr>
    </w:lvl>
    <w:lvl w:ilvl="8" w:tplc="7832A2AE">
      <w:numFmt w:val="bullet"/>
      <w:lvlText w:val="•"/>
      <w:lvlJc w:val="left"/>
      <w:pPr>
        <w:ind w:hanging="240" w:left="8336"/>
      </w:pPr>
      <w:rPr>
        <w:rFonts w:hint="default"/>
      </w:rPr>
    </w:lvl>
  </w:abstractNum>
  <w:abstractNum w15:restartNumberingAfterBreak="0" w:abstractNumId="5">
    <w:nsid w:val="27C57A4E"/>
    <w:multiLevelType w:val="hybridMultilevel"/>
    <w:tmpl w:val="CA280CE0"/>
    <w:lvl w:ilvl="0" w:tplc="5442CA4A">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058E9C00">
      <w:numFmt w:val="bullet"/>
      <w:lvlText w:val="•"/>
      <w:lvlJc w:val="left"/>
      <w:pPr>
        <w:ind w:hanging="240" w:left="1336"/>
      </w:pPr>
      <w:rPr>
        <w:rFonts w:hint="default"/>
      </w:rPr>
    </w:lvl>
    <w:lvl w:ilvl="2" w:tplc="54C0D304">
      <w:numFmt w:val="bullet"/>
      <w:lvlText w:val="•"/>
      <w:lvlJc w:val="left"/>
      <w:pPr>
        <w:ind w:hanging="240" w:left="2292"/>
      </w:pPr>
      <w:rPr>
        <w:rFonts w:hint="default"/>
      </w:rPr>
    </w:lvl>
    <w:lvl w:ilvl="3" w:tplc="C164C8F4">
      <w:numFmt w:val="bullet"/>
      <w:lvlText w:val="•"/>
      <w:lvlJc w:val="left"/>
      <w:pPr>
        <w:ind w:hanging="240" w:left="3248"/>
      </w:pPr>
      <w:rPr>
        <w:rFonts w:hint="default"/>
      </w:rPr>
    </w:lvl>
    <w:lvl w:ilvl="4" w:tplc="E72C3952">
      <w:numFmt w:val="bullet"/>
      <w:lvlText w:val="•"/>
      <w:lvlJc w:val="left"/>
      <w:pPr>
        <w:ind w:hanging="240" w:left="4204"/>
      </w:pPr>
      <w:rPr>
        <w:rFonts w:hint="default"/>
      </w:rPr>
    </w:lvl>
    <w:lvl w:ilvl="5" w:tplc="48DCA6B0">
      <w:numFmt w:val="bullet"/>
      <w:lvlText w:val="•"/>
      <w:lvlJc w:val="left"/>
      <w:pPr>
        <w:ind w:hanging="240" w:left="5160"/>
      </w:pPr>
      <w:rPr>
        <w:rFonts w:hint="default"/>
      </w:rPr>
    </w:lvl>
    <w:lvl w:ilvl="6" w:tplc="163A1B6C">
      <w:numFmt w:val="bullet"/>
      <w:lvlText w:val="•"/>
      <w:lvlJc w:val="left"/>
      <w:pPr>
        <w:ind w:hanging="240" w:left="6116"/>
      </w:pPr>
      <w:rPr>
        <w:rFonts w:hint="default"/>
      </w:rPr>
    </w:lvl>
    <w:lvl w:ilvl="7" w:tplc="756E69AE">
      <w:numFmt w:val="bullet"/>
      <w:lvlText w:val="•"/>
      <w:lvlJc w:val="left"/>
      <w:pPr>
        <w:ind w:hanging="240" w:left="7072"/>
      </w:pPr>
      <w:rPr>
        <w:rFonts w:hint="default"/>
      </w:rPr>
    </w:lvl>
    <w:lvl w:ilvl="8" w:tplc="D908A9B4">
      <w:numFmt w:val="bullet"/>
      <w:lvlText w:val="•"/>
      <w:lvlJc w:val="left"/>
      <w:pPr>
        <w:ind w:hanging="240" w:left="8028"/>
      </w:pPr>
      <w:rPr>
        <w:rFonts w:hint="default"/>
      </w:rPr>
    </w:lvl>
  </w:abstractNum>
  <w:abstractNum w15:restartNumberingAfterBreak="0" w:abstractNumId="6">
    <w:nsid w:val="27E6655F"/>
    <w:multiLevelType w:val="hybridMultilevel"/>
    <w:tmpl w:val="5930EB48"/>
    <w:lvl w:ilvl="0" w:tplc="ED989EF0">
      <w:start w:val="1"/>
      <w:numFmt w:val="decimal"/>
      <w:lvlText w:val="%1."/>
      <w:lvlJc w:val="left"/>
      <w:pPr>
        <w:ind w:hanging="240" w:left="1340"/>
        <w:jc w:val="left"/>
      </w:pPr>
      <w:rPr>
        <w:rFonts w:ascii="Times New Roman" w:cs="Times New Roman" w:eastAsia="Times New Roman" w:hAnsi="Times New Roman" w:hint="default"/>
        <w:w w:val="100"/>
        <w:sz w:val="24"/>
        <w:szCs w:val="24"/>
      </w:rPr>
    </w:lvl>
    <w:lvl w:ilvl="1" w:tplc="F3ACB3F4">
      <w:numFmt w:val="bullet"/>
      <w:lvlText w:val="•"/>
      <w:lvlJc w:val="left"/>
      <w:pPr>
        <w:ind w:hanging="240" w:left="2200"/>
      </w:pPr>
      <w:rPr>
        <w:rFonts w:hint="default"/>
      </w:rPr>
    </w:lvl>
    <w:lvl w:ilvl="2" w:tplc="3F587E2C">
      <w:numFmt w:val="bullet"/>
      <w:lvlText w:val="•"/>
      <w:lvlJc w:val="left"/>
      <w:pPr>
        <w:ind w:hanging="240" w:left="3060"/>
      </w:pPr>
      <w:rPr>
        <w:rFonts w:hint="default"/>
      </w:rPr>
    </w:lvl>
    <w:lvl w:ilvl="3" w:tplc="F1B40C68">
      <w:numFmt w:val="bullet"/>
      <w:lvlText w:val="•"/>
      <w:lvlJc w:val="left"/>
      <w:pPr>
        <w:ind w:hanging="240" w:left="3920"/>
      </w:pPr>
      <w:rPr>
        <w:rFonts w:hint="default"/>
      </w:rPr>
    </w:lvl>
    <w:lvl w:ilvl="4" w:tplc="4B6CC954">
      <w:numFmt w:val="bullet"/>
      <w:lvlText w:val="•"/>
      <w:lvlJc w:val="left"/>
      <w:pPr>
        <w:ind w:hanging="240" w:left="4780"/>
      </w:pPr>
      <w:rPr>
        <w:rFonts w:hint="default"/>
      </w:rPr>
    </w:lvl>
    <w:lvl w:ilvl="5" w:tplc="2FD2EA1C">
      <w:numFmt w:val="bullet"/>
      <w:lvlText w:val="•"/>
      <w:lvlJc w:val="left"/>
      <w:pPr>
        <w:ind w:hanging="240" w:left="5640"/>
      </w:pPr>
      <w:rPr>
        <w:rFonts w:hint="default"/>
      </w:rPr>
    </w:lvl>
    <w:lvl w:ilvl="6" w:tplc="D54EC946">
      <w:numFmt w:val="bullet"/>
      <w:lvlText w:val="•"/>
      <w:lvlJc w:val="left"/>
      <w:pPr>
        <w:ind w:hanging="240" w:left="6500"/>
      </w:pPr>
      <w:rPr>
        <w:rFonts w:hint="default"/>
      </w:rPr>
    </w:lvl>
    <w:lvl w:ilvl="7" w:tplc="099619E8">
      <w:numFmt w:val="bullet"/>
      <w:lvlText w:val="•"/>
      <w:lvlJc w:val="left"/>
      <w:pPr>
        <w:ind w:hanging="240" w:left="7360"/>
      </w:pPr>
      <w:rPr>
        <w:rFonts w:hint="default"/>
      </w:rPr>
    </w:lvl>
    <w:lvl w:ilvl="8" w:tplc="203AB1F4">
      <w:numFmt w:val="bullet"/>
      <w:lvlText w:val="•"/>
      <w:lvlJc w:val="left"/>
      <w:pPr>
        <w:ind w:hanging="240" w:left="8220"/>
      </w:pPr>
      <w:rPr>
        <w:rFonts w:hint="default"/>
      </w:rPr>
    </w:lvl>
  </w:abstractNum>
  <w:abstractNum w15:restartNumberingAfterBreak="0" w:abstractNumId="7">
    <w:nsid w:val="290C7095"/>
    <w:multiLevelType w:val="hybridMultilevel"/>
    <w:tmpl w:val="9A02C806"/>
    <w:lvl w:ilvl="0" w:tplc="0E5421C0">
      <w:numFmt w:val="bullet"/>
      <w:lvlText w:val="•"/>
      <w:lvlJc w:val="left"/>
      <w:pPr>
        <w:ind w:hanging="145" w:left="1100"/>
      </w:pPr>
      <w:rPr>
        <w:rFonts w:ascii="Times New Roman" w:cs="Times New Roman" w:eastAsia="Times New Roman" w:hAnsi="Times New Roman" w:hint="default"/>
        <w:w w:val="100"/>
        <w:sz w:val="24"/>
        <w:szCs w:val="24"/>
      </w:rPr>
    </w:lvl>
    <w:lvl w:ilvl="1" w:tplc="38D4ABC2">
      <w:numFmt w:val="bullet"/>
      <w:lvlText w:val="o"/>
      <w:lvlJc w:val="left"/>
      <w:pPr>
        <w:ind w:hanging="180" w:left="1820"/>
      </w:pPr>
      <w:rPr>
        <w:rFonts w:ascii="Times New Roman" w:cs="Times New Roman" w:eastAsia="Times New Roman" w:hAnsi="Times New Roman" w:hint="default"/>
        <w:w w:val="100"/>
        <w:sz w:val="24"/>
        <w:szCs w:val="24"/>
      </w:rPr>
    </w:lvl>
    <w:lvl w:ilvl="2" w:tplc="A656DEE0">
      <w:numFmt w:val="bullet"/>
      <w:lvlText w:val="•"/>
      <w:lvlJc w:val="left"/>
      <w:pPr>
        <w:ind w:hanging="180" w:left="2722"/>
      </w:pPr>
      <w:rPr>
        <w:rFonts w:hint="default"/>
      </w:rPr>
    </w:lvl>
    <w:lvl w:ilvl="3" w:tplc="C40C9186">
      <w:numFmt w:val="bullet"/>
      <w:lvlText w:val="•"/>
      <w:lvlJc w:val="left"/>
      <w:pPr>
        <w:ind w:hanging="180" w:left="3624"/>
      </w:pPr>
      <w:rPr>
        <w:rFonts w:hint="default"/>
      </w:rPr>
    </w:lvl>
    <w:lvl w:ilvl="4" w:tplc="2C5AC058">
      <w:numFmt w:val="bullet"/>
      <w:lvlText w:val="•"/>
      <w:lvlJc w:val="left"/>
      <w:pPr>
        <w:ind w:hanging="180" w:left="4526"/>
      </w:pPr>
      <w:rPr>
        <w:rFonts w:hint="default"/>
      </w:rPr>
    </w:lvl>
    <w:lvl w:ilvl="5" w:tplc="A26457AA">
      <w:numFmt w:val="bullet"/>
      <w:lvlText w:val="•"/>
      <w:lvlJc w:val="left"/>
      <w:pPr>
        <w:ind w:hanging="180" w:left="5428"/>
      </w:pPr>
      <w:rPr>
        <w:rFonts w:hint="default"/>
      </w:rPr>
    </w:lvl>
    <w:lvl w:ilvl="6" w:tplc="73AAB8D4">
      <w:numFmt w:val="bullet"/>
      <w:lvlText w:val="•"/>
      <w:lvlJc w:val="left"/>
      <w:pPr>
        <w:ind w:hanging="180" w:left="6331"/>
      </w:pPr>
      <w:rPr>
        <w:rFonts w:hint="default"/>
      </w:rPr>
    </w:lvl>
    <w:lvl w:ilvl="7" w:tplc="3D00B95A">
      <w:numFmt w:val="bullet"/>
      <w:lvlText w:val="•"/>
      <w:lvlJc w:val="left"/>
      <w:pPr>
        <w:ind w:hanging="180" w:left="7233"/>
      </w:pPr>
      <w:rPr>
        <w:rFonts w:hint="default"/>
      </w:rPr>
    </w:lvl>
    <w:lvl w:ilvl="8" w:tplc="37D0B230">
      <w:numFmt w:val="bullet"/>
      <w:lvlText w:val="•"/>
      <w:lvlJc w:val="left"/>
      <w:pPr>
        <w:ind w:hanging="180" w:left="8135"/>
      </w:pPr>
      <w:rPr>
        <w:rFonts w:hint="default"/>
      </w:rPr>
    </w:lvl>
  </w:abstractNum>
  <w:abstractNum w15:restartNumberingAfterBreak="0" w:abstractNumId="8">
    <w:nsid w:val="2DAC4F25"/>
    <w:multiLevelType w:val="hybridMultilevel"/>
    <w:tmpl w:val="05DADA5E"/>
    <w:lvl w:ilvl="0" w:tplc="E4344D00">
      <w:numFmt w:val="bullet"/>
      <w:lvlText w:val="–"/>
      <w:lvlJc w:val="left"/>
      <w:pPr>
        <w:ind w:hanging="180" w:left="380"/>
      </w:pPr>
      <w:rPr>
        <w:rFonts w:ascii="Times New Roman" w:cs="Times New Roman" w:eastAsia="Times New Roman" w:hAnsi="Times New Roman" w:hint="default"/>
        <w:w w:val="100"/>
        <w:sz w:val="24"/>
        <w:szCs w:val="24"/>
      </w:rPr>
    </w:lvl>
    <w:lvl w:ilvl="1" w:tplc="69BA635A">
      <w:numFmt w:val="bullet"/>
      <w:lvlText w:val="•"/>
      <w:lvlJc w:val="left"/>
      <w:pPr>
        <w:ind w:hanging="145" w:left="1100"/>
      </w:pPr>
      <w:rPr>
        <w:rFonts w:ascii="Times New Roman" w:cs="Times New Roman" w:eastAsia="Times New Roman" w:hAnsi="Times New Roman" w:hint="default"/>
        <w:w w:val="100"/>
        <w:sz w:val="24"/>
        <w:szCs w:val="24"/>
      </w:rPr>
    </w:lvl>
    <w:lvl w:ilvl="2" w:tplc="D632F716">
      <w:numFmt w:val="bullet"/>
      <w:lvlText w:val="•"/>
      <w:lvlJc w:val="left"/>
      <w:pPr>
        <w:ind w:hanging="145" w:left="1100"/>
      </w:pPr>
      <w:rPr>
        <w:rFonts w:ascii="Times New Roman" w:cs="Times New Roman" w:eastAsia="Times New Roman" w:hAnsi="Times New Roman" w:hint="default"/>
        <w:w w:val="100"/>
        <w:sz w:val="24"/>
        <w:szCs w:val="24"/>
      </w:rPr>
    </w:lvl>
    <w:lvl w:ilvl="3" w:tplc="A0542E92">
      <w:numFmt w:val="bullet"/>
      <w:lvlText w:val="•"/>
      <w:lvlJc w:val="left"/>
      <w:pPr>
        <w:ind w:hanging="145" w:left="3064"/>
      </w:pPr>
      <w:rPr>
        <w:rFonts w:hint="default"/>
      </w:rPr>
    </w:lvl>
    <w:lvl w:ilvl="4" w:tplc="F65490F0">
      <w:numFmt w:val="bullet"/>
      <w:lvlText w:val="•"/>
      <w:lvlJc w:val="left"/>
      <w:pPr>
        <w:ind w:hanging="145" w:left="4046"/>
      </w:pPr>
      <w:rPr>
        <w:rFonts w:hint="default"/>
      </w:rPr>
    </w:lvl>
    <w:lvl w:ilvl="5" w:tplc="C924DD40">
      <w:numFmt w:val="bullet"/>
      <w:lvlText w:val="•"/>
      <w:lvlJc w:val="left"/>
      <w:pPr>
        <w:ind w:hanging="145" w:left="5028"/>
      </w:pPr>
      <w:rPr>
        <w:rFonts w:hint="default"/>
      </w:rPr>
    </w:lvl>
    <w:lvl w:ilvl="6" w:tplc="7A1E37F4">
      <w:numFmt w:val="bullet"/>
      <w:lvlText w:val="•"/>
      <w:lvlJc w:val="left"/>
      <w:pPr>
        <w:ind w:hanging="145" w:left="6011"/>
      </w:pPr>
      <w:rPr>
        <w:rFonts w:hint="default"/>
      </w:rPr>
    </w:lvl>
    <w:lvl w:ilvl="7" w:tplc="126C25E6">
      <w:numFmt w:val="bullet"/>
      <w:lvlText w:val="•"/>
      <w:lvlJc w:val="left"/>
      <w:pPr>
        <w:ind w:hanging="145" w:left="6993"/>
      </w:pPr>
      <w:rPr>
        <w:rFonts w:hint="default"/>
      </w:rPr>
    </w:lvl>
    <w:lvl w:ilvl="8" w:tplc="510A661A">
      <w:numFmt w:val="bullet"/>
      <w:lvlText w:val="•"/>
      <w:lvlJc w:val="left"/>
      <w:pPr>
        <w:ind w:hanging="145" w:left="7975"/>
      </w:pPr>
      <w:rPr>
        <w:rFonts w:hint="default"/>
      </w:rPr>
    </w:lvl>
  </w:abstractNum>
  <w:abstractNum w15:restartNumberingAfterBreak="0" w:abstractNumId="9">
    <w:nsid w:val="2EBC18B3"/>
    <w:multiLevelType w:val="hybridMultilevel"/>
    <w:tmpl w:val="749870A4"/>
    <w:lvl w:ilvl="0" w:tplc="9C54DC90">
      <w:start w:val="2"/>
      <w:numFmt w:val="upperRoman"/>
      <w:lvlText w:val="%1."/>
      <w:lvlJc w:val="left"/>
      <w:pPr>
        <w:ind w:hanging="307" w:left="1406"/>
        <w:jc w:val="left"/>
      </w:pPr>
      <w:rPr>
        <w:rFonts w:ascii="Times New Roman" w:cs="Times New Roman" w:eastAsia="Times New Roman" w:hAnsi="Times New Roman" w:hint="default"/>
        <w:b/>
        <w:bCs/>
        <w:w w:val="100"/>
        <w:sz w:val="24"/>
        <w:szCs w:val="24"/>
      </w:rPr>
    </w:lvl>
    <w:lvl w:ilvl="1" w:tplc="38DA4E0C">
      <w:numFmt w:val="bullet"/>
      <w:lvlText w:val="•"/>
      <w:lvlJc w:val="left"/>
      <w:pPr>
        <w:ind w:hanging="307" w:left="2254"/>
      </w:pPr>
      <w:rPr>
        <w:rFonts w:hint="default"/>
      </w:rPr>
    </w:lvl>
    <w:lvl w:ilvl="2" w:tplc="9614FEC8">
      <w:numFmt w:val="bullet"/>
      <w:lvlText w:val="•"/>
      <w:lvlJc w:val="left"/>
      <w:pPr>
        <w:ind w:hanging="307" w:left="3108"/>
      </w:pPr>
      <w:rPr>
        <w:rFonts w:hint="default"/>
      </w:rPr>
    </w:lvl>
    <w:lvl w:ilvl="3" w:tplc="F0BE5556">
      <w:numFmt w:val="bullet"/>
      <w:lvlText w:val="•"/>
      <w:lvlJc w:val="left"/>
      <w:pPr>
        <w:ind w:hanging="307" w:left="3962"/>
      </w:pPr>
      <w:rPr>
        <w:rFonts w:hint="default"/>
      </w:rPr>
    </w:lvl>
    <w:lvl w:ilvl="4" w:tplc="3668A1A4">
      <w:numFmt w:val="bullet"/>
      <w:lvlText w:val="•"/>
      <w:lvlJc w:val="left"/>
      <w:pPr>
        <w:ind w:hanging="307" w:left="4816"/>
      </w:pPr>
      <w:rPr>
        <w:rFonts w:hint="default"/>
      </w:rPr>
    </w:lvl>
    <w:lvl w:ilvl="5" w:tplc="8C38D5F2">
      <w:numFmt w:val="bullet"/>
      <w:lvlText w:val="•"/>
      <w:lvlJc w:val="left"/>
      <w:pPr>
        <w:ind w:hanging="307" w:left="5670"/>
      </w:pPr>
      <w:rPr>
        <w:rFonts w:hint="default"/>
      </w:rPr>
    </w:lvl>
    <w:lvl w:ilvl="6" w:tplc="31B8BA0C">
      <w:numFmt w:val="bullet"/>
      <w:lvlText w:val="•"/>
      <w:lvlJc w:val="left"/>
      <w:pPr>
        <w:ind w:hanging="307" w:left="6524"/>
      </w:pPr>
      <w:rPr>
        <w:rFonts w:hint="default"/>
      </w:rPr>
    </w:lvl>
    <w:lvl w:ilvl="7" w:tplc="F0E4140C">
      <w:numFmt w:val="bullet"/>
      <w:lvlText w:val="•"/>
      <w:lvlJc w:val="left"/>
      <w:pPr>
        <w:ind w:hanging="307" w:left="7378"/>
      </w:pPr>
      <w:rPr>
        <w:rFonts w:hint="default"/>
      </w:rPr>
    </w:lvl>
    <w:lvl w:ilvl="8" w:tplc="96107570">
      <w:numFmt w:val="bullet"/>
      <w:lvlText w:val="•"/>
      <w:lvlJc w:val="left"/>
      <w:pPr>
        <w:ind w:hanging="307" w:left="8232"/>
      </w:pPr>
      <w:rPr>
        <w:rFonts w:hint="default"/>
      </w:rPr>
    </w:lvl>
  </w:abstractNum>
  <w:abstractNum w15:restartNumberingAfterBreak="0" w:abstractNumId="10">
    <w:nsid w:val="32BC1380"/>
    <w:multiLevelType w:val="hybridMultilevel"/>
    <w:tmpl w:val="ABBCE5A6"/>
    <w:lvl w:ilvl="0" w:tplc="AB16E606">
      <w:numFmt w:val="bullet"/>
      <w:lvlText w:val="•"/>
      <w:lvlJc w:val="left"/>
      <w:pPr>
        <w:ind w:hanging="145" w:left="380"/>
      </w:pPr>
      <w:rPr>
        <w:rFonts w:ascii="Times New Roman" w:cs="Times New Roman" w:eastAsia="Times New Roman" w:hAnsi="Times New Roman" w:hint="default"/>
        <w:w w:val="100"/>
        <w:sz w:val="24"/>
        <w:szCs w:val="24"/>
      </w:rPr>
    </w:lvl>
    <w:lvl w:ilvl="1" w:tplc="07627570">
      <w:numFmt w:val="bullet"/>
      <w:lvlText w:val="•"/>
      <w:lvlJc w:val="left"/>
      <w:pPr>
        <w:ind w:hanging="145" w:left="1820"/>
      </w:pPr>
      <w:rPr>
        <w:rFonts w:ascii="Times New Roman" w:cs="Times New Roman" w:eastAsia="Times New Roman" w:hAnsi="Times New Roman" w:hint="default"/>
        <w:w w:val="100"/>
        <w:sz w:val="24"/>
        <w:szCs w:val="24"/>
      </w:rPr>
    </w:lvl>
    <w:lvl w:ilvl="2" w:tplc="EEB08BC2">
      <w:numFmt w:val="bullet"/>
      <w:lvlText w:val="•"/>
      <w:lvlJc w:val="left"/>
      <w:pPr>
        <w:ind w:hanging="145" w:left="2722"/>
      </w:pPr>
      <w:rPr>
        <w:rFonts w:hint="default"/>
      </w:rPr>
    </w:lvl>
    <w:lvl w:ilvl="3" w:tplc="3000EE6A">
      <w:numFmt w:val="bullet"/>
      <w:lvlText w:val="•"/>
      <w:lvlJc w:val="left"/>
      <w:pPr>
        <w:ind w:hanging="145" w:left="3624"/>
      </w:pPr>
      <w:rPr>
        <w:rFonts w:hint="default"/>
      </w:rPr>
    </w:lvl>
    <w:lvl w:ilvl="4" w:tplc="E1AAD11A">
      <w:numFmt w:val="bullet"/>
      <w:lvlText w:val="•"/>
      <w:lvlJc w:val="left"/>
      <w:pPr>
        <w:ind w:hanging="145" w:left="4526"/>
      </w:pPr>
      <w:rPr>
        <w:rFonts w:hint="default"/>
      </w:rPr>
    </w:lvl>
    <w:lvl w:ilvl="5" w:tplc="92C64C84">
      <w:numFmt w:val="bullet"/>
      <w:lvlText w:val="•"/>
      <w:lvlJc w:val="left"/>
      <w:pPr>
        <w:ind w:hanging="145" w:left="5428"/>
      </w:pPr>
      <w:rPr>
        <w:rFonts w:hint="default"/>
      </w:rPr>
    </w:lvl>
    <w:lvl w:ilvl="6" w:tplc="DFA6701A">
      <w:numFmt w:val="bullet"/>
      <w:lvlText w:val="•"/>
      <w:lvlJc w:val="left"/>
      <w:pPr>
        <w:ind w:hanging="145" w:left="6331"/>
      </w:pPr>
      <w:rPr>
        <w:rFonts w:hint="default"/>
      </w:rPr>
    </w:lvl>
    <w:lvl w:ilvl="7" w:tplc="04CC7BE0">
      <w:numFmt w:val="bullet"/>
      <w:lvlText w:val="•"/>
      <w:lvlJc w:val="left"/>
      <w:pPr>
        <w:ind w:hanging="145" w:left="7233"/>
      </w:pPr>
      <w:rPr>
        <w:rFonts w:hint="default"/>
      </w:rPr>
    </w:lvl>
    <w:lvl w:ilvl="8" w:tplc="C9DC9118">
      <w:numFmt w:val="bullet"/>
      <w:lvlText w:val="•"/>
      <w:lvlJc w:val="left"/>
      <w:pPr>
        <w:ind w:hanging="145" w:left="8135"/>
      </w:pPr>
      <w:rPr>
        <w:rFonts w:hint="default"/>
      </w:rPr>
    </w:lvl>
  </w:abstractNum>
  <w:abstractNum w15:restartNumberingAfterBreak="0" w:abstractNumId="11">
    <w:nsid w:val="3B1847E9"/>
    <w:multiLevelType w:val="hybridMultilevel"/>
    <w:tmpl w:val="EEC21D3E"/>
    <w:lvl w:ilvl="0" w:tplc="191A4410">
      <w:numFmt w:val="bullet"/>
      <w:lvlText w:val="•"/>
      <w:lvlJc w:val="left"/>
      <w:pPr>
        <w:ind w:hanging="125" w:left="380"/>
      </w:pPr>
      <w:rPr>
        <w:rFonts w:ascii="Times New Roman" w:cs="Times New Roman" w:eastAsia="Times New Roman" w:hAnsi="Times New Roman" w:hint="default"/>
        <w:w w:val="100"/>
        <w:sz w:val="24"/>
        <w:szCs w:val="24"/>
      </w:rPr>
    </w:lvl>
    <w:lvl w:ilvl="1" w:tplc="9ADEBAA4">
      <w:numFmt w:val="bullet"/>
      <w:lvlText w:val="•"/>
      <w:lvlJc w:val="left"/>
      <w:pPr>
        <w:ind w:hanging="125" w:left="1336"/>
      </w:pPr>
      <w:rPr>
        <w:rFonts w:hint="default"/>
      </w:rPr>
    </w:lvl>
    <w:lvl w:ilvl="2" w:tplc="C7F6C83A">
      <w:numFmt w:val="bullet"/>
      <w:lvlText w:val="•"/>
      <w:lvlJc w:val="left"/>
      <w:pPr>
        <w:ind w:hanging="125" w:left="2292"/>
      </w:pPr>
      <w:rPr>
        <w:rFonts w:hint="default"/>
      </w:rPr>
    </w:lvl>
    <w:lvl w:ilvl="3" w:tplc="FD88F040">
      <w:numFmt w:val="bullet"/>
      <w:lvlText w:val="•"/>
      <w:lvlJc w:val="left"/>
      <w:pPr>
        <w:ind w:hanging="125" w:left="3248"/>
      </w:pPr>
      <w:rPr>
        <w:rFonts w:hint="default"/>
      </w:rPr>
    </w:lvl>
    <w:lvl w:ilvl="4" w:tplc="45682636">
      <w:numFmt w:val="bullet"/>
      <w:lvlText w:val="•"/>
      <w:lvlJc w:val="left"/>
      <w:pPr>
        <w:ind w:hanging="125" w:left="4204"/>
      </w:pPr>
      <w:rPr>
        <w:rFonts w:hint="default"/>
      </w:rPr>
    </w:lvl>
    <w:lvl w:ilvl="5" w:tplc="70C6DF50">
      <w:numFmt w:val="bullet"/>
      <w:lvlText w:val="•"/>
      <w:lvlJc w:val="left"/>
      <w:pPr>
        <w:ind w:hanging="125" w:left="5160"/>
      </w:pPr>
      <w:rPr>
        <w:rFonts w:hint="default"/>
      </w:rPr>
    </w:lvl>
    <w:lvl w:ilvl="6" w:tplc="89A649CE">
      <w:numFmt w:val="bullet"/>
      <w:lvlText w:val="•"/>
      <w:lvlJc w:val="left"/>
      <w:pPr>
        <w:ind w:hanging="125" w:left="6116"/>
      </w:pPr>
      <w:rPr>
        <w:rFonts w:hint="default"/>
      </w:rPr>
    </w:lvl>
    <w:lvl w:ilvl="7" w:tplc="E80E227A">
      <w:numFmt w:val="bullet"/>
      <w:lvlText w:val="•"/>
      <w:lvlJc w:val="left"/>
      <w:pPr>
        <w:ind w:hanging="125" w:left="7072"/>
      </w:pPr>
      <w:rPr>
        <w:rFonts w:hint="default"/>
      </w:rPr>
    </w:lvl>
    <w:lvl w:ilvl="8" w:tplc="1BB8EAB2">
      <w:numFmt w:val="bullet"/>
      <w:lvlText w:val="•"/>
      <w:lvlJc w:val="left"/>
      <w:pPr>
        <w:ind w:hanging="125" w:left="8028"/>
      </w:pPr>
      <w:rPr>
        <w:rFonts w:hint="default"/>
      </w:rPr>
    </w:lvl>
  </w:abstractNum>
  <w:abstractNum w15:restartNumberingAfterBreak="0" w:abstractNumId="12">
    <w:nsid w:val="3DE9534E"/>
    <w:multiLevelType w:val="hybridMultilevel"/>
    <w:tmpl w:val="2F8209A4"/>
    <w:lvl w:ilvl="0" w:tplc="4C9EC788">
      <w:start w:val="2"/>
      <w:numFmt w:val="lowerLetter"/>
      <w:lvlText w:val="%1)"/>
      <w:lvlJc w:val="left"/>
      <w:pPr>
        <w:ind w:hanging="139" w:left="368"/>
        <w:jc w:val="left"/>
      </w:pPr>
      <w:rPr>
        <w:rFonts w:ascii="Arial" w:cs="Arial" w:eastAsia="Arial" w:hAnsi="Arial" w:hint="default"/>
        <w:color w:val="FFFFFF"/>
        <w:spacing w:val="-1"/>
        <w:w w:val="95"/>
        <w:sz w:val="12"/>
        <w:szCs w:val="12"/>
      </w:rPr>
    </w:lvl>
    <w:lvl w:ilvl="1" w:tplc="6320225C">
      <w:numFmt w:val="bullet"/>
      <w:lvlText w:val="•"/>
      <w:lvlJc w:val="left"/>
      <w:pPr>
        <w:ind w:hanging="139" w:left="907"/>
      </w:pPr>
      <w:rPr>
        <w:rFonts w:hint="default"/>
      </w:rPr>
    </w:lvl>
    <w:lvl w:ilvl="2" w:tplc="9252C3E4">
      <w:numFmt w:val="bullet"/>
      <w:lvlText w:val="•"/>
      <w:lvlJc w:val="left"/>
      <w:pPr>
        <w:ind w:hanging="139" w:left="1454"/>
      </w:pPr>
      <w:rPr>
        <w:rFonts w:hint="default"/>
      </w:rPr>
    </w:lvl>
    <w:lvl w:ilvl="3" w:tplc="93C4366E">
      <w:numFmt w:val="bullet"/>
      <w:lvlText w:val="•"/>
      <w:lvlJc w:val="left"/>
      <w:pPr>
        <w:ind w:hanging="139" w:left="2002"/>
      </w:pPr>
      <w:rPr>
        <w:rFonts w:hint="default"/>
      </w:rPr>
    </w:lvl>
    <w:lvl w:ilvl="4" w:tplc="91AC1B42">
      <w:numFmt w:val="bullet"/>
      <w:lvlText w:val="•"/>
      <w:lvlJc w:val="left"/>
      <w:pPr>
        <w:ind w:hanging="139" w:left="2549"/>
      </w:pPr>
      <w:rPr>
        <w:rFonts w:hint="default"/>
      </w:rPr>
    </w:lvl>
    <w:lvl w:ilvl="5" w:tplc="112079EA">
      <w:numFmt w:val="bullet"/>
      <w:lvlText w:val="•"/>
      <w:lvlJc w:val="left"/>
      <w:pPr>
        <w:ind w:hanging="139" w:left="3096"/>
      </w:pPr>
      <w:rPr>
        <w:rFonts w:hint="default"/>
      </w:rPr>
    </w:lvl>
    <w:lvl w:ilvl="6" w:tplc="69B6E30A">
      <w:numFmt w:val="bullet"/>
      <w:lvlText w:val="•"/>
      <w:lvlJc w:val="left"/>
      <w:pPr>
        <w:ind w:hanging="139" w:left="3644"/>
      </w:pPr>
      <w:rPr>
        <w:rFonts w:hint="default"/>
      </w:rPr>
    </w:lvl>
    <w:lvl w:ilvl="7" w:tplc="9606D290">
      <w:numFmt w:val="bullet"/>
      <w:lvlText w:val="•"/>
      <w:lvlJc w:val="left"/>
      <w:pPr>
        <w:ind w:hanging="139" w:left="4191"/>
      </w:pPr>
      <w:rPr>
        <w:rFonts w:hint="default"/>
      </w:rPr>
    </w:lvl>
    <w:lvl w:ilvl="8" w:tplc="99641812">
      <w:numFmt w:val="bullet"/>
      <w:lvlText w:val="•"/>
      <w:lvlJc w:val="left"/>
      <w:pPr>
        <w:ind w:hanging="139" w:left="4738"/>
      </w:pPr>
      <w:rPr>
        <w:rFonts w:hint="default"/>
      </w:rPr>
    </w:lvl>
  </w:abstractNum>
  <w:abstractNum w15:restartNumberingAfterBreak="0" w:abstractNumId="13">
    <w:nsid w:val="3ECE26D1"/>
    <w:multiLevelType w:val="hybridMultilevel"/>
    <w:tmpl w:val="B0BA6734"/>
    <w:lvl w:ilvl="0" w:tplc="9C668716">
      <w:start w:val="1"/>
      <w:numFmt w:val="decimal"/>
      <w:lvlText w:val="%1."/>
      <w:lvlJc w:val="left"/>
      <w:pPr>
        <w:ind w:hanging="240" w:left="380"/>
        <w:jc w:val="left"/>
      </w:pPr>
      <w:rPr>
        <w:rFonts w:ascii="Times New Roman" w:cs="Times New Roman" w:eastAsia="Times New Roman" w:hAnsi="Times New Roman" w:hint="default"/>
        <w:w w:val="100"/>
        <w:sz w:val="24"/>
        <w:szCs w:val="24"/>
      </w:rPr>
    </w:lvl>
    <w:lvl w:ilvl="1" w:tplc="D25A4AE2">
      <w:numFmt w:val="bullet"/>
      <w:lvlText w:val="•"/>
      <w:lvlJc w:val="left"/>
      <w:pPr>
        <w:ind w:hanging="240" w:left="1336"/>
      </w:pPr>
      <w:rPr>
        <w:rFonts w:hint="default"/>
      </w:rPr>
    </w:lvl>
    <w:lvl w:ilvl="2" w:tplc="589CBAF4">
      <w:numFmt w:val="bullet"/>
      <w:lvlText w:val="•"/>
      <w:lvlJc w:val="left"/>
      <w:pPr>
        <w:ind w:hanging="240" w:left="2292"/>
      </w:pPr>
      <w:rPr>
        <w:rFonts w:hint="default"/>
      </w:rPr>
    </w:lvl>
    <w:lvl w:ilvl="3" w:tplc="ADA8AB4C">
      <w:numFmt w:val="bullet"/>
      <w:lvlText w:val="•"/>
      <w:lvlJc w:val="left"/>
      <w:pPr>
        <w:ind w:hanging="240" w:left="3248"/>
      </w:pPr>
      <w:rPr>
        <w:rFonts w:hint="default"/>
      </w:rPr>
    </w:lvl>
    <w:lvl w:ilvl="4" w:tplc="107A7108">
      <w:numFmt w:val="bullet"/>
      <w:lvlText w:val="•"/>
      <w:lvlJc w:val="left"/>
      <w:pPr>
        <w:ind w:hanging="240" w:left="4204"/>
      </w:pPr>
      <w:rPr>
        <w:rFonts w:hint="default"/>
      </w:rPr>
    </w:lvl>
    <w:lvl w:ilvl="5" w:tplc="A62C7202">
      <w:numFmt w:val="bullet"/>
      <w:lvlText w:val="•"/>
      <w:lvlJc w:val="left"/>
      <w:pPr>
        <w:ind w:hanging="240" w:left="5160"/>
      </w:pPr>
      <w:rPr>
        <w:rFonts w:hint="default"/>
      </w:rPr>
    </w:lvl>
    <w:lvl w:ilvl="6" w:tplc="5016AF82">
      <w:numFmt w:val="bullet"/>
      <w:lvlText w:val="•"/>
      <w:lvlJc w:val="left"/>
      <w:pPr>
        <w:ind w:hanging="240" w:left="6116"/>
      </w:pPr>
      <w:rPr>
        <w:rFonts w:hint="default"/>
      </w:rPr>
    </w:lvl>
    <w:lvl w:ilvl="7" w:tplc="A87C3212">
      <w:numFmt w:val="bullet"/>
      <w:lvlText w:val="•"/>
      <w:lvlJc w:val="left"/>
      <w:pPr>
        <w:ind w:hanging="240" w:left="7072"/>
      </w:pPr>
      <w:rPr>
        <w:rFonts w:hint="default"/>
      </w:rPr>
    </w:lvl>
    <w:lvl w:ilvl="8" w:tplc="6674EA14">
      <w:numFmt w:val="bullet"/>
      <w:lvlText w:val="•"/>
      <w:lvlJc w:val="left"/>
      <w:pPr>
        <w:ind w:hanging="240" w:left="8028"/>
      </w:pPr>
      <w:rPr>
        <w:rFonts w:hint="default"/>
      </w:rPr>
    </w:lvl>
  </w:abstractNum>
  <w:abstractNum w15:restartNumberingAfterBreak="0" w:abstractNumId="14">
    <w:nsid w:val="41632895"/>
    <w:multiLevelType w:val="hybridMultilevel"/>
    <w:tmpl w:val="2A5A2FCC"/>
    <w:lvl w:ilvl="0" w:tplc="275A2566">
      <w:numFmt w:val="bullet"/>
      <w:lvlText w:val="•"/>
      <w:lvlJc w:val="left"/>
      <w:pPr>
        <w:ind w:hanging="145" w:left="1190"/>
      </w:pPr>
      <w:rPr>
        <w:rFonts w:ascii="Times New Roman" w:cs="Times New Roman" w:eastAsia="Times New Roman" w:hAnsi="Times New Roman" w:hint="default"/>
        <w:w w:val="100"/>
        <w:sz w:val="24"/>
        <w:szCs w:val="24"/>
      </w:rPr>
    </w:lvl>
    <w:lvl w:ilvl="1" w:tplc="2F94BEE6">
      <w:numFmt w:val="bullet"/>
      <w:lvlText w:val="-"/>
      <w:lvlJc w:val="left"/>
      <w:pPr>
        <w:ind w:hanging="139" w:left="1100"/>
      </w:pPr>
      <w:rPr>
        <w:rFonts w:ascii="Lucida Grande" w:cs="Lucida Grande" w:eastAsia="Lucida Grande" w:hAnsi="Lucida Grande" w:hint="default"/>
        <w:w w:val="56"/>
        <w:sz w:val="24"/>
        <w:szCs w:val="24"/>
      </w:rPr>
    </w:lvl>
    <w:lvl w:ilvl="2" w:tplc="25C435CC">
      <w:numFmt w:val="bullet"/>
      <w:lvlText w:val="•"/>
      <w:lvlJc w:val="left"/>
      <w:pPr>
        <w:ind w:hanging="139" w:left="2171"/>
      </w:pPr>
      <w:rPr>
        <w:rFonts w:hint="default"/>
      </w:rPr>
    </w:lvl>
    <w:lvl w:ilvl="3" w:tplc="320415E4">
      <w:numFmt w:val="bullet"/>
      <w:lvlText w:val="•"/>
      <w:lvlJc w:val="left"/>
      <w:pPr>
        <w:ind w:hanging="139" w:left="3142"/>
      </w:pPr>
      <w:rPr>
        <w:rFonts w:hint="default"/>
      </w:rPr>
    </w:lvl>
    <w:lvl w:ilvl="4" w:tplc="39B091E2">
      <w:numFmt w:val="bullet"/>
      <w:lvlText w:val="•"/>
      <w:lvlJc w:val="left"/>
      <w:pPr>
        <w:ind w:hanging="139" w:left="4113"/>
      </w:pPr>
      <w:rPr>
        <w:rFonts w:hint="default"/>
      </w:rPr>
    </w:lvl>
    <w:lvl w:ilvl="5" w:tplc="0B480888">
      <w:numFmt w:val="bullet"/>
      <w:lvlText w:val="•"/>
      <w:lvlJc w:val="left"/>
      <w:pPr>
        <w:ind w:hanging="139" w:left="5084"/>
      </w:pPr>
      <w:rPr>
        <w:rFonts w:hint="default"/>
      </w:rPr>
    </w:lvl>
    <w:lvl w:ilvl="6" w:tplc="B0BA5252">
      <w:numFmt w:val="bullet"/>
      <w:lvlText w:val="•"/>
      <w:lvlJc w:val="left"/>
      <w:pPr>
        <w:ind w:hanging="139" w:left="6055"/>
      </w:pPr>
      <w:rPr>
        <w:rFonts w:hint="default"/>
      </w:rPr>
    </w:lvl>
    <w:lvl w:ilvl="7" w:tplc="9612BF8E">
      <w:numFmt w:val="bullet"/>
      <w:lvlText w:val="•"/>
      <w:lvlJc w:val="left"/>
      <w:pPr>
        <w:ind w:hanging="139" w:left="7026"/>
      </w:pPr>
      <w:rPr>
        <w:rFonts w:hint="default"/>
      </w:rPr>
    </w:lvl>
    <w:lvl w:ilvl="8" w:tplc="31CCE0D0">
      <w:numFmt w:val="bullet"/>
      <w:lvlText w:val="•"/>
      <w:lvlJc w:val="left"/>
      <w:pPr>
        <w:ind w:hanging="139" w:left="7997"/>
      </w:pPr>
      <w:rPr>
        <w:rFonts w:hint="default"/>
      </w:rPr>
    </w:lvl>
  </w:abstractNum>
  <w:abstractNum w15:restartNumberingAfterBreak="0" w:abstractNumId="15">
    <w:nsid w:val="48D26218"/>
    <w:multiLevelType w:val="hybridMultilevel"/>
    <w:tmpl w:val="EFD8E398"/>
    <w:lvl w:ilvl="0" w:tplc="F93644FA">
      <w:start w:val="2"/>
      <w:numFmt w:val="lowerLetter"/>
      <w:lvlText w:val="%1)"/>
      <w:lvlJc w:val="left"/>
      <w:pPr>
        <w:ind w:hanging="139" w:left="138"/>
        <w:jc w:val="left"/>
      </w:pPr>
      <w:rPr>
        <w:rFonts w:ascii="Arial" w:cs="Arial" w:eastAsia="Arial" w:hAnsi="Arial" w:hint="default"/>
        <w:b/>
        <w:bCs/>
        <w:color w:val="FFFFFF"/>
        <w:w w:val="95"/>
        <w:sz w:val="12"/>
        <w:szCs w:val="12"/>
      </w:rPr>
    </w:lvl>
    <w:lvl w:ilvl="1" w:tplc="C102FA7A">
      <w:numFmt w:val="bullet"/>
      <w:lvlText w:val="•"/>
      <w:lvlJc w:val="left"/>
      <w:pPr>
        <w:ind w:hanging="139" w:left="466"/>
      </w:pPr>
      <w:rPr>
        <w:rFonts w:hint="default"/>
      </w:rPr>
    </w:lvl>
    <w:lvl w:ilvl="2" w:tplc="B4B4E0D6">
      <w:numFmt w:val="bullet"/>
      <w:lvlText w:val="•"/>
      <w:lvlJc w:val="left"/>
      <w:pPr>
        <w:ind w:hanging="139" w:left="793"/>
      </w:pPr>
      <w:rPr>
        <w:rFonts w:hint="default"/>
      </w:rPr>
    </w:lvl>
    <w:lvl w:ilvl="3" w:tplc="1AB62204">
      <w:numFmt w:val="bullet"/>
      <w:lvlText w:val="•"/>
      <w:lvlJc w:val="left"/>
      <w:pPr>
        <w:ind w:hanging="139" w:left="1120"/>
      </w:pPr>
      <w:rPr>
        <w:rFonts w:hint="default"/>
      </w:rPr>
    </w:lvl>
    <w:lvl w:ilvl="4" w:tplc="642C443E">
      <w:numFmt w:val="bullet"/>
      <w:lvlText w:val="•"/>
      <w:lvlJc w:val="left"/>
      <w:pPr>
        <w:ind w:hanging="139" w:left="1447"/>
      </w:pPr>
      <w:rPr>
        <w:rFonts w:hint="default"/>
      </w:rPr>
    </w:lvl>
    <w:lvl w:ilvl="5" w:tplc="7408F73E">
      <w:numFmt w:val="bullet"/>
      <w:lvlText w:val="•"/>
      <w:lvlJc w:val="left"/>
      <w:pPr>
        <w:ind w:hanging="139" w:left="1774"/>
      </w:pPr>
      <w:rPr>
        <w:rFonts w:hint="default"/>
      </w:rPr>
    </w:lvl>
    <w:lvl w:ilvl="6" w:tplc="CEEA7A54">
      <w:numFmt w:val="bullet"/>
      <w:lvlText w:val="•"/>
      <w:lvlJc w:val="left"/>
      <w:pPr>
        <w:ind w:hanging="139" w:left="2101"/>
      </w:pPr>
      <w:rPr>
        <w:rFonts w:hint="default"/>
      </w:rPr>
    </w:lvl>
    <w:lvl w:ilvl="7" w:tplc="67A0DFD4">
      <w:numFmt w:val="bullet"/>
      <w:lvlText w:val="•"/>
      <w:lvlJc w:val="left"/>
      <w:pPr>
        <w:ind w:hanging="139" w:left="2428"/>
      </w:pPr>
      <w:rPr>
        <w:rFonts w:hint="default"/>
      </w:rPr>
    </w:lvl>
    <w:lvl w:ilvl="8" w:tplc="85C673F4">
      <w:numFmt w:val="bullet"/>
      <w:lvlText w:val="•"/>
      <w:lvlJc w:val="left"/>
      <w:pPr>
        <w:ind w:hanging="139" w:left="2755"/>
      </w:pPr>
      <w:rPr>
        <w:rFonts w:hint="default"/>
      </w:rPr>
    </w:lvl>
  </w:abstractNum>
  <w:abstractNum w15:restartNumberingAfterBreak="0" w:abstractNumId="16">
    <w:nsid w:val="4B0429D1"/>
    <w:multiLevelType w:val="hybridMultilevel"/>
    <w:tmpl w:val="D680A7D6"/>
    <w:lvl w:ilvl="0" w:tplc="69D224E8">
      <w:start w:val="1"/>
      <w:numFmt w:val="upperLetter"/>
      <w:lvlText w:val="%1."/>
      <w:lvlJc w:val="left"/>
      <w:pPr>
        <w:ind w:hanging="294" w:left="380"/>
        <w:jc w:val="left"/>
      </w:pPr>
      <w:rPr>
        <w:rFonts w:ascii="Times New Roman" w:cs="Times New Roman" w:eastAsia="Times New Roman" w:hAnsi="Times New Roman" w:hint="default"/>
        <w:b/>
        <w:bCs/>
        <w:w w:val="100"/>
        <w:sz w:val="24"/>
        <w:szCs w:val="24"/>
      </w:rPr>
    </w:lvl>
    <w:lvl w:ilvl="1" w:tplc="28F6B6AE">
      <w:numFmt w:val="bullet"/>
      <w:lvlText w:val="•"/>
      <w:lvlJc w:val="left"/>
      <w:pPr>
        <w:ind w:hanging="294" w:left="1336"/>
      </w:pPr>
      <w:rPr>
        <w:rFonts w:hint="default"/>
      </w:rPr>
    </w:lvl>
    <w:lvl w:ilvl="2" w:tplc="E702CBB0">
      <w:numFmt w:val="bullet"/>
      <w:lvlText w:val="•"/>
      <w:lvlJc w:val="left"/>
      <w:pPr>
        <w:ind w:hanging="294" w:left="2292"/>
      </w:pPr>
      <w:rPr>
        <w:rFonts w:hint="default"/>
      </w:rPr>
    </w:lvl>
    <w:lvl w:ilvl="3" w:tplc="BD364640">
      <w:numFmt w:val="bullet"/>
      <w:lvlText w:val="•"/>
      <w:lvlJc w:val="left"/>
      <w:pPr>
        <w:ind w:hanging="294" w:left="3248"/>
      </w:pPr>
      <w:rPr>
        <w:rFonts w:hint="default"/>
      </w:rPr>
    </w:lvl>
    <w:lvl w:ilvl="4" w:tplc="5A34F8E8">
      <w:numFmt w:val="bullet"/>
      <w:lvlText w:val="•"/>
      <w:lvlJc w:val="left"/>
      <w:pPr>
        <w:ind w:hanging="294" w:left="4204"/>
      </w:pPr>
      <w:rPr>
        <w:rFonts w:hint="default"/>
      </w:rPr>
    </w:lvl>
    <w:lvl w:ilvl="5" w:tplc="9F1EBC42">
      <w:numFmt w:val="bullet"/>
      <w:lvlText w:val="•"/>
      <w:lvlJc w:val="left"/>
      <w:pPr>
        <w:ind w:hanging="294" w:left="5160"/>
      </w:pPr>
      <w:rPr>
        <w:rFonts w:hint="default"/>
      </w:rPr>
    </w:lvl>
    <w:lvl w:ilvl="6" w:tplc="D8FE0B9A">
      <w:numFmt w:val="bullet"/>
      <w:lvlText w:val="•"/>
      <w:lvlJc w:val="left"/>
      <w:pPr>
        <w:ind w:hanging="294" w:left="6116"/>
      </w:pPr>
      <w:rPr>
        <w:rFonts w:hint="default"/>
      </w:rPr>
    </w:lvl>
    <w:lvl w:ilvl="7" w:tplc="89228348">
      <w:numFmt w:val="bullet"/>
      <w:lvlText w:val="•"/>
      <w:lvlJc w:val="left"/>
      <w:pPr>
        <w:ind w:hanging="294" w:left="7072"/>
      </w:pPr>
      <w:rPr>
        <w:rFonts w:hint="default"/>
      </w:rPr>
    </w:lvl>
    <w:lvl w:ilvl="8" w:tplc="E48C930C">
      <w:numFmt w:val="bullet"/>
      <w:lvlText w:val="•"/>
      <w:lvlJc w:val="left"/>
      <w:pPr>
        <w:ind w:hanging="294" w:left="8028"/>
      </w:pPr>
      <w:rPr>
        <w:rFonts w:hint="default"/>
      </w:rPr>
    </w:lvl>
  </w:abstractNum>
  <w:abstractNum w15:restartNumberingAfterBreak="0" w:abstractNumId="17">
    <w:nsid w:val="4B19352C"/>
    <w:multiLevelType w:val="hybridMultilevel"/>
    <w:tmpl w:val="42C05604"/>
    <w:lvl w:ilvl="0" w:tplc="4C9C5C6E">
      <w:start w:val="48"/>
      <w:numFmt w:val="decimal"/>
      <w:lvlText w:val="%1."/>
      <w:lvlJc w:val="left"/>
      <w:pPr>
        <w:ind w:hanging="360" w:left="380"/>
        <w:jc w:val="left"/>
      </w:pPr>
      <w:rPr>
        <w:rFonts w:ascii="Times New Roman" w:cs="Times New Roman" w:eastAsia="Times New Roman" w:hAnsi="Times New Roman" w:hint="default"/>
        <w:w w:val="100"/>
        <w:sz w:val="24"/>
        <w:szCs w:val="24"/>
      </w:rPr>
    </w:lvl>
    <w:lvl w:ilvl="1" w:tplc="64740ABA">
      <w:numFmt w:val="bullet"/>
      <w:lvlText w:val="•"/>
      <w:lvlJc w:val="left"/>
      <w:pPr>
        <w:ind w:hanging="360" w:left="1336"/>
      </w:pPr>
      <w:rPr>
        <w:rFonts w:hint="default"/>
      </w:rPr>
    </w:lvl>
    <w:lvl w:ilvl="2" w:tplc="C7B88A52">
      <w:numFmt w:val="bullet"/>
      <w:lvlText w:val="•"/>
      <w:lvlJc w:val="left"/>
      <w:pPr>
        <w:ind w:hanging="360" w:left="2292"/>
      </w:pPr>
      <w:rPr>
        <w:rFonts w:hint="default"/>
      </w:rPr>
    </w:lvl>
    <w:lvl w:ilvl="3" w:tplc="EF06602C">
      <w:numFmt w:val="bullet"/>
      <w:lvlText w:val="•"/>
      <w:lvlJc w:val="left"/>
      <w:pPr>
        <w:ind w:hanging="360" w:left="3248"/>
      </w:pPr>
      <w:rPr>
        <w:rFonts w:hint="default"/>
      </w:rPr>
    </w:lvl>
    <w:lvl w:ilvl="4" w:tplc="137831AA">
      <w:numFmt w:val="bullet"/>
      <w:lvlText w:val="•"/>
      <w:lvlJc w:val="left"/>
      <w:pPr>
        <w:ind w:hanging="360" w:left="4204"/>
      </w:pPr>
      <w:rPr>
        <w:rFonts w:hint="default"/>
      </w:rPr>
    </w:lvl>
    <w:lvl w:ilvl="5" w:tplc="94A287AE">
      <w:numFmt w:val="bullet"/>
      <w:lvlText w:val="•"/>
      <w:lvlJc w:val="left"/>
      <w:pPr>
        <w:ind w:hanging="360" w:left="5160"/>
      </w:pPr>
      <w:rPr>
        <w:rFonts w:hint="default"/>
      </w:rPr>
    </w:lvl>
    <w:lvl w:ilvl="6" w:tplc="A63E2B62">
      <w:numFmt w:val="bullet"/>
      <w:lvlText w:val="•"/>
      <w:lvlJc w:val="left"/>
      <w:pPr>
        <w:ind w:hanging="360" w:left="6116"/>
      </w:pPr>
      <w:rPr>
        <w:rFonts w:hint="default"/>
      </w:rPr>
    </w:lvl>
    <w:lvl w:ilvl="7" w:tplc="D26E8212">
      <w:numFmt w:val="bullet"/>
      <w:lvlText w:val="•"/>
      <w:lvlJc w:val="left"/>
      <w:pPr>
        <w:ind w:hanging="360" w:left="7072"/>
      </w:pPr>
      <w:rPr>
        <w:rFonts w:hint="default"/>
      </w:rPr>
    </w:lvl>
    <w:lvl w:ilvl="8" w:tplc="8FA2E5F6">
      <w:numFmt w:val="bullet"/>
      <w:lvlText w:val="•"/>
      <w:lvlJc w:val="left"/>
      <w:pPr>
        <w:ind w:hanging="360" w:left="8028"/>
      </w:pPr>
      <w:rPr>
        <w:rFonts w:hint="default"/>
      </w:rPr>
    </w:lvl>
  </w:abstractNum>
  <w:abstractNum w15:restartNumberingAfterBreak="0" w:abstractNumId="18">
    <w:nsid w:val="4C550E30"/>
    <w:multiLevelType w:val="hybridMultilevel"/>
    <w:tmpl w:val="F552D7F0"/>
    <w:lvl w:ilvl="0" w:tplc="C0C60A96">
      <w:start w:val="37"/>
      <w:numFmt w:val="decimal"/>
      <w:lvlText w:val="%1."/>
      <w:lvlJc w:val="left"/>
      <w:pPr>
        <w:ind w:hanging="360" w:left="380"/>
        <w:jc w:val="left"/>
      </w:pPr>
      <w:rPr>
        <w:rFonts w:ascii="Times New Roman" w:cs="Times New Roman" w:eastAsia="Times New Roman" w:hAnsi="Times New Roman" w:hint="default"/>
        <w:w w:val="100"/>
        <w:sz w:val="24"/>
        <w:szCs w:val="24"/>
      </w:rPr>
    </w:lvl>
    <w:lvl w:ilvl="1" w:tplc="9C56353E">
      <w:numFmt w:val="bullet"/>
      <w:lvlText w:val="•"/>
      <w:lvlJc w:val="left"/>
      <w:pPr>
        <w:ind w:hanging="360" w:left="1336"/>
      </w:pPr>
      <w:rPr>
        <w:rFonts w:hint="default"/>
      </w:rPr>
    </w:lvl>
    <w:lvl w:ilvl="2" w:tplc="EBE09820">
      <w:numFmt w:val="bullet"/>
      <w:lvlText w:val="•"/>
      <w:lvlJc w:val="left"/>
      <w:pPr>
        <w:ind w:hanging="360" w:left="2292"/>
      </w:pPr>
      <w:rPr>
        <w:rFonts w:hint="default"/>
      </w:rPr>
    </w:lvl>
    <w:lvl w:ilvl="3" w:tplc="73261024">
      <w:numFmt w:val="bullet"/>
      <w:lvlText w:val="•"/>
      <w:lvlJc w:val="left"/>
      <w:pPr>
        <w:ind w:hanging="360" w:left="3248"/>
      </w:pPr>
      <w:rPr>
        <w:rFonts w:hint="default"/>
      </w:rPr>
    </w:lvl>
    <w:lvl w:ilvl="4" w:tplc="AD24E87E">
      <w:numFmt w:val="bullet"/>
      <w:lvlText w:val="•"/>
      <w:lvlJc w:val="left"/>
      <w:pPr>
        <w:ind w:hanging="360" w:left="4204"/>
      </w:pPr>
      <w:rPr>
        <w:rFonts w:hint="default"/>
      </w:rPr>
    </w:lvl>
    <w:lvl w:ilvl="5" w:tplc="DFD2FD70">
      <w:numFmt w:val="bullet"/>
      <w:lvlText w:val="•"/>
      <w:lvlJc w:val="left"/>
      <w:pPr>
        <w:ind w:hanging="360" w:left="5160"/>
      </w:pPr>
      <w:rPr>
        <w:rFonts w:hint="default"/>
      </w:rPr>
    </w:lvl>
    <w:lvl w:ilvl="6" w:tplc="49C21FBA">
      <w:numFmt w:val="bullet"/>
      <w:lvlText w:val="•"/>
      <w:lvlJc w:val="left"/>
      <w:pPr>
        <w:ind w:hanging="360" w:left="6116"/>
      </w:pPr>
      <w:rPr>
        <w:rFonts w:hint="default"/>
      </w:rPr>
    </w:lvl>
    <w:lvl w:ilvl="7" w:tplc="94CE1F78">
      <w:numFmt w:val="bullet"/>
      <w:lvlText w:val="•"/>
      <w:lvlJc w:val="left"/>
      <w:pPr>
        <w:ind w:hanging="360" w:left="7072"/>
      </w:pPr>
      <w:rPr>
        <w:rFonts w:hint="default"/>
      </w:rPr>
    </w:lvl>
    <w:lvl w:ilvl="8" w:tplc="815E8C5E">
      <w:numFmt w:val="bullet"/>
      <w:lvlText w:val="•"/>
      <w:lvlJc w:val="left"/>
      <w:pPr>
        <w:ind w:hanging="360" w:left="8028"/>
      </w:pPr>
      <w:rPr>
        <w:rFonts w:hint="default"/>
      </w:rPr>
    </w:lvl>
  </w:abstractNum>
  <w:abstractNum w15:restartNumberingAfterBreak="0" w:abstractNumId="19">
    <w:nsid w:val="585A439E"/>
    <w:multiLevelType w:val="hybridMultilevel"/>
    <w:tmpl w:val="7DFCC86E"/>
    <w:lvl w:ilvl="0" w:tplc="D97CE1B0">
      <w:start w:val="1"/>
      <w:numFmt w:val="decimal"/>
      <w:lvlText w:val="%1."/>
      <w:lvlJc w:val="left"/>
      <w:pPr>
        <w:ind w:hanging="249" w:left="380"/>
        <w:jc w:val="left"/>
      </w:pPr>
      <w:rPr>
        <w:rFonts w:ascii="Times New Roman" w:cs="Times New Roman" w:eastAsia="Times New Roman" w:hAnsi="Times New Roman" w:hint="default"/>
        <w:w w:val="100"/>
        <w:sz w:val="24"/>
        <w:szCs w:val="24"/>
      </w:rPr>
    </w:lvl>
    <w:lvl w:ilvl="1" w:tplc="D1FC5A54">
      <w:numFmt w:val="bullet"/>
      <w:lvlText w:val="•"/>
      <w:lvlJc w:val="left"/>
      <w:pPr>
        <w:ind w:hanging="249" w:left="1336"/>
      </w:pPr>
      <w:rPr>
        <w:rFonts w:hint="default"/>
      </w:rPr>
    </w:lvl>
    <w:lvl w:ilvl="2" w:tplc="E356DFB2">
      <w:numFmt w:val="bullet"/>
      <w:lvlText w:val="•"/>
      <w:lvlJc w:val="left"/>
      <w:pPr>
        <w:ind w:hanging="249" w:left="2292"/>
      </w:pPr>
      <w:rPr>
        <w:rFonts w:hint="default"/>
      </w:rPr>
    </w:lvl>
    <w:lvl w:ilvl="3" w:tplc="52CA6A02">
      <w:numFmt w:val="bullet"/>
      <w:lvlText w:val="•"/>
      <w:lvlJc w:val="left"/>
      <w:pPr>
        <w:ind w:hanging="249" w:left="3248"/>
      </w:pPr>
      <w:rPr>
        <w:rFonts w:hint="default"/>
      </w:rPr>
    </w:lvl>
    <w:lvl w:ilvl="4" w:tplc="66C86D2E">
      <w:numFmt w:val="bullet"/>
      <w:lvlText w:val="•"/>
      <w:lvlJc w:val="left"/>
      <w:pPr>
        <w:ind w:hanging="249" w:left="4204"/>
      </w:pPr>
      <w:rPr>
        <w:rFonts w:hint="default"/>
      </w:rPr>
    </w:lvl>
    <w:lvl w:ilvl="5" w:tplc="F67EE0CC">
      <w:numFmt w:val="bullet"/>
      <w:lvlText w:val="•"/>
      <w:lvlJc w:val="left"/>
      <w:pPr>
        <w:ind w:hanging="249" w:left="5160"/>
      </w:pPr>
      <w:rPr>
        <w:rFonts w:hint="default"/>
      </w:rPr>
    </w:lvl>
    <w:lvl w:ilvl="6" w:tplc="9868466C">
      <w:numFmt w:val="bullet"/>
      <w:lvlText w:val="•"/>
      <w:lvlJc w:val="left"/>
      <w:pPr>
        <w:ind w:hanging="249" w:left="6116"/>
      </w:pPr>
      <w:rPr>
        <w:rFonts w:hint="default"/>
      </w:rPr>
    </w:lvl>
    <w:lvl w:ilvl="7" w:tplc="EDFECF74">
      <w:numFmt w:val="bullet"/>
      <w:lvlText w:val="•"/>
      <w:lvlJc w:val="left"/>
      <w:pPr>
        <w:ind w:hanging="249" w:left="7072"/>
      </w:pPr>
      <w:rPr>
        <w:rFonts w:hint="default"/>
      </w:rPr>
    </w:lvl>
    <w:lvl w:ilvl="8" w:tplc="3462F932">
      <w:numFmt w:val="bullet"/>
      <w:lvlText w:val="•"/>
      <w:lvlJc w:val="left"/>
      <w:pPr>
        <w:ind w:hanging="249" w:left="8028"/>
      </w:pPr>
      <w:rPr>
        <w:rFonts w:hint="default"/>
      </w:rPr>
    </w:lvl>
  </w:abstractNum>
  <w:abstractNum w15:restartNumberingAfterBreak="0" w:abstractNumId="20">
    <w:nsid w:val="5C271A63"/>
    <w:multiLevelType w:val="hybridMultilevel"/>
    <w:tmpl w:val="0C9E4902"/>
    <w:lvl w:ilvl="0" w:tplc="26FE5788">
      <w:numFmt w:val="bullet"/>
      <w:lvlText w:val="•"/>
      <w:lvlJc w:val="left"/>
      <w:pPr>
        <w:ind w:hanging="145" w:left="1100"/>
      </w:pPr>
      <w:rPr>
        <w:rFonts w:ascii="Times New Roman" w:cs="Times New Roman" w:eastAsia="Times New Roman" w:hAnsi="Times New Roman" w:hint="default"/>
        <w:w w:val="100"/>
        <w:sz w:val="24"/>
        <w:szCs w:val="24"/>
      </w:rPr>
    </w:lvl>
    <w:lvl w:ilvl="1" w:tplc="91003610">
      <w:numFmt w:val="bullet"/>
      <w:lvlText w:val="•"/>
      <w:lvlJc w:val="left"/>
      <w:pPr>
        <w:ind w:hanging="145" w:left="1984"/>
      </w:pPr>
      <w:rPr>
        <w:rFonts w:hint="default"/>
      </w:rPr>
    </w:lvl>
    <w:lvl w:ilvl="2" w:tplc="703E80E6">
      <w:numFmt w:val="bullet"/>
      <w:lvlText w:val="•"/>
      <w:lvlJc w:val="left"/>
      <w:pPr>
        <w:ind w:hanging="145" w:left="2868"/>
      </w:pPr>
      <w:rPr>
        <w:rFonts w:hint="default"/>
      </w:rPr>
    </w:lvl>
    <w:lvl w:ilvl="3" w:tplc="6FACB176">
      <w:numFmt w:val="bullet"/>
      <w:lvlText w:val="•"/>
      <w:lvlJc w:val="left"/>
      <w:pPr>
        <w:ind w:hanging="145" w:left="3752"/>
      </w:pPr>
      <w:rPr>
        <w:rFonts w:hint="default"/>
      </w:rPr>
    </w:lvl>
    <w:lvl w:ilvl="4" w:tplc="88522D02">
      <w:numFmt w:val="bullet"/>
      <w:lvlText w:val="•"/>
      <w:lvlJc w:val="left"/>
      <w:pPr>
        <w:ind w:hanging="145" w:left="4636"/>
      </w:pPr>
      <w:rPr>
        <w:rFonts w:hint="default"/>
      </w:rPr>
    </w:lvl>
    <w:lvl w:ilvl="5" w:tplc="15E2E914">
      <w:numFmt w:val="bullet"/>
      <w:lvlText w:val="•"/>
      <w:lvlJc w:val="left"/>
      <w:pPr>
        <w:ind w:hanging="145" w:left="5520"/>
      </w:pPr>
      <w:rPr>
        <w:rFonts w:hint="default"/>
      </w:rPr>
    </w:lvl>
    <w:lvl w:ilvl="6" w:tplc="49940F64">
      <w:numFmt w:val="bullet"/>
      <w:lvlText w:val="•"/>
      <w:lvlJc w:val="left"/>
      <w:pPr>
        <w:ind w:hanging="145" w:left="6404"/>
      </w:pPr>
      <w:rPr>
        <w:rFonts w:hint="default"/>
      </w:rPr>
    </w:lvl>
    <w:lvl w:ilvl="7" w:tplc="E4FA0B0A">
      <w:numFmt w:val="bullet"/>
      <w:lvlText w:val="•"/>
      <w:lvlJc w:val="left"/>
      <w:pPr>
        <w:ind w:hanging="145" w:left="7288"/>
      </w:pPr>
      <w:rPr>
        <w:rFonts w:hint="default"/>
      </w:rPr>
    </w:lvl>
    <w:lvl w:ilvl="8" w:tplc="D242C9EE">
      <w:numFmt w:val="bullet"/>
      <w:lvlText w:val="•"/>
      <w:lvlJc w:val="left"/>
      <w:pPr>
        <w:ind w:hanging="145" w:left="8172"/>
      </w:pPr>
      <w:rPr>
        <w:rFonts w:hint="default"/>
      </w:rPr>
    </w:lvl>
  </w:abstractNum>
  <w:abstractNum w15:restartNumberingAfterBreak="0" w:abstractNumId="21">
    <w:nsid w:val="5F2B4CE8"/>
    <w:multiLevelType w:val="hybridMultilevel"/>
    <w:tmpl w:val="6DF600FA"/>
    <w:lvl w:ilvl="0" w:tplc="E778A908">
      <w:start w:val="79"/>
      <w:numFmt w:val="decimal"/>
      <w:lvlText w:val="%1."/>
      <w:lvlJc w:val="left"/>
      <w:pPr>
        <w:ind w:hanging="360" w:left="380"/>
        <w:jc w:val="left"/>
      </w:pPr>
      <w:rPr>
        <w:rFonts w:ascii="Times New Roman" w:cs="Times New Roman" w:eastAsia="Times New Roman" w:hAnsi="Times New Roman" w:hint="default"/>
        <w:w w:val="100"/>
        <w:sz w:val="24"/>
        <w:szCs w:val="24"/>
      </w:rPr>
    </w:lvl>
    <w:lvl w:ilvl="1" w:tplc="488483E2">
      <w:numFmt w:val="bullet"/>
      <w:lvlText w:val="•"/>
      <w:lvlJc w:val="left"/>
      <w:pPr>
        <w:ind w:hanging="360" w:left="1336"/>
      </w:pPr>
      <w:rPr>
        <w:rFonts w:hint="default"/>
      </w:rPr>
    </w:lvl>
    <w:lvl w:ilvl="2" w:tplc="181A138E">
      <w:numFmt w:val="bullet"/>
      <w:lvlText w:val="•"/>
      <w:lvlJc w:val="left"/>
      <w:pPr>
        <w:ind w:hanging="360" w:left="2292"/>
      </w:pPr>
      <w:rPr>
        <w:rFonts w:hint="default"/>
      </w:rPr>
    </w:lvl>
    <w:lvl w:ilvl="3" w:tplc="8CE6E9D2">
      <w:numFmt w:val="bullet"/>
      <w:lvlText w:val="•"/>
      <w:lvlJc w:val="left"/>
      <w:pPr>
        <w:ind w:hanging="360" w:left="3248"/>
      </w:pPr>
      <w:rPr>
        <w:rFonts w:hint="default"/>
      </w:rPr>
    </w:lvl>
    <w:lvl w:ilvl="4" w:tplc="C696F484">
      <w:numFmt w:val="bullet"/>
      <w:lvlText w:val="•"/>
      <w:lvlJc w:val="left"/>
      <w:pPr>
        <w:ind w:hanging="360" w:left="4204"/>
      </w:pPr>
      <w:rPr>
        <w:rFonts w:hint="default"/>
      </w:rPr>
    </w:lvl>
    <w:lvl w:ilvl="5" w:tplc="0BDEB236">
      <w:numFmt w:val="bullet"/>
      <w:lvlText w:val="•"/>
      <w:lvlJc w:val="left"/>
      <w:pPr>
        <w:ind w:hanging="360" w:left="5160"/>
      </w:pPr>
      <w:rPr>
        <w:rFonts w:hint="default"/>
      </w:rPr>
    </w:lvl>
    <w:lvl w:ilvl="6" w:tplc="4B2AE438">
      <w:numFmt w:val="bullet"/>
      <w:lvlText w:val="•"/>
      <w:lvlJc w:val="left"/>
      <w:pPr>
        <w:ind w:hanging="360" w:left="6116"/>
      </w:pPr>
      <w:rPr>
        <w:rFonts w:hint="default"/>
      </w:rPr>
    </w:lvl>
    <w:lvl w:ilvl="7" w:tplc="E7462AA0">
      <w:numFmt w:val="bullet"/>
      <w:lvlText w:val="•"/>
      <w:lvlJc w:val="left"/>
      <w:pPr>
        <w:ind w:hanging="360" w:left="7072"/>
      </w:pPr>
      <w:rPr>
        <w:rFonts w:hint="default"/>
      </w:rPr>
    </w:lvl>
    <w:lvl w:ilvl="8" w:tplc="C60E97A8">
      <w:numFmt w:val="bullet"/>
      <w:lvlText w:val="•"/>
      <w:lvlJc w:val="left"/>
      <w:pPr>
        <w:ind w:hanging="360" w:left="8028"/>
      </w:pPr>
      <w:rPr>
        <w:rFonts w:hint="default"/>
      </w:rPr>
    </w:lvl>
  </w:abstractNum>
  <w:abstractNum w15:restartNumberingAfterBreak="0" w:abstractNumId="22">
    <w:nsid w:val="60240682"/>
    <w:multiLevelType w:val="hybridMultilevel"/>
    <w:tmpl w:val="A28207FE"/>
    <w:lvl w:ilvl="0" w:tplc="DEF2ADF4">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FEF0ED2A">
      <w:numFmt w:val="bullet"/>
      <w:lvlText w:val="•"/>
      <w:lvlJc w:val="left"/>
      <w:pPr>
        <w:ind w:hanging="139" w:left="707"/>
      </w:pPr>
      <w:rPr>
        <w:rFonts w:hint="default"/>
      </w:rPr>
    </w:lvl>
    <w:lvl w:ilvl="2" w:tplc="F0242D82">
      <w:numFmt w:val="bullet"/>
      <w:lvlText w:val="•"/>
      <w:lvlJc w:val="left"/>
      <w:pPr>
        <w:ind w:hanging="139" w:left="1055"/>
      </w:pPr>
      <w:rPr>
        <w:rFonts w:hint="default"/>
      </w:rPr>
    </w:lvl>
    <w:lvl w:ilvl="3" w:tplc="54F0026E">
      <w:numFmt w:val="bullet"/>
      <w:lvlText w:val="•"/>
      <w:lvlJc w:val="left"/>
      <w:pPr>
        <w:ind w:hanging="139" w:left="1403"/>
      </w:pPr>
      <w:rPr>
        <w:rFonts w:hint="default"/>
      </w:rPr>
    </w:lvl>
    <w:lvl w:ilvl="4" w:tplc="94E47BC4">
      <w:numFmt w:val="bullet"/>
      <w:lvlText w:val="•"/>
      <w:lvlJc w:val="left"/>
      <w:pPr>
        <w:ind w:hanging="139" w:left="1750"/>
      </w:pPr>
      <w:rPr>
        <w:rFonts w:hint="default"/>
      </w:rPr>
    </w:lvl>
    <w:lvl w:ilvl="5" w:tplc="AC780DB4">
      <w:numFmt w:val="bullet"/>
      <w:lvlText w:val="•"/>
      <w:lvlJc w:val="left"/>
      <w:pPr>
        <w:ind w:hanging="139" w:left="2098"/>
      </w:pPr>
      <w:rPr>
        <w:rFonts w:hint="default"/>
      </w:rPr>
    </w:lvl>
    <w:lvl w:ilvl="6" w:tplc="F2A8A3A4">
      <w:numFmt w:val="bullet"/>
      <w:lvlText w:val="•"/>
      <w:lvlJc w:val="left"/>
      <w:pPr>
        <w:ind w:hanging="139" w:left="2446"/>
      </w:pPr>
      <w:rPr>
        <w:rFonts w:hint="default"/>
      </w:rPr>
    </w:lvl>
    <w:lvl w:ilvl="7" w:tplc="62409EBE">
      <w:numFmt w:val="bullet"/>
      <w:lvlText w:val="•"/>
      <w:lvlJc w:val="left"/>
      <w:pPr>
        <w:ind w:hanging="139" w:left="2794"/>
      </w:pPr>
      <w:rPr>
        <w:rFonts w:hint="default"/>
      </w:rPr>
    </w:lvl>
    <w:lvl w:ilvl="8" w:tplc="6E3677A6">
      <w:numFmt w:val="bullet"/>
      <w:lvlText w:val="•"/>
      <w:lvlJc w:val="left"/>
      <w:pPr>
        <w:ind w:hanging="139" w:left="3141"/>
      </w:pPr>
      <w:rPr>
        <w:rFonts w:hint="default"/>
      </w:rPr>
    </w:lvl>
  </w:abstractNum>
  <w:abstractNum w15:restartNumberingAfterBreak="0" w:abstractNumId="23">
    <w:nsid w:val="60A44B76"/>
    <w:multiLevelType w:val="hybridMultilevel"/>
    <w:tmpl w:val="820805E2"/>
    <w:lvl w:ilvl="0" w:tplc="14C29D8E">
      <w:numFmt w:val="bullet"/>
      <w:lvlText w:val="-"/>
      <w:lvlJc w:val="left"/>
      <w:pPr>
        <w:ind w:hanging="140" w:left="380"/>
      </w:pPr>
      <w:rPr>
        <w:rFonts w:ascii="Times New Roman" w:cs="Times New Roman" w:eastAsia="Times New Roman" w:hAnsi="Times New Roman" w:hint="default"/>
        <w:w w:val="100"/>
        <w:sz w:val="24"/>
        <w:szCs w:val="24"/>
      </w:rPr>
    </w:lvl>
    <w:lvl w:ilvl="1" w:tplc="DADE3A60">
      <w:numFmt w:val="bullet"/>
      <w:lvlText w:val="•"/>
      <w:lvlJc w:val="left"/>
      <w:pPr>
        <w:ind w:hanging="140" w:left="1336"/>
      </w:pPr>
      <w:rPr>
        <w:rFonts w:hint="default"/>
      </w:rPr>
    </w:lvl>
    <w:lvl w:ilvl="2" w:tplc="EBA240E0">
      <w:numFmt w:val="bullet"/>
      <w:lvlText w:val="•"/>
      <w:lvlJc w:val="left"/>
      <w:pPr>
        <w:ind w:hanging="140" w:left="2292"/>
      </w:pPr>
      <w:rPr>
        <w:rFonts w:hint="default"/>
      </w:rPr>
    </w:lvl>
    <w:lvl w:ilvl="3" w:tplc="2E3E59D4">
      <w:numFmt w:val="bullet"/>
      <w:lvlText w:val="•"/>
      <w:lvlJc w:val="left"/>
      <w:pPr>
        <w:ind w:hanging="140" w:left="3248"/>
      </w:pPr>
      <w:rPr>
        <w:rFonts w:hint="default"/>
      </w:rPr>
    </w:lvl>
    <w:lvl w:ilvl="4" w:tplc="7144CC94">
      <w:numFmt w:val="bullet"/>
      <w:lvlText w:val="•"/>
      <w:lvlJc w:val="left"/>
      <w:pPr>
        <w:ind w:hanging="140" w:left="4204"/>
      </w:pPr>
      <w:rPr>
        <w:rFonts w:hint="default"/>
      </w:rPr>
    </w:lvl>
    <w:lvl w:ilvl="5" w:tplc="CA1ABD74">
      <w:numFmt w:val="bullet"/>
      <w:lvlText w:val="•"/>
      <w:lvlJc w:val="left"/>
      <w:pPr>
        <w:ind w:hanging="140" w:left="5160"/>
      </w:pPr>
      <w:rPr>
        <w:rFonts w:hint="default"/>
      </w:rPr>
    </w:lvl>
    <w:lvl w:ilvl="6" w:tplc="A27E3790">
      <w:numFmt w:val="bullet"/>
      <w:lvlText w:val="•"/>
      <w:lvlJc w:val="left"/>
      <w:pPr>
        <w:ind w:hanging="140" w:left="6116"/>
      </w:pPr>
      <w:rPr>
        <w:rFonts w:hint="default"/>
      </w:rPr>
    </w:lvl>
    <w:lvl w:ilvl="7" w:tplc="1A38424A">
      <w:numFmt w:val="bullet"/>
      <w:lvlText w:val="•"/>
      <w:lvlJc w:val="left"/>
      <w:pPr>
        <w:ind w:hanging="140" w:left="7072"/>
      </w:pPr>
      <w:rPr>
        <w:rFonts w:hint="default"/>
      </w:rPr>
    </w:lvl>
    <w:lvl w:ilvl="8" w:tplc="7E66B2F8">
      <w:numFmt w:val="bullet"/>
      <w:lvlText w:val="•"/>
      <w:lvlJc w:val="left"/>
      <w:pPr>
        <w:ind w:hanging="140" w:left="8028"/>
      </w:pPr>
      <w:rPr>
        <w:rFonts w:hint="default"/>
      </w:rPr>
    </w:lvl>
  </w:abstractNum>
  <w:abstractNum w15:restartNumberingAfterBreak="0" w:abstractNumId="24">
    <w:nsid w:val="6745089E"/>
    <w:multiLevelType w:val="hybridMultilevel"/>
    <w:tmpl w:val="A4108986"/>
    <w:lvl w:ilvl="0" w:tplc="3D100C1A">
      <w:numFmt w:val="bullet"/>
      <w:lvlText w:val="•"/>
      <w:lvlJc w:val="left"/>
      <w:pPr>
        <w:ind w:hanging="81" w:left="303"/>
      </w:pPr>
      <w:rPr>
        <w:rFonts w:ascii="Arial" w:cs="Arial" w:eastAsia="Arial" w:hAnsi="Arial" w:hint="default"/>
        <w:color w:val="FFFFFF"/>
        <w:w w:val="98"/>
        <w:sz w:val="11"/>
        <w:szCs w:val="11"/>
      </w:rPr>
    </w:lvl>
    <w:lvl w:ilvl="1" w:tplc="8C121B78">
      <w:numFmt w:val="bullet"/>
      <w:lvlText w:val="•"/>
      <w:lvlJc w:val="left"/>
      <w:pPr>
        <w:ind w:hanging="81" w:left="722"/>
      </w:pPr>
      <w:rPr>
        <w:rFonts w:ascii="Arial" w:cs="Arial" w:eastAsia="Arial" w:hAnsi="Arial" w:hint="default"/>
        <w:color w:val="FFFFFF"/>
        <w:w w:val="98"/>
        <w:sz w:val="11"/>
        <w:szCs w:val="11"/>
      </w:rPr>
    </w:lvl>
    <w:lvl w:ilvl="2" w:tplc="1B281B14">
      <w:numFmt w:val="bullet"/>
      <w:lvlText w:val="•"/>
      <w:lvlJc w:val="left"/>
      <w:pPr>
        <w:ind w:hanging="81" w:left="1656"/>
      </w:pPr>
      <w:rPr>
        <w:rFonts w:ascii="Arial" w:cs="Arial" w:eastAsia="Arial" w:hAnsi="Arial" w:hint="default"/>
        <w:color w:val="FFFFFF"/>
        <w:w w:val="98"/>
        <w:sz w:val="11"/>
        <w:szCs w:val="11"/>
      </w:rPr>
    </w:lvl>
    <w:lvl w:ilvl="3" w:tplc="3F003290">
      <w:numFmt w:val="bullet"/>
      <w:lvlText w:val="•"/>
      <w:lvlJc w:val="left"/>
      <w:pPr>
        <w:ind w:hanging="81" w:left="1992"/>
      </w:pPr>
      <w:rPr>
        <w:rFonts w:hint="default"/>
      </w:rPr>
    </w:lvl>
    <w:lvl w:ilvl="4" w:tplc="3356D466">
      <w:numFmt w:val="bullet"/>
      <w:lvlText w:val="•"/>
      <w:lvlJc w:val="left"/>
      <w:pPr>
        <w:ind w:hanging="81" w:left="2325"/>
      </w:pPr>
      <w:rPr>
        <w:rFonts w:hint="default"/>
      </w:rPr>
    </w:lvl>
    <w:lvl w:ilvl="5" w:tplc="EE98CAB4">
      <w:numFmt w:val="bullet"/>
      <w:lvlText w:val="•"/>
      <w:lvlJc w:val="left"/>
      <w:pPr>
        <w:ind w:hanging="81" w:left="2658"/>
      </w:pPr>
      <w:rPr>
        <w:rFonts w:hint="default"/>
      </w:rPr>
    </w:lvl>
    <w:lvl w:ilvl="6" w:tplc="0EE2533A">
      <w:numFmt w:val="bullet"/>
      <w:lvlText w:val="•"/>
      <w:lvlJc w:val="left"/>
      <w:pPr>
        <w:ind w:hanging="81" w:left="2990"/>
      </w:pPr>
      <w:rPr>
        <w:rFonts w:hint="default"/>
      </w:rPr>
    </w:lvl>
    <w:lvl w:ilvl="7" w:tplc="58368886">
      <w:numFmt w:val="bullet"/>
      <w:lvlText w:val="•"/>
      <w:lvlJc w:val="left"/>
      <w:pPr>
        <w:ind w:hanging="81" w:left="3323"/>
      </w:pPr>
      <w:rPr>
        <w:rFonts w:hint="default"/>
      </w:rPr>
    </w:lvl>
    <w:lvl w:ilvl="8" w:tplc="075A6BC8">
      <w:numFmt w:val="bullet"/>
      <w:lvlText w:val="•"/>
      <w:lvlJc w:val="left"/>
      <w:pPr>
        <w:ind w:hanging="81" w:left="3656"/>
      </w:pPr>
      <w:rPr>
        <w:rFonts w:hint="default"/>
      </w:rPr>
    </w:lvl>
  </w:abstractNum>
  <w:abstractNum w15:restartNumberingAfterBreak="0" w:abstractNumId="25">
    <w:nsid w:val="6D5F36D6"/>
    <w:multiLevelType w:val="hybridMultilevel"/>
    <w:tmpl w:val="E9E45750"/>
    <w:lvl w:ilvl="0" w:tplc="1FFE990E">
      <w:start w:val="2"/>
      <w:numFmt w:val="lowerLetter"/>
      <w:lvlText w:val="%1)"/>
      <w:lvlJc w:val="left"/>
      <w:pPr>
        <w:ind w:hanging="139" w:left="366"/>
        <w:jc w:val="left"/>
      </w:pPr>
      <w:rPr>
        <w:rFonts w:ascii="Arial" w:cs="Arial" w:eastAsia="Arial" w:hAnsi="Arial" w:hint="default"/>
        <w:color w:val="FFFFFF"/>
        <w:spacing w:val="-1"/>
        <w:w w:val="95"/>
        <w:sz w:val="12"/>
        <w:szCs w:val="12"/>
      </w:rPr>
    </w:lvl>
    <w:lvl w:ilvl="1" w:tplc="3F1A5478">
      <w:numFmt w:val="bullet"/>
      <w:lvlText w:val="•"/>
      <w:lvlJc w:val="left"/>
      <w:pPr>
        <w:ind w:hanging="139" w:left="724"/>
      </w:pPr>
      <w:rPr>
        <w:rFonts w:hint="default"/>
      </w:rPr>
    </w:lvl>
    <w:lvl w:ilvl="2" w:tplc="0422FA34">
      <w:numFmt w:val="bullet"/>
      <w:lvlText w:val="•"/>
      <w:lvlJc w:val="left"/>
      <w:pPr>
        <w:ind w:hanging="139" w:left="1088"/>
      </w:pPr>
      <w:rPr>
        <w:rFonts w:hint="default"/>
      </w:rPr>
    </w:lvl>
    <w:lvl w:ilvl="3" w:tplc="621E8D90">
      <w:numFmt w:val="bullet"/>
      <w:lvlText w:val="•"/>
      <w:lvlJc w:val="left"/>
      <w:pPr>
        <w:ind w:hanging="139" w:left="1452"/>
      </w:pPr>
      <w:rPr>
        <w:rFonts w:hint="default"/>
      </w:rPr>
    </w:lvl>
    <w:lvl w:ilvl="4" w:tplc="67FE0436">
      <w:numFmt w:val="bullet"/>
      <w:lvlText w:val="•"/>
      <w:lvlJc w:val="left"/>
      <w:pPr>
        <w:ind w:hanging="139" w:left="1816"/>
      </w:pPr>
      <w:rPr>
        <w:rFonts w:hint="default"/>
      </w:rPr>
    </w:lvl>
    <w:lvl w:ilvl="5" w:tplc="E138C4D4">
      <w:numFmt w:val="bullet"/>
      <w:lvlText w:val="•"/>
      <w:lvlJc w:val="left"/>
      <w:pPr>
        <w:ind w:hanging="139" w:left="2180"/>
      </w:pPr>
      <w:rPr>
        <w:rFonts w:hint="default"/>
      </w:rPr>
    </w:lvl>
    <w:lvl w:ilvl="6" w:tplc="6D92E108">
      <w:numFmt w:val="bullet"/>
      <w:lvlText w:val="•"/>
      <w:lvlJc w:val="left"/>
      <w:pPr>
        <w:ind w:hanging="139" w:left="2544"/>
      </w:pPr>
      <w:rPr>
        <w:rFonts w:hint="default"/>
      </w:rPr>
    </w:lvl>
    <w:lvl w:ilvl="7" w:tplc="7EB8EC08">
      <w:numFmt w:val="bullet"/>
      <w:lvlText w:val="•"/>
      <w:lvlJc w:val="left"/>
      <w:pPr>
        <w:ind w:hanging="139" w:left="2908"/>
      </w:pPr>
      <w:rPr>
        <w:rFonts w:hint="default"/>
      </w:rPr>
    </w:lvl>
    <w:lvl w:ilvl="8" w:tplc="B256F8FE">
      <w:numFmt w:val="bullet"/>
      <w:lvlText w:val="•"/>
      <w:lvlJc w:val="left"/>
      <w:pPr>
        <w:ind w:hanging="139" w:left="3273"/>
      </w:pPr>
      <w:rPr>
        <w:rFonts w:hint="default"/>
      </w:rPr>
    </w:lvl>
  </w:abstractNum>
  <w:abstractNum w15:restartNumberingAfterBreak="0" w:abstractNumId="26">
    <w:nsid w:val="7822774E"/>
    <w:multiLevelType w:val="hybridMultilevel"/>
    <w:tmpl w:val="8A7C5C50"/>
    <w:lvl w:ilvl="0" w:tplc="F538E75C">
      <w:start w:val="1"/>
      <w:numFmt w:val="decimal"/>
      <w:lvlText w:val="%1"/>
      <w:lvlJc w:val="left"/>
      <w:pPr>
        <w:ind w:hanging="122" w:left="0"/>
        <w:jc w:val="left"/>
      </w:pPr>
      <w:rPr>
        <w:rFonts w:hint="default"/>
      </w:rPr>
    </w:lvl>
    <w:lvl w:ilvl="1" w:tplc="45F2A2CC">
      <w:start w:val="1"/>
      <w:numFmt w:val="lowerLetter"/>
      <w:lvlText w:val="%1.%2"/>
      <w:lvlJc w:val="left"/>
      <w:pPr>
        <w:ind w:hanging="122" w:left="0"/>
        <w:jc w:val="left"/>
      </w:pPr>
      <w:rPr>
        <w:rFonts w:ascii="Arial" w:cs="Arial" w:eastAsia="Arial" w:hAnsi="Arial" w:hint="default"/>
        <w:color w:val="0B2338"/>
        <w:w w:val="90"/>
        <w:sz w:val="8"/>
        <w:szCs w:val="8"/>
      </w:rPr>
    </w:lvl>
    <w:lvl w:ilvl="2" w:tplc="00A407BA">
      <w:numFmt w:val="bullet"/>
      <w:lvlText w:val="•"/>
      <w:lvlJc w:val="left"/>
      <w:pPr>
        <w:ind w:hanging="122" w:left="243"/>
      </w:pPr>
      <w:rPr>
        <w:rFonts w:hint="default"/>
      </w:rPr>
    </w:lvl>
    <w:lvl w:ilvl="3" w:tplc="EC5C0C7C">
      <w:numFmt w:val="bullet"/>
      <w:lvlText w:val="•"/>
      <w:lvlJc w:val="left"/>
      <w:pPr>
        <w:ind w:hanging="122" w:left="365"/>
      </w:pPr>
      <w:rPr>
        <w:rFonts w:hint="default"/>
      </w:rPr>
    </w:lvl>
    <w:lvl w:ilvl="4" w:tplc="762CD6CA">
      <w:numFmt w:val="bullet"/>
      <w:lvlText w:val="•"/>
      <w:lvlJc w:val="left"/>
      <w:pPr>
        <w:ind w:hanging="122" w:left="487"/>
      </w:pPr>
      <w:rPr>
        <w:rFonts w:hint="default"/>
      </w:rPr>
    </w:lvl>
    <w:lvl w:ilvl="5" w:tplc="BCA0EF16">
      <w:numFmt w:val="bullet"/>
      <w:lvlText w:val="•"/>
      <w:lvlJc w:val="left"/>
      <w:pPr>
        <w:ind w:hanging="122" w:left="609"/>
      </w:pPr>
      <w:rPr>
        <w:rFonts w:hint="default"/>
      </w:rPr>
    </w:lvl>
    <w:lvl w:ilvl="6" w:tplc="D92E7A88">
      <w:numFmt w:val="bullet"/>
      <w:lvlText w:val="•"/>
      <w:lvlJc w:val="left"/>
      <w:pPr>
        <w:ind w:hanging="122" w:left="730"/>
      </w:pPr>
      <w:rPr>
        <w:rFonts w:hint="default"/>
      </w:rPr>
    </w:lvl>
    <w:lvl w:ilvl="7" w:tplc="59DA74AA">
      <w:numFmt w:val="bullet"/>
      <w:lvlText w:val="•"/>
      <w:lvlJc w:val="left"/>
      <w:pPr>
        <w:ind w:hanging="122" w:left="852"/>
      </w:pPr>
      <w:rPr>
        <w:rFonts w:hint="default"/>
      </w:rPr>
    </w:lvl>
    <w:lvl w:ilvl="8" w:tplc="3F0AF542">
      <w:numFmt w:val="bullet"/>
      <w:lvlText w:val="•"/>
      <w:lvlJc w:val="left"/>
      <w:pPr>
        <w:ind w:hanging="122" w:left="974"/>
      </w:pPr>
      <w:rPr>
        <w:rFonts w:hint="default"/>
      </w:rPr>
    </w:lvl>
  </w:abstractNum>
  <w:abstractNum w15:restartNumberingAfterBreak="0" w:abstractNumId="27">
    <w:nsid w:val="7EE60259"/>
    <w:multiLevelType w:val="hybridMultilevel"/>
    <w:tmpl w:val="A386D078"/>
    <w:lvl w:ilvl="0" w:tplc="09B6E642">
      <w:start w:val="1"/>
      <w:numFmt w:val="decimal"/>
      <w:lvlText w:val="%1."/>
      <w:lvlJc w:val="left"/>
      <w:pPr>
        <w:ind w:hanging="240" w:left="2780"/>
        <w:jc w:val="left"/>
      </w:pPr>
      <w:rPr>
        <w:rFonts w:ascii="Times New Roman" w:cs="Times New Roman" w:eastAsia="Times New Roman" w:hAnsi="Times New Roman" w:hint="default"/>
        <w:w w:val="100"/>
        <w:sz w:val="24"/>
        <w:szCs w:val="24"/>
      </w:rPr>
    </w:lvl>
    <w:lvl w:ilvl="1" w:tplc="EF66CA2E">
      <w:numFmt w:val="bullet"/>
      <w:lvlText w:val="•"/>
      <w:lvlJc w:val="left"/>
      <w:pPr>
        <w:ind w:hanging="240" w:left="3496"/>
      </w:pPr>
      <w:rPr>
        <w:rFonts w:hint="default"/>
      </w:rPr>
    </w:lvl>
    <w:lvl w:ilvl="2" w:tplc="EA4AD032">
      <w:numFmt w:val="bullet"/>
      <w:lvlText w:val="•"/>
      <w:lvlJc w:val="left"/>
      <w:pPr>
        <w:ind w:hanging="240" w:left="4212"/>
      </w:pPr>
      <w:rPr>
        <w:rFonts w:hint="default"/>
      </w:rPr>
    </w:lvl>
    <w:lvl w:ilvl="3" w:tplc="843A2CB8">
      <w:numFmt w:val="bullet"/>
      <w:lvlText w:val="•"/>
      <w:lvlJc w:val="left"/>
      <w:pPr>
        <w:ind w:hanging="240" w:left="4928"/>
      </w:pPr>
      <w:rPr>
        <w:rFonts w:hint="default"/>
      </w:rPr>
    </w:lvl>
    <w:lvl w:ilvl="4" w:tplc="15DCF3BA">
      <w:numFmt w:val="bullet"/>
      <w:lvlText w:val="•"/>
      <w:lvlJc w:val="left"/>
      <w:pPr>
        <w:ind w:hanging="240" w:left="5644"/>
      </w:pPr>
      <w:rPr>
        <w:rFonts w:hint="default"/>
      </w:rPr>
    </w:lvl>
    <w:lvl w:ilvl="5" w:tplc="C85A9B32">
      <w:numFmt w:val="bullet"/>
      <w:lvlText w:val="•"/>
      <w:lvlJc w:val="left"/>
      <w:pPr>
        <w:ind w:hanging="240" w:left="6360"/>
      </w:pPr>
      <w:rPr>
        <w:rFonts w:hint="default"/>
      </w:rPr>
    </w:lvl>
    <w:lvl w:ilvl="6" w:tplc="64C43918">
      <w:numFmt w:val="bullet"/>
      <w:lvlText w:val="•"/>
      <w:lvlJc w:val="left"/>
      <w:pPr>
        <w:ind w:hanging="240" w:left="7076"/>
      </w:pPr>
      <w:rPr>
        <w:rFonts w:hint="default"/>
      </w:rPr>
    </w:lvl>
    <w:lvl w:ilvl="7" w:tplc="D22C6592">
      <w:numFmt w:val="bullet"/>
      <w:lvlText w:val="•"/>
      <w:lvlJc w:val="left"/>
      <w:pPr>
        <w:ind w:hanging="240" w:left="7792"/>
      </w:pPr>
      <w:rPr>
        <w:rFonts w:hint="default"/>
      </w:rPr>
    </w:lvl>
    <w:lvl w:ilvl="8" w:tplc="2718246A">
      <w:numFmt w:val="bullet"/>
      <w:lvlText w:val="•"/>
      <w:lvlJc w:val="left"/>
      <w:pPr>
        <w:ind w:hanging="240" w:left="8508"/>
      </w:pPr>
      <w:rPr>
        <w:rFonts w:hint="default"/>
      </w:rPr>
    </w:lvl>
  </w:abstractNum>
  <w:abstractNum w:abstractNumId="990">
    <w:nsid w:val="0000A990"/>
    <w:multiLevelType w:val="multilevel"/>
    <w:lvl w:ilvl="0">
      <w:numFmt w:val="bullet"/>
      <w:lvlText w:val=" "/>
      <w:lvlJc w:val="left"/>
      <w:pPr>
        <w:ind w:left="720" w:hanging="360"/>
      </w:pPr>
    </w:lvl>
    <w:lvl w:ilvl="1">
      <w:numFmt w:val="bullet"/>
      <w:lvlText w:val=" "/>
      <w:lvlJc w:val="left"/>
      <w:pPr>
        <w:ind w:left="1440" w:hanging="360"/>
      </w:pPr>
    </w:lvl>
    <w:lvl w:ilvl="2">
      <w:numFmt w:val="bullet"/>
      <w:lvlText w:val=" "/>
      <w:lvlJc w:val="left"/>
      <w:pPr>
        <w:ind w:left="2160" w:hanging="360"/>
      </w:pPr>
    </w:lvl>
    <w:lvl w:ilvl="3">
      <w:numFmt w:val="bullet"/>
      <w:lvlText w:val=" "/>
      <w:lvlJc w:val="left"/>
      <w:pPr>
        <w:ind w:left="2880" w:hanging="360"/>
      </w:pPr>
    </w:lvl>
    <w:lvl w:ilvl="4">
      <w:numFmt w:val="bullet"/>
      <w:lvlText w:val=" "/>
      <w:lvlJc w:val="left"/>
      <w:pPr>
        <w:ind w:left="3600" w:hanging="360"/>
      </w:pPr>
    </w:lvl>
    <w:lvl w:ilvl="5">
      <w:numFmt w:val="bullet"/>
      <w:lvlText w:val=" "/>
      <w:lvlJc w:val="left"/>
      <w:pPr>
        <w:ind w:left="4320" w:hanging="360"/>
      </w:pPr>
    </w:lvl>
    <w:lvl w:ilvl="6">
      <w:numFmt w:val="bullet"/>
      <w:lvlText w:val=" "/>
      <w:lvlJc w:val="left"/>
      <w:pPr>
        <w:ind w:left="5040" w:hanging="360"/>
      </w:pPr>
    </w:lvl>
    <w:lvl w:ilvl="7">
      <w:numFmt w:val="bullet"/>
      <w:lvlText w:val=" "/>
      <w:lvlJc w:val="left"/>
      <w:pPr>
        <w:ind w:left="5760" w:hanging="360"/>
      </w:pPr>
    </w:lvl>
    <w:lvl w:ilvl="8">
      <w:numFmt w:val="bullet"/>
      <w:lvlText w:val=" "/>
      <w:lvlJc w:val="left"/>
      <w:pPr>
        <w:ind w:left="6480" w:hanging="360"/>
      </w:pPr>
    </w:lvl>
  </w:abstractNum>
  <w:num w:numId="1">
    <w:abstractNumId w:val="27"/>
  </w:num>
  <w:num w:numId="2">
    <w:abstractNumId w:val="12"/>
  </w:num>
  <w:num w:numId="3">
    <w:abstractNumId w:val="25"/>
  </w:num>
  <w:num w:numId="4">
    <w:abstractNumId w:val="22"/>
  </w:num>
  <w:num w:numId="5">
    <w:abstractNumId w:val="21"/>
  </w:num>
  <w:num w:numId="6">
    <w:abstractNumId w:val="17"/>
  </w:num>
  <w:num w:numId="7">
    <w:abstractNumId w:val="18"/>
  </w:num>
  <w:num w:numId="8">
    <w:abstractNumId w:val="9"/>
  </w:num>
  <w:num w:numId="9">
    <w:abstractNumId w:val="19"/>
  </w:num>
  <w:num w:numId="10">
    <w:abstractNumId w:val="13"/>
  </w:num>
  <w:num w:numId="11">
    <w:abstractNumId w:val="16"/>
  </w:num>
  <w:num w:numId="12">
    <w:abstractNumId w:val="23"/>
  </w:num>
  <w:num w:numId="13">
    <w:abstractNumId w:val="11"/>
  </w:num>
  <w:num w:numId="14">
    <w:abstractNumId w:val="2"/>
  </w:num>
  <w:num w:numId="15">
    <w:abstractNumId w:val="4"/>
  </w:num>
  <w:num w:numId="16">
    <w:abstractNumId w:val="10"/>
  </w:num>
  <w:num w:numId="17">
    <w:abstractNumId w:val="20"/>
  </w:num>
  <w:num w:numId="18">
    <w:abstractNumId w:val="8"/>
  </w:num>
  <w:num w:numId="19">
    <w:abstractNumId w:val="7"/>
  </w:num>
  <w:num w:numId="20">
    <w:abstractNumId w:val="15"/>
  </w:num>
  <w:num w:numId="21">
    <w:abstractNumId w:val="24"/>
  </w:num>
  <w:num w:numId="22">
    <w:abstractNumId w:val="1"/>
  </w:num>
  <w:num w:numId="23">
    <w:abstractNumId w:val="3"/>
  </w:num>
  <w:num w:numId="24">
    <w:abstractNumId w:val="26"/>
  </w:num>
  <w:num w:numId="25">
    <w:abstractNumId w:val="14"/>
  </w:num>
  <w:num w:numId="26">
    <w:abstractNumId w:val="0"/>
  </w:num>
  <w:num w:numId="27">
    <w:abstractNumId w:val="6"/>
  </w:num>
  <w:num w:numId="28">
    <w:abstractNumId w:val="5"/>
  </w:num>
  <w:num w:numId="1000">
    <w:abstractNumId w:val="990"/>
  </w:num>
</w:numbering>
</file>

<file path=word/settings.xml><?xml version="1.0" encoding="utf-8"?>
<w:settings xmlns:m="http://schemas.openxmlformats.org/officeDocument/2006/math" xmlns:o="urn:schemas-microsoft-com:office:office" xmlns:r="http://schemas.openxmlformats.org/officeDocument/2006/relationships" xmlns:sl="http://schemas.openxmlformats.org/schemaLibrary/2006/main" xmlns:v="urn:schemas-microsoft-com:vml" xmlns:w="http://schemas.openxmlformats.org/wordprocessingml/2006/main" xmlns:w10="urn:schemas-microsoft-com:office:word">
  <w:zoom w:percent="172"/>
  <w:embedSystemFonts/>
  <w:proofState w:grammar="clean" w:spelling="clean"/>
  <w:stylePaneFormatFilter w:val="0004"/>
  <w:doNotTrackMoves/>
  <w:defaultTabStop w:val="720"/>
  <w:drawingGridHorizontalSpacing w:val="110"/>
  <w:drawingGridVerticalSpacing w:val="360"/>
  <w:displayHorizontalDrawingGridEvery w:val="2"/>
  <w:displayVerticalDrawingGridEvery w:val="0"/>
  <w:characterSpacingControl w:val="doNotCompress"/>
  <w:savePreviewPicture/>
  <w:hdrShapeDefaults>
    <o:shapedefaults spidmax="2049" v:ext="edit"/>
  </w:hdrShapeDefaults>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F3179"/>
    <w:rsid w:val="009F3179"/>
    <w:rsid w:val="00C10B24"/>
    <w:rsid w:val="00C54E59"/>
  </w:rsids>
  <w:themeFontLang w:val="en-US"/>
  <w:clrSchemeMapping w:accent1="accent1" w:accent2="accent2" w:accent3="accent3" w:accent4="accent4" w:accent5="accent5" w:accent6="accent6" w:bg1="light1" w:bg2="light2" w:followedHyperlink="followedHyperlink" w:hyperlink="hyperlink" w:t1="dark1" w:t2="dark2"/>
  <w:shapeDefaults>
    <o:shapedefaults spidmax="2049" v:ext="edit"/>
    <o:shapelayout v:ext="edit">
      <o:idmap data="1" v:ext="edit"/>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http://schemas.microsoft.com/office/word/2018/wordml" xmlns:w16cex="http://schemas.microsoft.com/office/word/2018/wordml/cex" xmlns:w16cid="http://schemas.microsoft.com/office/word/2016/wordml/cid" xmlns:w16se="http://schemas.microsoft.com/office/word/2015/wordml/symex" mc:Ignorable="w14 w15 w16se w16cid w16 w16cex">
  <w:docDefaults>
    <w:rPrDefault>
      <w:rPr>
        <w:rFonts w:asciiTheme="minorHAnsi" w:cstheme="minorBidi" w:eastAsiaTheme="minorHAnsi" w:hAnsiTheme="minorHAnsi"/>
        <w:sz w:val="22"/>
        <w:szCs w:val="22"/>
        <w:lang w:bidi="ar-SA" w:eastAsia="en-US" w:val="en-US"/>
      </w:rPr>
    </w:rPrDefault>
    <w:pPrDefault>
      <w:pPr>
        <w:widowControl w:val="0"/>
        <w:autoSpaceDE w:val="0"/>
        <w:autoSpaceDN w:val="0"/>
      </w:pPr>
    </w:pPrDefault>
  </w:docDefaults>
  <w:latentStyles w:count="376" w:defLockedState="0" w:defQFormat="0" w:defSemiHidden="0" w:defUIPriority="99" w:defUnhideWhenUsed="0">
    <w:lsdException w:name="Normal" w:qFormat="1" w:uiPriority="0"/>
    <w:lsdException w:name="heading 1" w:qFormat="1" w:uiPriority="9"/>
    <w:lsdException w:name="heading 2" w:qFormat="1" w:semiHidden="1" w:uiPriority="9" w:unhideWhenUsed="1"/>
    <w:lsdException w:name="heading 3" w:qFormat="1" w:semiHidden="1" w:uiPriority="9" w:unhideWhenUsed="1"/>
    <w:lsdException w:name="heading 4" w:qFormat="1" w:semiHidden="1" w:uiPriority="9" w:unhideWhenUsed="1"/>
    <w:lsdException w:name="heading 5" w:qFormat="1" w:semiHidden="1" w:uiPriority="9" w:unhideWhenUsed="1"/>
    <w:lsdException w:name="heading 6" w:qFormat="1" w:semiHidden="1" w:uiPriority="9" w:unhideWhenUsed="1"/>
    <w:lsdException w:name="heading 7" w:qFormat="1" w:semiHidden="1" w:uiPriority="9" w:unhideWhenUsed="1"/>
    <w:lsdException w:name="heading 8" w:qFormat="1" w:semiHidden="1" w:uiPriority="9" w:unhideWhenUsed="1"/>
    <w:lsdException w:name="heading 9" w:qFormat="1"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qFormat="1"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uiPriority="22"/>
    <w:lsdException w:name="Emphasis" w:qFormat="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uiPriority="34"/>
    <w:lsdException w:name="Quote" w:qFormat="1" w:uiPriority="29"/>
    <w:lsdException w:name="Intense Quote" w:qFormat="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uiPriority="19"/>
    <w:lsdException w:name="Intense Emphasis" w:qFormat="1" w:uiPriority="21"/>
    <w:lsdException w:name="Subtle Reference" w:qFormat="1" w:uiPriority="31"/>
    <w:lsdException w:name="Intense Reference" w:qFormat="1" w:uiPriority="32"/>
    <w:lsdException w:name="Book Title" w:qFormat="1" w:uiPriority="33"/>
    <w:lsdException w:name="Bibliography" w:semiHidden="1" w:uiPriority="37" w:unhideWhenUsed="1"/>
    <w:lsdException w:name="TOC Heading" w:qFormat="1"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default="1" w:styleId="Normal" w:type="paragraph">
    <w:name w:val="Normal"/>
    <w:qFormat/>
    <w:rPr>
      <w:rFonts w:ascii="Times New Roman" w:cs="Times New Roman" w:eastAsia="Times New Roman" w:hAnsi="Times New Roman"/>
    </w:rPr>
  </w:style>
  <w:style w:styleId="Heading1" w:type="paragraph">
    <w:name w:val="heading 1"/>
    <w:basedOn w:val="Normal"/>
    <w:uiPriority w:val="9"/>
    <w:qFormat/>
    <w:pPr>
      <w:ind w:left="380"/>
      <w:outlineLvl w:val="0"/>
    </w:pPr>
    <w:rPr>
      <w:b/>
      <w:bCs/>
      <w:sz w:val="26"/>
      <w:szCs w:val="26"/>
    </w:rPr>
  </w:style>
  <w:style w:styleId="Heading2" w:type="paragraph">
    <w:name w:val="heading 2"/>
    <w:basedOn w:val="Normal"/>
    <w:uiPriority w:val="9"/>
    <w:unhideWhenUsed/>
    <w:qFormat/>
    <w:pPr>
      <w:spacing w:before="63"/>
      <w:ind w:left="667"/>
      <w:outlineLvl w:val="1"/>
    </w:pPr>
    <w:rPr>
      <w:sz w:val="26"/>
      <w:szCs w:val="26"/>
    </w:rPr>
  </w:style>
  <w:style w:styleId="Heading3" w:type="paragraph">
    <w:name w:val="heading 3"/>
    <w:basedOn w:val="Normal"/>
    <w:uiPriority w:val="9"/>
    <w:unhideWhenUsed/>
    <w:qFormat/>
    <w:pPr>
      <w:ind w:left="380"/>
      <w:outlineLvl w:val="2"/>
    </w:pPr>
    <w:rPr>
      <w:b/>
      <w:bCs/>
      <w:sz w:val="24"/>
      <w:szCs w:val="24"/>
    </w:rPr>
  </w:style>
  <w:style w:default="1" w:styleId="DefaultParagraphFont" w:type="character">
    <w:name w:val="Default Paragraph Font"/>
    <w:uiPriority w:val="1"/>
    <w:semiHidden/>
    <w:unhideWhenUsed/>
  </w:style>
  <w:style w:default="1" w:styleId="TableNormal" w:type="table">
    <w:name w:val="Normal Table"/>
    <w:uiPriority w:val="99"/>
    <w:semiHidden/>
    <w:unhideWhenUsed/>
    <w:tblPr>
      <w:tblInd w:type="dxa" w:w="0"/>
      <w:tblCellMar>
        <w:top w:type="dxa" w:w="0"/>
        <w:left w:type="dxa" w:w="108"/>
        <w:bottom w:type="dxa" w:w="0"/>
        <w:right w:type="dxa" w:w="108"/>
      </w:tblCellMar>
    </w:tblPr>
  </w:style>
  <w:style w:default="1" w:styleId="NoList" w:type="numbering">
    <w:name w:val="No List"/>
    <w:uiPriority w:val="99"/>
    <w:semiHidden/>
    <w:unhideWhenUsed/>
  </w:style>
  <w:style w:styleId="TOC1" w:type="paragraph">
    <w:name w:val="toc 1"/>
    <w:basedOn w:val="Normal"/>
    <w:uiPriority w:val="1"/>
    <w:qFormat/>
    <w:pPr>
      <w:spacing w:before="135"/>
      <w:ind w:left="380"/>
    </w:pPr>
    <w:rPr>
      <w:rFonts w:ascii="Arial" w:cs="Arial" w:eastAsia="Arial" w:hAnsi="Arial"/>
      <w:b/>
      <w:bCs/>
      <w:sz w:val="20"/>
      <w:szCs w:val="20"/>
    </w:rPr>
  </w:style>
  <w:style w:styleId="TOC2" w:type="paragraph">
    <w:name w:val="toc 2"/>
    <w:basedOn w:val="Normal"/>
    <w:uiPriority w:val="1"/>
    <w:qFormat/>
    <w:pPr>
      <w:spacing w:before="30"/>
      <w:ind w:left="620"/>
    </w:pPr>
    <w:rPr>
      <w:rFonts w:ascii="Arial" w:cs="Arial" w:eastAsia="Arial" w:hAnsi="Arial"/>
      <w:sz w:val="20"/>
      <w:szCs w:val="20"/>
    </w:rPr>
  </w:style>
  <w:style w:styleId="TOC3" w:type="paragraph">
    <w:name w:val="toc 3"/>
    <w:basedOn w:val="Normal"/>
    <w:uiPriority w:val="1"/>
    <w:qFormat/>
    <w:pPr>
      <w:spacing w:before="15"/>
      <w:ind w:left="620"/>
    </w:pPr>
    <w:rPr>
      <w:rFonts w:ascii="Arial" w:cs="Arial" w:eastAsia="Arial" w:hAnsi="Arial"/>
      <w:sz w:val="16"/>
      <w:szCs w:val="16"/>
    </w:rPr>
  </w:style>
  <w:style w:styleId="TOC4" w:type="paragraph">
    <w:name w:val="toc 4"/>
    <w:basedOn w:val="Normal"/>
    <w:uiPriority w:val="1"/>
    <w:qFormat/>
    <w:pPr>
      <w:spacing w:before="15"/>
      <w:ind w:left="620"/>
    </w:pPr>
    <w:rPr>
      <w:rFonts w:ascii="Arial" w:cs="Arial" w:eastAsia="Arial" w:hAnsi="Arial"/>
      <w:b/>
      <w:bCs/>
      <w:i/>
    </w:rPr>
  </w:style>
  <w:style w:styleId="TOC5" w:type="paragraph">
    <w:name w:val="toc 5"/>
    <w:basedOn w:val="Normal"/>
    <w:uiPriority w:val="1"/>
    <w:qFormat/>
    <w:pPr>
      <w:spacing w:before="15"/>
      <w:ind w:left="860"/>
    </w:pPr>
    <w:rPr>
      <w:rFonts w:ascii="Arial" w:cs="Arial" w:eastAsia="Arial" w:hAnsi="Arial"/>
      <w:i/>
      <w:sz w:val="20"/>
      <w:szCs w:val="20"/>
    </w:rPr>
  </w:style>
  <w:style w:styleId="BodyText" w:type="paragraph">
    <w:name w:val="Body Text"/>
    <w:basedOn w:val="Normal"/>
    <w:uiPriority w:val="1"/>
    <w:qFormat/>
    <w:pPr>
      <w:ind w:left="380"/>
    </w:pPr>
    <w:rPr>
      <w:sz w:val="24"/>
      <w:szCs w:val="24"/>
    </w:rPr>
  </w:style>
  <w:style w:styleId="Title" w:type="paragraph">
    <w:name w:val="Title"/>
    <w:basedOn w:val="Normal"/>
    <w:uiPriority w:val="10"/>
    <w:qFormat/>
    <w:pPr>
      <w:spacing w:before="88"/>
      <w:ind w:left="1007" w:right="826"/>
      <w:jc w:val="center"/>
    </w:pPr>
    <w:rPr>
      <w:b/>
      <w:bCs/>
      <w:sz w:val="32"/>
      <w:szCs w:val="32"/>
    </w:rPr>
  </w:style>
  <w:style w:styleId="ListParagraph" w:type="paragraph">
    <w:name w:val="List Paragraph"/>
    <w:basedOn w:val="Normal"/>
    <w:uiPriority w:val="1"/>
    <w:qFormat/>
    <w:pPr>
      <w:ind w:firstLine="720" w:left="380"/>
    </w:pPr>
  </w:style>
  <w:style w:customStyle="1" w:styleId="TableParagraph" w:type="paragraph">
    <w:name w:val="Table Paragraph"/>
    <w:basedOn w:val="Normal"/>
    <w:uiPriority w:val="1"/>
    <w:qFormat/>
  </w:style>
  <w:style w:type="paragraph" w:customStyle="1" w:styleId="SourceCode">
    <w:name w:val="Source Code"/>
    <w:basedOn w:val="Normal"/>
    <w:link w:val="VerbatimChar"/>
    <w:pPr>
      <w:wordWrap w:val="off"/>
    </w:pPr>
  </w:style>
  <w:style w:type="character" w:customStyle="1" w:styleId="KeywordTok">
    <w:name w:val="KeywordTok"/>
    <w:basedOn w:val="VerbatimChar"/>
    <w:rPr>
      <w:b/>
      <w:color w:val="007020"/>
    </w:rPr>
  </w:style>
  <w:style w:type="character" w:customStyle="1" w:styleId="DataTypeTok">
    <w:name w:val="DataTypeTok"/>
    <w:basedOn w:val="VerbatimChar"/>
    <w:rPr>
      <w:color w:val="902000"/>
    </w:rPr>
  </w:style>
  <w:style w:type="character" w:customStyle="1" w:styleId="DecValTok">
    <w:name w:val="DecValTok"/>
    <w:basedOn w:val="VerbatimChar"/>
    <w:rPr>
      <w:color w:val="40a070"/>
    </w:rPr>
  </w:style>
  <w:style w:type="character" w:customStyle="1" w:styleId="BaseNTok">
    <w:name w:val="BaseNTok"/>
    <w:basedOn w:val="VerbatimChar"/>
    <w:rPr>
      <w:color w:val="40a070"/>
    </w:rPr>
  </w:style>
  <w:style w:type="character" w:customStyle="1" w:styleId="FloatTok">
    <w:name w:val="FloatTok"/>
    <w:basedOn w:val="VerbatimChar"/>
    <w:rPr>
      <w:color w:val="40a070"/>
    </w:rPr>
  </w:style>
  <w:style w:type="character" w:customStyle="1" w:styleId="ConstantTok">
    <w:name w:val="ConstantTok"/>
    <w:basedOn w:val="VerbatimChar"/>
    <w:rPr>
      <w:color w:val="880000"/>
    </w:rPr>
  </w:style>
  <w:style w:type="character" w:customStyle="1" w:styleId="CharTok">
    <w:name w:val="CharTok"/>
    <w:basedOn w:val="VerbatimChar"/>
    <w:rPr>
      <w:color w:val="4070a0"/>
    </w:rPr>
  </w:style>
  <w:style w:type="character" w:customStyle="1" w:styleId="SpecialCharTok">
    <w:name w:val="SpecialCharTok"/>
    <w:basedOn w:val="VerbatimChar"/>
    <w:rPr>
      <w:color w:val="4070a0"/>
    </w:rPr>
  </w:style>
  <w:style w:type="character" w:customStyle="1" w:styleId="StringTok">
    <w:name w:val="StringTok"/>
    <w:basedOn w:val="VerbatimChar"/>
    <w:rPr>
      <w:color w:val="4070a0"/>
    </w:rPr>
  </w:style>
  <w:style w:type="character" w:customStyle="1" w:styleId="VerbatimStringTok">
    <w:name w:val="VerbatimStringTok"/>
    <w:basedOn w:val="VerbatimChar"/>
    <w:rPr>
      <w:color w:val="4070a0"/>
    </w:rPr>
  </w:style>
  <w:style w:type="character" w:customStyle="1" w:styleId="SpecialStringTok">
    <w:name w:val="SpecialStringTok"/>
    <w:basedOn w:val="VerbatimChar"/>
    <w:rPr>
      <w:color w:val="bb6688"/>
    </w:rPr>
  </w:style>
  <w:style w:type="character" w:customStyle="1" w:styleId="ImportTok">
    <w:name w:val="ImportTok"/>
    <w:basedOn w:val="VerbatimChar"/>
    <w:rPr>
      <w:b/>
      <w:color w:val="008000"/>
    </w:rPr>
  </w:style>
  <w:style w:type="character" w:customStyle="1" w:styleId="CommentTok">
    <w:name w:val="CommentTok"/>
    <w:basedOn w:val="VerbatimChar"/>
    <w:rPr>
      <w:i/>
      <w:color w:val="60a0b0"/>
    </w:rPr>
  </w:style>
  <w:style w:type="character" w:customStyle="1" w:styleId="DocumentationTok">
    <w:name w:val="DocumentationTok"/>
    <w:basedOn w:val="VerbatimChar"/>
    <w:rPr>
      <w:i/>
      <w:color w:val="ba2121"/>
    </w:rPr>
  </w:style>
  <w:style w:type="character" w:customStyle="1" w:styleId="AnnotationTok">
    <w:name w:val="AnnotationTok"/>
    <w:basedOn w:val="VerbatimChar"/>
    <w:rPr>
      <w:b/>
      <w:i/>
      <w:color w:val="60a0b0"/>
    </w:rPr>
  </w:style>
  <w:style w:type="character" w:customStyle="1" w:styleId="CommentVarTok">
    <w:name w:val="CommentVarTok"/>
    <w:basedOn w:val="VerbatimChar"/>
    <w:rPr>
      <w:b/>
      <w:i/>
      <w:color w:val="60a0b0"/>
    </w:rPr>
  </w:style>
  <w:style w:type="character" w:customStyle="1" w:styleId="OtherTok">
    <w:name w:val="OtherTok"/>
    <w:basedOn w:val="VerbatimChar"/>
    <w:rPr>
      <w:color w:val="007020"/>
    </w:rPr>
  </w:style>
  <w:style w:type="character" w:customStyle="1" w:styleId="FunctionTok">
    <w:name w:val="FunctionTok"/>
    <w:basedOn w:val="VerbatimChar"/>
    <w:rPr>
      <w:color w:val="06287e"/>
    </w:rPr>
  </w:style>
  <w:style w:type="character" w:customStyle="1" w:styleId="VariableTok">
    <w:name w:val="VariableTok"/>
    <w:basedOn w:val="VerbatimChar"/>
    <w:rPr>
      <w:color w:val="19177c"/>
    </w:rPr>
  </w:style>
  <w:style w:type="character" w:customStyle="1" w:styleId="ControlFlowTok">
    <w:name w:val="ControlFlowTok"/>
    <w:basedOn w:val="VerbatimChar"/>
    <w:rPr>
      <w:b/>
      <w:color w:val="007020"/>
    </w:rPr>
  </w:style>
  <w:style w:type="character" w:customStyle="1" w:styleId="OperatorTok">
    <w:name w:val="OperatorTok"/>
    <w:basedOn w:val="VerbatimChar"/>
    <w:rPr>
      <w:color w:val="666666"/>
    </w:rPr>
  </w:style>
  <w:style w:type="character" w:customStyle="1" w:styleId="BuiltInTok">
    <w:name w:val="BuiltInTok"/>
    <w:basedOn w:val="VerbatimChar"/>
    <w:rPr>
      <w:color w:val="008000"/>
    </w:rPr>
  </w:style>
  <w:style w:type="character" w:customStyle="1" w:styleId="ExtensionTok">
    <w:name w:val="ExtensionTok"/>
    <w:basedOn w:val="VerbatimChar"/>
    <w:rPr/>
  </w:style>
  <w:style w:type="character" w:customStyle="1" w:styleId="PreprocessorTok">
    <w:name w:val="PreprocessorTok"/>
    <w:basedOn w:val="VerbatimChar"/>
    <w:rPr>
      <w:color w:val="bc7a00"/>
    </w:rPr>
  </w:style>
  <w:style w:type="character" w:customStyle="1" w:styleId="AttributeTok">
    <w:name w:val="AttributeTok"/>
    <w:basedOn w:val="VerbatimChar"/>
    <w:rPr>
      <w:color w:val="7d9029"/>
    </w:rPr>
  </w:style>
  <w:style w:type="character" w:customStyle="1" w:styleId="RegionMarkerTok">
    <w:name w:val="RegionMarkerTok"/>
    <w:basedOn w:val="VerbatimChar"/>
    <w:rPr/>
  </w:style>
  <w:style w:type="character" w:customStyle="1" w:styleId="InformationTok">
    <w:name w:val="InformationTok"/>
    <w:basedOn w:val="VerbatimChar"/>
    <w:rPr>
      <w:b/>
      <w:i/>
      <w:color w:val="60a0b0"/>
    </w:rPr>
  </w:style>
  <w:style w:type="character" w:customStyle="1" w:styleId="WarningTok">
    <w:name w:val="WarningTok"/>
    <w:basedOn w:val="VerbatimChar"/>
    <w:rPr>
      <w:b/>
      <w:i/>
      <w:color w:val="60a0b0"/>
    </w:rPr>
  </w:style>
  <w:style w:type="character" w:customStyle="1" w:styleId="AlertTok">
    <w:name w:val="AlertTok"/>
    <w:basedOn w:val="VerbatimChar"/>
    <w:rPr>
      <w:b/>
      <w:color w:val="ff0000"/>
    </w:rPr>
  </w:style>
  <w:style w:type="character" w:customStyle="1" w:styleId="ErrorTok">
    <w:name w:val="ErrorTok"/>
    <w:basedOn w:val="VerbatimChar"/>
    <w:rPr>
      <w:b/>
      <w:color w:val="ff0000"/>
    </w:rPr>
  </w:style>
  <w:style w:type="character" w:customStyle="1" w:styleId="NormalTok">
    <w:name w:val="NormalTok"/>
    <w:basedOn w:val="VerbatimCha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file>

<file path=word/_rels/document.xml.rels><?xml version="1.0" encoding="UTF-8"?><Relationships xmlns="http://schemas.openxmlformats.org/package/2006/relationships"><Relationship Type="http://schemas.openxmlformats.org/officeDocument/2006/relationships/numbering" Id="rId60" Target="numbering.xml" /><Relationship Type="http://schemas.openxmlformats.org/officeDocument/2006/relationships/styles" Id="rId59" Target="styles.xml" /><Relationship Type="http://schemas.openxmlformats.org/officeDocument/2006/relationships/settings" Id="rId58" Target="settings.xml" /><Relationship Type="http://schemas.openxmlformats.org/officeDocument/2006/relationships/webSettings" Id="rId57" Target="webSettings.xml" /><Relationship Type="http://schemas.openxmlformats.org/officeDocument/2006/relationships/fontTable" Id="rId56" Target="fontTable.xml" /><Relationship Type="http://schemas.openxmlformats.org/officeDocument/2006/relationships/theme" Id="rId55" Target="theme/theme1.xml" /><Relationship Type="http://schemas.openxmlformats.org/officeDocument/2006/relationships/footnotes" Id="rId54" Target="footnotes.xml" /><Relationship Type="http://schemas.openxmlformats.org/officeDocument/2006/relationships/comments" Id="rId53" Target="comments.xml" /><Relationship Id="rId13" Target="media/image5.png" Type="http://schemas.openxmlformats.org/officeDocument/2006/relationships/image" /><Relationship Id="rId18" Target="media/image10.png" Type="http://schemas.openxmlformats.org/officeDocument/2006/relationships/image" /><Relationship Id="rId26" Target="media/image17.png" Type="http://schemas.openxmlformats.org/officeDocument/2006/relationships/image" /><Relationship Id="rId21" Target="media/image13.png" Type="http://schemas.openxmlformats.org/officeDocument/2006/relationships/image" /><Relationship Id="rId50" Target="media/image23.png" Type="http://schemas.openxmlformats.org/officeDocument/2006/relationships/image" /><Relationship Id="rId7" Target="footer1.xml" Type="http://schemas.openxmlformats.org/officeDocument/2006/relationships/footer" /><Relationship Id="rId16" Target="media/image8.jpeg" Type="http://schemas.openxmlformats.org/officeDocument/2006/relationships/image" /><Relationship Id="rId29" Target="media/image20.png" Type="http://schemas.openxmlformats.org/officeDocument/2006/relationships/image" /><Relationship Id="rId11" Target="media/image3.png" Type="http://schemas.openxmlformats.org/officeDocument/2006/relationships/image" /><Relationship Id="rId24" Target="media/image16.png" Type="http://schemas.openxmlformats.org/officeDocument/2006/relationships/image" /><Relationship Id="rId19" Target="media/image11.png" Type="http://schemas.openxmlformats.org/officeDocument/2006/relationships/image" /><Relationship Id="rId9" Target="media/image1.jpeg" Type="http://schemas.openxmlformats.org/officeDocument/2006/relationships/image" /><Relationship Id="rId14" Target="media/image6.png" Type="http://schemas.openxmlformats.org/officeDocument/2006/relationships/image" /><Relationship Id="rId22" Target="media/image14.jpeg" Type="http://schemas.openxmlformats.org/officeDocument/2006/relationships/image" /><Relationship Id="rId27" Target="media/image18.png" Type="http://schemas.openxmlformats.org/officeDocument/2006/relationships/image" /><Relationship Id="rId30" Target="media/image21.png" Type="http://schemas.openxmlformats.org/officeDocument/2006/relationships/image" /><Relationship Id="rId8" Target="footer2.xml" Type="http://schemas.openxmlformats.org/officeDocument/2006/relationships/footer" /><Relationship Id="rId51" Target="media/image24.jpeg" Type="http://schemas.openxmlformats.org/officeDocument/2006/relationships/image" /><Relationship Id="rId12" Target="media/image4.png" Type="http://schemas.openxmlformats.org/officeDocument/2006/relationships/image" /><Relationship Id="rId17" Target="media/image9.png" Type="http://schemas.openxmlformats.org/officeDocument/2006/relationships/image" /><Relationship Id="rId20" Target="media/image12.png" Type="http://schemas.openxmlformats.org/officeDocument/2006/relationships/image" /><Relationship Id="rId15" Target="media/image7.png" Type="http://schemas.openxmlformats.org/officeDocument/2006/relationships/image" /><Relationship Id="rId23" Target="media/image15.jpeg" Type="http://schemas.openxmlformats.org/officeDocument/2006/relationships/image" /><Relationship Id="rId28" Target="media/image19.jpeg" Type="http://schemas.openxmlformats.org/officeDocument/2006/relationships/image" /><Relationship Id="rId10" Target="media/image2.jpeg" Type="http://schemas.openxmlformats.org/officeDocument/2006/relationships/image" /><Relationship Id="rId31" Target="media/image22.png" Type="http://schemas.openxmlformats.org/officeDocument/2006/relationships/image" /><Relationship Id="rId52" Target="media/image25.jpeg" Type="http://schemas.openxmlformats.org/officeDocument/2006/relationships/image" /><Relationship Type="http://schemas.openxmlformats.org/officeDocument/2006/relationships/image" Id="rId73" Target="media/rId73.png" /></Relationships>
</file>

<file path=word/_rels/footnotes.xml.rels><?xml version="1.0" encoding="UTF-8"?><Relationships xmlns="http://schemas.openxmlformats.org/package/2006/relationships" />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238</Pages>
  <Words>61900</Words>
  <Characters>352835</Characters>
  <Application>Microsoft Office Word</Application>
  <DocSecurity>0</DocSecurity>
  <Lines>2940</Lines>
  <Paragraphs>827</Paragraphs>
  <ScaleCrop>false</ScaleCrop>
  <Company/>
  <LinksUpToDate>false</LinksUpToDate>
  <CharactersWithSpaces>413908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keywords/>
  <dcterms:created xsi:type="dcterms:W3CDTF">2026-06-27T13:10:46Z</dcterms:created>
  <dcterms:modified xsi:type="dcterms:W3CDTF">2026-06-27T13:10:46Z</dcterms:modified>
</cp:coreProperties>
</file>

<file path=docProps/custom.xml><?xml version="1.0" encoding="utf-8"?>
<Properties xmlns="http://schemas.openxmlformats.org/officeDocument/2006/custom-properties" xmlns:vt="http://schemas.openxmlformats.org/officeDocument/2006/docPropsVTypes"/>
</file>