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FFRDC COMPARATIVE ADVANTAGE: WHERE DOES A FEDERALLY FUNDED R&amp;D CENTER ACTUALLY ADD MARGINAL VALUE TO CIVIL SPACE MISSION PROGRAMS</w:t>
      </w:r>
    </w:p>
    <w:p>
      <w:pPr>
        <w:jc w:val="center"/>
      </w:pPr>
    </w:p>
    <w:p>
      <w:pPr>
        <w:jc w:val="center"/>
      </w:pPr>
      <w:r>
        <w:rPr>
          <w:rFonts w:ascii="Times New Roman" w:hAnsi="Times New Roman"/>
          <w:sz w:val="24"/>
        </w:rPr>
        <w:t>by</w:t>
      </w:r>
    </w:p>
    <w:p>
      <w:pPr>
        <w:jc w:val="center"/>
      </w:pPr>
      <w:r>
        <w:rPr>
          <w:rFonts w:ascii="Times New Roman" w:hAnsi="Times New Roman"/>
          <w:b/>
          <w:sz w:val="28"/>
        </w:rPr>
        <w:t>Greta Renner</w:t>
      </w:r>
    </w:p>
    <w:p>
      <w:pPr>
        <w:jc w:val="center"/>
      </w:pPr>
      <w:r>
        <w:rPr>
          <w:rFonts w:ascii="Times New Roman" w:hAnsi="Times New Roman"/>
          <w:sz w:val="24"/>
        </w:rPr>
        <w:t>1B-MPM-133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Two decades of civil space major projects tell one story: baselines set, baselines broken, reform after reform arriving without bending the curve. The Government Accountability Office keeps the ledger. Its yearly assessments of the National Aeronautics and Space Administration (NASA) major project portfolio put cumulative life cycle cost growth, across the twenty to thirty largest active projects, into the tens of billions of dollars</w:t>
      </w:r>
      <w:r>
        <w:t xml:space="preserve"> </w:t>
      </w:r>
      <w:hyperlink w:anchor="ref-4">
        <w:r>
          <w:rPr>
            <w:rStyle w:val="Hyperlink"/>
          </w:rPr>
          <w:t xml:space="preserve">[4]</w:t>
        </w:r>
      </w:hyperlink>
      <w:r>
        <w:t xml:space="preserve">. Look outside the science directorate baselines, into the discrete human spaceflight programs, and the same hand has traced the same shape. The Space Launch System and Orion have slipped and slipped again</w:t>
      </w:r>
      <w:r>
        <w:t xml:space="preserve"> </w:t>
      </w:r>
      <w:hyperlink w:anchor="ref-6">
        <w:r>
          <w:rPr>
            <w:rStyle w:val="Hyperlink"/>
          </w:rPr>
          <w:t xml:space="preserve">[6]</w:t>
        </w:r>
      </w:hyperlink>
      <w:r>
        <w:t xml:space="preserve">. Commercial Crew carried a risk profile that pressed directly on International Space Station access</w:t>
      </w:r>
      <w:r>
        <w:t xml:space="preserve"> </w:t>
      </w:r>
      <w:hyperlink w:anchor="ref-7">
        <w:r>
          <w:rPr>
            <w:rStyle w:val="Hyperlink"/>
          </w:rPr>
          <w:t xml:space="preserve">[7]</w:t>
        </w:r>
      </w:hyperlink>
      <w:r>
        <w:t xml:space="preserve">. And the lunar program missed the 2024 landing goal that had once been stated as firm</w:t>
      </w:r>
      <w:r>
        <w:t xml:space="preserve"> </w:t>
      </w:r>
      <w:hyperlink w:anchor="ref-8">
        <w:r>
          <w:rPr>
            <w:rStyle w:val="Hyperlink"/>
          </w:rPr>
          <w:t xml:space="preserve">[8]</w:t>
        </w:r>
      </w:hyperlink>
      <w:r>
        <w:t xml:space="preserve">. None of this makes the institutional question a small one. A particular institutional form sits at the systems engineering and technical assurance seam of these programs, and the whole matter turns on whether that form delivers measurable cost or schedule discipline or merely holds the seat. How billions of dollars a year get sourced depends on the answer.</w:t>
      </w:r>
    </w:p>
    <w:p>
      <w:pPr>
        <w:pStyle w:val="BodyText"/>
        <w:spacing w:line="480" w:lineRule="auto"/>
        <w:ind w:firstLine="720"/>
      </w:pPr>
      <w:r>
        <w:t xml:space="preserve">That form is the Federally Funded Research and Development Center (FFRDC). Among the institutions that populate the civil space portfolio, the FFRDCs weigh heaviest.</w:t>
      </w:r>
    </w:p>
    <w:p>
      <w:pPr>
        <w:pStyle w:val="BodyText"/>
        <w:spacing w:line="480" w:lineRule="auto"/>
        <w:ind w:firstLine="720"/>
      </w:pPr>
      <w:r>
        <w:t xml:space="preserve">Take the Jet Propulsion Laboratory (JPL): its technical and programmatic footprint in the science directorate exceeds any other, and its recompetition has now begun. The Aerospace Corporation supplies technical assurance to the human spaceflight programs and to the National Oceanic and Atmospheric Administration weather and climate satellite portfolio. MITRE spans both the civil and the national security space portfolios with systems engineering and technical advisory work, its testbed and architecture work for space traffic management standing as a clear instance of the multi-stakeholder coordination role these institutions absorb</w:t>
      </w:r>
      <w:r>
        <w:t xml:space="preserve"> </w:t>
      </w:r>
      <w:hyperlink w:anchor="ref-9">
        <w:r>
          <w:rPr>
            <w:rStyle w:val="Hyperlink"/>
          </w:rPr>
          <w:t xml:space="preserve">[9]</w:t>
        </w:r>
      </w:hyperlink>
      <w:r>
        <w:t xml:space="preserve">. Why embed such institutions inside civil space programs at all? Doctrine offers three answers. Continuity, first: an FFRDC workforce keeps institutional memory alive across program transitions that would defeat contractors and government rotations. Objectivity, second: FFRDC technical judgment stands structurally apart from the source selection incentives that pull on a prime contractor. And freedom from competitive conflict, third: the FFRDC can work beside a prime without chasing the prime’s commercial business. Program managers route work on the strength of all three every day. Not one of the three has faced a public, work-package-level estimate of what FFRDC engagement does to program execution.</w:t>
      </w:r>
    </w:p>
    <w:p>
      <w:pPr>
        <w:pStyle w:val="BodyText"/>
        <w:spacing w:line="480" w:lineRule="auto"/>
        <w:ind w:firstLine="720"/>
      </w:pPr>
      <w:r>
        <w:t xml:space="preserve">Now, for NASA and for JPL, is when the stakes bite. The agency has to defend, fiscal year after fiscal year, a portfolio in which FFRDC task orders recur as a routine and material line item. And the JPL recompete announced in 2026 raises the whole question to an existential pitch for the portfolio’s most prominent FFRDC. Take that recompete forward with no defensible estimate of where FFRDC engagement adds marginal value, and doctrine and relationship decide it. Take it forward with one, and the agency, the FFRDC, and the prime contractor community can contest sourcing against a shared quantitative prior. Settling the recompete lies beyond what this dissertation claims. Producing the work-package-level estimate the recompete should answer to, and every sourcing decision after it, is the claim it does make.</w:t>
      </w:r>
    </w:p>
    <w:p>
      <w:pPr>
        <w:pStyle w:val="BodyText"/>
        <w:spacing w:line="480" w:lineRule="auto"/>
        <w:ind w:firstLine="720"/>
      </w:pPr>
      <w:r>
        <w:t xml:space="preserve">Beyond the immediate agency, the stakes widen further. Public-sector coordination has, since at least the Weinzierl synthesis, been read by the space economics literature as a force that shapes the sector’s own structure, deciding which mission classes draw private capital and which stay tethered to the public balance sheet</w:t>
      </w:r>
      <w:r>
        <w:t xml:space="preserve"> </w:t>
      </w:r>
      <w:hyperlink w:anchor="ref-1">
        <w:r>
          <w:rPr>
            <w:rStyle w:val="Hyperlink"/>
          </w:rPr>
          <w:t xml:space="preserve">[1]</w:t>
        </w:r>
      </w:hyperlink>
      <w:r>
        <w:t xml:space="preserve">[5]. Cast space as a driver of sustainability, security, and development, and the public-private mix reads as a strategic variable rather than an accounting one</w:t>
      </w:r>
      <w:r>
        <w:t xml:space="preserve"> </w:t>
      </w:r>
      <w:hyperlink w:anchor="ref-2">
        <w:r>
          <w:rPr>
            <w:rStyle w:val="Hyperlink"/>
          </w:rPr>
          <w:t xml:space="preserve">[2]</w:t>
        </w:r>
      </w:hyperlink>
      <w:r>
        <w:t xml:space="preserve">. Meanwhile the architectural and norms literature shows civil space mission programs now embedded in a multi-actor governance and technical fabric that is itself shifting under them</w:t>
      </w:r>
      <w:r>
        <w:t xml:space="preserve"> </w:t>
      </w:r>
      <w:hyperlink w:anchor="ref-3">
        <w:r>
          <w:rPr>
            <w:rStyle w:val="Hyperlink"/>
          </w:rPr>
          <w:t xml:space="preserve">[3]</w:t>
        </w:r>
      </w:hyperlink>
      <w:r>
        <w:t xml:space="preserve">. Each of these literatures holds the public-sector institutional mix fixed from the outside. None pulls apart the public-sector instruments a program manager actually chooses among. Whoever routes work with no quantitative prior on where the institutional form pays bears the cost of that omission first, and that whoever is the program manager.</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A precise gap holds the dissertation. To one side sits a domain literature on civil space program management and the space economy, rich in substance and mute on FFRDC marginal value. To the other sits an econometric methods literature on treatment effect identification under non-random assignment, rich in method and never once turned on the civil space sourcing decision. Both literatures exist and thrive. What has never been built is the bridge between them.</w:t>
      </w:r>
    </w:p>
    <w:p>
      <w:pPr>
        <w:pStyle w:val="BodyText"/>
        <w:spacing w:line="480" w:lineRule="auto"/>
        <w:ind w:firstLine="720"/>
      </w:pPr>
      <w:r>
        <w:t xml:space="preserve">Within the domain literature the FFRDC arrives as an institutional given. Weinzierl reads the space economy as a public-coordination problem and names the public sector the residual claimant on market failure in a sector that stays capital-intensive and stays yoked to long technology development arcs, yet he leaves the institutional mix inside the public sector essentially fixed</w:t>
      </w:r>
      <w:r>
        <w:t xml:space="preserve"> </w:t>
      </w:r>
      <w:hyperlink w:anchor="ref-1">
        <w:r>
          <w:rPr>
            <w:rStyle w:val="Hyperlink"/>
          </w:rPr>
          <w:t xml:space="preserve">[1]</w:t>
        </w:r>
      </w:hyperlink>
      <w:r>
        <w:t xml:space="preserve">[5]. Widen the public-coordination claim across a broader portfolio of mission outcomes, as the sustainability and security framing does, and the choice among public-sector instruments still goes unmodeled</w:t>
      </w:r>
      <w:r>
        <w:t xml:space="preserve"> </w:t>
      </w:r>
      <w:hyperlink w:anchor="ref-2">
        <w:r>
          <w:rPr>
            <w:rStyle w:val="Hyperlink"/>
          </w:rPr>
          <w:t xml:space="preserve">[2]</w:t>
        </w:r>
      </w:hyperlink>
      <w:r>
        <w:t xml:space="preserve">. Turn to the architectural and norms literature and the demand side is visibly reconfiguring, with civil space programs now occupying an enlarged technical and governance surface, yet which public-sector institution absorbs which function on that surface goes unestimated</w:t>
      </w:r>
      <w:r>
        <w:t xml:space="preserve"> </w:t>
      </w:r>
      <w:hyperlink w:anchor="ref-3">
        <w:r>
          <w:rPr>
            <w:rStyle w:val="Hyperlink"/>
          </w:rPr>
          <w:t xml:space="preserve">[3]</w:t>
        </w:r>
      </w:hyperlink>
      <w:r>
        <w:t xml:space="preserve">. For the portfolio’s execution outcomes the GAO annual assessment series remains the most disciplined empirical record, and edition after edition documents the cost growth and schedule slip patterns in real detail</w:t>
      </w:r>
      <w:r>
        <w:t xml:space="preserve"> </w:t>
      </w:r>
      <w:hyperlink w:anchor="ref-4">
        <w:r>
          <w:rPr>
            <w:rStyle w:val="Hyperlink"/>
          </w:rPr>
          <w:t xml:space="preserve">[4]</w:t>
        </w:r>
      </w:hyperlink>
      <w:r>
        <w:t xml:space="preserve">[6][7][8]. That series was built to report on the portfolio, not to estimate the causal effects of the institutional sourcing decisions made inside it. Read the whole domain literature as a program manager and you find well-documented problems beside an institutional choice whose marginal contribution to those problems stays dark.</w:t>
      </w:r>
    </w:p>
    <w:p>
      <w:pPr>
        <w:pStyle w:val="BodyText"/>
        <w:spacing w:line="480" w:lineRule="auto"/>
        <w:ind w:firstLine="720"/>
      </w:pPr>
      <w:r>
        <w:t xml:space="preserve">The far side of the gap holds the econometric literature on treatment effect identification under non-random assignment. Several of its tools run through this dissertation: the staggered difference-in-differences design at the work-package level, the fixed-effects absorption of time-invariant selection on observables, and the heteroskedasticity-consistent inference that the precursor paper-level regressions already run [precursor Papers 1 and 2]. In adjacent fields these tools are mature. Labor economics, industrial organization, and health policy fire them routinely at questions of comparable structure. At the civil space sourcing decision they have never once been fired. The data explain part of the reason. Any attempt to link work-breakdown-structure-resolved cost and schedule records to the contract action records that identify treatment runs into the NASA Cost Analysis Data Requirement (CADRe) corpus and the NASA Acquisition Internet Service contract action records, and neither opens except under a formal data-use agreement. The rest of the reason is framing: the domain literature never posed the question as a treatment effect question in the first place.</w:t>
      </w:r>
    </w:p>
    <w:p>
      <w:pPr>
        <w:pStyle w:val="BodyText"/>
        <w:spacing w:line="480" w:lineRule="auto"/>
        <w:ind w:firstLine="720"/>
      </w:pPr>
      <w:r>
        <w:t xml:space="preserve">Put precisely, here is the gap. FFRDC engagement has never been framed by the domain literature as a sourcing treatment whose marginal effect on work-package execution outcomes can be identified.</w:t>
      </w:r>
    </w:p>
    <w:p>
      <w:pPr>
        <w:pStyle w:val="BodyText"/>
        <w:spacing w:line="480" w:lineRule="auto"/>
        <w:ind w:firstLine="720"/>
      </w:pPr>
      <w:r>
        <w:t xml:space="preserve">And the econometric literature, fluent in analogous questions elsewhere, has never been brought to the civil space corpus. Joining the two closes the gap, and that is what the dissertation does. It reads the FFRDC engagement decision at the work-package level as the treatment, the work-package execution outcome as the response, and the staggered timing of FFRDC task orders against work packages within programs as the identifying variation. Two precursor regressions mark the ceiling. One hand-compiles an OLS estimate of FFRDC systems engineering intensity on cost growth across thirty NASA and NOAA major projects. The other runs OLS on a thirty-five project panel drawn from the 2016 through 2025 GAO assessment cycles. Neither rejects the null that FFRDC engagement at the program level goes with the cost discipline the doctrine advertises. Both hand back point estimates on the FFRDC indicator that come out positive, not negative, the smaller panel landing statistically indistinguishable from zero and the larger one marginally significant at the ten percent level. Non-random treatment assignment at the program level would produce exactly these readings. And neither reading settles the work-package-level question the dissertation puts to the test.</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One contribution, one falsifiable hypothesis. The contribution is an identified estimate of the marginal effect of FFRDC engagement on civil space mission execution outcomes at the work-package level. It is recovered from a staggered difference-in-differences design on the CADRe corpus, linked to NAIS contract action records and to public FFRDC task order summaries, and disciplined by twenty-four semi-structured interviews with civil space program managers stratified across the three NASA mission directorates carrying the largest FFRDC spend.</w:t>
      </w:r>
    </w:p>
    <w:p>
      <w:pPr>
        <w:pStyle w:val="BodyText"/>
        <w:spacing w:line="480" w:lineRule="auto"/>
        <w:ind w:firstLine="720"/>
      </w:pPr>
      <w:r>
        <w:t xml:space="preserve">A null and an alternative give the hypothesis its shape.</w:t>
      </w:r>
    </w:p>
    <w:p>
      <w:pPr>
        <w:pStyle w:val="BodyText"/>
        <w:spacing w:line="480" w:lineRule="auto"/>
        <w:ind w:firstLine="720"/>
      </w:pPr>
      <w:r>
        <w:t xml:space="preserve">Under the null, condition on work-package scope, technology readiness level at quarter start, program phase, mission directorate, and prime contractor identity, and FFRDC participation moves nothing in the joint distribution of three quantities: cost growth against the most recent rebaseline, schedule slip against the most recent integrated master schedule, and a binary indicator for documented rework drawn from program manager monthly reports.</w:t>
      </w:r>
    </w:p>
    <w:p>
      <w:pPr>
        <w:pStyle w:val="BodyText"/>
        <w:spacing w:line="480" w:lineRule="auto"/>
        <w:ind w:firstLine="720"/>
      </w:pPr>
      <w:r>
        <w:t xml:space="preserve">Under the alternative, condition on those same controls, and FFRDC participation cuts cost growth and schedule slip where the dominant risk of a work package is integration or independent verification, while producing null or negative effects where the dominant risk is hardware production throughput.</w:t>
      </w:r>
    </w:p>
    <w:p>
      <w:pPr>
        <w:pStyle w:val="BodyText"/>
        <w:spacing w:line="480" w:lineRule="auto"/>
        <w:ind w:firstLine="720"/>
      </w:pPr>
      <w:r>
        <w:t xml:space="preserve">Strict falsifiability follows, and two outcomes would sink the alternative. Should the estimated FFRDC coefficient come back statistically indistinguishable from zero across both subpopulations, it falls. Should that coefficient carry the opposite sign in the integration-and-verification subpopulation, it falls again. The qualitative arm cannot bring it down on its own. What the qualitative arm can do is characterize the mechanisms the quantitative arm identifies and recover the substitution-versus-complementarity distinction between FFRDC and contractor scope that the contract record hides. The falsification decision stays with the quantitative arm.</w:t>
      </w:r>
    </w:p>
    <w:p>
      <w:pPr>
        <w:pStyle w:val="BodyText"/>
        <w:spacing w:line="480" w:lineRule="auto"/>
        <w:ind w:firstLine="720"/>
      </w:pPr>
      <w:r>
        <w:t xml:space="preserve">Deliberately, the single contribution runs narrower than the doctrine it means to discipline. Doctrine holds FFRDC engagement generally protective of program execution. The dissertation asks whether that general claim can survive a work-package-level estimate conditioned on the most credible difficulty controls the CADRe corpus affords. Hold the alternative in the integration-and-verification subpopulation and lose it in the hardware production subpopulation, and the doctrine has to move from a general claim to a class-of-work-package claim, handing the program manager’s yearly routing decision a defensible quantitative prior. Reject the alternative across both subpopulations, and the doctrinal justification for FFRDC engagement has to move to claims the regression cannot test, continuity and objectivity in independent review and freedom from competitive conflict among them, and those claims become the burden of a separate evidentiary record. Contribution either way, because either way a doctrine that has gone undisciplined gets disciplined.</w:t>
      </w:r>
    </w:p>
    <w:bookmarkEnd w:id="63"/>
    <w:bookmarkStart w:id="64" w:name="roadmap"/>
    <w:p>
      <w:pPr>
        <w:pStyle w:val="Heading2"/>
        <w:spacing w:line="480" w:lineRule="auto"/>
      </w:pPr>
      <w:r>
        <w:t xml:space="preserve">1.4 Roadmap</w:t>
      </w:r>
    </w:p>
    <w:p>
      <w:pPr>
        <w:pStyle w:val="FirstParagraph"/>
        <w:spacing w:line="480" w:lineRule="auto"/>
      </w:pPr>
      <w:r>
        <w:t xml:space="preserve">The remaining six chapters carry the argument forward.</w:t>
      </w:r>
    </w:p>
    <w:p>
      <w:pPr>
        <w:pStyle w:val="BodyText"/>
        <w:spacing w:line="480" w:lineRule="auto"/>
        <w:ind w:firstLine="720"/>
      </w:pPr>
      <w:r>
        <w:t xml:space="preserve">Chapter 2 builds the theoretical frame. It sets the FFRDC engagement decision inside the space economics literature on public-sector coordination</w:t>
      </w:r>
      <w:r>
        <w:t xml:space="preserve"> </w:t>
      </w:r>
      <w:hyperlink w:anchor="ref-1">
        <w:r>
          <w:rPr>
            <w:rStyle w:val="Hyperlink"/>
          </w:rPr>
          <w:t xml:space="preserve">[1]</w:t>
        </w:r>
      </w:hyperlink>
      <w:r>
        <w:t xml:space="preserve">[5], inside the sustainability and security framing of the public-private mix</w:t>
      </w:r>
      <w:r>
        <w:t xml:space="preserve"> </w:t>
      </w:r>
      <w:hyperlink w:anchor="ref-2">
        <w:r>
          <w:rPr>
            <w:rStyle w:val="Hyperlink"/>
          </w:rPr>
          <w:t xml:space="preserve">[2]</w:t>
        </w:r>
      </w:hyperlink>
      <w:r>
        <w:t xml:space="preserve">, and inside the architectural and norms literature on the reconfiguring civil space governance surface</w:t>
      </w:r>
      <w:r>
        <w:t xml:space="preserve"> </w:t>
      </w:r>
      <w:hyperlink w:anchor="ref-3">
        <w:r>
          <w:rPr>
            <w:rStyle w:val="Hyperlink"/>
          </w:rPr>
          <w:t xml:space="preserve">[3]</w:t>
        </w:r>
      </w:hyperlink>
      <w:r>
        <w:t xml:space="preserve">, and it leans on the GAO record of portfolio execution outcomes to motivate the work-package-level framing</w:t>
      </w:r>
      <w:r>
        <w:t xml:space="preserve"> </w:t>
      </w:r>
      <w:hyperlink w:anchor="ref-4">
        <w:r>
          <w:rPr>
            <w:rStyle w:val="Hyperlink"/>
          </w:rPr>
          <w:t xml:space="preserve">[4]</w:t>
        </w:r>
      </w:hyperlink>
      <w:r>
        <w:t xml:space="preserve">[6][7][8]. Chapter 2 also reaches into adjacent literatures on space domain awareness, space traffic management, and on-orbit systems engineering to fix the technical environments in which FFRDC engagement occurs: the testbed and architecture work for space traffic management that typifies the coordination role</w:t>
      </w:r>
      <w:r>
        <w:t xml:space="preserve"> </w:t>
      </w:r>
      <w:hyperlink w:anchor="ref-9">
        <w:r>
          <w:rPr>
            <w:rStyle w:val="Hyperlink"/>
          </w:rPr>
          <w:t xml:space="preserve">[9]</w:t>
        </w:r>
      </w:hyperlink>
      <w:r>
        <w:t xml:space="preserve">[15], the development environments and common task framework work for space domain awareness</w:t>
      </w:r>
      <w:r>
        <w:t xml:space="preserve"> </w:t>
      </w:r>
      <w:hyperlink w:anchor="ref-10">
        <w:r>
          <w:rPr>
            <w:rStyle w:val="Hyperlink"/>
          </w:rPr>
          <w:t xml:space="preserve">[10]</w:t>
        </w:r>
      </w:hyperlink>
      <w:r>
        <w:t xml:space="preserve">[11][12][13][14][16], and the on-orbit hardware and analysis work that sets the difficulty profile of the missions the FFRDCs support</w:t>
      </w:r>
      <w:r>
        <w:t xml:space="preserve"> </w:t>
      </w:r>
      <w:hyperlink w:anchor="ref-17">
        <w:r>
          <w:rPr>
            <w:rStyle w:val="Hyperlink"/>
          </w:rPr>
          <w:t xml:space="preserve">[17]</w:t>
        </w:r>
      </w:hyperlink>
      <w:r>
        <w:t xml:space="preserve">[18][19][20][21][22][23][24]. The chapter ends on the precise statement of the null and alternative hypotheses.</w:t>
      </w:r>
    </w:p>
    <w:p>
      <w:pPr>
        <w:pStyle w:val="BodyText"/>
        <w:spacing w:line="480" w:lineRule="auto"/>
        <w:ind w:firstLine="720"/>
      </w:pPr>
      <w:r>
        <w:t xml:space="preserve">Chapter 3 develops the identification strategy. It fixes the staggered difference-in-differences design at the work-package level, the fixed-effects absorption of time-invariant selection on observables, the clustering of standard errors at the program level, and the robustness checks that condition the headline estimate on alternative definitions of treatment, work-package scope, and the dependent variables. Chapter 3 also fixes the qualitative arm: the interview protocol, the stratification across mission directorates, the IRB protocol governing the interviews, and the mechanism-recovery purposes the arm serves against the quantitative side.</w:t>
      </w:r>
    </w:p>
    <w:p>
      <w:pPr>
        <w:pStyle w:val="BodyText"/>
        <w:spacing w:line="480" w:lineRule="auto"/>
        <w:ind w:firstLine="720"/>
      </w:pPr>
      <w:r>
        <w:t xml:space="preserve">Chapter 4 reports the data. It documents the CADRe corpus, the NAIS contract action records, the SAM.gov contract action extract, the MITRE, Aerospace Corporation, and JPL public task order summaries that identify FFRDC treatment, and the procedure that links them at the work-package-quarter level. Chapter 4 also lays out the descriptive statistics the headline regression must be read against: treatment frequency by mission directorate and by program phase, the distribution of the cost growth and schedule slip outcomes, and the distribution of the rework indicator across the program-manager monthly reports that produce it.</w:t>
      </w:r>
    </w:p>
    <w:p>
      <w:pPr>
        <w:pStyle w:val="BodyText"/>
        <w:spacing w:line="480" w:lineRule="auto"/>
        <w:ind w:firstLine="720"/>
      </w:pPr>
      <w:r>
        <w:t xml:space="preserve">Chapter 5 reports the quantitative findings. Here sit the headline staggered difference-in-differences estimate, the subpopulation estimates testing the alternative against the integration-and-verification and hardware-production subpopulations, and the robustness checks against alternative treatment definitions, alternative outcome definitions, and alternative samples. Chapter 5 also carries the placebo and pre-trend diagnostics the staggered design needs to be credible.</w:t>
      </w:r>
    </w:p>
    <w:p>
      <w:pPr>
        <w:pStyle w:val="BodyText"/>
        <w:spacing w:line="480" w:lineRule="auto"/>
        <w:ind w:firstLine="720"/>
      </w:pPr>
      <w:r>
        <w:t xml:space="preserve">Chapter 6 reports the qualitative findings. It gives the thematic analysis of the twenty-four program manager interviews, characterizes the decision logic behind treatment assignment, draws the mechanism map the qualitative arm recovers against the quantitative arm, and surfaces the substitution-versus-complementarity distinction between FFRDC and contractor scope that the contract record buries. Chapter 6 then reads the qualitative findings against the quantitative findings, marking where the two arms meet and where they part.</w:t>
      </w:r>
    </w:p>
    <w:p>
      <w:pPr>
        <w:pStyle w:val="BodyText"/>
        <w:spacing w:line="480" w:lineRule="auto"/>
        <w:ind w:firstLine="720"/>
      </w:pPr>
      <w:r>
        <w:t xml:space="preserve">Chapter 7 turns the dissertation back to the question it opened with. It reports what the joint quantitative and qualitative findings mean for the sourcing decision at the work-package level, for the FFRDC engagement doctrine at the agency level, and for the JPL recompete and its successors at the institutional level. Chapter 7 reports too the threats to validity the design cannot fully absorb: residual selection on unobservables beyond the reach of work-package fixed effects, the CADRe coverage gaps that shrink the sample, reporting discretion in the rework indicator, and the substitution-versus-complementarity stratification the contract record renders only partly visible. And it closes on the research agenda the dissertation opens rather than closes, from the panel extension to a larger work-package corpus, to the linkage to integrated master schedule data finer than the quarterly extract used here, to the extension of the design into the national security space portfolio where FFRDCs hold structurally analogous positions.</w:t>
      </w:r>
    </w:p>
    <w:p>
      <w:pPr>
        <w:pStyle w:val="BodyText"/>
        <w:spacing w:line="480" w:lineRule="auto"/>
        <w:ind w:firstLine="720"/>
      </w:pPr>
      <w:r>
        <w:t xml:space="preserve">At every point the dissertation is the work-package-level estimate that the program-level precursor regressions in the candidate’s published record already prove cannot be recovered from the program-level panel. Those regressions set the ceiling. Descending to the level at which the sourcing decision is actually made is how the dissertation clears it.</w:t>
      </w:r>
    </w:p>
    <w:bookmarkEnd w:id="64"/>
    <w:bookmarkEnd w:id="65"/>
    <w:bookmarkStart w:id="72" w:name="chapter-2.-literature-review"/>
    <w:p>
      <w:pPr>
        <w:pStyle w:val="Heading1"/>
        <w:spacing w:line="480" w:lineRule="auto"/>
      </w:pPr>
      <w:r>
        <w:t xml:space="preserve">Chapter 2. Literature Review</w:t>
      </w:r>
    </w:p>
    <w:bookmarkStart w:id="66" w:name="orientation"/>
    <w:p>
      <w:pPr>
        <w:pStyle w:val="Heading2"/>
        <w:spacing w:line="480" w:lineRule="auto"/>
      </w:pPr>
      <w:r>
        <w:t xml:space="preserve">2.1 Orientation</w:t>
      </w:r>
    </w:p>
    <w:p>
      <w:pPr>
        <w:pStyle w:val="FirstParagraph"/>
        <w:spacing w:line="480" w:lineRule="auto"/>
      </w:pPr>
      <w:r>
        <w:t xml:space="preserve">Two literatures meet at the question this dissertation poses, and so far they have declined to speak. One is the domain technical and policy literature on civil space mission program execution, where the Federally Funded Research and Development Center (FFRDC) turns up as an institutional given: described, justified, now and then critiqued, and almost never measured. The other is the cliometric and econometric literature on causal identification of treatment effects within observational records of complex public programs, where the institutional sourcing decision is precisely the kind of treatment modern identification strategies were built to recover. They pass without meeting. No estimator appears in the domain literature; no FFRDC appears in the econometric one. This chapter takes each on its own terms, finds the exact point where the two could be joined, and states the gap the rest of the dissertation exists to close.</w:t>
      </w:r>
    </w:p>
    <w:p>
      <w:pPr>
        <w:pStyle w:val="BodyText"/>
        <w:spacing w:line="480" w:lineRule="auto"/>
        <w:ind w:firstLine="720"/>
      </w:pPr>
      <w:r>
        <w:t xml:space="preserve">Five sections carry the review. Section 2.2 surveys the domain technical literature on civil space program execution, with the empirical record of cost and schedule outcomes from the U.S. Government Accountability Office at its center, together with the technical conference literature beside it. Section 2.3 takes up the doctrinal literature on FFRDCs as an institutional form and the adjacent space-economics literature that supplies the only formal economic framing of public-sector coordination in the sector. Section 2.4 works through the technical and operational literature on systems engineering, space domain awareness, and mission integration, where FFRDC personnel appear as authors and the substantive content of their contributions can be inferred. Section 2.5 crosses to the cliometric and econometric methodology on identification of treatment effects in observational program data, watching for the design choices that make a sourcing decision recoverable as a treatment. Section 2.6 draws the two literatures together and names the gap.</w:t>
      </w:r>
    </w:p>
    <w:bookmarkEnd w:id="66"/>
    <w:bookmarkStart w:id="67" w:name="Xf9246749e3448f0a335b600c1192f927f57fcee"/>
    <w:p>
      <w:pPr>
        <w:pStyle w:val="Heading2"/>
        <w:spacing w:line="480" w:lineRule="auto"/>
      </w:pPr>
      <w:r>
        <w:t xml:space="preserve">2.2 The Domain Technical Literature on Civil Space Program Execution</w:t>
      </w:r>
    </w:p>
    <w:p>
      <w:pPr>
        <w:pStyle w:val="FirstParagraph"/>
        <w:spacing w:line="480" w:lineRule="auto"/>
      </w:pPr>
      <w:r>
        <w:t xml:space="preserve">Everything empirical in the domain literature anchors on one source: the annual Government Accountability Office assessment series on NASA major projects.</w:t>
      </w:r>
    </w:p>
    <w:p>
      <w:pPr>
        <w:pStyle w:val="BodyText"/>
        <w:spacing w:line="480" w:lineRule="auto"/>
        <w:ind w:firstLine="720"/>
      </w:pPr>
      <w:r>
        <w:t xml:space="preserve">Retrieved across two decades as products GAO-08-1004SP through GAO-23-106021 and carried on through GAO-25-107591, the series lays out a structured panel of cost growth, schedule slip, complexity profile, and managerial commentary on the largest active NASA acquisitions</w:t>
      </w:r>
      <w:r>
        <w:t xml:space="preserve"> </w:t>
      </w:r>
      <w:hyperlink w:anchor="ref-4">
        <w:r>
          <w:rPr>
            <w:rStyle w:val="Hyperlink"/>
          </w:rPr>
          <w:t xml:space="preserve">[4]</w:t>
        </w:r>
      </w:hyperlink>
      <w:r>
        <w:t xml:space="preserve">. Nothing else in the civil space community comes as close to a longitudinal dataset on program execution, and both research papers of this dissertation rest on it</w:t>
      </w:r>
      <w:r>
        <w:t xml:space="preserve"> </w:t>
      </w:r>
      <w:hyperlink w:anchor="ref-4">
        <w:r>
          <w:rPr>
            <w:rStyle w:val="Hyperlink"/>
          </w:rPr>
          <w:t xml:space="preserve">[4]</w:t>
        </w:r>
      </w:hyperlink>
      <w:r>
        <w:t xml:space="preserve">[6][7][8]. Two features want emphasis at the start. Each assessment codes project complexity, baseline life-cycle cost, and schedule slip as its three structured covariates, and that covariate vector stays lean by design, because the assessments were made for oversight and not for econometric identification. Each assessment also names the responsible NASA center, the responsible prime contractor, and the principal technical partners, while naming no FFRDC task orders at the work-package level. So the institutional form shows up in the GAO record at the project level and vanishes at the resolution where it actually gets managed.</w:t>
      </w:r>
    </w:p>
    <w:p>
      <w:pPr>
        <w:pStyle w:val="BodyText"/>
        <w:spacing w:line="480" w:lineRule="auto"/>
        <w:ind w:firstLine="720"/>
      </w:pPr>
      <w:r>
        <w:t xml:space="preserve">Barely anything has moved in the empirical pattern the GAO series records across the two decades it spans. Across the twenty to thirty largest active projects, cumulative life cycle cost growth reaches into the tens of billions of dollars, and it piles up on the science directorate’s planetary and astrophysics missions and on the human spaceflight transportation elements</w:t>
      </w:r>
      <w:r>
        <w:t xml:space="preserve"> </w:t>
      </w:r>
      <w:hyperlink w:anchor="ref-4">
        <w:r>
          <w:rPr>
            <w:rStyle w:val="Hyperlink"/>
          </w:rPr>
          <w:t xml:space="preserve">[4]</w:t>
        </w:r>
      </w:hyperlink>
      <w:r>
        <w:t xml:space="preserve">. GAO-20-145, the Human Space Exploration assessment, catalogs persistent delay and cost growth in Orion, the Space Launch System, and the associated exploration ground systems, and lays the pattern at the door of a managerial regime that keeps subordinating schedule discipline to technical scope retention</w:t>
      </w:r>
      <w:r>
        <w:t xml:space="preserve"> </w:t>
      </w:r>
      <w:hyperlink w:anchor="ref-6">
        <w:r>
          <w:rPr>
            <w:rStyle w:val="Hyperlink"/>
          </w:rPr>
          <w:t xml:space="preserve">[6]</w:t>
        </w:r>
      </w:hyperlink>
      <w:r>
        <w:t xml:space="preserve">. GAO-20-121, the Commercial Crew assessment, finds the same shape in the transportation-services line, where schedule slip spills over into operational risk to the International Space Station</w:t>
      </w:r>
      <w:r>
        <w:t xml:space="preserve"> </w:t>
      </w:r>
      <w:hyperlink w:anchor="ref-7">
        <w:r>
          <w:rPr>
            <w:rStyle w:val="Hyperlink"/>
          </w:rPr>
          <w:t xml:space="preserve">[7]</w:t>
        </w:r>
      </w:hyperlink>
      <w:r>
        <w:t xml:space="preserve">. GAO-21-105, the Lunar Programs assessment, carries the pattern into the Human Landing System and the surface exploration elements, and it notes outright that the cost and schedule overruns track the technical novelty of the work and the missing historical analogues against which baselines might have been calibrated</w:t>
      </w:r>
      <w:r>
        <w:t xml:space="preserve"> </w:t>
      </w:r>
      <w:hyperlink w:anchor="ref-8">
        <w:r>
          <w:rPr>
            <w:rStyle w:val="Hyperlink"/>
          </w:rPr>
          <w:t xml:space="preserve">[8]</w:t>
        </w:r>
      </w:hyperlink>
      <w:r>
        <w:t xml:space="preserve">. The pattern runs so durable across the series that the oversight community treats it as a standing finding: cost and schedule move together at about one and two-thirds percentage points of cost growth for every month of launch readiness date slip, an estimate this dissertation’s second research paper draws out of the 2016 through 2025 GAO panel.</w:t>
      </w:r>
    </w:p>
    <w:p>
      <w:pPr>
        <w:pStyle w:val="BodyText"/>
        <w:spacing w:line="480" w:lineRule="auto"/>
        <w:ind w:firstLine="720"/>
      </w:pPr>
      <w:r>
        <w:t xml:space="preserve">On the institutional form question the assessments are not silent, though their silence has a shape. When the FFRDC sits in the documented systems engineering and technical assurance role, the assessment records its presence; when the role runs industry-prime led, the assessment records its absence. What the assessments never do is code that presence as a treatment variable, estimate its effect, or split the FFRDC-supported portfolio from the non-FFRDC portfolio in any summary table. Read the assessments carefully and the FFRDC presence is plain; read only the summary statistics and it disappears. Making the FFRDC indicator extractable from the GAO record is what the hand-coding effort behind both research papers first attempts</w:t>
      </w:r>
      <w:r>
        <w:t xml:space="preserve"> </w:t>
      </w:r>
      <w:hyperlink w:anchor="ref-4">
        <w:r>
          <w:rPr>
            <w:rStyle w:val="Hyperlink"/>
          </w:rPr>
          <w:t xml:space="preserve">[4]</w:t>
        </w:r>
      </w:hyperlink>
      <w:r>
        <w:t xml:space="preserve">[6][7][8].</w:t>
      </w:r>
    </w:p>
    <w:p>
      <w:pPr>
        <w:pStyle w:val="BodyText"/>
        <w:spacing w:line="480" w:lineRule="auto"/>
        <w:ind w:firstLine="720"/>
      </w:pPr>
      <w:r>
        <w:t xml:space="preserve">A second strand of the domain literature runs through the technical conference proceedings, where authorship patterns and technical scope let the substantive content of FFRDC contributions be inferred.</w:t>
      </w:r>
    </w:p>
    <w:p>
      <w:pPr>
        <w:pStyle w:val="BodyText"/>
        <w:spacing w:line="480" w:lineRule="auto"/>
        <w:ind w:firstLine="720"/>
      </w:pPr>
      <w:r>
        <w:t xml:space="preserve">Take the Advanced Maui Optical and Space Surveillance (AMOS) conference proceedings as a representative sample. Papers on space domain awareness architectures and on the integration of commercial sensor data into government catalogs carry the Aerospace Corporation, MITRE, and the federally funded laboratory community again and again</w:t>
      </w:r>
      <w:r>
        <w:t xml:space="preserve"> </w:t>
      </w:r>
      <w:hyperlink w:anchor="ref-9">
        <w:r>
          <w:rPr>
            <w:rStyle w:val="Hyperlink"/>
          </w:rPr>
          <w:t xml:space="preserve">[9]</w:t>
        </w:r>
      </w:hyperlink>
      <w:r>
        <w:t xml:space="preserve">[10][11][13][14][15][16]. Personnel at the Universities Space Research Association, MITRE, and academic partners co-authored the Testbed to Evaluate New Approaches for Space Traffic Management paper, which documents an FFRDC-led integration of scattered sensor and processing capabilities into a coherent testbed for evaluating space traffic management architectures</w:t>
      </w:r>
      <w:r>
        <w:t xml:space="preserve"> </w:t>
      </w:r>
      <w:hyperlink w:anchor="ref-9">
        <w:r>
          <w:rPr>
            <w:rStyle w:val="Hyperlink"/>
          </w:rPr>
          <w:t xml:space="preserve">[9]</w:t>
        </w:r>
      </w:hyperlink>
      <w:r>
        <w:t xml:space="preserve">. Spanning the 2012 and 2014 proceedings, the Joint Space Operations Center Mission System development environment papers record a sustained FFRDC and federally funded laboratory hand in the architecture and integration of operational mission systems</w:t>
      </w:r>
      <w:r>
        <w:t xml:space="preserve"> </w:t>
      </w:r>
      <w:hyperlink w:anchor="ref-11">
        <w:r>
          <w:rPr>
            <w:rStyle w:val="Hyperlink"/>
          </w:rPr>
          <w:t xml:space="preserve">[11]</w:t>
        </w:r>
      </w:hyperlink>
      <w:r>
        <w:t xml:space="preserve">[13]. An Aerospace Corporation, MITRE, and MIT Lincoln Laboratory role in folding commercial space situational awareness capability into a government operational architecture is documented by the TraCSS Consolidated Pathfinder paper</w:t>
      </w:r>
      <w:r>
        <w:t xml:space="preserve"> </w:t>
      </w:r>
      <w:hyperlink w:anchor="ref-15">
        <w:r>
          <w:rPr>
            <w:rStyle w:val="Hyperlink"/>
          </w:rPr>
          <w:t xml:space="preserve">[15]</w:t>
        </w:r>
      </w:hyperlink>
      <w:r>
        <w:t xml:space="preserve">. From Lawrence Livermore, the Common Task Framework paper records an FFRDC role in the testing and evaluation function for space domain awareness tools</w:t>
      </w:r>
      <w:r>
        <w:t xml:space="preserve"> </w:t>
      </w:r>
      <w:hyperlink w:anchor="ref-12">
        <w:r>
          <w:rPr>
            <w:rStyle w:val="Hyperlink"/>
          </w:rPr>
          <w:t xml:space="preserve">[12]</w:t>
        </w:r>
      </w:hyperlink>
      <w:r>
        <w:t xml:space="preserve">. A parallel role at the operational seam between government and commercial capability appears in the Space Domain Awareness Tools, Applications, and Processing Lab paper</w:t>
      </w:r>
      <w:r>
        <w:t xml:space="preserve"> </w:t>
      </w:r>
      <w:hyperlink w:anchor="ref-16">
        <w:r>
          <w:rPr>
            <w:rStyle w:val="Hyperlink"/>
          </w:rPr>
          <w:t xml:space="preserve">[16]</w:t>
        </w:r>
      </w:hyperlink>
      <w:r>
        <w:t xml:space="preserve">. From Aerospace, the Edge Computing Algorithm paper records an FFRDC role in the onboard processing layer of electro-optical imagery</w:t>
      </w:r>
      <w:r>
        <w:t xml:space="preserve"> </w:t>
      </w:r>
      <w:hyperlink w:anchor="ref-14">
        <w:r>
          <w:rPr>
            <w:rStyle w:val="Hyperlink"/>
          </w:rPr>
          <w:t xml:space="preserve">[14]</w:t>
        </w:r>
      </w:hyperlink>
      <w:r>
        <w:t xml:space="preserve">. And the Automated, Collaborative Applications to Close Kill Chain Gaps paper documents an FFRDC and federally funded laboratory role in folding commercial sensor data into kill chain workflows</w:t>
      </w:r>
      <w:r>
        <w:t xml:space="preserve"> </w:t>
      </w:r>
      <w:hyperlink w:anchor="ref-10">
        <w:r>
          <w:rPr>
            <w:rStyle w:val="Hyperlink"/>
          </w:rPr>
          <w:t xml:space="preserve">[10]</w:t>
        </w:r>
      </w:hyperlink>
      <w:r>
        <w:t xml:space="preserve">.</w:t>
      </w:r>
    </w:p>
    <w:p>
      <w:pPr>
        <w:pStyle w:val="BodyText"/>
        <w:spacing w:line="480" w:lineRule="auto"/>
        <w:ind w:firstLine="720"/>
      </w:pPr>
      <w:r>
        <w:t xml:space="preserve">Read together, the AMOS proceedings make one thing visible: FFRDC contributions cluster in a recognizable functional band. That band reaches from systems integration through independent verification, from testbed architecture through operational mission system development, and from folding commercial capability into government catalogs through the testing and evaluation function that keeps such folding honest. Steady across the AMOS sample, the band matches the doctrinal description of FFRDC functions point for point. What the proceedings withhold is any estimate of whether an FFRDC presence in this band changes program execution outcomes measurably against a world without it. They record the work. They do not price its marginal effect.</w:t>
      </w:r>
    </w:p>
    <w:p>
      <w:pPr>
        <w:pStyle w:val="BodyText"/>
        <w:spacing w:line="480" w:lineRule="auto"/>
        <w:ind w:firstLine="720"/>
      </w:pPr>
      <w:r>
        <w:t xml:space="preserve">Reinforcement arrives from the Acta Astronautica literature, which supplies a parallel technical record. Papers on the Solar Cell Experiment on EIVE</w:t>
      </w:r>
      <w:r>
        <w:t xml:space="preserve"> </w:t>
      </w:r>
      <w:hyperlink w:anchor="ref-17">
        <w:r>
          <w:rPr>
            <w:rStyle w:val="Hyperlink"/>
          </w:rPr>
          <w:t xml:space="preserve">[17]</w:t>
        </w:r>
      </w:hyperlink>
      <w:r>
        <w:t xml:space="preserve">, the European Retrievable Carrier non-destructive analysis</w:t>
      </w:r>
      <w:r>
        <w:t xml:space="preserve"> </w:t>
      </w:r>
      <w:hyperlink w:anchor="ref-18">
        <w:r>
          <w:rPr>
            <w:rStyle w:val="Hyperlink"/>
          </w:rPr>
          <w:t xml:space="preserve">[18]</w:t>
        </w:r>
      </w:hyperlink>
      <w:r>
        <w:t xml:space="preserve">, periodic orbits for interferometric and tomographic radar imaging of Saturn’s moon Enceladus</w:t>
      </w:r>
      <w:r>
        <w:t xml:space="preserve"> </w:t>
      </w:r>
      <w:hyperlink w:anchor="ref-19">
        <w:r>
          <w:rPr>
            <w:rStyle w:val="Hyperlink"/>
          </w:rPr>
          <w:t xml:space="preserve">[19]</w:t>
        </w:r>
      </w:hyperlink>
      <w:r>
        <w:t xml:space="preserve">, the BEESAT-4 aerodynamic collision avoidance maneuvers</w:t>
      </w:r>
      <w:r>
        <w:t xml:space="preserve"> </w:t>
      </w:r>
      <w:hyperlink w:anchor="ref-20">
        <w:r>
          <w:rPr>
            <w:rStyle w:val="Hyperlink"/>
          </w:rPr>
          <w:t xml:space="preserve">[20]</w:t>
        </w:r>
      </w:hyperlink>
      <w:r>
        <w:t xml:space="preserve">, space analog missions as an educational tool</w:t>
      </w:r>
      <w:r>
        <w:t xml:space="preserve"> </w:t>
      </w:r>
      <w:hyperlink w:anchor="ref-21">
        <w:r>
          <w:rPr>
            <w:rStyle w:val="Hyperlink"/>
          </w:rPr>
          <w:t xml:space="preserve">[21]</w:t>
        </w:r>
      </w:hyperlink>
      <w:r>
        <w:t xml:space="preserve">, the laser ice drill for interplanetary ice exploration</w:t>
      </w:r>
      <w:r>
        <w:t xml:space="preserve"> </w:t>
      </w:r>
      <w:hyperlink w:anchor="ref-22">
        <w:r>
          <w:rPr>
            <w:rStyle w:val="Hyperlink"/>
          </w:rPr>
          <w:t xml:space="preserve">[22]</w:t>
        </w:r>
      </w:hyperlink>
      <w:r>
        <w:t xml:space="preserve">, deflector shape impact on aero-acoustic noise</w:t>
      </w:r>
      <w:r>
        <w:t xml:space="preserve"> </w:t>
      </w:r>
      <w:hyperlink w:anchor="ref-23">
        <w:r>
          <w:rPr>
            <w:rStyle w:val="Hyperlink"/>
          </w:rPr>
          <w:t xml:space="preserve">[23]</w:t>
        </w:r>
      </w:hyperlink>
      <w:r>
        <w:t xml:space="preserve">, and sensor tasking strategies for object cataloging in geostationary orbit</w:t>
      </w:r>
      <w:r>
        <w:t xml:space="preserve"> </w:t>
      </w:r>
      <w:hyperlink w:anchor="ref-24">
        <w:r>
          <w:rPr>
            <w:rStyle w:val="Hyperlink"/>
          </w:rPr>
          <w:t xml:space="preserve">[24]</w:t>
        </w:r>
      </w:hyperlink>
      <w:r>
        <w:t xml:space="preserve"> </w:t>
      </w:r>
      <w:r>
        <w:t xml:space="preserve">carry the technical content of civil space activity down to a level of detail the GAO assessments never reach. None touches the institutional form question, and none offers a way to estimate the marginal effect of any particular sourcing decision on program execution. The technical literature describes the work FFRDCs do. It does not price the value the FFRDC institutional form adds to it.</w:t>
      </w:r>
    </w:p>
    <w:bookmarkEnd w:id="67"/>
    <w:bookmarkStart w:id="68" w:name="X91fac2f15d3c1a3b0f0a6536581c033989c095e"/>
    <w:p>
      <w:pPr>
        <w:pStyle w:val="Heading2"/>
        <w:spacing w:line="480" w:lineRule="auto"/>
      </w:pPr>
      <w:r>
        <w:t xml:space="preserve">2.3 The Doctrinal Literature on FFRDCs and the Adjacent Space-Economics Frame</w:t>
      </w:r>
    </w:p>
    <w:p>
      <w:pPr>
        <w:pStyle w:val="FirstParagraph"/>
        <w:spacing w:line="480" w:lineRule="auto"/>
      </w:pPr>
      <w:r>
        <w:t xml:space="preserve">Three standing claims hold up the doctrinal literature on FFRDCs as an institutional form. Continuity leads: the long-tenure technical workforce inside an FFRDC keeps institutional memory alive across the personnel turnover that marks both the civil service and the contractor workforce. Objectivity in independent review follows: restrictions on competition for commercial work strip out the conflict of interest that would otherwise shadow any review of a contractor’s technical or programmatic performance. Freedom from competitive conflict in source selection completes the set: structural exclusion from the competitive contractor base removes the conflict that would otherwise shadow any role in source selection. Canonically, all three are level claims about what the FFRDC institutional form is for. And canonically, not one of them estimates what that form does to observable program execution outcomes.</w:t>
      </w:r>
    </w:p>
    <w:p>
      <w:pPr>
        <w:pStyle w:val="BodyText"/>
        <w:spacing w:line="480" w:lineRule="auto"/>
        <w:ind w:firstLine="720"/>
      </w:pPr>
      <w:r>
        <w:t xml:space="preserve">The first research paper of this dissertation puts it plainly: the doctrinal claims have never faced a regression</w:t>
      </w:r>
      <w:r>
        <w:t xml:space="preserve"> </w:t>
      </w:r>
      <w:hyperlink w:anchor="ref-4">
        <w:r>
          <w:rPr>
            <w:rStyle w:val="Hyperlink"/>
          </w:rPr>
          <w:t xml:space="preserve">[4]</w:t>
        </w:r>
      </w:hyperlink>
      <w:r>
        <w:t xml:space="preserve">. The second sharpens the point, observing that even when the claims are operationalized as a hypothesis about cost discipline, the resulting estimate declines to support them</w:t>
      </w:r>
      <w:r>
        <w:t xml:space="preserve"> </w:t>
      </w:r>
      <w:hyperlink w:anchor="ref-1">
        <w:r>
          <w:rPr>
            <w:rStyle w:val="Hyperlink"/>
          </w:rPr>
          <w:t xml:space="preserve">[1]</w:t>
        </w:r>
      </w:hyperlink>
      <w:r>
        <w:t xml:space="preserve">[2]. So the doctrine sits in a strange spot. It is the operative theory under which program managers route work to FFRDCs every fiscal year, and it holds no anchor in the cost record. That strange spot is the dissertation’s motivating problem.</w:t>
      </w:r>
    </w:p>
    <w:p>
      <w:pPr>
        <w:pStyle w:val="BodyText"/>
        <w:spacing w:line="480" w:lineRule="auto"/>
        <w:ind w:firstLine="720"/>
      </w:pPr>
      <w:r>
        <w:t xml:space="preserve">For public-sector coordination in the sector, the adjacent space-economics literature supplies the only formal economic framing. In Space, the Final Economic Frontier, Weinzierl casts the public sector as a coordinator of market failures across a sector that stays capital intensive and stays yoked to long technology development arcs</w:t>
      </w:r>
      <w:r>
        <w:t xml:space="preserve"> </w:t>
      </w:r>
      <w:hyperlink w:anchor="ref-1">
        <w:r>
          <w:rPr>
            <w:rStyle w:val="Hyperlink"/>
          </w:rPr>
          <w:t xml:space="preserve">[1]</w:t>
        </w:r>
      </w:hyperlink>
      <w:r>
        <w:t xml:space="preserve">[5]. He treats the institutional mix inside the public sector as essentially exogenous, a frame carried over from the early program decade and left unexamined as the sector reconfigured around private capital and around an expanded array of mission directorates</w:t>
      </w:r>
      <w:r>
        <w:t xml:space="preserve"> </w:t>
      </w:r>
      <w:hyperlink w:anchor="ref-1">
        <w:r>
          <w:rPr>
            <w:rStyle w:val="Hyperlink"/>
          </w:rPr>
          <w:t xml:space="preserve">[1]</w:t>
        </w:r>
      </w:hyperlink>
      <w:r>
        <w:t xml:space="preserve">[5]. The frame names what public-sector coordination is meant to accomplish without disaggregating the instruments through which it accomplishes it. Within it, the FFRDC, the federal laboratory, the in-house government workforce, and the contractor base stand undifferentiated.</w:t>
      </w:r>
    </w:p>
    <w:p>
      <w:pPr>
        <w:pStyle w:val="BodyText"/>
        <w:spacing w:line="480" w:lineRule="auto"/>
        <w:ind w:firstLine="720"/>
      </w:pPr>
      <w:r>
        <w:t xml:space="preserve">The economic frame extends in The Role of Space in Driving Sustainability, Security, and Development, which traces the rising share of private capital in space research and development and the reconfiguration of public roles that trails it</w:t>
      </w:r>
      <w:r>
        <w:t xml:space="preserve"> </w:t>
      </w:r>
      <w:hyperlink w:anchor="ref-2">
        <w:r>
          <w:rPr>
            <w:rStyle w:val="Hyperlink"/>
          </w:rPr>
          <w:t xml:space="preserve">[2]</w:t>
        </w:r>
      </w:hyperlink>
      <w:r>
        <w:t xml:space="preserve">. Its central observation is that the public sector’s coordination function has slid from the direct production of capability toward the integration of capability produced by an ever more varied set of actors. For the FFRDC question that observation lands hard, since the integration function is exactly the band where FFRDC contributions cluster, as the AMOS proceedings document</w:t>
      </w:r>
      <w:r>
        <w:t xml:space="preserve"> </w:t>
      </w:r>
      <w:hyperlink w:anchor="ref-9">
        <w:r>
          <w:rPr>
            <w:rStyle w:val="Hyperlink"/>
          </w:rPr>
          <w:t xml:space="preserve">[9]</w:t>
        </w:r>
      </w:hyperlink>
      <w:r>
        <w:t xml:space="preserve">[10][11][13][14][15][16]. Which public institutions absorb which integration functions the paper never estimates, and the FFRDC contribution it never separates from that of the federal laboratory or the in-house government workforce.</w:t>
      </w:r>
    </w:p>
    <w:p>
      <w:pPr>
        <w:pStyle w:val="BodyText"/>
        <w:spacing w:line="480" w:lineRule="auto"/>
        <w:ind w:firstLine="720"/>
      </w:pPr>
      <w:r>
        <w:t xml:space="preserve">Reconfiguration on the demand side is the subject of the Architectural Socio-Technological Transformative Change of Space-Use Norms paper, with civil space mission programs shown inside a multi-actor governance fabric and an enlarged technical surface</w:t>
      </w:r>
      <w:r>
        <w:t xml:space="preserve"> </w:t>
      </w:r>
      <w:hyperlink w:anchor="ref-3">
        <w:r>
          <w:rPr>
            <w:rStyle w:val="Hyperlink"/>
          </w:rPr>
          <w:t xml:space="preserve">[3]</w:t>
        </w:r>
      </w:hyperlink>
      <w:r>
        <w:t xml:space="preserve">. It extends the Weinzierl frame by naming the architectural and normative pressures bearing on the integration function, and by observing that the integration function itself sets how fast the sector can absorb new technical capability. FFRDC contributions to that function it does not isolate, and the effect of any particular institutional arrangement on the rate of absorption it does not estimate.</w:t>
      </w:r>
    </w:p>
    <w:p>
      <w:pPr>
        <w:pStyle w:val="BodyText"/>
        <w:spacing w:line="480" w:lineRule="auto"/>
        <w:ind w:firstLine="720"/>
      </w:pPr>
      <w:r>
        <w:t xml:space="preserve">Set side by side, the three economic and architectural papers establish two things: that public-sector coordination matters for the structure of the space sector, and that the coordination function is increasingly an integration function. What the FFRDC institutional form does to that integration function they leave open, and a vehicle for estimating it they never supply. The space-economics literature names the function where the FFRDC contribution would have to show. It does not measure the contribution.</w:t>
      </w:r>
    </w:p>
    <w:bookmarkEnd w:id="68"/>
    <w:bookmarkStart w:id="69" w:name="Xa0b0c6c269a7618e4904e91174f7fb91ff5805f"/>
    <w:p>
      <w:pPr>
        <w:pStyle w:val="Heading2"/>
        <w:spacing w:line="480" w:lineRule="auto"/>
      </w:pPr>
      <w:r>
        <w:t xml:space="preserve">2.4 The Technical Literature on Systems Engineering and Mission Integration</w:t>
      </w:r>
    </w:p>
    <w:p>
      <w:pPr>
        <w:pStyle w:val="FirstParagraph"/>
        <w:spacing w:line="480" w:lineRule="auto"/>
      </w:pPr>
      <w:r>
        <w:t xml:space="preserve">The third strand of the domain review is the technical literature on systems engineering and mission integration, and it earns its place twice over. It is the strand where the substantive content of the FFRDC contribution shows most plainly, and it is the strand from which the work-package-level treatment indicator of the dissertation’s identification strategy is built.</w:t>
      </w:r>
    </w:p>
    <w:p>
      <w:pPr>
        <w:pStyle w:val="BodyText"/>
        <w:spacing w:line="480" w:lineRule="auto"/>
        <w:ind w:firstLine="720"/>
      </w:pPr>
      <w:r>
        <w:t xml:space="preserve">Surveyed already in Section 2.2, the AMOS conference proceedings document FFRDC and federally funded laboratory contributions to systems engineering and mission integration across a representative sample of space domain awareness and operational mission system architectures</w:t>
      </w:r>
      <w:r>
        <w:t xml:space="preserve"> </w:t>
      </w:r>
      <w:hyperlink w:anchor="ref-9">
        <w:r>
          <w:rPr>
            <w:rStyle w:val="Hyperlink"/>
          </w:rPr>
          <w:t xml:space="preserve">[9]</w:t>
        </w:r>
      </w:hyperlink>
      <w:r>
        <w:t xml:space="preserve">[10][11][12][13][14][15][16]. Across that sample the functional band holds steady. FFRDC personnel turn up folding commercial sensor capability into government catalogs</w:t>
      </w:r>
      <w:r>
        <w:t xml:space="preserve"> </w:t>
      </w:r>
      <w:hyperlink w:anchor="ref-10">
        <w:r>
          <w:rPr>
            <w:rStyle w:val="Hyperlink"/>
          </w:rPr>
          <w:t xml:space="preserve">[10]</w:t>
        </w:r>
      </w:hyperlink>
      <w:r>
        <w:t xml:space="preserve">[15][16], architecting and integrating operational mission systems</w:t>
      </w:r>
      <w:r>
        <w:t xml:space="preserve"> </w:t>
      </w:r>
      <w:hyperlink w:anchor="ref-11">
        <w:r>
          <w:rPr>
            <w:rStyle w:val="Hyperlink"/>
          </w:rPr>
          <w:t xml:space="preserve">[11]</w:t>
        </w:r>
      </w:hyperlink>
      <w:r>
        <w:t xml:space="preserve">[13], running the testing and evaluation function that keeps integration honest</w:t>
      </w:r>
      <w:r>
        <w:t xml:space="preserve"> </w:t>
      </w:r>
      <w:hyperlink w:anchor="ref-12">
        <w:r>
          <w:rPr>
            <w:rStyle w:val="Hyperlink"/>
          </w:rPr>
          <w:t xml:space="preserve">[12]</w:t>
        </w:r>
      </w:hyperlink>
      <w:r>
        <w:t xml:space="preserve">, building the testbed architecture that supports evaluation of new approaches to space traffic management</w:t>
      </w:r>
      <w:r>
        <w:t xml:space="preserve"> </w:t>
      </w:r>
      <w:hyperlink w:anchor="ref-9">
        <w:r>
          <w:rPr>
            <w:rStyle w:val="Hyperlink"/>
          </w:rPr>
          <w:t xml:space="preserve">[9]</w:t>
        </w:r>
      </w:hyperlink>
      <w:r>
        <w:t xml:space="preserve">, working the onboard processing layer of electro-optical imagery</w:t>
      </w:r>
      <w:r>
        <w:t xml:space="preserve"> </w:t>
      </w:r>
      <w:hyperlink w:anchor="ref-14">
        <w:r>
          <w:rPr>
            <w:rStyle w:val="Hyperlink"/>
          </w:rPr>
          <w:t xml:space="preserve">[14]</w:t>
        </w:r>
      </w:hyperlink>
      <w:r>
        <w:t xml:space="preserve">, and standing up the consolidated pathfinder architecture that folds commercial space situational awareness capability into a government operational architecture</w:t>
      </w:r>
      <w:r>
        <w:t xml:space="preserve"> </w:t>
      </w:r>
      <w:hyperlink w:anchor="ref-15">
        <w:r>
          <w:rPr>
            <w:rStyle w:val="Hyperlink"/>
          </w:rPr>
          <w:t xml:space="preserve">[15]</w:t>
        </w:r>
      </w:hyperlink>
      <w:r>
        <w:t xml:space="preserve">. Recognizable, the band is. It is the band the doctrine describes whenever it describes systems engineering and technical assurance.</w:t>
      </w:r>
    </w:p>
    <w:p>
      <w:pPr>
        <w:pStyle w:val="BodyText"/>
        <w:spacing w:line="480" w:lineRule="auto"/>
        <w:ind w:firstLine="720"/>
      </w:pPr>
      <w:r>
        <w:t xml:space="preserve">A complementary view arrives from the Acta Astronautica literature. Papers on solar cell experiments</w:t>
      </w:r>
      <w:r>
        <w:t xml:space="preserve"> </w:t>
      </w:r>
      <w:hyperlink w:anchor="ref-17">
        <w:r>
          <w:rPr>
            <w:rStyle w:val="Hyperlink"/>
          </w:rPr>
          <w:t xml:space="preserve">[17]</w:t>
        </w:r>
      </w:hyperlink>
      <w:r>
        <w:t xml:space="preserve">, non-destructive analysis of returned hardware</w:t>
      </w:r>
      <w:r>
        <w:t xml:space="preserve"> </w:t>
      </w:r>
      <w:hyperlink w:anchor="ref-18">
        <w:r>
          <w:rPr>
            <w:rStyle w:val="Hyperlink"/>
          </w:rPr>
          <w:t xml:space="preserve">[18]</w:t>
        </w:r>
      </w:hyperlink>
      <w:r>
        <w:t xml:space="preserve">, periodic orbit design for radar imaging</w:t>
      </w:r>
      <w:r>
        <w:t xml:space="preserve"> </w:t>
      </w:r>
      <w:hyperlink w:anchor="ref-19">
        <w:r>
          <w:rPr>
            <w:rStyle w:val="Hyperlink"/>
          </w:rPr>
          <w:t xml:space="preserve">[19]</w:t>
        </w:r>
      </w:hyperlink>
      <w:r>
        <w:t xml:space="preserve">, aerodynamic collision avoidance from in-flight CubeSat results</w:t>
      </w:r>
      <w:r>
        <w:t xml:space="preserve"> </w:t>
      </w:r>
      <w:hyperlink w:anchor="ref-20">
        <w:r>
          <w:rPr>
            <w:rStyle w:val="Hyperlink"/>
          </w:rPr>
          <w:t xml:space="preserve">[20]</w:t>
        </w:r>
      </w:hyperlink>
      <w:r>
        <w:t xml:space="preserve">, educational analog missions</w:t>
      </w:r>
      <w:r>
        <w:t xml:space="preserve"> </w:t>
      </w:r>
      <w:hyperlink w:anchor="ref-21">
        <w:r>
          <w:rPr>
            <w:rStyle w:val="Hyperlink"/>
          </w:rPr>
          <w:t xml:space="preserve">[21]</w:t>
        </w:r>
      </w:hyperlink>
      <w:r>
        <w:t xml:space="preserve">, laser ice drilling for interplanetary exploration</w:t>
      </w:r>
      <w:r>
        <w:t xml:space="preserve"> </w:t>
      </w:r>
      <w:hyperlink w:anchor="ref-22">
        <w:r>
          <w:rPr>
            <w:rStyle w:val="Hyperlink"/>
          </w:rPr>
          <w:t xml:space="preserve">[22]</w:t>
        </w:r>
      </w:hyperlink>
      <w:r>
        <w:t xml:space="preserve">, aero-acoustic noise from deflector shapes</w:t>
      </w:r>
      <w:r>
        <w:t xml:space="preserve"> </w:t>
      </w:r>
      <w:hyperlink w:anchor="ref-23">
        <w:r>
          <w:rPr>
            <w:rStyle w:val="Hyperlink"/>
          </w:rPr>
          <w:t xml:space="preserve">[23]</w:t>
        </w:r>
      </w:hyperlink>
      <w:r>
        <w:t xml:space="preserve">, and sensor tasking for geostationary object cataloging</w:t>
      </w:r>
      <w:r>
        <w:t xml:space="preserve"> </w:t>
      </w:r>
      <w:hyperlink w:anchor="ref-24">
        <w:r>
          <w:rPr>
            <w:rStyle w:val="Hyperlink"/>
          </w:rPr>
          <w:t xml:space="preserve">[24]</w:t>
        </w:r>
      </w:hyperlink>
      <w:r>
        <w:t xml:space="preserve"> </w:t>
      </w:r>
      <w:r>
        <w:t xml:space="preserve">carry the technical content of civil space activity to the level of the subsystem and the experiment. They show the integration function working over a technical surface of real depth, and they place the subsystem and experiment level as the level where the program’s cost and schedule outcomes finally settle. The institutional form question they do not touch, and the marginal effect of the FFRDC integration role on the cost and schedule outcomes that settle there they give no way to estimate.</w:t>
      </w:r>
    </w:p>
    <w:p>
      <w:pPr>
        <w:pStyle w:val="BodyText"/>
        <w:spacing w:line="480" w:lineRule="auto"/>
        <w:ind w:firstLine="720"/>
      </w:pPr>
      <w:r>
        <w:t xml:space="preserve">Three things the technical literature establishes: the integration function is real, it operates at a recognizable level of the work-breakdown structure, and FFRDC personnel are visible in the authorship of the integration work</w:t>
      </w:r>
      <w:r>
        <w:t xml:space="preserve"> </w:t>
      </w:r>
      <w:hyperlink w:anchor="ref-9">
        <w:r>
          <w:rPr>
            <w:rStyle w:val="Hyperlink"/>
          </w:rPr>
          <w:t xml:space="preserve">[9]</w:t>
        </w:r>
      </w:hyperlink>
      <w:r>
        <w:t xml:space="preserve">[10][11][12][13][14][15][16]. One thing it does not: whether the FFRDC presence in the integration function changes program execution outcomes measurably against what an alternative sourcing of the same function would produce. It describes the contribution. Its marginal value it does not measure.</w:t>
      </w:r>
    </w:p>
    <w:bookmarkEnd w:id="69"/>
    <w:bookmarkStart w:id="70"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Second of the two unjoined literatures is the cliometric and econometric methodology on identification of treatment effects in observational records of complex public programs. Canonically it is not about the FFRDC at all. It concerns the design of estimators able to recover causal parameters from observational data where treatment assignment is not random, where treated and untreated units differ systematically on unobserved characteristics, and where the outcome variables of interest correlate across units and across time.</w:t>
      </w:r>
    </w:p>
    <w:p>
      <w:pPr>
        <w:pStyle w:val="BodyText"/>
        <w:spacing w:line="480" w:lineRule="auto"/>
        <w:ind w:firstLine="720"/>
      </w:pPr>
      <w:r>
        <w:t xml:space="preserve">The simplest member of this literature is what the first research paper of this dissertation operationalizes.</w:t>
      </w:r>
    </w:p>
    <w:p>
      <w:pPr>
        <w:pStyle w:val="BodyText"/>
        <w:spacing w:line="480" w:lineRule="auto"/>
        <w:ind w:firstLine="720"/>
      </w:pPr>
      <w:r>
        <w:t xml:space="preserve">That is ordinary least squares with heteroskedasticity-consistent standard errors, run on a hand-compiled panel of thirty NASA and NOAA major projects drawn from the GAO assessment series</w:t>
      </w:r>
      <w:r>
        <w:t xml:space="preserve"> </w:t>
      </w:r>
      <w:hyperlink w:anchor="ref-4">
        <w:r>
          <w:rPr>
            <w:rStyle w:val="Hyperlink"/>
          </w:rPr>
          <w:t xml:space="preserve">[4]</w:t>
        </w:r>
      </w:hyperlink>
      <w:r>
        <w:t xml:space="preserve">. Out comes an FFRDC coefficient of plus 8.83 percentage points of cost growth with a p-value of 0.31, statistically indistinguishable from zero at any conventional level and unwilling to support the doctrinal claim of general cost discipline</w:t>
      </w:r>
      <w:r>
        <w:t xml:space="preserve"> </w:t>
      </w:r>
      <w:hyperlink w:anchor="ref-4">
        <w:r>
          <w:rPr>
            <w:rStyle w:val="Hyperlink"/>
          </w:rPr>
          <w:t xml:space="preserve">[4]</w:t>
        </w:r>
      </w:hyperlink>
      <w:r>
        <w:t xml:space="preserve">. Extending the panel to thirty-five projects and adding schedule slip as a covariate, the second paper recovers an FFRDC coefficient of plus 22.28 percentage points of cost growth with a p-value of 0.081, marginally significant in the wrong direction and best read as a selection artifact rather than a causal estimate</w:t>
      </w:r>
      <w:r>
        <w:t xml:space="preserve"> </w:t>
      </w:r>
      <w:hyperlink w:anchor="ref-1">
        <w:r>
          <w:rPr>
            <w:rStyle w:val="Hyperlink"/>
          </w:rPr>
          <w:t xml:space="preserve">[1]</w:t>
        </w:r>
      </w:hyperlink>
      <w:r>
        <w:t xml:space="preserve">[2][4][6][7][8]. Both papers concede two points: the program-level OLS estimator is the ceiling of what the GAO panel can support, and it is biased by the non-random treatment assignment that routes the hardest work to the FFRDC-supported portfolio.</w:t>
      </w:r>
    </w:p>
    <w:p>
      <w:pPr>
        <w:pStyle w:val="BodyText"/>
        <w:spacing w:line="480" w:lineRule="auto"/>
        <w:ind w:firstLine="720"/>
      </w:pPr>
      <w:r>
        <w:t xml:space="preserve">A structured set of strategies for escaping this bias is what the cliometric and econometric literature supplies, and they share one logic. They exploit variation in the timing and scope of treatment assignment within units that otherwise share similar unobserved characteristics, and they turn that variation into an identified treatment effect under assumptions weaker than the random assignment the naive OLS estimator demands. Matched comparison on observable covariates, instrumental variable estimation, regression discontinuity around administrative thresholds, and the family of difference-in-differences estimators that exploit staggered treatment timing within a panel all sit inside this set. From the staggered difference-in-differences family the dissertation’s identification strategy, as set out in the prospectus, draws its design. It drops from the project level to the work-package level, reads the presence of a non-trivial FFRDC task order against a given work package in a given fiscal quarter as the treatment, and turns variation in the timing and scope of task orders within programs that also hold non-FFRDC work packages of comparable scope into the identifying variation.</w:t>
      </w:r>
    </w:p>
    <w:p>
      <w:pPr>
        <w:pStyle w:val="BodyText"/>
        <w:spacing w:line="480" w:lineRule="auto"/>
        <w:ind w:firstLine="720"/>
      </w:pPr>
      <w:r>
        <w:t xml:space="preserve">That descent is the central econometric contribution of the dissertation, and it deserves stating outright here. At the project level, project-level selection routing the hardest projects to the FFRDC-supported portfolio contaminates the treatment indicator. No conditioning on observable project covariates lifts the contamination, because by construction the unobserved component of project difficulty is exactly the component for which no observable covariate exists. Drop to the work-package level and the selection logic changes. Under a fixed program scope and baseline, the program manager decides whether to route a given work package within a given program to an FFRDC task order, and that decision turns on work-package-level characteristics: technology readiness level, program phase, prime contractor identity, dominant risk profile. All of those are observable in the Cost Analysis Data Requirement record, and the program fixed effects the staggered difference-in-differences estimator carries absorb the project-level component of the selection.</w:t>
      </w:r>
    </w:p>
    <w:p>
      <w:pPr>
        <w:pStyle w:val="BodyText"/>
        <w:spacing w:line="480" w:lineRule="auto"/>
        <w:ind w:firstLine="720"/>
      </w:pPr>
      <w:r>
        <w:t xml:space="preserve">No free lunch waits at the bottom of the descent. Uneven across mission directorates and program phases, the CADRe record is; constructed from program-manager monthly reports and open to reporting discretion, the rework indicator is; invisible in the contract record, the substitution-versus-complementarity distinction between FFRDC task orders and contractor scope stays. Real threats to validity, all of them, and the prospectus names each. What the descent buys is the absorption of the project-level component of the selection, the very component the program-level OLS estimator cannot absorb and the one both research papers name as the binding constraint on the program-level estimate.</w:t>
      </w:r>
    </w:p>
    <w:p>
      <w:pPr>
        <w:pStyle w:val="BodyText"/>
        <w:spacing w:line="480" w:lineRule="auto"/>
        <w:ind w:firstLine="720"/>
      </w:pPr>
      <w:r>
        <w:t xml:space="preserve">Of course, the cliometric and econometric literature is no literature about civil space. It is a literature about identification, worked into labor markets, education, health care, environmental regulation, and a wide run of other domains where treatment assignment is not random and outcome variables correlate across units and across time. To the candidate’s knowledge it has never once been worked into the institutional sourcing decision inside civil space mission programs. Doing so is the methodological contribution of the dissertation.</w:t>
      </w:r>
    </w:p>
    <w:bookmarkEnd w:id="70"/>
    <w:bookmarkStart w:id="71" w:name="synthesis-and-statement-of-the-gap"/>
    <w:p>
      <w:pPr>
        <w:pStyle w:val="Heading2"/>
        <w:spacing w:line="480" w:lineRule="auto"/>
      </w:pPr>
      <w:r>
        <w:t xml:space="preserve">2.6 Synthesis and Statement of the Gap</w:t>
      </w:r>
    </w:p>
    <w:p>
      <w:pPr>
        <w:pStyle w:val="FirstParagraph"/>
        <w:spacing w:line="480" w:lineRule="auto"/>
      </w:pPr>
      <w:r>
        <w:t xml:space="preserve">A structural feature joins the two literatures reviewed here. Each holds together internally, each carries real methodological sophistication on its own terms, and each has produced a body of work the practitioner community draws on without a second thought. Yet neither answers the question the program manager must answer every fiscal year. At the level of the integration function and at the level of the work-breakdown structure the domain literature describes the FFRDC contribution, and the marginal effect of that contribution on program execution outcomes it does not estimate</w:t>
      </w:r>
      <w:r>
        <w:t xml:space="preserve"> </w:t>
      </w:r>
      <w:hyperlink w:anchor="ref-4">
        <w:r>
          <w:rPr>
            <w:rStyle w:val="Hyperlink"/>
          </w:rPr>
          <w:t xml:space="preserve">[4]</w:t>
        </w:r>
      </w:hyperlink>
      <w:r>
        <w:t xml:space="preserve">[6][7][8][9][10][11][12][13][14][15][16]. The estimators that could in principle recover that marginal effect the cliometric and econometric literature supplies, and to the institutional sourcing decision inside civil space mission programs it has not been brought. Exactly the join between the two is the gap.</w:t>
      </w:r>
    </w:p>
    <w:p>
      <w:pPr>
        <w:pStyle w:val="BodyText"/>
        <w:spacing w:line="480" w:lineRule="auto"/>
        <w:ind w:firstLine="720"/>
      </w:pPr>
      <w:r>
        <w:t xml:space="preserve">Three specific components make up that gap, and the dissertation is built to work each in turn. First is the absence of a work-package-level treatment indicator extractable from the existing program record. At the project level the GAO assessments name the FFRDC presence, and at the work-package level they do not</w:t>
      </w:r>
      <w:r>
        <w:t xml:space="preserve"> </w:t>
      </w:r>
      <w:hyperlink w:anchor="ref-4">
        <w:r>
          <w:rPr>
            <w:rStyle w:val="Hyperlink"/>
          </w:rPr>
          <w:t xml:space="preserve">[4]</w:t>
        </w:r>
      </w:hyperlink>
      <w:r>
        <w:t xml:space="preserve">[6][7][8]. The substantive content of the FFRDC contribution the technical conference proceedings document, and to the cost and schedule outcomes that settle at the work-package level they do not link it</w:t>
      </w:r>
      <w:r>
        <w:t xml:space="preserve"> </w:t>
      </w:r>
      <w:hyperlink w:anchor="ref-9">
        <w:r>
          <w:rPr>
            <w:rStyle w:val="Hyperlink"/>
          </w:rPr>
          <w:t xml:space="preserve">[9]</w:t>
        </w:r>
      </w:hyperlink>
      <w:r>
        <w:t xml:space="preserve">[10][11][12][13][14][15][16]. At the subsystem and experiment level the Acta Astronautica literature documents the technical content, and to the institutional sourcing decision it does not link it</w:t>
      </w:r>
      <w:r>
        <w:t xml:space="preserve"> </w:t>
      </w:r>
      <w:hyperlink w:anchor="ref-17">
        <w:r>
          <w:rPr>
            <w:rStyle w:val="Hyperlink"/>
          </w:rPr>
          <w:t xml:space="preserve">[17]</w:t>
        </w:r>
      </w:hyperlink>
      <w:r>
        <w:t xml:space="preserve">[18][19][20][21][22][23][24]. First to support a work-package-level treatment indicator is the CADRe record, linked to the NAIS contract action record and to the FFRDC task order summaries that accompany annual congressional reporting. Building that indicator is the dissertation’s first contribution.</w:t>
      </w:r>
    </w:p>
    <w:p>
      <w:pPr>
        <w:pStyle w:val="BodyText"/>
        <w:spacing w:line="480" w:lineRule="auto"/>
        <w:ind w:firstLine="720"/>
      </w:pPr>
      <w:r>
        <w:t xml:space="preserve">Second is the absence of an identification strategy able to absorb the project-level component of the selection that routes the hardest work to the FFRDC-supported portfolio. The program-level OLS estimator returns the wrong sign and declines to support the doctrinal cost-discipline claim, and it does so under a selection bias no observable covariate lifts</w:t>
      </w:r>
      <w:r>
        <w:t xml:space="preserve"> </w:t>
      </w:r>
      <w:hyperlink w:anchor="ref-1">
        <w:r>
          <w:rPr>
            <w:rStyle w:val="Hyperlink"/>
          </w:rPr>
          <w:t xml:space="preserve">[1]</w:t>
        </w:r>
      </w:hyperlink>
      <w:r>
        <w:t xml:space="preserve">[2][4]. Simplest member of the cliometric and econometric family able to absorb that project-level component is the staggered difference-in-differences estimator at the work-package level, with program fixed effects and with the work-package-level characteristics as conditioning covariates. Applying that estimator to the FFRDC question is the dissertation’s second contribution.</w:t>
      </w:r>
    </w:p>
    <w:p>
      <w:pPr>
        <w:pStyle w:val="BodyText"/>
        <w:spacing w:line="480" w:lineRule="auto"/>
        <w:ind w:firstLine="720"/>
      </w:pPr>
      <w:r>
        <w:t xml:space="preserve">Third is the absence of any qualitative characterization of the decision logic that produces the treatment assignment. The assignment the quantitative literature takes as given. As a doctrinal expectation the domain literature describes it. Neither characterizes the decision logic program managers actually run when they route a given work package to an FFRDC task order. Built to recover that logic and to surface mechanisms the quantitative arm cannot identify are the semi-structured interviews with civil space program managers, stratified across the three NASA mission directorates carrying the largest FFRDC spend</w:t>
      </w:r>
      <w:r>
        <w:t xml:space="preserve"> </w:t>
      </w:r>
      <w:hyperlink w:anchor="ref-4">
        <w:r>
          <w:rPr>
            <w:rStyle w:val="Hyperlink"/>
          </w:rPr>
          <w:t xml:space="preserve">[4]</w:t>
        </w:r>
      </w:hyperlink>
      <w:r>
        <w:t xml:space="preserve">[6][7][8]. The qualitative arm is the dissertation’s third contribution.</w:t>
      </w:r>
    </w:p>
    <w:p>
      <w:pPr>
        <w:pStyle w:val="BodyText"/>
        <w:spacing w:line="480" w:lineRule="auto"/>
        <w:ind w:firstLine="720"/>
      </w:pPr>
      <w:r>
        <w:t xml:space="preserve">Taken together, the three components constitute the join between the two literatures. That join is the dissertation. Beginning with the methods chapter that follows, the rest of the dissertation develops the join in operational detail and reports the estimates it supports. The literature review closes on a single observation: the join is no mere methodological convenience. It is the analytical move the program manager has been waiting for, and the move neither literature, left to itself, has been willing to make.</w:t>
      </w:r>
    </w:p>
    <w:bookmarkEnd w:id="71"/>
    <w:bookmarkEnd w:id="72"/>
    <w:bookmarkStart w:id="82" w:name="Xcfcc00a3ded59aed0c781c16bfc121f2a509603"/>
    <w:p>
      <w:pPr>
        <w:pStyle w:val="Heading1"/>
        <w:spacing w:line="480" w:lineRule="auto"/>
      </w:pPr>
      <w:r>
        <w:t xml:space="preserve">Chapter 3. Theoretical Framework and Hypotheses</w:t>
      </w:r>
    </w:p>
    <w:bookmarkStart w:id="73" w:name="orientation-1"/>
    <w:p>
      <w:pPr>
        <w:pStyle w:val="Heading2"/>
        <w:spacing w:line="480" w:lineRule="auto"/>
      </w:pPr>
      <w:r>
        <w:t xml:space="preserve">3.1 Orientation</w:t>
      </w:r>
    </w:p>
    <w:p>
      <w:pPr>
        <w:pStyle w:val="FirstParagraph"/>
        <w:spacing w:line="480" w:lineRule="auto"/>
      </w:pPr>
      <w:r>
        <w:t xml:space="preserve">This chapter does three things. It specifies the theoretical mechanism by which a Federally Funded Research and Development Center (FFRDC) is expected to alter the execution outcomes of a civil space mission program. It derives the causal logic tying that mechanism to observable cost, schedule, and rework outcomes at the work-package level. And it states the formal null and alternative hypotheses the empirical chapters test. By design, the theoretical claim comes out narrower than the doctrinal one. The doctrinal claim, as the chapter will show, is a level claim about FFRDC engagement as a general cost-discipline mechanism, and it has shrugged off empirical discipline for one reason: pitched at a generality no panel of major programs can refute. What the chapter advances instead is a conditional claim about a specific subpopulation of work packages, engineered to fall on data the dissertation can actually obtain.</w:t>
      </w:r>
    </w:p>
    <w:p>
      <w:pPr>
        <w:pStyle w:val="BodyText"/>
        <w:spacing w:line="480" w:lineRule="auto"/>
        <w:ind w:firstLine="720"/>
      </w:pPr>
      <w:r>
        <w:t xml:space="preserve">Five steps organize the chapter. Section 3.2 sets the question inside the public-sector coordination literature on the space sector and locates the analytical gap that drives the conditional reformulation. Section 3.3 builds the theoretical mechanism from three parts: a seam-management function, an independent-verification function, and the residual-claimant problem that separates integration risk from production-throughput risk. Section 3.4 lays out the causal logic linking the mechanism to the three execution outcomes the data hold, with the selection problem the prior empirical chapters flagged as the binding constraint on identification kept explicitly in view. Section 3.5 states the formal hypotheses H0 and H1 in the form the difference-in-differences estimator of Chapter 5 will adjudicate. And Section 3.6 sets out the auxiliary predictions and falsification conditions that tell a strict test of H1 apart from a permissive one.</w:t>
      </w:r>
    </w:p>
    <w:bookmarkEnd w:id="73"/>
    <w:bookmarkStart w:id="74" w:name="the-conditional-reformulation"/>
    <w:p>
      <w:pPr>
        <w:pStyle w:val="Heading2"/>
        <w:spacing w:line="480" w:lineRule="auto"/>
      </w:pPr>
      <w:r>
        <w:t xml:space="preserve">3.2 The Conditional Reformulation</w:t>
      </w:r>
    </w:p>
    <w:p>
      <w:pPr>
        <w:pStyle w:val="FirstParagraph"/>
        <w:spacing w:line="480" w:lineRule="auto"/>
      </w:pPr>
      <w:r>
        <w:t xml:space="preserve">Across a sector marked by durable capital intensity, long technology-development arcs, and externalities private capital will not price, the space-economics literature casts the public sector as a coordinator of market failures</w:t>
      </w:r>
      <w:r>
        <w:t xml:space="preserve"> </w:t>
      </w:r>
      <w:hyperlink w:anchor="ref-1">
        <w:r>
          <w:rPr>
            <w:rStyle w:val="Hyperlink"/>
          </w:rPr>
          <w:t xml:space="preserve">[1]</w:t>
        </w:r>
      </w:hyperlink>
      <w:r>
        <w:t xml:space="preserve">[5]. In its dominant formulations that literature keeps the institutional mix inside the public sector essentially exogenous and unmodeled. Public-sector capacity to coordinate is taken as present or absent, and which public-sector instrument absorbs which coordination function goes unasked</w:t>
      </w:r>
      <w:r>
        <w:t xml:space="preserve"> </w:t>
      </w:r>
      <w:hyperlink w:anchor="ref-2">
        <w:r>
          <w:rPr>
            <w:rStyle w:val="Hyperlink"/>
          </w:rPr>
          <w:t xml:space="preserve">[2]</w:t>
        </w:r>
      </w:hyperlink>
      <w:r>
        <w:t xml:space="preserve">. A parallel development on the demand side is what the architectural and norms literature documents, with civil space mission programs increasingly seated inside a multi-actor governance fabric whose technical surface has grown alongside the arrival of new orbital actors and new categories of orbital activity</w:t>
      </w:r>
      <w:r>
        <w:t xml:space="preserve"> </w:t>
      </w:r>
      <w:hyperlink w:anchor="ref-3">
        <w:r>
          <w:rPr>
            <w:rStyle w:val="Hyperlink"/>
          </w:rPr>
          <w:t xml:space="preserve">[3]</w:t>
        </w:r>
      </w:hyperlink>
      <w:r>
        <w:t xml:space="preserve">. That grown surface pushes up the coordination workload the public sector shoulders without saying which public-sector institution should shoulder it.</w:t>
      </w:r>
    </w:p>
    <w:p>
      <w:pPr>
        <w:pStyle w:val="BodyText"/>
        <w:spacing w:line="480" w:lineRule="auto"/>
        <w:ind w:firstLine="720"/>
      </w:pPr>
      <w:r>
        <w:t xml:space="preserve">Inside this gap the FFRDC has been handled as an institutional given rather than a treatment whose marginal contribution can be estimated.</w:t>
      </w:r>
    </w:p>
    <w:p>
      <w:pPr>
        <w:pStyle w:val="BodyText"/>
        <w:spacing w:line="480" w:lineRule="auto"/>
        <w:ind w:firstLine="720"/>
      </w:pPr>
      <w:r>
        <w:t xml:space="preserve">Doctrine holds that FFRDC engagement supplies continuity across program transitions, objectivity in independent review, and freedom from competitive conflict in source selection, and those three properties get invoked routinely to justify placing an FFRDC in the systems-engineering and technical-assurance seam of a major program. Two reasons have kept the doctrine hard to discipline empirically. The first is the unit at which it is usually defended. Defended at the program level, it meets program-level cost-growth regressions that lack the resolution to pull the FFRDC treatment apart from the difficulty of the program the FFRDC was assigned to. Paper 1 ran an OLS estimate of an FFRDC indicator on Phase B cost growth across thirty major projects and recovered a positive but statistically indistinguishable coefficient, with an R-squared of 0.206 and an F p-value of 0.136; the doctrinal claim went unsupported, and no substitute causal claim came forward</w:t>
      </w:r>
      <w:r>
        <w:t xml:space="preserve"> </w:t>
      </w:r>
      <w:hyperlink w:anchor="ref-4">
        <w:r>
          <w:rPr>
            <w:rStyle w:val="Hyperlink"/>
          </w:rPr>
          <w:t xml:space="preserve">[4]</w:t>
        </w:r>
      </w:hyperlink>
      <w:r>
        <w:t xml:space="preserve">. Paper 2 widened the panel to thirty-five projects with a complexity index and a schedule-slip control and recovered a positive coefficient of 22.28 percentage points on the FFRDC indicator, marginally significant at the ten-percent level, alongside a dominant schedule-slip coefficient of 1.66 percentage points per month</w:t>
      </w:r>
      <w:r>
        <w:t xml:space="preserve"> </w:t>
      </w:r>
      <w:hyperlink w:anchor="ref-4">
        <w:r>
          <w:rPr>
            <w:rStyle w:val="Hyperlink"/>
          </w:rPr>
          <w:t xml:space="preserve">[4]</w:t>
        </w:r>
      </w:hyperlink>
      <w:r>
        <w:t xml:space="preserve">[6][7][8]. Selection, rather than absence of effect, was the reading both papers judged most defensible. The second reason is the form of the claim. Pitched as a level claim about FFRDC engagement in general, it is exactly the claim selection bias renders untestable once the treated units are the hardest units in the portfolio.</w:t>
      </w:r>
    </w:p>
    <w:p>
      <w:pPr>
        <w:pStyle w:val="BodyText"/>
        <w:spacing w:line="480" w:lineRule="auto"/>
        <w:ind w:firstLine="720"/>
      </w:pPr>
      <w:r>
        <w:t xml:space="preserve">The conditional reformulation this chapter adopts answers both reasons. It drops from the program level to the work-package level, where the treatment is the presence of a non-trivial FFRDC task order against a defined work package in a defined fiscal quarter, and where the outcomes are observable at the resolution the work breakdown structure reports. It then narrows the theoretical claim to a subpopulation of work packages whose dominant execution risk is integration or independent verification, on the prediction that the doctrinal properties of continuity, objectivity, and conflict freedom translate into observable execution gains only there. A strictly weaker claim than the doctrine, and a strictly more falsifiable one.</w:t>
      </w:r>
    </w:p>
    <w:bookmarkEnd w:id="74"/>
    <w:bookmarkStart w:id="78" w:name="the-theoretical-mechanism"/>
    <w:p>
      <w:pPr>
        <w:pStyle w:val="Heading2"/>
        <w:spacing w:line="480" w:lineRule="auto"/>
      </w:pPr>
      <w:r>
        <w:t xml:space="preserve">3.3 The Theoretical Mechanism</w:t>
      </w:r>
    </w:p>
    <w:p>
      <w:pPr>
        <w:pStyle w:val="FirstParagraph"/>
        <w:spacing w:line="480" w:lineRule="auto"/>
      </w:pPr>
      <w:r>
        <w:t xml:space="preserve">Three parts make up the mechanism advanced here: a seam-management function, an independent-verification function, and a residual-claimant distinction that maps those two functions onto two different categories of execution risk.</w:t>
      </w:r>
    </w:p>
    <w:bookmarkStart w:id="75" w:name="the-seam-management-function"/>
    <w:p>
      <w:pPr>
        <w:pStyle w:val="Heading3"/>
        <w:spacing w:line="480" w:lineRule="auto"/>
      </w:pPr>
      <w:r>
        <w:t xml:space="preserve">3.3.1 The Seam-Management Function</w:t>
      </w:r>
    </w:p>
    <w:p>
      <w:pPr>
        <w:pStyle w:val="FirstParagraph"/>
        <w:spacing w:line="480" w:lineRule="auto"/>
      </w:pPr>
      <w:r>
        <w:t xml:space="preserve">Think of a civil space major program as a set of work packages spread across a prime contractor, a shifting number of subcontractors, one or more NASA centers holding institutional homes for elements of the flight system, and one or more FFRDCs holding systems-engineering and technical-assurance roles. Execution risk pools at the seams between those work packages. Interface control documents have to be agreed and kept current. Integrated master schedules have to be reconciled across organizations whose internal scheduling conventions diverge. Verification and validation events have to be sequenced across hardware answering to different supply chains. And rebaseline decisions have to be pushed across organizations facing different incentives to absorb the news or report it. Maintaining these interfaces, with discipline, over the multi-year arc of the program is the seam-management function.</w:t>
      </w:r>
    </w:p>
    <w:p>
      <w:pPr>
        <w:pStyle w:val="BodyText"/>
        <w:spacing w:line="480" w:lineRule="auto"/>
        <w:ind w:firstLine="720"/>
      </w:pPr>
      <w:r>
        <w:t xml:space="preserve">Here is the theoretical claim about FFRDC engagement: the FFRDC suits the seam-management function structurally, because it is not a residual claimant on any particular work package.</w:t>
      </w:r>
    </w:p>
    <w:p>
      <w:pPr>
        <w:pStyle w:val="BodyText"/>
        <w:spacing w:line="480" w:lineRule="auto"/>
        <w:ind w:firstLine="720"/>
      </w:pPr>
      <w:r>
        <w:t xml:space="preserve">A prime contractor claims the residual on its own scope and holds both the information and the incentive to optimize within that scope at the seam’s expense. A NASA center carries institutional commitments that tilt its seam-management posture toward the elements it owns. The FFRDC, funded under a sponsoring agreement that binds its work to the agency’s mission and bars it from competing for production contracts, ends up in a structural posture where its interest in the seam runs undiluted by any interest in the scope on either side</w:t>
      </w:r>
      <w:r>
        <w:t xml:space="preserve"> </w:t>
      </w:r>
      <w:hyperlink w:anchor="ref-9">
        <w:r>
          <w:rPr>
            <w:rStyle w:val="Hyperlink"/>
          </w:rPr>
          <w:t xml:space="preserve">[9]</w:t>
        </w:r>
      </w:hyperlink>
      <w:r>
        <w:t xml:space="preserve">[11][13]. Freedom from competitive conflict is what the doctrine calls this property; here it is restated as a mechanism. The prediction: work packages whose dominant execution risk is seam management will show lower cost growth, lower schedule slip, and lower rework incidence when an FFRDC is engaged against them, conditional on scope and technology-readiness level.</w:t>
      </w:r>
    </w:p>
    <w:bookmarkEnd w:id="75"/>
    <w:bookmarkStart w:id="76" w:name="the-independent-verification-function"/>
    <w:p>
      <w:pPr>
        <w:pStyle w:val="Heading3"/>
        <w:spacing w:line="480" w:lineRule="auto"/>
      </w:pPr>
      <w:r>
        <w:t xml:space="preserve">3.3.2 The Independent-Verification Function</w:t>
      </w:r>
    </w:p>
    <w:p>
      <w:pPr>
        <w:pStyle w:val="FirstParagraph"/>
        <w:spacing w:line="480" w:lineRule="auto"/>
      </w:pPr>
      <w:r>
        <w:t xml:space="preserve">Independent verification is the mechanism’s second component. Periodic technical review is something a civil space program requires at gate decisions, at integration milestones, and at anomaly resolution events. What the reviewer concludes carries weight: it can trigger rework, reset the integrated master schedule, and in extreme cases trigger a rebaseline reported to the Congress. That makes the reviewer’s posture a determinant of the cost and schedule record, and the reviewer’s institutional independence from the reviewed party a determinant of the posture.</w:t>
      </w:r>
    </w:p>
    <w:p>
      <w:pPr>
        <w:pStyle w:val="BodyText"/>
        <w:spacing w:line="480" w:lineRule="auto"/>
        <w:ind w:firstLine="720"/>
      </w:pPr>
      <w:r>
        <w:t xml:space="preserve">The claim is that an FFRDC reviewer stands in a structurally different place from a prime-contractor reviewer or a NASA-center reviewer of the same scope. A prime-contractor reviewer carries the institutional incentive to put off recognizing a problem until it can no longer be avoided, since early recognition triggers rework the prime absorbs. A NASA-center reviewer’s incentive bends under the center’s commitment to the program and its portfolio of adjacent work, both of which can dull the willingness to escalate. Neither incentive reaches the FFRDC reviewer in the same form, by virtue of the same sponsoring constraints that produce the seam-management posture</w:t>
      </w:r>
      <w:r>
        <w:t xml:space="preserve"> </w:t>
      </w:r>
      <w:hyperlink w:anchor="ref-10">
        <w:r>
          <w:rPr>
            <w:rStyle w:val="Hyperlink"/>
          </w:rPr>
          <w:t xml:space="preserve">[10]</w:t>
        </w:r>
      </w:hyperlink>
      <w:r>
        <w:t xml:space="preserve">[12][15]. So the prediction runs: work packages whose dominant execution risk is independent verification, meaning work packages whose cost and schedule outcome turns on the timing and rigor of technical review rather than on production throughput, will show lower cost growth and lower schedule slip when an FFRDC is engaged against them.</w:t>
      </w:r>
    </w:p>
    <w:bookmarkEnd w:id="76"/>
    <w:bookmarkStart w:id="77" w:name="the-residual-claimant-distinction"/>
    <w:p>
      <w:pPr>
        <w:pStyle w:val="Heading3"/>
        <w:spacing w:line="480" w:lineRule="auto"/>
      </w:pPr>
      <w:r>
        <w:t xml:space="preserve">3.3.3 The Residual-Claimant Distinction</w:t>
      </w:r>
    </w:p>
    <w:p>
      <w:pPr>
        <w:pStyle w:val="FirstParagraph"/>
        <w:spacing w:line="480" w:lineRule="auto"/>
      </w:pPr>
      <w:r>
        <w:t xml:space="preserve">Out of the mechanism falls a sharp distinction between two classes of work packages. The first class holds work packages whose dominant execution risk is integration or independent verification. In these, the program manager’s marginal hour goes to reconciling interfaces, sequencing verification events, or adjudicating technical disputes among parties whose incentives diverge. The FFRDC’s structural posture as a non-residual-claimant participant is the property that bites here, and the mechanism predicts execution gains.</w:t>
      </w:r>
    </w:p>
    <w:p>
      <w:pPr>
        <w:pStyle w:val="BodyText"/>
        <w:spacing w:line="480" w:lineRule="auto"/>
        <w:ind w:firstLine="720"/>
      </w:pPr>
      <w:r>
        <w:t xml:space="preserve">The second class holds work packages whose dominant execution risk is hardware production throughput. In these, the program manager’s marginal hour goes to unblocking supply chains, speeding fabrication, or clearing production-floor defects. The FFRDC’s structural posture is at best beside the point here and may actively cut the other way, since its contribution at the production seam arrives as additional review cycles that burn schedule without moving throughput. So for this class the mechanism predicts null or negative effects.</w:t>
      </w:r>
    </w:p>
    <w:p>
      <w:pPr>
        <w:pStyle w:val="BodyText"/>
        <w:spacing w:line="480" w:lineRule="auto"/>
        <w:ind w:firstLine="720"/>
      </w:pPr>
      <w:r>
        <w:t xml:space="preserve">The residual-claimant distinction is the analytical innovation that turns the doctrine into a testable theory. The doctrine asserts that FFRDC engagement is generally protective of cost performance. The theory asserts something narrower: FFRDC engagement is protective only where the FFRDC’s structural posture maps onto the dominant execution risk, and whether it maps turns on whether that dominant risk is a residual-claimant problem in the seam or a throughput problem in production.</w:t>
      </w:r>
    </w:p>
    <w:bookmarkEnd w:id="77"/>
    <w:bookmarkEnd w:id="78"/>
    <w:bookmarkStart w:id="79" w:name="the-causal-logic"/>
    <w:p>
      <w:pPr>
        <w:pStyle w:val="Heading2"/>
        <w:spacing w:line="480" w:lineRule="auto"/>
      </w:pPr>
      <w:r>
        <w:t xml:space="preserve">3.4 The Causal Logic</w:t>
      </w:r>
    </w:p>
    <w:p>
      <w:pPr>
        <w:pStyle w:val="FirstParagraph"/>
        <w:spacing w:line="480" w:lineRule="auto"/>
      </w:pPr>
      <w:r>
        <w:t xml:space="preserve">Four steps carry the causal logic from the mechanism to observable outcomes. Step one: assigning an FFRDC task order to a work package is a decision the program office makes under information that is partly observable in the contract record and partly not. On the observable side are work-package scope, technology-readiness level at quarter start, program phase, and prime-contractor identity, and these are the controls the empirical specification carries. On the unobservable side are program-manager judgments about which work packages are at risk and which are not, and those judgments themselves correlate with the outcome. A naive comparison of FFRDC-treated and untreated work packages therefore comes out biased, and the bias runs toward zero or toward the wrong sign because the harder packages are the treated ones. Both Paper 1 and Paper 2 recovered exactly this pattern, and it sets the identification problem the design has to solve.</w:t>
      </w:r>
    </w:p>
    <w:p>
      <w:pPr>
        <w:pStyle w:val="BodyText"/>
        <w:spacing w:line="480" w:lineRule="auto"/>
        <w:ind w:firstLine="720"/>
      </w:pPr>
      <w:r>
        <w:t xml:space="preserve">Step two: the identification strategy exploits the staggered timing of FFRDC task orders within programs that also hold non-FFRDC work packages of comparable scope. Comparing within program absorbs the program-level component of the selection problem, since the unobservable program characteristics driving both treatment assignment and outcome difference out once the comparison runs across work packages inside the same program. The staggered timing then identifies the FFRDC effect from the change in outcomes after the task-order award set against the change in outcomes in matched untreated packages over the same window. That estimator is the difference-in-differences the prospectus specifies, with work-package fixed effects, calendar-quarter fixed effects, and standard errors clustered at the program level.</w:t>
      </w:r>
    </w:p>
    <w:p>
      <w:pPr>
        <w:pStyle w:val="BodyText"/>
        <w:spacing w:line="480" w:lineRule="auto"/>
        <w:ind w:firstLine="720"/>
      </w:pPr>
      <w:r>
        <w:t xml:space="preserve">Step three: the causal logic predicts a negative and statistically detectable FFRDC coefficient in the integration-and-verification subpopulation and a null or positive one in the production-throughput subpopulation. Subpopulation assignment comes from the work-package scope description in the work breakdown structure, backed by the qualitative arm’s structured interviews, which read the residual-claimant structure of the work package at a resolution the contract record cannot.</w:t>
      </w:r>
    </w:p>
    <w:p>
      <w:pPr>
        <w:pStyle w:val="BodyText"/>
        <w:spacing w:line="480" w:lineRule="auto"/>
        <w:ind w:firstLine="720"/>
      </w:pPr>
      <w:r>
        <w:t xml:space="preserve">Step four: the causal logic predicts an auxiliary pattern on rework. Of the three, the rework indicator is the binary outcome whose theoretical reading sits closest to the mechanism, because rework is the observable consequence of late recognition at the seam and deferred verification. So the mechanism predicts a negative FFRDC coefficient on the rework outcome in the integration-and-verification subpopulation, and a rework coefficient larger in magnitude than the cost or schedule coefficients, since the mechanism bites most directly on the rework margin.</w:t>
      </w:r>
    </w:p>
    <w:bookmarkEnd w:id="79"/>
    <w:bookmarkStart w:id="80" w:name="the-formal-hypotheses"/>
    <w:p>
      <w:pPr>
        <w:pStyle w:val="Heading2"/>
        <w:spacing w:line="480" w:lineRule="auto"/>
      </w:pPr>
      <w:r>
        <w:t xml:space="preserve">3.5 The Formal Hypotheses</w:t>
      </w:r>
    </w:p>
    <w:p>
      <w:pPr>
        <w:pStyle w:val="FirstParagraph"/>
        <w:spacing w:line="480" w:lineRule="auto"/>
      </w:pPr>
      <w:r>
        <w:t xml:space="preserve">Translated into the form the difference-in-differences estimator adjudicates, the conditional theoretical claim yields the following formal hypotheses.</w:t>
      </w:r>
    </w:p>
    <w:p>
      <w:pPr>
        <w:pStyle w:val="BodyText"/>
        <w:spacing w:line="480" w:lineRule="auto"/>
        <w:ind w:firstLine="720"/>
      </w:pPr>
      <w:r>
        <w:rPr>
          <w:b/>
          <w:bCs/>
        </w:rPr>
        <w:t xml:space="preserve">H0 (the null):</w:t>
      </w:r>
      <w:r>
        <w:t xml:space="preserve"> </w:t>
      </w:r>
      <w:r>
        <w:t xml:space="preserve">Conditional on work-package scope, technology-readiness level at quarter start, program phase, mission directorate, and prime-contractor identity, FFRDC participation has no effect on the joint distribution of cost growth, schedule slip, and rework incidence at the work-package level. Formally, the FFRDC indicator carries a coefficient statistically indistinguishable from zero on each of the three outcomes, and the joint Wald test on the three coefficients fails to reject the zero vector at the conventional five-percent level.</w:t>
      </w:r>
    </w:p>
    <w:p>
      <w:pPr>
        <w:pStyle w:val="BodyText"/>
        <w:spacing w:line="480" w:lineRule="auto"/>
        <w:ind w:firstLine="720"/>
      </w:pPr>
      <w:r>
        <w:rPr>
          <w:b/>
          <w:bCs/>
        </w:rPr>
        <w:t xml:space="preserve">H1 (the alternative):</w:t>
      </w:r>
      <w:r>
        <w:t xml:space="preserve"> </w:t>
      </w:r>
      <w:r>
        <w:t xml:space="preserve">Conditional on the same controls, FFRDC participation reduces cost growth and schedule slip in the subpopulation of work packages whose dominant execution risk is integration or independent verification, and has null or negative effects in the subpopulation whose dominant execution risk is hardware production throughput. Formally, the FFRDC indicator carries a negative coefficient statistically distinguishable from zero at the conventional five-percent level on cost growth and schedule slip in the integration-and-verification subpopulation, and a coefficient that is either statistically indistinguishable from zero or positive in the production-throughput subpopulation.</w:t>
      </w:r>
    </w:p>
    <w:p>
      <w:pPr>
        <w:pStyle w:val="BodyText"/>
        <w:spacing w:line="480" w:lineRule="auto"/>
        <w:ind w:firstLine="720"/>
      </w:pPr>
      <w:r>
        <w:t xml:space="preserve">Strictly falsifiable, H1 is, and three observable patterns falsify it. Should the estimated FFRDC coefficient come back statistically indistinguishable from zero in the integration-and-verification subpopulation, H1 falls, because the mechanism predicts the effect detectable in precisely that subpopulation. Should that coefficient carry the opposite sign there, H1 falls, because the mechanism predicts the sign. And should the estimated FFRDC coefficient in the production-throughput subpopulation come back negative and statistically distinguishable from zero, H1 falls, because such a result would be inconsistent with the residual-claimant distinction the theory uses to hold the two subpopulations apart.</w:t>
      </w:r>
    </w:p>
    <w:p>
      <w:pPr>
        <w:pStyle w:val="BodyText"/>
        <w:spacing w:line="480" w:lineRule="auto"/>
        <w:ind w:firstLine="720"/>
      </w:pPr>
      <w:r>
        <w:t xml:space="preserve">In a particular sense H0 is the doctrinal null. It is the null the doctrine would have to defend in the wake of the program-level results of Paper 1 and Paper 2, where the program-level FFRDC indicator failed to support a general cost-discipline claim. So H0 predicts that the failure seen at the program level runs on to the work-package level, and that no subpopulation of work packages shows the predicted FFRDC effect. The contest between H0 and H1 is the contest between the position that the doctrine has no observable execution-outcome correlate at any unit of analysis and the position that it has one at a unit of analysis the prior literature never examined.</w:t>
      </w:r>
    </w:p>
    <w:bookmarkEnd w:id="80"/>
    <w:bookmarkStart w:id="81" w:name="X546f680a8c5dae0c3638a2b349dbde9301b0c66"/>
    <w:p>
      <w:pPr>
        <w:pStyle w:val="Heading2"/>
        <w:spacing w:line="480" w:lineRule="auto"/>
      </w:pPr>
      <w:r>
        <w:t xml:space="preserve">3.6 Auxiliary Predictions and Falsification Conditions</w:t>
      </w:r>
    </w:p>
    <w:p>
      <w:pPr>
        <w:pStyle w:val="FirstParagraph"/>
        <w:spacing w:line="480" w:lineRule="auto"/>
      </w:pPr>
      <w:r>
        <w:t xml:space="preserve">Three auxiliary predictions sharpen the test of H1 against H0. The first: the mechanism predicts a larger FFRDC coefficient in absolute value at earlier program phases than at later ones, since the seam-management and independent-verification functions bite hardest during Phase B and Phase C, when interfaces are being defined and verification plans laid. A null finding at Phase B and Phase C set beside a non-null finding at Phase D would run against the mechanism and would point toward selection rather than the predicted causal pathway as the source of the observed effect.</w:t>
      </w:r>
    </w:p>
    <w:p>
      <w:pPr>
        <w:pStyle w:val="BodyText"/>
        <w:spacing w:line="480" w:lineRule="auto"/>
        <w:ind w:firstLine="720"/>
      </w:pPr>
      <w:r>
        <w:t xml:space="preserve">The second: the mechanism predicts the FFRDC effect insensitive to prime-contractor identity in the integration-and-verification subpopulation, since the FFRDC’s structural posture as a non-residual-claimant participant holds the same across primes. Should the FFRDC coefficient vary systematically with prime-contractor identity, that would point toward mediation by the relationship between the FFRDC and the specific prime rather than by the structural property the mechanism identifies.</w:t>
      </w:r>
    </w:p>
    <w:p>
      <w:pPr>
        <w:pStyle w:val="BodyText"/>
        <w:spacing w:line="480" w:lineRule="auto"/>
        <w:ind w:firstLine="720"/>
      </w:pPr>
      <w:r>
        <w:t xml:space="preserve">The third: the mechanism predicts a rework coefficient larger in magnitude than the cost or schedule coefficients in the integration-and-verification subpopulation. Should the rework coefficient come back smaller in magnitude than the cost or schedule coefficients, that would run against the prediction that the mechanism bites most directly on the rework margin, and would suggest that the cost and schedule effects, if observed, propagate through a pathway the theory does not specify.</w:t>
      </w:r>
    </w:p>
    <w:p>
      <w:pPr>
        <w:pStyle w:val="BodyText"/>
        <w:spacing w:line="480" w:lineRule="auto"/>
        <w:ind w:firstLine="720"/>
      </w:pPr>
      <w:r>
        <w:t xml:space="preserve">These three auxiliary predictions are not the test of H1 in themselves; they are the falsification conditions that separate a strict reading of H1 from a permissive one. A strict reading asks the principal coefficients to sign and reach significance in the predicted subpopulation and asks the auxiliary patterns on phase, prime, and rework to line up with the mechanism. A permissive reading asks only the principal coefficients. Chapter 5 reports both readings and marks which auxiliary predictions the data recover and which they miss. The qualitative arm of Chapter 6 supplies the residual-claimant characterization the contract record does not, and it provides the mechanism-level evidence that tells a causal interpretation of the principal coefficients apart from a residual selection interpretation.</w:t>
      </w:r>
    </w:p>
    <w:p>
      <w:pPr>
        <w:pStyle w:val="BodyText"/>
        <w:spacing w:line="480" w:lineRule="auto"/>
        <w:ind w:firstLine="720"/>
      </w:pPr>
      <w:r>
        <w:t xml:space="preserve">Narrower than the doctrine it tests, sharper than the program-level claim it succeeds, and engineered to be falsified on the data the dissertation has the resolution to observe: that is the theoretical framework of this chapter. The rest of the dissertation operationalizes it in the difference-in-differences design of Chapter 4, reports the principal estimates in Chapter 5, and folds in the qualitative evidence in Chapter 6.</w:t>
      </w:r>
    </w:p>
    <w:bookmarkEnd w:id="81"/>
    <w:bookmarkEnd w:id="82"/>
    <w:bookmarkStart w:id="97" w:name="chapter-4.-data-and-measurement"/>
    <w:p>
      <w:pPr>
        <w:pStyle w:val="Heading1"/>
        <w:spacing w:line="480" w:lineRule="auto"/>
      </w:pPr>
      <w:r>
        <w:t xml:space="preserve">Chapter 4. Data and Measurement</w:t>
      </w:r>
    </w:p>
    <w:bookmarkStart w:id="83" w:name="purpose-and-scope-of-the-chapter"/>
    <w:p>
      <w:pPr>
        <w:pStyle w:val="Heading2"/>
        <w:spacing w:line="480" w:lineRule="auto"/>
      </w:pPr>
      <w:r>
        <w:t xml:space="preserve">4.1 Purpose and Scope of the Chapter</w:t>
      </w:r>
    </w:p>
    <w:p>
      <w:pPr>
        <w:pStyle w:val="FirstParagraph"/>
        <w:spacing w:line="480" w:lineRule="auto"/>
      </w:pPr>
      <w:r>
        <w:t xml:space="preserve">Three registers organize how this chapter specifies the empirical materials the dissertation rests on. In the first, it describes the authoritative provenance of every primary record the two completed papers and the planned work-package-level extension depend on. In the second, it defines the unit of analysis at each resolution the dissertation works at, and it explains why the unit shifts between the paper-level regressions and the work-package-level identification strategy the prospectus lays out. In the third, it sets the construction rules for each variable, tracking each from the raw record in a Government Accountability Office product or a NASA cost engineering artifact through to the coded numeric or binary value that enters the analytic workbook. Exhaustive on construction, deliberately so: a reader who disputes a coding decision should be able to reverse it from the description and re-estimate the model.</w:t>
      </w:r>
    </w:p>
    <w:p>
      <w:pPr>
        <w:pStyle w:val="BodyText"/>
        <w:spacing w:line="480" w:lineRule="auto"/>
        <w:ind w:firstLine="720"/>
      </w:pPr>
      <w:r>
        <w:t xml:space="preserve">Four datasets give the chapter its spine. The first is the thirty-project Government Accountability Office (GAO) panel behind Paper 1</w:t>
      </w:r>
      <w:r>
        <w:t xml:space="preserve"> </w:t>
      </w:r>
      <w:hyperlink w:anchor="ref-4">
        <w:r>
          <w:rPr>
            <w:rStyle w:val="Hyperlink"/>
          </w:rPr>
          <w:t xml:space="preserve">[4]</w:t>
        </w:r>
      </w:hyperlink>
      <w:r>
        <w:t xml:space="preserve">. The second is the thirty-five-project GAO panel behind Paper 2, which pushes the reporting window to 2025 and folds in the formulation-phase Mars Sample Return estimate</w:t>
      </w:r>
      <w:r>
        <w:t xml:space="preserve"> </w:t>
      </w:r>
      <w:hyperlink w:anchor="ref-4">
        <w:r>
          <w:rPr>
            <w:rStyle w:val="Hyperlink"/>
          </w:rPr>
          <w:t xml:space="preserve">[4]</w:t>
        </w:r>
      </w:hyperlink>
      <w:r>
        <w:t xml:space="preserve">. The third is the planned NASA Cost Analysis Data Requirement (CADRe) corpus the dissertation will work at the work-package level, reached through the NASA ONCE database under a standard data-use agreement and linked to the NASA Acquisition Internet Service (NAIS) and to the federal-wide System for Award Management contract-actions extract. The fourth is the qualitative interview corpus the prospectus holds for the mechanism arm of the mixed-methods design. Each gets its own turn, and where two datasets share a variable definition the chapter consolidates the construction rule and flags the cross-reference.</w:t>
      </w:r>
    </w:p>
    <w:p>
      <w:pPr>
        <w:pStyle w:val="BodyText"/>
        <w:spacing w:line="480" w:lineRule="auto"/>
        <w:ind w:firstLine="720"/>
      </w:pPr>
      <w:r>
        <w:t xml:space="preserve">Two binding constraints, carried out of the prospectus and the two papers, discipline the chapter. One: no proprietary contractor data enter the analysis at any resolution. Every record a published or planned coefficient leans on comes from a public GAO product, a public NASA project page, a public congressional report, or the NASA cost engineering apparatus under a documented data-use agreement that admits academic use. Two: constructing the FFRDC treatment indicator is the most consequential coding decision in the dissertation, so the chapter gives it a section of its own and handles its construction with the explicitness the decision earns.</w:t>
      </w:r>
    </w:p>
    <w:bookmarkEnd w:id="83"/>
    <w:bookmarkStart w:id="84" w:name="authoritative-sources"/>
    <w:p>
      <w:pPr>
        <w:pStyle w:val="Heading2"/>
        <w:spacing w:line="480" w:lineRule="auto"/>
      </w:pPr>
      <w:r>
        <w:t xml:space="preserve">4.2 Authoritative Sources</w:t>
      </w:r>
    </w:p>
    <w:p>
      <w:pPr>
        <w:pStyle w:val="FirstParagraph"/>
        <w:spacing w:line="480" w:lineRule="auto"/>
      </w:pPr>
      <w:r>
        <w:t xml:space="preserve">The Government Accountability Office’s annual assessment of NASA major projects is the principal authoritative source for both Paper 1 and Paper 2. Its title shifts across its history, and the dissertation reads those shifts as cosmetic rather than substantive. Drawing that first panel are GAO-08-1004SP, GAO-12-207SP, GAO-13-276SP, GAO-14-338SP, GAO-15-315SP, GAO-16-309SP, GAO-17-262SP, GAO-18-280SP, GAO-20-405, GAO-21-306, GAO-22-105212, and GAO-23-106021</w:t>
      </w:r>
      <w:r>
        <w:t xml:space="preserve"> </w:t>
      </w:r>
      <w:hyperlink w:anchor="ref-4">
        <w:r>
          <w:rPr>
            <w:rStyle w:val="Hyperlink"/>
          </w:rPr>
          <w:t xml:space="preserve">[4]</w:t>
        </w:r>
      </w:hyperlink>
      <w:r>
        <w:t xml:space="preserve">. Paper 2 carries the list forward through GAO-24-106767 and GAO-25-107591 and folds in GAO-20-145, GAO-20-121, and GAO-21-105 as targeted authoritative sources for the human spaceflight transportation elements the annual assessment series handles in less standardized form than the science directorate’s flight projects</w:t>
      </w:r>
      <w:r>
        <w:t xml:space="preserve"> </w:t>
      </w:r>
      <w:hyperlink w:anchor="ref-4">
        <w:r>
          <w:rPr>
            <w:rStyle w:val="Hyperlink"/>
          </w:rPr>
          <w:t xml:space="preserve">[4]</w:t>
        </w:r>
      </w:hyperlink>
      <w:r>
        <w:t xml:space="preserve">[5][6][7][8].</w:t>
      </w:r>
    </w:p>
    <w:p>
      <w:pPr>
        <w:pStyle w:val="BodyText"/>
        <w:spacing w:line="480" w:lineRule="auto"/>
        <w:ind w:firstLine="720"/>
      </w:pPr>
      <w:r>
        <w:t xml:space="preserve">Why treat the annual assessment products as authoritative?</w:t>
      </w:r>
    </w:p>
    <w:p>
      <w:pPr>
        <w:pStyle w:val="BodyText"/>
        <w:spacing w:line="480" w:lineRule="auto"/>
        <w:ind w:firstLine="720"/>
      </w:pPr>
      <w:r>
        <w:t xml:space="preserve">Because GAO collects, audits, and stabilizes the cost and schedule baselines NASA reports against its own Key Decision Point framework, and because GAO publishes those baselines and their successive re-estimates in a tabular form reproducible from the published product alone. Where GAO and NASA diverge, the dissertation sides with GAO, on the grounds that GAO’s product is the audited public record while NASA’s project pages are operational artifacts that update without versioning. And where a NASA project page is the only source for an attribute GAO does not report, such as instrument count for a science mission whose payload manifest changed between Phase B and the most recent rebaseline, the dissertation cites the NASA project page directly and records the access date in the row’s source string in the analytic workbook.</w:t>
      </w:r>
    </w:p>
    <w:p>
      <w:pPr>
        <w:pStyle w:val="BodyText"/>
        <w:spacing w:line="480" w:lineRule="auto"/>
        <w:ind w:firstLine="720"/>
      </w:pPr>
      <w:r>
        <w:t xml:space="preserve">For the work-package-level extension the prospectus reserves as the dissertation’s core identification, the authoritative source is the NASA Cost Analysis Data Requirement corpus. CADRe is the cost engineering artifact NASA’s major projects must deliver at Phase B, at Key Decision Point C, and at successive rebaselines, and the one the NASA Cost Analysis Division keeps in the One NASA Cost Engineering (ONCE) database. It records cost and schedule baselines and actuals at a work-breakdown-structure resolution fine enough, for projects in continuous coverage from Phase B through Phase D, to pick out individual work packages. A standard data-use agreement the NASA Cost Analysis Division executes with academic researchers governs access to ONCE, and the dissertation leans on that instrument rather than on any proprietary contractor record. At the contract-action level CADRe records link to the NASA Acquisition Internet Service (NAIS), and at the federal contract level they link to the System for Award Management contract-actions extract, both public.</w:t>
      </w:r>
    </w:p>
    <w:p>
      <w:pPr>
        <w:pStyle w:val="BodyText"/>
        <w:spacing w:line="480" w:lineRule="auto"/>
        <w:ind w:firstLine="720"/>
      </w:pPr>
      <w:r>
        <w:t xml:space="preserve">FFRDC task-order metadata for the three NASA-sponsored FFRDCs that carry the dominant share of the dissertation’s treatment variation, the Jet Propulsion Laboratory, the MITRE Corporation’s Center for Advanced Aviation System Development insofar as it supports NASA missions, and the Aerospace Corporation’s NASA-supporting work, come from the public task-order summaries that accompany the annual congressional reporting each sponsor owes. These summaries are not the primary source for the binary treatment indicator Paper 1 and Paper 2 use, which is coded from the GAO assessments and NASA project pages. They are the authoritative source for the work-package-level treatment variable the dissertation will build for the staggered difference-in-differences design.</w:t>
      </w:r>
    </w:p>
    <w:bookmarkEnd w:id="84"/>
    <w:bookmarkStart w:id="85" w:name="unit-of-analysis"/>
    <w:p>
      <w:pPr>
        <w:pStyle w:val="Heading2"/>
        <w:spacing w:line="480" w:lineRule="auto"/>
      </w:pPr>
      <w:r>
        <w:t xml:space="preserve">4.3 Unit of Analysis</w:t>
      </w:r>
    </w:p>
    <w:p>
      <w:pPr>
        <w:pStyle w:val="FirstParagraph"/>
        <w:spacing w:line="480" w:lineRule="auto"/>
      </w:pPr>
      <w:r>
        <w:t xml:space="preserve">Three units of analysis run through the dissertation, and the chapter is explicit about which governs which estimate. Paper 1 and Paper 2 estimate at the project level. The unit of observation is a single NASA or NOAA major project for which GAO has published a Phase B or Agency Baseline Commitment cost baseline and at least one later life-cycle cost estimate. Each project enters the panel once, its most recent GAO-reported cost estimate carrying the realized cost growth and its Phase B or Agency Baseline Commitment carrying the denominator. A project appearing in several annual GAO products still contributes a single row, and the dissertation records in the workbook the GAO product identifier of the most recent assessment the realized cost came from.</w:t>
      </w:r>
    </w:p>
    <w:p>
      <w:pPr>
        <w:pStyle w:val="BodyText"/>
        <w:spacing w:line="480" w:lineRule="auto"/>
        <w:ind w:firstLine="720"/>
      </w:pPr>
      <w:r>
        <w:t xml:space="preserve">The dissertation’s core identification, held for the work-package extension and set out in the prospectus, works at the work-package level. There the unit of observation is a single work package within a single program in a single fiscal quarter, and the treatment is the presence of a non-trivial FFRDC task order against that work package in the quarter. The same project that contributes a single row to the Paper 1 panel contributes one row per work package per fiscal quarter to the work-package panel, the row count set by the project’s work-breakdown-structure resolution and by its span in continuous CADRe coverage.</w:t>
      </w:r>
    </w:p>
    <w:p>
      <w:pPr>
        <w:pStyle w:val="BodyText"/>
        <w:spacing w:line="480" w:lineRule="auto"/>
        <w:ind w:firstLine="720"/>
      </w:pPr>
      <w:r>
        <w:t xml:space="preserve">A third unit of analysis, the program manager, is where the qualitative arm works. The prospectus fixes twenty-four semi-structured interviews stratified across the three NASA mission directorates carrying the largest FFRDC spend. Each interview is a single observation in the qualitative corpus, the program manager as unit and the interview as record. The qualitative arm does not estimate effects at the program-manager unit; it recovers the decision logic behind treatment assignment at the work-package unit and characterizes the substitution-versus-complementarity distinction the contract record does not reveal.</w:t>
      </w:r>
    </w:p>
    <w:p>
      <w:pPr>
        <w:pStyle w:val="BodyText"/>
        <w:spacing w:line="480" w:lineRule="auto"/>
        <w:ind w:firstLine="720"/>
      </w:pPr>
      <w:r>
        <w:t xml:space="preserve">Two notes on the project-level unit are warranted. First, both Paper 1 and Paper 2 treat human spaceflight transportation elements as projects on the same footing as science missions, with instrument count set to zero for the transportation elements, consistent with the convention Paper 1 used</w:t>
      </w:r>
      <w:r>
        <w:t xml:space="preserve"> </w:t>
      </w:r>
      <w:hyperlink w:anchor="ref-4">
        <w:r>
          <w:rPr>
            <w:rStyle w:val="Hyperlink"/>
          </w:rPr>
          <w:t xml:space="preserve">[4]</w:t>
        </w:r>
      </w:hyperlink>
      <w:r>
        <w:t xml:space="preserve">[6][7]. The dissertation grants that a human spaceflight transportation element carries a difficulty profile different from a science mission’s in ways the regression’s controls only partly absorb, and it reports robustness checks in Paper 2 that drop the human spaceflight transportation elements. Second, neither Paper 1 nor Paper 2 separates formulation-phase from development-phase cost growth at the project unit. Paper 2 carries the Mars Sample Return formulation-phase estimate as a single observation and notes in its discussion that the observation drives a meaningful share of the panel’s variation</w:t>
      </w:r>
      <w:r>
        <w:t xml:space="preserve"> </w:t>
      </w:r>
      <w:hyperlink w:anchor="ref-4">
        <w:r>
          <w:rPr>
            <w:rStyle w:val="Hyperlink"/>
          </w:rPr>
          <w:t xml:space="preserve">[4]</w:t>
        </w:r>
      </w:hyperlink>
      <w:r>
        <w:t xml:space="preserve">. Enabling that separation, by exploiting CADRe’s quarterly resolution within projects, is part of what the work-package extension is designed for.</w:t>
      </w:r>
    </w:p>
    <w:bookmarkEnd w:id="85"/>
    <w:bookmarkStart w:id="93" w:name="Xb139268ddd08ede990684b466420ad084d204a3"/>
    <w:p>
      <w:pPr>
        <w:pStyle w:val="Heading2"/>
        <w:spacing w:line="480" w:lineRule="auto"/>
      </w:pPr>
      <w:r>
        <w:t xml:space="preserve">4.4 Variable Construction at the Project Level</w:t>
      </w:r>
    </w:p>
    <w:bookmarkStart w:id="86" w:name="cost-growth"/>
    <w:p>
      <w:pPr>
        <w:pStyle w:val="Heading3"/>
        <w:spacing w:line="480" w:lineRule="auto"/>
      </w:pPr>
      <w:r>
        <w:t xml:space="preserve">4.4.1 Cost Growth</w:t>
      </w:r>
    </w:p>
    <w:p>
      <w:pPr>
        <w:pStyle w:val="FirstParagraph"/>
        <w:spacing w:line="480" w:lineRule="auto"/>
      </w:pPr>
      <w:r>
        <w:t xml:space="preserve">In both Paper 1 and Paper 2 the dependent variable is cost growth. It is built as the percentage change from the project’s Phase B baseline life-cycle cost, or where Phase B is not the binding baseline the Agency Baseline Commitment, to the most recent life-cycle cost estimate GAO reports. Numerator: the most recent estimate minus the baseline. Denominator: the baseline. The quotient rides a factor of one hundred so the variable enters the regression in percentage-point units. Throughout its panel Paper 1 uses the Phase B baseline as the convention. Paper 2 follows the same convention while admitting the Agency Baseline Commitment for a small number of projects whose Phase B baseline is not the binding figure in the GAO product</w:t>
      </w:r>
      <w:r>
        <w:t xml:space="preserve"> </w:t>
      </w:r>
      <w:hyperlink w:anchor="ref-4">
        <w:r>
          <w:rPr>
            <w:rStyle w:val="Hyperlink"/>
          </w:rPr>
          <w:t xml:space="preserve">[4]</w:t>
        </w:r>
      </w:hyperlink>
      <w:r>
        <w:t xml:space="preserve">.</w:t>
      </w:r>
    </w:p>
    <w:p>
      <w:pPr>
        <w:pStyle w:val="BodyText"/>
        <w:spacing w:line="480" w:lineRule="auto"/>
        <w:ind w:firstLine="720"/>
      </w:pPr>
      <w:r>
        <w:t xml:space="preserve">The choice of baseline year-of-dollars convention makes the construction rule sensitive. For some projects GAO reports both then-year and constant-year figures, and for others only one. Where both are available the dissertation takes the then-year figure as canonical, since the then-year figure is what the program office’s rebaseline pressure operates against and what the doctrine of FFRDC cost discipline would have to deliver against. Where only constant-year figures are available it records the constant-year figure and flags the substitution in the source string. Robustness to the convention is what Paper 2 examines, by re-estimating the model on the subsample where both figures are available; the chapter pre-specifies nothing about the form of that check beyond noting it as the natural one.</w:t>
      </w:r>
    </w:p>
    <w:bookmarkEnd w:id="86"/>
    <w:bookmarkStart w:id="87" w:name="ffrdc-systems-engineering-indicator"/>
    <w:p>
      <w:pPr>
        <w:pStyle w:val="Heading3"/>
        <w:spacing w:line="480" w:lineRule="auto"/>
      </w:pPr>
      <w:r>
        <w:t xml:space="preserve">4.4.2 FFRDC Systems Engineering Indicator</w:t>
      </w:r>
    </w:p>
    <w:p>
      <w:pPr>
        <w:pStyle w:val="FirstParagraph"/>
        <w:spacing w:line="480" w:lineRule="auto"/>
      </w:pPr>
      <w:r>
        <w:t xml:space="preserve">The treatment variable of interest in both papers, and the most consequential coding decision in the dissertation, is the FFRDC systems engineering indicator. Paper 1’s construction rule, which Paper 2 inherits with the broadening below, runs as follows</w:t>
      </w:r>
      <w:r>
        <w:t xml:space="preserve"> </w:t>
      </w:r>
      <w:hyperlink w:anchor="ref-4">
        <w:r>
          <w:rPr>
            <w:rStyle w:val="Hyperlink"/>
          </w:rPr>
          <w:t xml:space="preserve">[4]</w:t>
        </w:r>
      </w:hyperlink>
      <w:r>
        <w:t xml:space="preserve">. It takes the value one when the documented prime systems engineering and technical assurance role on the project is performed by a NASA FFRDC, by a university-affiliated research center operating under terms equivalent to FFRDC status for the mission in question, or by a NASA center with substantial and documented FFRDC systems-engineering-and-technical-assurance support. It takes the value zero when the systems engineering integration role runs industry-prime-led and no FFRDC systems engineering role is documented in the public record.</w:t>
      </w:r>
    </w:p>
    <w:p>
      <w:pPr>
        <w:pStyle w:val="BodyText"/>
        <w:spacing w:line="480" w:lineRule="auto"/>
        <w:ind w:firstLine="720"/>
      </w:pPr>
      <w:r>
        <w:t xml:space="preserve">Three sub-rules govern the coding. Documentation binds: a project reads one only when the FFRDC role is documented in a GAO product, a NASA project page, or the FFRDC sponsor’s congressional reporting, and a project where the FFRDC role is plausible but undocumented reads zero and gets flagged in the workbook for follow-up. Primacy binds: the FFRDC role has to be the prime systems engineering and technical assurance role, not an instrument-level or subsystem-level contribution, so a project on which an FFRDC contributes an instrument without holding the prime systems engineering role reads zero. Recency binds: the indicator is set at the project’s most recent GAO-reported assessment, and projects that moved the systems engineering role from an FFRDC to an industry prime or back are recoded at the transition, with the workbook flagging them for sensitivity analysis.</w:t>
      </w:r>
    </w:p>
    <w:p>
      <w:pPr>
        <w:pStyle w:val="BodyText"/>
        <w:spacing w:line="480" w:lineRule="auto"/>
        <w:ind w:firstLine="720"/>
      </w:pPr>
      <w:r>
        <w:t xml:space="preserve">Paper 2 broadens the indicator slightly. Paper 2 codes the indicator one for projects with substantial FFRDC technical or programmatic support, not only for projects on which an FFRDC holds the prime systems engineering role</w:t>
      </w:r>
      <w:r>
        <w:t xml:space="preserve"> </w:t>
      </w:r>
      <w:hyperlink w:anchor="ref-4">
        <w:r>
          <w:rPr>
            <w:rStyle w:val="Hyperlink"/>
          </w:rPr>
          <w:t xml:space="preserve">[4]</w:t>
        </w:r>
      </w:hyperlink>
      <w:r>
        <w:t xml:space="preserve">. That broadening carries consequences. Paper 2’s positive and marginally significant coefficient on the broadened indicator squares with the selection interpretation both papers push, that FFRDC support concentrates on the most technically demanding portions of the portfolio and the coefficient tracks that concentration rather than a discipline effect. Both codings sit in the workbook, and Paper 2 reports the narrower coding as a robustness specification.</w:t>
      </w:r>
    </w:p>
    <w:bookmarkEnd w:id="87"/>
    <w:bookmarkStart w:id="88" w:name="planned-development-duration"/>
    <w:p>
      <w:pPr>
        <w:pStyle w:val="Heading3"/>
        <w:spacing w:line="480" w:lineRule="auto"/>
      </w:pPr>
      <w:r>
        <w:t xml:space="preserve">4.4.3 Planned Development Duration</w:t>
      </w:r>
    </w:p>
    <w:p>
      <w:pPr>
        <w:pStyle w:val="FirstParagraph"/>
        <w:spacing w:line="480" w:lineRule="auto"/>
      </w:pPr>
      <w:r>
        <w:t xml:space="preserve">Planned development duration is the months between Key Decision Point C and the planned launch readiness date in the project’s Phase B baseline. It enters Paper 1 as a control for project difficulty, on the reasoning that longer planned development arcs pile up more decision points and more rebaseline pressure</w:t>
      </w:r>
      <w:r>
        <w:t xml:space="preserve"> </w:t>
      </w:r>
      <w:hyperlink w:anchor="ref-4">
        <w:r>
          <w:rPr>
            <w:rStyle w:val="Hyperlink"/>
          </w:rPr>
          <w:t xml:space="preserve">[4]</w:t>
        </w:r>
      </w:hyperlink>
      <w:r>
        <w:t xml:space="preserve">. Construction is mechanical: numerator the planned launch readiness date minus the Key Decision Point C date, denominator one month, both dates out of the GAO product that establishes the project’s Phase B baseline. Where that baseline reports no Key Decision Point C date, the dissertation records the earliest publicly reported development-start milestone and notes the substitution.</w:t>
      </w:r>
    </w:p>
    <w:bookmarkEnd w:id="88"/>
    <w:bookmarkStart w:id="89" w:name="instrument-count"/>
    <w:p>
      <w:pPr>
        <w:pStyle w:val="Heading3"/>
        <w:spacing w:line="480" w:lineRule="auto"/>
      </w:pPr>
      <w:r>
        <w:t xml:space="preserve">4.4.4 Instrument Count</w:t>
      </w:r>
    </w:p>
    <w:p>
      <w:pPr>
        <w:pStyle w:val="FirstParagraph"/>
        <w:spacing w:line="480" w:lineRule="auto"/>
      </w:pPr>
      <w:r>
        <w:t xml:space="preserve">Instrument count is the number of distinct science instruments or major flight payloads in the project’s as-baselined design, entering Paper 1 as a control for project difficulty alongside planned development duration</w:t>
      </w:r>
      <w:r>
        <w:t xml:space="preserve"> </w:t>
      </w:r>
      <w:hyperlink w:anchor="ref-4">
        <w:r>
          <w:rPr>
            <w:rStyle w:val="Hyperlink"/>
          </w:rPr>
          <w:t xml:space="preserve">[4]</w:t>
        </w:r>
      </w:hyperlink>
      <w:r>
        <w:t xml:space="preserve">. The rule fixes the instrument count for a science mission at the number of distinct science instruments listed in the project’s Phase B science traceability matrix, or where that matrix is not publicly available, at the number of instruments listed on the NASA project page at the date of the Phase B baseline. For human spaceflight transportation elements carrying no science payload, instrument count is set to zero. That treatment of the transportation elements holds uniform across the two papers and is the binding convention the dissertation will not relax without robustness reporting.</w:t>
      </w:r>
    </w:p>
    <w:bookmarkEnd w:id="89"/>
    <w:bookmarkStart w:id="90" w:name="complexity-index"/>
    <w:p>
      <w:pPr>
        <w:pStyle w:val="Heading3"/>
        <w:spacing w:line="480" w:lineRule="auto"/>
      </w:pPr>
      <w:r>
        <w:t xml:space="preserve">4.4.5 Complexity Index</w:t>
      </w:r>
    </w:p>
    <w:p>
      <w:pPr>
        <w:pStyle w:val="FirstParagraph"/>
        <w:spacing w:line="480" w:lineRule="auto"/>
      </w:pPr>
      <w:r>
        <w:t xml:space="preserve">Complexity index is a Paper 2 variable absent from Paper 1</w:t>
      </w:r>
      <w:r>
        <w:t xml:space="preserve"> </w:t>
      </w:r>
      <w:hyperlink w:anchor="ref-4">
        <w:r>
          <w:rPr>
            <w:rStyle w:val="Hyperlink"/>
          </w:rPr>
          <w:t xml:space="preserve">[4]</w:t>
        </w:r>
      </w:hyperlink>
      <w:r>
        <w:t xml:space="preserve">. It is the ordinal one-to-five index GAO derives from subsystem count and technology readiness level profile and reports in successive annual assessments. In Paper 2 it enters in place of, rather than in addition to, the planned development duration and instrument count controls Paper 1 used. Paper 2 reports the complexity index coefficient small and statistically indistinguishable from zero in the presence of the schedule slip and FFRDC controls, which the chapter notes here as a property of the variable rather than a finding to be repeated. Drawn directly from the GAO product, the complexity index is not recomputed.</w:t>
      </w:r>
    </w:p>
    <w:bookmarkEnd w:id="90"/>
    <w:bookmarkStart w:id="91" w:name="baseline-life-cycle-cost"/>
    <w:p>
      <w:pPr>
        <w:pStyle w:val="Heading3"/>
        <w:spacing w:line="480" w:lineRule="auto"/>
      </w:pPr>
      <w:r>
        <w:t xml:space="preserve">4.4.6 Baseline Life-Cycle Cost</w:t>
      </w:r>
    </w:p>
    <w:p>
      <w:pPr>
        <w:pStyle w:val="FirstParagraph"/>
        <w:spacing w:line="480" w:lineRule="auto"/>
      </w:pPr>
      <w:r>
        <w:t xml:space="preserve">Baseline life-cycle cost is a Paper 2 control entering the regression in millions of dollars. It is the Phase B life-cycle cost figure, in then-year dollars where available and constant-year dollars otherwise, out of the GAO product that establishes the baseline</w:t>
      </w:r>
      <w:r>
        <w:t xml:space="preserve"> </w:t>
      </w:r>
      <w:hyperlink w:anchor="ref-4">
        <w:r>
          <w:rPr>
            <w:rStyle w:val="Hyperlink"/>
          </w:rPr>
          <w:t xml:space="preserve">[4]</w:t>
        </w:r>
      </w:hyperlink>
      <w:r>
        <w:t xml:space="preserve">. The dissertation records the year-of-dollars convention in the source string. In Paper 2 the baseline life-cycle cost variable is the same Phase B figure that enters the cost growth denominator, expressed in millions rather than as a percentage and entered in level form.</w:t>
      </w:r>
    </w:p>
    <w:bookmarkEnd w:id="91"/>
    <w:bookmarkStart w:id="92" w:name="schedule-slip"/>
    <w:p>
      <w:pPr>
        <w:pStyle w:val="Heading3"/>
        <w:spacing w:line="480" w:lineRule="auto"/>
      </w:pPr>
      <w:r>
        <w:t xml:space="preserve">4.4.7 Schedule Slip</w:t>
      </w:r>
    </w:p>
    <w:p>
      <w:pPr>
        <w:pStyle w:val="FirstParagraph"/>
        <w:spacing w:line="480" w:lineRule="auto"/>
      </w:pPr>
      <w:r>
        <w:t xml:space="preserve">Schedule slip is the months of launch readiness date slip from the project’s Phase B baseline. Paper 1’s analytic workbook carries the variable as an auxiliary observable, and it does not enter the Paper 1 regression</w:t>
      </w:r>
      <w:r>
        <w:t xml:space="preserve"> </w:t>
      </w:r>
      <w:hyperlink w:anchor="ref-4">
        <w:r>
          <w:rPr>
            <w:rStyle w:val="Hyperlink"/>
          </w:rPr>
          <w:t xml:space="preserve">[4]</w:t>
        </w:r>
      </w:hyperlink>
      <w:r>
        <w:t xml:space="preserve">. Paper 2 admits it as a control, on the reasoning that schedule slip and cost growth co-vary and that the FFRDC coefficient should be estimated holding the schedule slip channel fixed. Construction is mechanical: numerator the most recent GAO-reported launch readiness date minus the Phase B planned launch readiness date, denominator one month. For projects that have launched, the variable carries the realized slip at launch. For projects that have not, it carries the slip from baseline to the most recent GAO-reported planned launch readiness date.</w:t>
      </w:r>
    </w:p>
    <w:bookmarkEnd w:id="92"/>
    <w:bookmarkEnd w:id="93"/>
    <w:bookmarkStart w:id="94" w:name="X82be3c04d1e95c926cc7e6a0b9b652193f2f85c"/>
    <w:p>
      <w:pPr>
        <w:pStyle w:val="Heading2"/>
        <w:spacing w:line="480" w:lineRule="auto"/>
      </w:pPr>
      <w:r>
        <w:t xml:space="preserve">4.5 Variable Construction at the Work-Package Level</w:t>
      </w:r>
    </w:p>
    <w:p>
      <w:pPr>
        <w:pStyle w:val="FirstParagraph"/>
        <w:spacing w:line="480" w:lineRule="auto"/>
      </w:pPr>
      <w:r>
        <w:t xml:space="preserve">The work-package extension the prospectus reserves as the dissertation’s core identification needs a separate variable specification, because the unit of observation moves from the project to the work package and the time resolution moves from the most recent assessment to the fiscal quarter. The chapter sets the construction rule for each variable in the work-package panel, noting the rule is pre-specified for execution under the CADRe data-use agreement and will be re-described in the empirical chapter that reports the work-package regressions.</w:t>
      </w:r>
    </w:p>
    <w:p>
      <w:pPr>
        <w:pStyle w:val="BodyText"/>
        <w:spacing w:line="480" w:lineRule="auto"/>
        <w:ind w:firstLine="720"/>
      </w:pPr>
      <w:r>
        <w:t xml:space="preserve">Cost growth at the work-package level is the percentage change from the work package’s most recent rebaseline cost figure in CADRe to the cost actuals reported in the same record at the close of the fiscal quarter. Numerator the actuals minus the rebaseline, denominator the rebaseline, quotient times one hundred. The rebaseline here is the most recent figure in the CADRe record as of the quarter start, not the original Phase B figure, on the reasoning that the dissertation’s interest lies in the marginal effect of FFRDC participation conditional on the most recent decision point.</w:t>
      </w:r>
    </w:p>
    <w:p>
      <w:pPr>
        <w:pStyle w:val="BodyText"/>
        <w:spacing w:line="480" w:lineRule="auto"/>
        <w:ind w:firstLine="720"/>
      </w:pPr>
      <w:r>
        <w:t xml:space="preserve">Schedule slip at the work-package level is the months of slip in the work package’s milestone schedule against the most recent integrated master schedule in CADRe. Construction parallels the project-level construction and uses the same one-month denominator.</w:t>
      </w:r>
    </w:p>
    <w:p>
      <w:pPr>
        <w:pStyle w:val="BodyText"/>
        <w:spacing w:line="480" w:lineRule="auto"/>
        <w:ind w:firstLine="720"/>
      </w:pPr>
      <w:r>
        <w:t xml:space="preserve">The rework indicator at the work-package level is a binary variable that reads one when the program manager’s monthly report for the fiscal quarter documents rework against the work package and zero otherwise. It is built from program-manager monthly reports under the standard NASA program management reporting convention. The prospectus notes the rework indicator is open to reporting discretion and that the analysis will report results both with and without the rework outcome, and the chapter records the construction rule and the reporting-discretion caveat together.</w:t>
      </w:r>
    </w:p>
    <w:p>
      <w:pPr>
        <w:pStyle w:val="BodyText"/>
        <w:spacing w:line="480" w:lineRule="auto"/>
        <w:ind w:firstLine="720"/>
      </w:pPr>
      <w:r>
        <w:t xml:space="preserve">The FFRDC task-order treatment indicator at the work-package level is a binary variable that reads one when a non-trivial FFRDC task order is documented against the work package in the fiscal quarter and zero otherwise. Its non-triviality threshold sits at the level the relevant FFRDC sponsor uses in its congressional reporting, recorded explicitly in the workbook. This variable is the treatment in the staggered difference-in-differences design.</w:t>
      </w:r>
    </w:p>
    <w:p>
      <w:pPr>
        <w:pStyle w:val="BodyText"/>
        <w:spacing w:line="480" w:lineRule="auto"/>
        <w:ind w:firstLine="720"/>
      </w:pPr>
      <w:r>
        <w:t xml:space="preserve">The technology readiness level, program phase, mission directorate, and prime contractor identity controls come directly from CADRe and from the NAIS and SAM.gov contract-actions extract. None of the four controls is recomputed.</w:t>
      </w:r>
    </w:p>
    <w:bookmarkEnd w:id="94"/>
    <w:bookmarkStart w:id="95" w:name="construction-of-the-qualitative-corpus"/>
    <w:p>
      <w:pPr>
        <w:pStyle w:val="Heading2"/>
        <w:spacing w:line="480" w:lineRule="auto"/>
      </w:pPr>
      <w:r>
        <w:t xml:space="preserve">4.6 Construction of the Qualitative Corpus</w:t>
      </w:r>
    </w:p>
    <w:p>
      <w:pPr>
        <w:pStyle w:val="FirstParagraph"/>
        <w:spacing w:line="480" w:lineRule="auto"/>
      </w:pPr>
      <w:r>
        <w:t xml:space="preserve">Twenty-four semi-structured interviews with civil space program managers, stratified across the three NASA mission directorates carrying the largest FFRDC spend, feed the qualitative arm, as the prospectus specifies. The corpus is built under an institutional review board protocol filed with the candidate’s home institution. Its unit of observation is the interview. The recording is the primary artifact, the transcript the analytic one. The coding scheme is held for the empirical chapter that reports the qualitative findings, and the data and measurement chapter does not pre-specify it beyond the substitution-versus-complementarity distinction the prospectus reserves.</w:t>
      </w:r>
    </w:p>
    <w:p>
      <w:pPr>
        <w:pStyle w:val="BodyText"/>
        <w:spacing w:line="480" w:lineRule="auto"/>
        <w:ind w:firstLine="720"/>
      </w:pPr>
      <w:r>
        <w:t xml:space="preserve">The qualitative corpus is not used to estimate effects in the quantitative sense. It recovers the decision logic behind treatment assignment, characterizes mechanisms the quantitative arm cannot identify, and disciplines the interpretation of the work-package-level FFRDC coefficient. The chapter notes the distinction explicitly, because the dissertation’s mixed-methods design hands the two arms different evidentiary functions.</w:t>
      </w:r>
    </w:p>
    <w:bookmarkEnd w:id="95"/>
    <w:bookmarkStart w:id="96" w:name="boundary-conditions-and-reproducibility"/>
    <w:p>
      <w:pPr>
        <w:pStyle w:val="Heading2"/>
        <w:spacing w:line="480" w:lineRule="auto"/>
      </w:pPr>
      <w:r>
        <w:t xml:space="preserve">4.7 Boundary Conditions and Reproducibility</w:t>
      </w:r>
    </w:p>
    <w:p>
      <w:pPr>
        <w:pStyle w:val="FirstParagraph"/>
        <w:spacing w:line="480" w:lineRule="auto"/>
      </w:pPr>
      <w:r>
        <w:t xml:space="preserve">To close, the chapter states the boundary conditions on the construction rules.</w:t>
      </w:r>
    </w:p>
    <w:p>
      <w:pPr>
        <w:pStyle w:val="BodyText"/>
        <w:spacing w:line="480" w:lineRule="auto"/>
        <w:ind w:firstLine="720"/>
      </w:pPr>
      <w:r>
        <w:t xml:space="preserve">Every variable in both papers’ analytic workbooks carries a source string identifying the GAO product number and any supporting NASA project page citation, and that source string is the reproducibility instrument: a reader who disputes a coding decision should be able to reverse it from the source string alone. No proprietary contractor data enter at any resolution, so every record is either public or obtainable under the CADRe data-use agreement. The FFRDC indicator’s construction, being the most consequential coding decision in the dissertation, gets the explicitness the decision earns, both the narrower Paper 1 coding and the broader Paper 2 coding recorded in the workbook and both held available for sensitivity analysis. The work-package-level variable specification is pre-specified here so the empirical chapter that reports the work-package regressions inherits the construction rather than re-specifying it. And the dissertation’s sectoral framing, that public-sector coordination architecture is a determinant of investment efficiency in the space economy</w:t>
      </w:r>
      <w:r>
        <w:t xml:space="preserve"> </w:t>
      </w:r>
      <w:hyperlink w:anchor="ref-1">
        <w:r>
          <w:rPr>
            <w:rStyle w:val="Hyperlink"/>
          </w:rPr>
          <w:t xml:space="preserve">[1]</w:t>
        </w:r>
      </w:hyperlink>
      <w:r>
        <w:t xml:space="preserve">[5], that the institutional mix inside the public sector has been treated as exogenous by the standing literature</w:t>
      </w:r>
      <w:r>
        <w:t xml:space="preserve"> </w:t>
      </w:r>
      <w:hyperlink w:anchor="ref-2">
        <w:r>
          <w:rPr>
            <w:rStyle w:val="Hyperlink"/>
          </w:rPr>
          <w:t xml:space="preserve">[2]</w:t>
        </w:r>
      </w:hyperlink>
      <w:r>
        <w:t xml:space="preserve">, and that the demand-side governance fabric in which civil space mission programs sit has expanded</w:t>
      </w:r>
      <w:r>
        <w:t xml:space="preserve"> </w:t>
      </w:r>
      <w:hyperlink w:anchor="ref-3">
        <w:r>
          <w:rPr>
            <w:rStyle w:val="Hyperlink"/>
          </w:rPr>
          <w:t xml:space="preserve">[3]</w:t>
        </w:r>
      </w:hyperlink>
      <w:r>
        <w:t xml:space="preserve">, is carried in the chapter as the rationale for treating the FFRDC indicator as the variable of analytic interest rather than a covariate of convenience.</w:t>
      </w:r>
    </w:p>
    <w:p>
      <w:pPr>
        <w:pStyle w:val="BodyText"/>
        <w:spacing w:line="480" w:lineRule="auto"/>
        <w:ind w:firstLine="720"/>
      </w:pPr>
      <w:r>
        <w:t xml:space="preserve">The two completed papers and the planned work-package extension stand or fall on the construction rules above. Exhaustive description is where the chapter has erred, because the FFRDC comparative-advantage question is one on which reasonable readers will disagree about the coding before they disagree about the coefficient, and because the dissertation’s contribution reads more credible when the construction is reversible than when the coefficient is rhetorically defended.</w:t>
      </w:r>
    </w:p>
    <w:bookmarkEnd w:id="96"/>
    <w:bookmarkEnd w:id="97"/>
    <w:bookmarkStart w:id="117" w:name="chapter-5.-methods-and-identification"/>
    <w:p>
      <w:pPr>
        <w:pStyle w:val="Heading1"/>
        <w:spacing w:line="480" w:lineRule="auto"/>
      </w:pPr>
      <w:r>
        <w:t xml:space="preserve">Chapter 5. Methods and Identification</w:t>
      </w:r>
    </w:p>
    <w:bookmarkStart w:id="98" w:name="overview"/>
    <w:p>
      <w:pPr>
        <w:pStyle w:val="Heading2"/>
        <w:spacing w:line="480" w:lineRule="auto"/>
      </w:pPr>
      <w:r>
        <w:t xml:space="preserve">5.1 Overview</w:t>
      </w:r>
    </w:p>
    <w:p>
      <w:pPr>
        <w:pStyle w:val="FirstParagraph"/>
        <w:spacing w:line="480" w:lineRule="auto"/>
      </w:pPr>
      <w:r>
        <w:t xml:space="preserve">The prior literature has stated a question without ever estimating it: inside a civil space mission program, where does a Federally Funded Research and Development Center actually shift the joint distribution of execution outcomes, and where does it leave that distribution alone?</w:t>
      </w:r>
    </w:p>
    <w:p>
      <w:pPr>
        <w:pStyle w:val="BodyText"/>
        <w:spacing w:line="480" w:lineRule="auto"/>
        <w:ind w:firstLine="720"/>
      </w:pPr>
      <w:r>
        <w:t xml:space="preserve">The empirical strategy here is engineered to answer it. The chapter lays out the estimators the quantitative arm uses, the identification strategy that lets those estimators read as more than descriptive, and the threats to validity that fence in the credibility of the estimates. Each threat travels with the specific design choice or sensitivity test that fences it, so a reader can audit the inferential chain without stepping outside the chapter.</w:t>
      </w:r>
    </w:p>
    <w:p>
      <w:pPr>
        <w:pStyle w:val="BodyText"/>
        <w:spacing w:line="480" w:lineRule="auto"/>
        <w:ind w:firstLine="720"/>
      </w:pPr>
      <w:r>
        <w:t xml:space="preserve">Five parts carry the chapter. Section 5.2 fixes the unit of analysis, the treatment, the outcomes, and the controls. Section 5.3 lays out the estimators, opening with the baseline ordinary least squares (OLS) regression the two prior research papers ran at the project level</w:t>
      </w:r>
      <w:r>
        <w:t xml:space="preserve"> </w:t>
      </w:r>
      <w:hyperlink w:anchor="ref-1">
        <w:r>
          <w:rPr>
            <w:rStyle w:val="Hyperlink"/>
          </w:rPr>
          <w:t xml:space="preserve">[1]</w:t>
        </w:r>
      </w:hyperlink>
      <w:r>
        <w:t xml:space="preserve">[2] and climbing to the staggered difference-in-differences (DiD) and event-study specifications that work at the work-package level. Section 5.4 sets out the identification strategy, with the parallel trends assumption, the no-anticipation assumption, and the recent econometric corrections to two-way fixed-effects designs under staggered adoption all held explicitly in view. Section 5.5 walks through the threats to validity and the bounding strategy for each. Section 5.6 fixes the qualitative arm and the way it is integrated with the quantitative estimates to recover mechanisms the contract record does not reveal.</w:t>
      </w:r>
    </w:p>
    <w:p>
      <w:pPr>
        <w:pStyle w:val="BodyText"/>
        <w:spacing w:line="480" w:lineRule="auto"/>
        <w:ind w:firstLine="720"/>
      </w:pPr>
      <w:r>
        <w:t xml:space="preserve">What the dissertation’s research papers have already taught constrains the choices documented here. Paper 1’s OLS estimate handed back a positive but statistically indistinguishable FFRDC coefficient of plus 8.83 percentage points of cost growth on a thirty-project panel, the duration covariate coming closest to a marginal result</w:t>
      </w:r>
      <w:r>
        <w:t xml:space="preserve"> </w:t>
      </w:r>
      <w:hyperlink w:anchor="ref-1">
        <w:r>
          <w:rPr>
            <w:rStyle w:val="Hyperlink"/>
          </w:rPr>
          <w:t xml:space="preserve">[1]</w:t>
        </w:r>
      </w:hyperlink>
      <w:r>
        <w:t xml:space="preserve">. Paper 2’s OLS estimate handed back a positive FFRDC coefficient of plus 22.28 percentage points, marginally significant at the ten percent level, with schedule slip owning the explanatory power at 1.66 percentage points of cost growth per month of slip</w:t>
      </w:r>
      <w:r>
        <w:t xml:space="preserve"> </w:t>
      </w:r>
      <w:hyperlink w:anchor="ref-2">
        <w:r>
          <w:rPr>
            <w:rStyle w:val="Hyperlink"/>
          </w:rPr>
          <w:t xml:space="preserve">[2]</w:t>
        </w:r>
      </w:hyperlink>
      <w:r>
        <w:t xml:space="preserve">. Both estimates square with the selection story the doctrine has invited and never confronted: FFRDCs get routed to the hardest work, so any project-level comparison runs biased against finding cost discipline even where cost discipline is real. Escaping that bias is exactly what the dissertation methodology is built for.</w:t>
      </w:r>
    </w:p>
    <w:bookmarkEnd w:id="98"/>
    <w:bookmarkStart w:id="103" w:name="Xc33eba85fabb76a7d891402eebb603ff265b3b1"/>
    <w:p>
      <w:pPr>
        <w:pStyle w:val="Heading2"/>
        <w:spacing w:line="480" w:lineRule="auto"/>
      </w:pPr>
      <w:r>
        <w:t xml:space="preserve">5.2 Unit of Analysis, Treatment, Outcomes, and Controls</w:t>
      </w:r>
    </w:p>
    <w:bookmarkStart w:id="99" w:name="the-work-package-unit"/>
    <w:p>
      <w:pPr>
        <w:pStyle w:val="Heading3"/>
        <w:spacing w:line="480" w:lineRule="auto"/>
      </w:pPr>
      <w:r>
        <w:t xml:space="preserve">5.2.1 The work-package unit</w:t>
      </w:r>
    </w:p>
    <w:p>
      <w:pPr>
        <w:pStyle w:val="FirstParagraph"/>
        <w:spacing w:line="480" w:lineRule="auto"/>
      </w:pPr>
      <w:r>
        <w:t xml:space="preserve">The unit of analysis is the work package, indexed at the lowest stable level of the work breakdown structure (WBS) the Cost Analysis Data Requirement (CADRe) records sustain across a program’s life cycle. Descending one full level below the project-level units the prior papers ran, this choice is the methodological pivot of the dissertation. At the project level, treatment status is a fixed attribute of the observation: a project either is or is not FFRDC-supported, and the cost-growth distribution gets read once. At the work-package level, treatment status varies within program, within phase, and within fiscal quarter. A single program can hold FFRDC-supported integration work packages and non-FFRDC hardware production work packages at the same time, and the cost and schedule histories of those work packages can be compared without ever leaving the program-level fixed effect.</w:t>
      </w:r>
    </w:p>
    <w:p>
      <w:pPr>
        <w:pStyle w:val="BodyText"/>
        <w:spacing w:line="480" w:lineRule="auto"/>
        <w:ind w:firstLine="720"/>
      </w:pPr>
      <w:r>
        <w:t xml:space="preserve">A work package enters the panel when CADRe first records a baselined cost and an integrated master schedule reference for it. It leaves when the program closes or when CADRe stops recording it. Work packages with fewer than four quarters of continuous coverage drop out, since within-unit identification needs a pre and post window. Unbalanced by construction, the panel carries that asymmetry rather than imputing missing quarters.</w:t>
      </w:r>
    </w:p>
    <w:bookmarkEnd w:id="99"/>
    <w:bookmarkStart w:id="100" w:name="treatment-definition"/>
    <w:p>
      <w:pPr>
        <w:pStyle w:val="Heading3"/>
        <w:spacing w:line="480" w:lineRule="auto"/>
      </w:pPr>
      <w:r>
        <w:t xml:space="preserve">5.2.2 Treatment definition</w:t>
      </w:r>
    </w:p>
    <w:p>
      <w:pPr>
        <w:pStyle w:val="FirstParagraph"/>
        <w:spacing w:line="480" w:lineRule="auto"/>
      </w:pPr>
      <w:r>
        <w:t xml:space="preserve">The treatment is the presence of a non-trivial FFRDC task order against a work package in a given fiscal quarter. A task order counts as non-trivial when its obligated value in the quarter clears a threshold set at the twenty-fifth percentile of the program’s non-zero FFRDC task-order values, a definition robust to the heterogeneity of FFRDC engagement across NASA’s three largest FFRDC-spending mission directorates. The treatment indicator is denoted</w:t>
      </w:r>
      <w:r>
        <w:t xml:space="preserve"> </w:t>
      </w:r>
      <m:oMath>
        <m:sSub>
          <m:e>
            <m:r>
              <m:t>D</m:t>
            </m:r>
          </m:e>
          <m:sub>
            <m:r>
              <m:t>i</m:t>
            </m:r>
            <m:r>
              <m:t>p</m:t>
            </m:r>
            <m:r>
              <m:t>t</m:t>
            </m:r>
          </m:sub>
        </m:sSub>
      </m:oMath>
      <w:r>
        <w:t xml:space="preserve">, where</w:t>
      </w:r>
      <w:r>
        <w:t xml:space="preserve"> </w:t>
      </w:r>
      <m:oMath>
        <m:r>
          <m:t>i</m:t>
        </m:r>
      </m:oMath>
      <w:r>
        <w:t xml:space="preserve"> </w:t>
      </w:r>
      <w:r>
        <w:t xml:space="preserve">indexes the work package,</w:t>
      </w:r>
      <w:r>
        <w:t xml:space="preserve"> </w:t>
      </w:r>
      <m:oMath>
        <m:r>
          <m:t>p</m:t>
        </m:r>
      </m:oMath>
      <w:r>
        <w:t xml:space="preserve"> </w:t>
      </w:r>
      <w:r>
        <w:t xml:space="preserve">the program, and</w:t>
      </w:r>
      <w:r>
        <w:t xml:space="preserve"> </w:t>
      </w:r>
      <m:oMath>
        <m:r>
          <m:t>t</m:t>
        </m:r>
      </m:oMath>
      <w:r>
        <w:t xml:space="preserve"> </w:t>
      </w:r>
      <w:r>
        <w:t xml:space="preserve">the fiscal quarter. The continuous treatment intensity is denoted</w:t>
      </w:r>
      <w:r>
        <w:t xml:space="preserve"> </w:t>
      </w:r>
      <m:oMath>
        <m:sSub>
          <m:e>
            <m:r>
              <m:t>T</m:t>
            </m:r>
          </m:e>
          <m:sub>
            <m:r>
              <m:t>i</m:t>
            </m:r>
            <m:r>
              <m:t>p</m:t>
            </m:r>
            <m:r>
              <m:t>t</m:t>
            </m:r>
          </m:sub>
        </m:sSub>
      </m:oMath>
      <w:r>
        <w:t xml:space="preserve"> </w:t>
      </w:r>
      <w:r>
        <w:t xml:space="preserve">and is the obligated FFRDC value in the quarter, expressed in deflated dollars; robustness specifications use it, and the headline DiD design does not, because the staggered-adoption literature runs cleanest under a binary treatment.</w:t>
      </w:r>
    </w:p>
    <w:p>
      <w:pPr>
        <w:pStyle w:val="BodyText"/>
        <w:spacing w:line="480" w:lineRule="auto"/>
        <w:ind w:firstLine="720"/>
      </w:pPr>
      <w:r>
        <w:t xml:space="preserve">Narrower than the project-level FFRDC indicator Papers 1 and 2 used, the treatment definition is deliberately so. That narrowing is what lets the work-package fixed effect identify a within-unit effect of FFRDC presence and absorb the time-invariant difficulty that contaminates the project-level estimates</w:t>
      </w:r>
      <w:r>
        <w:t xml:space="preserve"> </w:t>
      </w:r>
      <w:hyperlink w:anchor="ref-1">
        <w:r>
          <w:rPr>
            <w:rStyle w:val="Hyperlink"/>
          </w:rPr>
          <w:t xml:space="preserve">[1]</w:t>
        </w:r>
      </w:hyperlink>
      <w:r>
        <w:t xml:space="preserve">[2].</w:t>
      </w:r>
    </w:p>
    <w:bookmarkEnd w:id="100"/>
    <w:bookmarkStart w:id="101" w:name="outcomes"/>
    <w:p>
      <w:pPr>
        <w:pStyle w:val="Heading3"/>
        <w:spacing w:line="480" w:lineRule="auto"/>
      </w:pPr>
      <w:r>
        <w:t xml:space="preserve">5.2.3 Outcomes</w:t>
      </w:r>
    </w:p>
    <w:p>
      <w:pPr>
        <w:pStyle w:val="FirstParagraph"/>
        <w:spacing w:line="480" w:lineRule="auto"/>
      </w:pPr>
      <w:r>
        <w:t xml:space="preserve">Three outcomes get tracked at the work-package, fiscal-quarter level. Cost growth, first, is the percentage change in estimated cost at completion against the most recent rebaseline. Schedule slip, second, is the months of slip in the work-package finish date against the most recent integrated master schedule. And a binary indicator for documented rework, third, drawn from program-manager monthly reports. Schedule slip rides into the headline specifications because the Paper 2 estimate showed it absorbing the dominant share of cost-growth variance at 1.66 percentage points per month</w:t>
      </w:r>
      <w:r>
        <w:t xml:space="preserve"> </w:t>
      </w:r>
      <w:hyperlink w:anchor="ref-2">
        <w:r>
          <w:rPr>
            <w:rStyle w:val="Hyperlink"/>
          </w:rPr>
          <w:t xml:space="preserve">[2]</w:t>
        </w:r>
      </w:hyperlink>
      <w:r>
        <w:t xml:space="preserve">, which means any FFRDC effect on cost growth mediated by schedule has to be decomposed rather than collapsed.</w:t>
      </w:r>
    </w:p>
    <w:p>
      <w:pPr>
        <w:pStyle w:val="BodyText"/>
        <w:spacing w:line="480" w:lineRule="auto"/>
        <w:ind w:firstLine="720"/>
      </w:pPr>
      <w:r>
        <w:t xml:space="preserve">Caution attends the rework indicator. Built from text fields open to reporting discretion, it drives the analysis to report the rework specification both with and without the field, paralleling the treatment of the GAO complexity-index covariate in Paper 2, which itself proved uninformative once schedule slip was conditioned on</w:t>
      </w:r>
      <w:r>
        <w:t xml:space="preserve"> </w:t>
      </w:r>
      <w:hyperlink w:anchor="ref-2">
        <w:r>
          <w:rPr>
            <w:rStyle w:val="Hyperlink"/>
          </w:rPr>
          <w:t xml:space="preserve">[2]</w:t>
        </w:r>
      </w:hyperlink>
      <w:r>
        <w:t xml:space="preserve">.</w:t>
      </w:r>
    </w:p>
    <w:bookmarkEnd w:id="101"/>
    <w:bookmarkStart w:id="102" w:name="controls"/>
    <w:p>
      <w:pPr>
        <w:pStyle w:val="Heading3"/>
        <w:spacing w:line="480" w:lineRule="auto"/>
      </w:pPr>
      <w:r>
        <w:t xml:space="preserve">5.2.4 Controls</w:t>
      </w:r>
    </w:p>
    <w:p>
      <w:pPr>
        <w:pStyle w:val="FirstParagraph"/>
        <w:spacing w:line="480" w:lineRule="auto"/>
      </w:pPr>
      <w:r>
        <w:t xml:space="preserve">Time-varying controls enter the regressions at the work-package, fiscal-quarter level: technology readiness level (TRL) at quarter start, program phase (Phase B, C, D, or E), and the identity of the prime contractor on the work package. Fixed effects absorb mission directorate, program identity, and work-package identity in all specifications. Following the duration and instrument-count covariates Paper 1 used</w:t>
      </w:r>
      <w:r>
        <w:t xml:space="preserve"> </w:t>
      </w:r>
      <w:hyperlink w:anchor="ref-1">
        <w:r>
          <w:rPr>
            <w:rStyle w:val="Hyperlink"/>
          </w:rPr>
          <w:t xml:space="preserve">[1]</w:t>
        </w:r>
      </w:hyperlink>
      <w:r>
        <w:t xml:space="preserve"> </w:t>
      </w:r>
      <w:r>
        <w:t xml:space="preserve">and the complexity, baseline life-cycle cost, and schedule-slip covariates Paper 2 used</w:t>
      </w:r>
      <w:r>
        <w:t xml:space="preserve"> </w:t>
      </w:r>
      <w:hyperlink w:anchor="ref-2">
        <w:r>
          <w:rPr>
            <w:rStyle w:val="Hyperlink"/>
          </w:rPr>
          <w:t xml:space="preserve">[2]</w:t>
        </w:r>
      </w:hyperlink>
      <w:r>
        <w:t xml:space="preserve">, the dissertation keeps development duration and instrument count at the program level as descriptive moderators in the heterogeneity analysis, and it keeps them off the right-hand side of the DiD because the program fixed effect absorbs them.</w:t>
      </w:r>
    </w:p>
    <w:bookmarkEnd w:id="102"/>
    <w:bookmarkEnd w:id="103"/>
    <w:bookmarkStart w:id="109" w:name="estimators"/>
    <w:p>
      <w:pPr>
        <w:pStyle w:val="Heading2"/>
        <w:spacing w:line="480" w:lineRule="auto"/>
      </w:pPr>
      <w:r>
        <w:t xml:space="preserve">5.3 Estimators</w:t>
      </w:r>
    </w:p>
    <w:bookmarkStart w:id="104" w:name="X792fedfc56d553c841dcbf18feeefe810d4952c"/>
    <w:p>
      <w:pPr>
        <w:pStyle w:val="Heading3"/>
        <w:spacing w:line="480" w:lineRule="auto"/>
      </w:pPr>
      <w:r>
        <w:t xml:space="preserve">5.3.1 The baseline OLS specification (replication and bridge)</w:t>
      </w:r>
    </w:p>
    <w:p>
      <w:pPr>
        <w:pStyle w:val="FirstParagraph"/>
        <w:spacing w:line="480" w:lineRule="auto"/>
      </w:pPr>
      <w:r>
        <w:t xml:space="preserve">As a bridge to the prior literature, the dissertation reports a project-level OLS specification that replicates Papers 1 and 2 on the expanded CADRe-linked panel. Letting</w:t>
      </w:r>
      <w:r>
        <w:t xml:space="preserve"> </w:t>
      </w:r>
      <m:oMath>
        <m:sSub>
          <m:e>
            <m:r>
              <m:t>Y</m:t>
            </m:r>
          </m:e>
          <m:sub>
            <m:r>
              <m:t>p</m:t>
            </m:r>
          </m:sub>
        </m:sSub>
      </m:oMath>
      <w:r>
        <w:t xml:space="preserve"> </w:t>
      </w:r>
      <w:r>
        <w:t xml:space="preserve">denote the project-level percentage cost growth,</w:t>
      </w:r>
      <w:r>
        <w:t xml:space="preserve"> </w:t>
      </w:r>
      <m:oMath>
        <m:sSub>
          <m:e>
            <m:r>
              <m:t>F</m:t>
            </m:r>
          </m:e>
          <m:sub>
            <m:r>
              <m:t>p</m:t>
            </m:r>
          </m:sub>
        </m:sSub>
      </m:oMath>
      <w:r>
        <w:t xml:space="preserve"> </w:t>
      </w:r>
      <w:r>
        <w:t xml:space="preserve">the FFRDC indicator, and</w:t>
      </w:r>
      <w:r>
        <w:t xml:space="preserve"> </w:t>
      </w:r>
      <m:oMath>
        <m:sSub>
          <m:e>
            <m:r>
              <m:rPr>
                <m:sty m:val="b"/>
              </m:rPr>
              <m:t>X</m:t>
            </m:r>
          </m:e>
          <m:sub>
            <m:r>
              <m:t>p</m:t>
            </m:r>
          </m:sub>
        </m:sSub>
      </m:oMath>
      <w:r>
        <w:t xml:space="preserve"> </w:t>
      </w:r>
      <w:r>
        <w:t xml:space="preserve">the vector of project-level controls used in the prior papers (duration, instrument count, complexity, baseline life-cycle cost, schedule slip), the specification is</w:t>
      </w:r>
    </w:p>
    <w:p>
      <w:pPr>
        <w:pStyle w:val="BodyText"/>
        <w:spacing w:line="480" w:lineRule="auto"/>
        <w:ind w:firstLine="720"/>
      </w:pPr>
      <m:oMathPara>
        <m:oMathParaPr>
          <m:jc m:val="center"/>
        </m:oMathParaPr>
        <m:oMath>
          <m:sSub>
            <m:e>
              <m:r>
                <m:t>Y</m:t>
              </m:r>
            </m:e>
            <m:sub>
              <m:r>
                <m:t>p</m:t>
              </m:r>
            </m:sub>
          </m:sSub>
          <m:r>
            <m:rPr>
              <m:sty m:val="p"/>
            </m:rPr>
            <m:t>=</m:t>
          </m:r>
          <m:r>
            <m:t>α</m:t>
          </m:r>
          <m:r>
            <m:rPr>
              <m:sty m:val="p"/>
            </m:rPr>
            <m:t>+</m:t>
          </m:r>
          <m:r>
            <m:t>β</m:t>
          </m:r>
          <m:sSub>
            <m:e>
              <m:r>
                <m:t>F</m:t>
              </m:r>
            </m:e>
            <m:sub>
              <m:r>
                <m:t>p</m:t>
              </m:r>
            </m:sub>
          </m:sSub>
          <m:r>
            <m:rPr>
              <m:sty m:val="p"/>
            </m:rPr>
            <m:t>+</m:t>
          </m:r>
          <m:sSub>
            <m:e>
              <m:r>
                <m:rPr>
                  <m:sty m:val="b"/>
                </m:rPr>
                <m:t>X</m:t>
              </m:r>
            </m:e>
            <m:sub>
              <m:r>
                <m:t>p</m:t>
              </m:r>
            </m:sub>
          </m:sSub>
          <m:r>
            <m:rPr>
              <m:sty m:val="b"/>
            </m:rPr>
            <m:t>γ</m:t>
          </m:r>
          <m:r>
            <m:rPr>
              <m:sty m:val="p"/>
            </m:rPr>
            <m:t>+</m:t>
          </m:r>
          <m:sSub>
            <m:e>
              <m:r>
                <m:t>u</m:t>
              </m:r>
            </m:e>
            <m:sub>
              <m:r>
                <m:t>p</m:t>
              </m:r>
            </m:sub>
          </m:sSub>
          <m:r>
            <m:rPr>
              <m:sty m:val="p"/>
            </m:rPr>
            <m:t>,</m:t>
          </m:r>
        </m:oMath>
      </m:oMathPara>
    </w:p>
    <w:p>
      <w:pPr>
        <w:pStyle w:val="FirstParagraph"/>
        <w:spacing w:line="480" w:lineRule="auto"/>
      </w:pPr>
      <w:r>
        <w:t xml:space="preserve">estimated with heteroskedasticity-consistent (HC1) standard errors. It is reported not because it identifies a causal effect, but because it lets the reader see the dissertation’s expanded panel reproduce the qualitative pattern of the prior estimates, a positive or indistinguishable FFRDC coefficient at the project level</w:t>
      </w:r>
      <w:r>
        <w:t xml:space="preserve"> </w:t>
      </w:r>
      <w:hyperlink w:anchor="ref-1">
        <w:r>
          <w:rPr>
            <w:rStyle w:val="Hyperlink"/>
          </w:rPr>
          <w:t xml:space="preserve">[1]</w:t>
        </w:r>
      </w:hyperlink>
      <w:r>
        <w:t xml:space="preserve">[2]. This replication is the upper-bound regression the work-package design has to clear, in the sense Paper 1 named when it discussed selection</w:t>
      </w:r>
      <w:r>
        <w:t xml:space="preserve"> </w:t>
      </w:r>
      <w:hyperlink w:anchor="ref-1">
        <w:r>
          <w:rPr>
            <w:rStyle w:val="Hyperlink"/>
          </w:rPr>
          <w:t xml:space="preserve">[1]</w:t>
        </w:r>
      </w:hyperlink>
      <w:r>
        <w:t xml:space="preserve">.</w:t>
      </w:r>
    </w:p>
    <w:bookmarkEnd w:id="104"/>
    <w:bookmarkStart w:id="105" w:name="the-two-way-fixed-effects-baseline"/>
    <w:p>
      <w:pPr>
        <w:pStyle w:val="Heading3"/>
        <w:spacing w:line="480" w:lineRule="auto"/>
      </w:pPr>
      <w:r>
        <w:t xml:space="preserve">5.3.2 The two-way fixed-effects baseline</w:t>
      </w:r>
    </w:p>
    <w:p>
      <w:pPr>
        <w:pStyle w:val="FirstParagraph"/>
        <w:spacing w:line="480" w:lineRule="auto"/>
      </w:pPr>
      <w:r>
        <w:t xml:space="preserve">The first work-package estimator is the canonical two-way fixed-effects (TWFE) regression</w:t>
      </w:r>
    </w:p>
    <w:p>
      <w:pPr>
        <w:pStyle w:val="BodyText"/>
        <w:spacing w:line="480" w:lineRule="auto"/>
        <w:ind w:firstLine="720"/>
      </w:pPr>
      <m:oMathPara>
        <m:oMathParaPr>
          <m:jc m:val="center"/>
        </m:oMathParaPr>
        <m:oMath>
          <m:sSub>
            <m:e>
              <m:r>
                <m:t>Y</m:t>
              </m:r>
            </m:e>
            <m:sub>
              <m:r>
                <m:t>i</m:t>
              </m:r>
              <m:r>
                <m:t>p</m:t>
              </m:r>
              <m:r>
                <m:t>t</m:t>
              </m:r>
            </m:sub>
          </m:sSub>
          <m:r>
            <m:rPr>
              <m:sty m:val="p"/>
            </m:rPr>
            <m:t>=</m:t>
          </m:r>
          <m:sSub>
            <m:e>
              <m:r>
                <m:t>α</m:t>
              </m:r>
            </m:e>
            <m:sub>
              <m:r>
                <m:t>i</m:t>
              </m:r>
            </m:sub>
          </m:sSub>
          <m:r>
            <m:rPr>
              <m:sty m:val="p"/>
            </m:rPr>
            <m:t>+</m:t>
          </m:r>
          <m:sSub>
            <m:e>
              <m:r>
                <m:t>τ</m:t>
              </m:r>
            </m:e>
            <m:sub>
              <m:r>
                <m:t>t</m:t>
              </m:r>
            </m:sub>
          </m:sSub>
          <m:r>
            <m:rPr>
              <m:sty m:val="p"/>
            </m:rPr>
            <m:t>+</m:t>
          </m:r>
          <m:r>
            <m:t>β</m:t>
          </m:r>
          <m:sSub>
            <m:e>
              <m:r>
                <m:t>D</m:t>
              </m:r>
            </m:e>
            <m:sub>
              <m:r>
                <m:t>i</m:t>
              </m:r>
              <m:r>
                <m:t>p</m:t>
              </m:r>
              <m:r>
                <m:t>t</m:t>
              </m:r>
            </m:sub>
          </m:sSub>
          <m:r>
            <m:rPr>
              <m:sty m:val="p"/>
            </m:rPr>
            <m:t>+</m:t>
          </m:r>
          <m:sSub>
            <m:e>
              <m:r>
                <m:rPr>
                  <m:sty m:val="b"/>
                </m:rPr>
                <m:t>X</m:t>
              </m:r>
            </m:e>
            <m:sub>
              <m:r>
                <m:t>i</m:t>
              </m:r>
              <m:r>
                <m:t>p</m:t>
              </m:r>
              <m:r>
                <m:t>t</m:t>
              </m:r>
            </m:sub>
          </m:sSub>
          <m:r>
            <m:rPr>
              <m:sty m:val="b"/>
            </m:rPr>
            <m:t>γ</m:t>
          </m:r>
          <m:r>
            <m:rPr>
              <m:sty m:val="p"/>
            </m:rPr>
            <m:t>+</m:t>
          </m:r>
          <m:sSub>
            <m:e>
              <m:r>
                <m:t>ε</m:t>
              </m:r>
            </m:e>
            <m:sub>
              <m:r>
                <m:t>i</m:t>
              </m:r>
              <m:r>
                <m:t>p</m:t>
              </m:r>
              <m:r>
                <m:t>t</m:t>
              </m:r>
            </m:sub>
          </m:sSub>
          <m:r>
            <m:rPr>
              <m:sty m:val="p"/>
            </m:rPr>
            <m:t>,</m:t>
          </m:r>
        </m:oMath>
      </m:oMathPara>
    </w:p>
    <w:p>
      <w:pPr>
        <w:pStyle w:val="FirstParagraph"/>
        <w:spacing w:line="480" w:lineRule="auto"/>
      </w:pPr>
      <w:r>
        <w:t xml:space="preserve">where</w:t>
      </w:r>
      <w:r>
        <w:t xml:space="preserve"> </w:t>
      </w:r>
      <m:oMath>
        <m:sSub>
          <m:e>
            <m:r>
              <m:t>α</m:t>
            </m:r>
          </m:e>
          <m:sub>
            <m:r>
              <m:t>i</m:t>
            </m:r>
          </m:sub>
        </m:sSub>
      </m:oMath>
      <w:r>
        <w:t xml:space="preserve"> </w:t>
      </w:r>
      <w:r>
        <w:t xml:space="preserve">is a work-package fixed effect,</w:t>
      </w:r>
      <w:r>
        <w:t xml:space="preserve"> </w:t>
      </w:r>
      <m:oMath>
        <m:sSub>
          <m:e>
            <m:r>
              <m:t>τ</m:t>
            </m:r>
          </m:e>
          <m:sub>
            <m:r>
              <m:t>t</m:t>
            </m:r>
          </m:sub>
        </m:sSub>
      </m:oMath>
      <w:r>
        <w:t xml:space="preserve"> </w:t>
      </w:r>
      <w:r>
        <w:t xml:space="preserve">is a fiscal-quarter fixed effect,</w:t>
      </w:r>
      <w:r>
        <w:t xml:space="preserve"> </w:t>
      </w:r>
      <m:oMath>
        <m:sSub>
          <m:e>
            <m:r>
              <m:t>D</m:t>
            </m:r>
          </m:e>
          <m:sub>
            <m:r>
              <m:t>i</m:t>
            </m:r>
            <m:r>
              <m:t>p</m:t>
            </m:r>
            <m:r>
              <m:t>t</m:t>
            </m:r>
          </m:sub>
        </m:sSub>
      </m:oMath>
      <w:r>
        <w:t xml:space="preserve"> </w:t>
      </w:r>
      <w:r>
        <w:t xml:space="preserve">is the binary FFRDC treatment indicator, and</w:t>
      </w:r>
      <w:r>
        <w:t xml:space="preserve"> </w:t>
      </w:r>
      <m:oMath>
        <m:sSub>
          <m:e>
            <m:r>
              <m:rPr>
                <m:sty m:val="b"/>
              </m:rPr>
              <m:t>X</m:t>
            </m:r>
          </m:e>
          <m:sub>
            <m:r>
              <m:t>i</m:t>
            </m:r>
            <m:r>
              <m:t>p</m:t>
            </m:r>
            <m:r>
              <m:t>t</m:t>
            </m:r>
          </m:sub>
        </m:sSub>
      </m:oMath>
      <w:r>
        <w:t xml:space="preserve"> </w:t>
      </w:r>
      <w:r>
        <w:t xml:space="preserve">are the time-varying TRL, phase, and prime-contractor controls. Standard errors cluster at the program level, the level at which sourcing decisions and CADRe reporting cadences correlate. The TWFE estimator gets reported for transparency and treated as a comparison point rather than the headline result, on account of the well-known negative-weighting problem in staggered-adoption settings.</w:t>
      </w:r>
    </w:p>
    <w:bookmarkEnd w:id="105"/>
    <w:bookmarkStart w:id="106" w:name="X58a1f7c8483e10ecaa9e6007bf8d654a479acb2"/>
    <w:p>
      <w:pPr>
        <w:pStyle w:val="Heading3"/>
        <w:spacing w:line="480" w:lineRule="auto"/>
      </w:pPr>
      <w:r>
        <w:t xml:space="preserve">5.3.3 The staggered difference-in-differences estimator</w:t>
      </w:r>
    </w:p>
    <w:p>
      <w:pPr>
        <w:pStyle w:val="FirstParagraph"/>
        <w:spacing w:line="480" w:lineRule="auto"/>
      </w:pPr>
      <w:r>
        <w:t xml:space="preserve">The headline estimator is the staggered DiD of the form recommended for settings with heterogeneous treatment timing and heterogeneous treatment effects. For each treatment cohort, defined by the fiscal quarter in which a work package first receives a non-trivial FFRDC task order, the estimator builds a clean comparison against not-yet-treated work packages inside the same program and phase. It recovers the average treatment effect on the treated as a weighted average of cohort-by-quarter effects, with weights non-negative by construction. This design steers clear of the forbidden comparisons between newly treated and already-treated units that contaminate the TWFE coefficient when treatment effects vary across cohorts or over event time.</w:t>
      </w:r>
    </w:p>
    <w:p>
      <w:pPr>
        <w:pStyle w:val="BodyText"/>
        <w:spacing w:line="480" w:lineRule="auto"/>
        <w:ind w:firstLine="720"/>
      </w:pPr>
      <w:r>
        <w:t xml:space="preserve">On each of the three outcomes separately, and on a stacked specification that jointly models cost growth and schedule slip, the dissertation reports the staggered DiD, on the grounds that the Paper 2 finding of a 1.66 percentage-point cost-growth response to each month of schedule slip means cost and schedule cannot be modeled independently without distorting the decomposition of the FFRDC effect</w:t>
      </w:r>
      <w:r>
        <w:t xml:space="preserve"> </w:t>
      </w:r>
      <w:hyperlink w:anchor="ref-2">
        <w:r>
          <w:rPr>
            <w:rStyle w:val="Hyperlink"/>
          </w:rPr>
          <w:t xml:space="preserve">[2]</w:t>
        </w:r>
      </w:hyperlink>
      <w:r>
        <w:t xml:space="preserve">.</w:t>
      </w:r>
    </w:p>
    <w:bookmarkEnd w:id="106"/>
    <w:bookmarkStart w:id="107" w:name="the-event-study-specification"/>
    <w:p>
      <w:pPr>
        <w:pStyle w:val="Heading3"/>
        <w:spacing w:line="480" w:lineRule="auto"/>
      </w:pPr>
      <w:r>
        <w:t xml:space="preserve">5.3.4 The event-study specification</w:t>
      </w:r>
    </w:p>
    <w:p>
      <w:pPr>
        <w:pStyle w:val="FirstParagraph"/>
        <w:spacing w:line="480" w:lineRule="auto"/>
      </w:pPr>
      <w:r>
        <w:t xml:space="preserve">To open up the dynamics the average treatment effect collapses, the dissertation reports event-study coefficients indexed by quarters relative to FFRDC task-order onset. Letting</w:t>
      </w:r>
      <w:r>
        <w:t xml:space="preserve"> </w:t>
      </w:r>
      <m:oMath>
        <m:r>
          <m:t>e</m:t>
        </m:r>
      </m:oMath>
      <w:r>
        <w:t xml:space="preserve"> </w:t>
      </w:r>
      <w:r>
        <w:t xml:space="preserve">denote event time, the specification is</w:t>
      </w:r>
    </w:p>
    <w:p>
      <w:pPr>
        <w:pStyle w:val="BodyText"/>
        <w:spacing w:line="480" w:lineRule="auto"/>
        <w:ind w:firstLine="720"/>
      </w:pPr>
      <m:oMathPara>
        <m:oMathParaPr>
          <m:jc m:val="center"/>
        </m:oMathParaPr>
        <m:oMath>
          <m:sSub>
            <m:e>
              <m:r>
                <m:t>Y</m:t>
              </m:r>
            </m:e>
            <m:sub>
              <m:r>
                <m:t>i</m:t>
              </m:r>
              <m:r>
                <m:t>p</m:t>
              </m:r>
              <m:r>
                <m:t>t</m:t>
              </m:r>
            </m:sub>
          </m:sSub>
          <m:r>
            <m:rPr>
              <m:sty m:val="p"/>
            </m:rPr>
            <m:t>=</m:t>
          </m:r>
          <m:sSub>
            <m:e>
              <m:r>
                <m:t>α</m:t>
              </m:r>
            </m:e>
            <m:sub>
              <m:r>
                <m:t>i</m:t>
              </m:r>
            </m:sub>
          </m:sSub>
          <m:r>
            <m:rPr>
              <m:sty m:val="p"/>
            </m:rPr>
            <m:t>+</m:t>
          </m:r>
          <m:sSub>
            <m:e>
              <m:r>
                <m:t>τ</m:t>
              </m:r>
            </m:e>
            <m:sub>
              <m:r>
                <m:t>t</m:t>
              </m:r>
            </m:sub>
          </m:sSub>
          <m:r>
            <m:rPr>
              <m:sty m:val="p"/>
            </m:rPr>
            <m:t>+</m:t>
          </m:r>
          <m:nary>
            <m:naryPr>
              <m:chr m:val="∑"/>
              <m:limLoc m:val="undOvr"/>
              <m:subHide m:val="off"/>
              <m:supHide m:val="on"/>
            </m:naryPr>
            <m:sub>
              <m:r>
                <m:t>e</m:t>
              </m:r>
              <m:r>
                <m:rPr>
                  <m:sty m:val="p"/>
                </m:rPr>
                <m:t>≠</m:t>
              </m:r>
              <m:r>
                <m:rPr>
                  <m:sty m:val="p"/>
                </m:rPr>
                <m:t>−</m:t>
              </m:r>
              <m:r>
                <m:t>1</m:t>
              </m:r>
            </m:sub>
            <m:sup>
              <m:r>
                <m:t>​</m:t>
              </m:r>
            </m:sup>
            <m:e>
              <m:sSub>
                <m:e>
                  <m:r>
                    <m:t>δ</m:t>
                  </m:r>
                </m:e>
                <m:sub>
                  <m:r>
                    <m:t>e</m:t>
                  </m:r>
                </m:sub>
              </m:sSub>
            </m:e>
          </m:nary>
          <m:r>
            <m:rPr>
              <m:sty m:val="b"/>
            </m:rPr>
            <m:t>1</m:t>
          </m:r>
          <m:r>
            <m:rPr>
              <m:sty m:val="p"/>
            </m:rPr>
            <m:t>{</m:t>
          </m:r>
          <m:r>
            <m:t>t</m:t>
          </m:r>
          <m:r>
            <m:rPr>
              <m:sty m:val="p"/>
            </m:rPr>
            <m:t>−</m:t>
          </m:r>
          <m:sSub>
            <m:e>
              <m:r>
                <m:t>G</m:t>
              </m:r>
            </m:e>
            <m:sub>
              <m:r>
                <m:t>i</m:t>
              </m:r>
            </m:sub>
          </m:sSub>
          <m:r>
            <m:rPr>
              <m:sty m:val="p"/>
            </m:rPr>
            <m:t>=</m:t>
          </m:r>
          <m:r>
            <m:t>e</m:t>
          </m:r>
          <m:r>
            <m:rPr>
              <m:sty m:val="p"/>
            </m:rPr>
            <m:t>}</m:t>
          </m:r>
          <m:r>
            <m:rPr>
              <m:sty m:val="p"/>
            </m:rPr>
            <m:t>+</m:t>
          </m:r>
          <m:sSub>
            <m:e>
              <m:r>
                <m:rPr>
                  <m:sty m:val="b"/>
                </m:rPr>
                <m:t>X</m:t>
              </m:r>
            </m:e>
            <m:sub>
              <m:r>
                <m:t>i</m:t>
              </m:r>
              <m:r>
                <m:t>p</m:t>
              </m:r>
              <m:r>
                <m:t>t</m:t>
              </m:r>
            </m:sub>
          </m:sSub>
          <m:r>
            <m:rPr>
              <m:sty m:val="b"/>
            </m:rPr>
            <m:t>γ</m:t>
          </m:r>
          <m:r>
            <m:rPr>
              <m:sty m:val="p"/>
            </m:rPr>
            <m:t>+</m:t>
          </m:r>
          <m:sSub>
            <m:e>
              <m:r>
                <m:t>ε</m:t>
              </m:r>
            </m:e>
            <m:sub>
              <m:r>
                <m:t>i</m:t>
              </m:r>
              <m:r>
                <m:t>p</m:t>
              </m:r>
              <m:r>
                <m:t>t</m:t>
              </m:r>
            </m:sub>
          </m:sSub>
          <m:r>
            <m:rPr>
              <m:sty m:val="p"/>
            </m:rPr>
            <m:t>,</m:t>
          </m:r>
        </m:oMath>
      </m:oMathPara>
    </w:p>
    <w:p>
      <w:pPr>
        <w:pStyle w:val="FirstParagraph"/>
        <w:spacing w:line="480" w:lineRule="auto"/>
      </w:pPr>
      <w:r>
        <w:t xml:space="preserve">where</w:t>
      </w:r>
      <w:r>
        <w:t xml:space="preserve"> </w:t>
      </w:r>
      <m:oMath>
        <m:sSub>
          <m:e>
            <m:r>
              <m:t>G</m:t>
            </m:r>
          </m:e>
          <m:sub>
            <m:r>
              <m:t>i</m:t>
            </m:r>
          </m:sub>
        </m:sSub>
      </m:oMath>
      <w:r>
        <w:t xml:space="preserve"> </w:t>
      </w:r>
      <w:r>
        <w:t xml:space="preserve">is the cohort of work package</w:t>
      </w:r>
      <w:r>
        <w:t xml:space="preserve"> </w:t>
      </w:r>
      <m:oMath>
        <m:r>
          <m:t>i</m:t>
        </m:r>
      </m:oMath>
      <w:r>
        <w:t xml:space="preserve"> </w:t>
      </w:r>
      <w:r>
        <w:t xml:space="preserve">and</w:t>
      </w:r>
      <w:r>
        <w:t xml:space="preserve"> </w:t>
      </w:r>
      <m:oMath>
        <m:r>
          <m:t>e</m:t>
        </m:r>
        <m:r>
          <m:rPr>
            <m:sty m:val="p"/>
          </m:rPr>
          <m:t>=</m:t>
        </m:r>
        <m:r>
          <m:rPr>
            <m:sty m:val="p"/>
          </m:rPr>
          <m:t>−</m:t>
        </m:r>
        <m:r>
          <m:t>1</m:t>
        </m:r>
      </m:oMath>
      <w:r>
        <w:t xml:space="preserve"> </w:t>
      </w:r>
      <w:r>
        <w:t xml:space="preserve">is the omitted reference quarter. The pre-treatment coefficients</w:t>
      </w:r>
      <w:r>
        <w:t xml:space="preserve"> </w:t>
      </w:r>
      <m:oMath>
        <m:sSub>
          <m:e>
            <m:r>
              <m:t>δ</m:t>
            </m:r>
          </m:e>
          <m:sub>
            <m:r>
              <m:rPr>
                <m:sty m:val="p"/>
              </m:rPr>
              <m:t>−</m:t>
            </m:r>
            <m:r>
              <m:t>K</m:t>
            </m:r>
          </m:sub>
        </m:sSub>
        <m:r>
          <m:rPr>
            <m:sty m:val="p"/>
          </m:rPr>
          <m:t>,</m:t>
        </m:r>
        <m:r>
          <m:rPr>
            <m:sty m:val="p"/>
          </m:rPr>
          <m:t>…</m:t>
        </m:r>
        <m:r>
          <m:rPr>
            <m:sty m:val="p"/>
          </m:rPr>
          <m:t>,</m:t>
        </m:r>
        <m:sSub>
          <m:e>
            <m:r>
              <m:t>δ</m:t>
            </m:r>
          </m:e>
          <m:sub>
            <m:r>
              <m:rPr>
                <m:sty m:val="p"/>
              </m:rPr>
              <m:t>−</m:t>
            </m:r>
            <m:r>
              <m:t>2</m:t>
            </m:r>
          </m:sub>
        </m:sSub>
      </m:oMath>
      <w:r>
        <w:t xml:space="preserve"> </w:t>
      </w:r>
      <w:r>
        <w:t xml:space="preserve">are the empirical test of the parallel-trends assumption. The post-treatment coefficients</w:t>
      </w:r>
      <w:r>
        <w:t xml:space="preserve"> </w:t>
      </w:r>
      <m:oMath>
        <m:sSub>
          <m:e>
            <m:r>
              <m:t>δ</m:t>
            </m:r>
          </m:e>
          <m:sub>
            <m:r>
              <m:t>0</m:t>
            </m:r>
          </m:sub>
        </m:sSub>
        <m:r>
          <m:rPr>
            <m:sty m:val="p"/>
          </m:rPr>
          <m:t>,</m:t>
        </m:r>
        <m:sSub>
          <m:e>
            <m:r>
              <m:t>δ</m:t>
            </m:r>
          </m:e>
          <m:sub>
            <m:r>
              <m:t>1</m:t>
            </m:r>
          </m:sub>
        </m:sSub>
        <m:r>
          <m:rPr>
            <m:sty m:val="p"/>
          </m:rPr>
          <m:t>,</m:t>
        </m:r>
        <m:r>
          <m:rPr>
            <m:sty m:val="p"/>
          </m:rPr>
          <m:t>…</m:t>
        </m:r>
      </m:oMath>
      <w:r>
        <w:t xml:space="preserve"> </w:t>
      </w:r>
      <w:r>
        <w:t xml:space="preserve">trace the dynamic effect of FFRDC presence on the outcome. Confidence bands are constructed using cluster-robust standard errors and, separately, using the sup-t band approach to handle the simultaneous inference across event-time leads and lags.</w:t>
      </w:r>
    </w:p>
    <w:bookmarkEnd w:id="107"/>
    <w:bookmarkStart w:id="108" w:name="Xf0e98ed56f176a2c58286a13b62708bc35c32ab"/>
    <w:p>
      <w:pPr>
        <w:pStyle w:val="Heading3"/>
        <w:spacing w:line="480" w:lineRule="auto"/>
      </w:pPr>
      <w:r>
        <w:t xml:space="preserve">5.3.5 Heterogeneity by work-package risk dominance</w:t>
      </w:r>
    </w:p>
    <w:p>
      <w:pPr>
        <w:pStyle w:val="FirstParagraph"/>
        <w:spacing w:line="480" w:lineRule="auto"/>
      </w:pPr>
      <w:r>
        <w:t xml:space="preserve">The prospectus states a single falsifiable contribution conditional on work-package risk dominance: H1 predicts FFRDC participation reducing cost growth and schedule slip in work packages whose dominant risk is integration or independent verification, and producing null or negative effects in work packages whose dominant risk is hardware production throughput. The heterogeneity analysis runs the staggered DiD separately on the two subpopulations, subpopulation membership coded from CADRe WBS dictionary entries and validated against the qualitative-arm interviews. H1 falls if the integration-and-verification subpopulation coefficient comes back statistically indistinguishable from zero, or carries the opposite sign, and these falsification thresholds are pre-registered with the dissertation committee ahead of the estimation pass.</w:t>
      </w:r>
    </w:p>
    <w:bookmarkEnd w:id="108"/>
    <w:bookmarkEnd w:id="109"/>
    <w:bookmarkStart w:id="114" w:name="identification-strategy"/>
    <w:p>
      <w:pPr>
        <w:pStyle w:val="Heading2"/>
        <w:spacing w:line="480" w:lineRule="auto"/>
      </w:pPr>
      <w:r>
        <w:t xml:space="preserve">5.4 Identification Strategy</w:t>
      </w:r>
    </w:p>
    <w:bookmarkStart w:id="110" w:name="the-estimand"/>
    <w:p>
      <w:pPr>
        <w:pStyle w:val="Heading3"/>
        <w:spacing w:line="480" w:lineRule="auto"/>
      </w:pPr>
      <w:r>
        <w:t xml:space="preserve">5.4.1 The estimand</w:t>
      </w:r>
    </w:p>
    <w:p>
      <w:pPr>
        <w:pStyle w:val="FirstParagraph"/>
        <w:spacing w:line="480" w:lineRule="auto"/>
      </w:pPr>
      <w:r>
        <w:t xml:space="preserve">The estimand is the average treatment effect on the treated work packages, meaning the difference between the realized post-onset outcome trajectory of FFRDC-supported work packages and the counterfactual trajectory those same work packages would have realized had they stayed on non-FFRDC sourcing. Local in two senses, the estimand is. It is local to the work packages eligible to receive FFRDC task orders, which cuts out work packages whose scope sits institutionally outside FFRDC chartered work. And it is local to the within-program comparison, which absorbs the program-level selection the project-level OLS estimates could not</w:t>
      </w:r>
      <w:r>
        <w:t xml:space="preserve"> </w:t>
      </w:r>
      <w:hyperlink w:anchor="ref-1">
        <w:r>
          <w:rPr>
            <w:rStyle w:val="Hyperlink"/>
          </w:rPr>
          <w:t xml:space="preserve">[1]</w:t>
        </w:r>
      </w:hyperlink>
      <w:r>
        <w:t xml:space="preserve">[2].</w:t>
      </w:r>
    </w:p>
    <w:bookmarkEnd w:id="110"/>
    <w:bookmarkStart w:id="111" w:name="the-parallel-trends-assumption"/>
    <w:p>
      <w:pPr>
        <w:pStyle w:val="Heading3"/>
        <w:spacing w:line="480" w:lineRule="auto"/>
      </w:pPr>
      <w:r>
        <w:t xml:space="preserve">5.4.2 The parallel-trends assumption</w:t>
      </w:r>
    </w:p>
    <w:p>
      <w:pPr>
        <w:pStyle w:val="FirstParagraph"/>
        <w:spacing w:line="480" w:lineRule="auto"/>
      </w:pPr>
      <w:r>
        <w:t xml:space="preserve">Identification rests on the parallel-trends assumption: absent FFRDC onset, the average outcome trajectory of treated work packages would have moved parallel to the average trajectory of not-yet-treated work packages inside the same program and phase. Directly testable it is not, and the pre-treatment event-study coefficients stand in as the standard empirical proxy. The dissertation reports those coefficients explicitly and reads a pattern of jointly insignificant pre-trends as supportive but not dispositive. Where pre-trends do show, the staggered DiD gets augmented with the recent procedures that allow inference under bounded violations of parallel trends, and the bounds ride alongside the point estimates.</w:t>
      </w:r>
    </w:p>
    <w:bookmarkEnd w:id="111"/>
    <w:bookmarkStart w:id="112" w:name="the-no-anticipation-assumption"/>
    <w:p>
      <w:pPr>
        <w:pStyle w:val="Heading3"/>
        <w:spacing w:line="480" w:lineRule="auto"/>
      </w:pPr>
      <w:r>
        <w:t xml:space="preserve">5.4.3 The no-anticipation assumption</w:t>
      </w:r>
    </w:p>
    <w:p>
      <w:pPr>
        <w:pStyle w:val="FirstParagraph"/>
        <w:spacing w:line="480" w:lineRule="auto"/>
      </w:pPr>
      <w:r>
        <w:t xml:space="preserve">Identification rests too on no-anticipation: in the quarters before FFRDC onset, the outcome trajectory of a work package must not respond to the impending treatment. No-anticipation is plausible, since the FFRDC task-order award is a slow administrative process rarely visible at the work-package level more than one quarter before obligation, and it is not guaranteed. So the dissertation reports a robustness specification that drops the four quarters immediately before onset from the estimation window, absorbing anticipation effects of that horizon at the price of a longer baseline. Should the headline estimate move materially when those quarters are dropped, anticipation is the likeliest explanation, and the chapter reports it on those terms.</w:t>
      </w:r>
    </w:p>
    <w:bookmarkEnd w:id="112"/>
    <w:bookmarkStart w:id="113" w:name="sutva-and-within-program-spillovers"/>
    <w:p>
      <w:pPr>
        <w:pStyle w:val="Heading3"/>
        <w:spacing w:line="480" w:lineRule="auto"/>
      </w:pPr>
      <w:r>
        <w:t xml:space="preserve">5.4.4 SUTVA and within-program spillovers</w:t>
      </w:r>
    </w:p>
    <w:p>
      <w:pPr>
        <w:pStyle w:val="FirstParagraph"/>
        <w:spacing w:line="480" w:lineRule="auto"/>
      </w:pPr>
      <w:r>
        <w:t xml:space="preserve">The stable unit treatment value assumption (SUTVA) asks that the treatment of one work package not touch the outcome trajectory of another. Within a program this is implausible at the limit: by design, an FFRDC task order against an integration work package can move the schedule of a hardware production work package on the same program. Two moves handle the spillover. The program-level fixed effect absorbs any program-wide level shift the FFRDC engagement induces. And the cross-package spillover gets estimated as a secondary parameter, by interacting the treatment indicator with an indicator for whether the focal work package shares a CADRe-coded interface with a treated work package. A non-zero spillover coefficient tells something about the channel through which FFRDC presence operates, and it gets reported even when the headline coefficient reaches significance.</w:t>
      </w:r>
    </w:p>
    <w:bookmarkEnd w:id="113"/>
    <w:bookmarkEnd w:id="114"/>
    <w:bookmarkStart w:id="115" w:name="Xc05f8cbbb8b0396a8decfb495a5420bba43235f"/>
    <w:p>
      <w:pPr>
        <w:pStyle w:val="Heading2"/>
        <w:spacing w:line="480" w:lineRule="auto"/>
      </w:pPr>
      <w:r>
        <w:t xml:space="preserve">5.5 Threats to Validity and Bounding Strategies</w:t>
      </w:r>
    </w:p>
    <w:p>
      <w:pPr>
        <w:pStyle w:val="FirstParagraph"/>
        <w:spacing w:line="480" w:lineRule="auto"/>
      </w:pPr>
      <w:r>
        <w:t xml:space="preserve">The prospectus enumerated four threats to validity [prospectus, section 6]. The methods chapter grows them to seven and pairs each with the bounding strategy that constrains it.</w:t>
      </w:r>
    </w:p>
    <w:p>
      <w:pPr>
        <w:pStyle w:val="BodyText"/>
        <w:spacing w:line="480" w:lineRule="auto"/>
        <w:ind w:firstLine="720"/>
      </w:pPr>
      <w:r>
        <w:t xml:space="preserve">First, selection on unobservables. Programs route work to FFRDCs because the work is hard, and the project-level OLS estimates in both prior papers carry the signature: a positive FFRDC coefficient that misses significance at the conventional level in Paper 1 and reaches marginal significance in Paper 2 with the wrong sign against the doctrinal prior</w:t>
      </w:r>
      <w:r>
        <w:t xml:space="preserve"> </w:t>
      </w:r>
      <w:hyperlink w:anchor="ref-1">
        <w:r>
          <w:rPr>
            <w:rStyle w:val="Hyperlink"/>
          </w:rPr>
          <w:t xml:space="preserve">[1]</w:t>
        </w:r>
      </w:hyperlink>
      <w:r>
        <w:t xml:space="preserve">[2]. The work-package fixed effect absorbs the time-invariant component of selection. The within-unit selection that remains gets bounded by the qualitative-arm finding on the decision logic of FFRDC routing, which characterizes the residual selection in a form that can carry into a sensitivity analysis of the Oster-style coefficient-stability kind.</w:t>
      </w:r>
    </w:p>
    <w:p>
      <w:pPr>
        <w:pStyle w:val="BodyText"/>
        <w:spacing w:line="480" w:lineRule="auto"/>
        <w:ind w:firstLine="720"/>
      </w:pPr>
      <w:r>
        <w:t xml:space="preserve">Second, treatment-effect heterogeneity across cohorts. When treatment effects vary across cohorts under staggered adoption, the TWFE coefficient gets contaminated. The staggered DiD estimator strips out the forbidden comparisons, and the event-study coefficients put the heterogeneity on display.</w:t>
      </w:r>
    </w:p>
    <w:p>
      <w:pPr>
        <w:pStyle w:val="BodyText"/>
        <w:spacing w:line="480" w:lineRule="auto"/>
        <w:ind w:firstLine="720"/>
      </w:pPr>
      <w:r>
        <w:t xml:space="preserve">Third, uneven CADRe coverage. CADRe coverage runs uneven across mission directorates and across phases [prospectus, section 6]. The analysis restricts to programs with continuous CADRe coverage from Phase B through Phase D and reports the sample restriction explicitly. A supplementary specification weights observations by the inverse of the within-program CADRe-coverage share and reports the result alongside the unweighted estimate.</w:t>
      </w:r>
    </w:p>
    <w:p>
      <w:pPr>
        <w:pStyle w:val="BodyText"/>
        <w:spacing w:line="480" w:lineRule="auto"/>
        <w:ind w:firstLine="720"/>
      </w:pPr>
      <w:r>
        <w:t xml:space="preserve">Fourth, reporting discretion in the rework indicator. The rework field answers to program-manager discretion. The analysis reports all results with and without the rework outcome, in the manner Paper 2 used to test whether the GAO complexity index added information once schedule was conditioned on</w:t>
      </w:r>
      <w:r>
        <w:t xml:space="preserve"> </w:t>
      </w:r>
      <w:hyperlink w:anchor="ref-2">
        <w:r>
          <w:rPr>
            <w:rStyle w:val="Hyperlink"/>
          </w:rPr>
          <w:t xml:space="preserve">[2]</w:t>
        </w:r>
      </w:hyperlink>
      <w:r>
        <w:t xml:space="preserve">.</w:t>
      </w:r>
    </w:p>
    <w:p>
      <w:pPr>
        <w:pStyle w:val="BodyText"/>
        <w:spacing w:line="480" w:lineRule="auto"/>
        <w:ind w:firstLine="720"/>
      </w:pPr>
      <w:r>
        <w:t xml:space="preserve">Fifth, substitution versus complementarity. FFRDC task orders sometimes substitute for and sometimes complement contractor scope [prospectus, section 6], and the distinction stays invisible in the contract record. The qualitative arm recovers it for a stratified subsample, and the quantitative results get reported separately for the recoverable and unrecoverable strata.</w:t>
      </w:r>
    </w:p>
    <w:p>
      <w:pPr>
        <w:pStyle w:val="BodyText"/>
        <w:spacing w:line="480" w:lineRule="auto"/>
        <w:ind w:firstLine="720"/>
      </w:pPr>
      <w:r>
        <w:t xml:space="preserve">Sixth, schedule-cost confounding. The Paper 2 estimate that schedule slip absorbs the dominant share of cost-growth variance at 1.66 percentage points per month</w:t>
      </w:r>
      <w:r>
        <w:t xml:space="preserve"> </w:t>
      </w:r>
      <w:hyperlink w:anchor="ref-2">
        <w:r>
          <w:rPr>
            <w:rStyle w:val="Hyperlink"/>
          </w:rPr>
          <w:t xml:space="preserve">[2]</w:t>
        </w:r>
      </w:hyperlink>
      <w:r>
        <w:t xml:space="preserve"> </w:t>
      </w:r>
      <w:r>
        <w:t xml:space="preserve">means an FFRDC effect on cost growth may run through schedule. The stacked DiD specification estimates the joint effect on cost and schedule and reports the implied decomposition. A direct test of mediation, in the spirit of a controlled-direct-effect estimator, rides as a secondary specification.</w:t>
      </w:r>
    </w:p>
    <w:p>
      <w:pPr>
        <w:pStyle w:val="BodyText"/>
        <w:spacing w:line="480" w:lineRule="auto"/>
        <w:ind w:firstLine="720"/>
      </w:pPr>
      <w:r>
        <w:t xml:space="preserve">Seventh, external validity past the three largest FFRDC-spending mission directorates. The CADRe panel concentrates in three directorates, and the FFRDC indicator within other directorates runs too sparse to identify. The dissertation reports the estimate as local to those three directorates and does not extrapolate. The discussion chapter returns to whether the local estimate informs sourcing decisions in directorates outside the panel.</w:t>
      </w:r>
    </w:p>
    <w:bookmarkEnd w:id="115"/>
    <w:bookmarkStart w:id="116" w:name="Xa8cc76333fce0424a01955bef8e8377c514ab9d"/>
    <w:p>
      <w:pPr>
        <w:pStyle w:val="Heading2"/>
        <w:spacing w:line="480" w:lineRule="auto"/>
      </w:pPr>
      <w:r>
        <w:t xml:space="preserve">5.6 The Qualitative Arm and Mixed-Methods Integration</w:t>
      </w:r>
    </w:p>
    <w:p>
      <w:pPr>
        <w:pStyle w:val="FirstParagraph"/>
        <w:spacing w:line="480" w:lineRule="auto"/>
      </w:pPr>
      <w:r>
        <w:t xml:space="preserve">The qualitative arm runs twenty-four semi-structured interviews with civil space program managers, stratified across the three NASA mission directorates carrying the largest FFRDC spend, as the prospectus specifies [prospectus, section 4]. Three uses shape the interviews. They characterize the decision logic that produces the treatment assignment, which bounds the selection-on-unobservables threat. They recover the substitution-versus-complementarity distinction the contract record does not reveal, which bounds the fifth threat. And they surface mechanisms the quantitative arm cannot identify: continuity across program transitions, objectivity in independent review, and freedom from contractor conflict in source selection. The Paper 1 discussion named these mechanisms as the migration path for the doctrinal justification should the cost-discipline reading fail</w:t>
      </w:r>
      <w:r>
        <w:t xml:space="preserve"> </w:t>
      </w:r>
      <w:hyperlink w:anchor="ref-1">
        <w:r>
          <w:rPr>
            <w:rStyle w:val="Hyperlink"/>
          </w:rPr>
          <w:t xml:space="preserve">[1]</w:t>
        </w:r>
      </w:hyperlink>
      <w:r>
        <w:t xml:space="preserve">, and the interviews are the empirical lever for weighing them.</w:t>
      </w:r>
    </w:p>
    <w:p>
      <w:pPr>
        <w:pStyle w:val="BodyText"/>
        <w:spacing w:line="480" w:lineRule="auto"/>
        <w:ind w:firstLine="720"/>
      </w:pPr>
      <w:r>
        <w:t xml:space="preserve">Integration runs sequential. The quantitative arm gets estimated first, against the pre-registered H1 falsification thresholds. The interview protocol then gets refined to interrogate the patterns visible in the event-study coefficients and the heterogeneity estimates. And the final integration step is a joint display that pairs each work-package-class estimate with the interview-derived account of the routing decision and the mechanism, so the reader can audit the inferential chain from estimand to estimate to mechanism without leaving the joint display.</w:t>
      </w:r>
    </w:p>
    <w:p>
      <w:pPr>
        <w:pStyle w:val="BodyText"/>
        <w:spacing w:line="480" w:lineRule="auto"/>
        <w:ind w:firstLine="720"/>
      </w:pPr>
      <w:r>
        <w:t xml:space="preserve">The methods chapter closes on the standard it set for itself. Report a single coefficient and walk away, and the dissertation will not have answered the comparative-advantage question. Report a coefficient, a falsification test against a pre-registered threshold, an event-study trajectory, a heterogeneity decomposition by work-package risk dominance, a bounded sensitivity analysis against each enumerated threat, and a qualitative account of the mechanism the coefficient summarizes, and it will have. The estimators in section 5.3, the identification strategy in section 5.4, the threats and bounds in section 5.5, and the qualitative arm in section 5.6 are jointly designed to clear that standard.</w:t>
      </w:r>
    </w:p>
    <w:bookmarkEnd w:id="116"/>
    <w:bookmarkEnd w:id="117"/>
    <w:bookmarkStart w:id="134" w:name="chapter-6.-results"/>
    <w:p>
      <w:pPr>
        <w:pStyle w:val="Heading1"/>
        <w:spacing w:line="480" w:lineRule="auto"/>
      </w:pPr>
      <w:r>
        <w:t xml:space="preserve">Chapter 6. Results</w:t>
      </w:r>
    </w:p>
    <w:p>
      <w:pPr>
        <w:pStyle w:val="FirstParagraph"/>
        <w:spacing w:line="480" w:lineRule="auto"/>
      </w:pPr>
      <w:r>
        <w:t xml:space="preserve">Here the dissertation presents the empirical results of the two paper-length estimations that operationalize its central question: is Federally Funded Research and Development Center (FFRDC) engagement on civil space mission programs associated with detectably different execution outcomes once project difficulty is conditioned on?</w:t>
      </w:r>
    </w:p>
    <w:p>
      <w:pPr>
        <w:pStyle w:val="BodyText"/>
        <w:spacing w:line="480" w:lineRule="auto"/>
        <w:ind w:firstLine="720"/>
      </w:pPr>
      <w:r>
        <w:t xml:space="preserve">The two papers approach from complementary angles. Paper 1 runs an ordinary least squares (OLS) regression of percentage cost growth on a hand-coded FFRDC systems engineering intensity indicator across a panel of thirty NASA and NOAA major projects, with planned development duration and instrument count as the two visible difficulty controls drawn from the Government Accountability Office (GAO) major project assessment series</w:t>
      </w:r>
      <w:r>
        <w:t xml:space="preserve"> </w:t>
      </w:r>
      <w:hyperlink w:anchor="ref-4">
        <w:r>
          <w:rPr>
            <w:rStyle w:val="Hyperlink"/>
          </w:rPr>
          <w:t xml:space="preserve">[4]</w:t>
        </w:r>
      </w:hyperlink>
      <w:r>
        <w:t xml:space="preserve">. Paper 2 runs a structurally similar OLS regression on a partially overlapping but distinct panel of thirty-five NASA major projects drawn from the more recent assessment cycles</w:t>
      </w:r>
      <w:r>
        <w:t xml:space="preserve"> </w:t>
      </w:r>
      <w:hyperlink w:anchor="ref-4">
        <w:r>
          <w:rPr>
            <w:rStyle w:val="Hyperlink"/>
          </w:rPr>
          <w:t xml:space="preserve">[4]</w:t>
        </w:r>
      </w:hyperlink>
      <w:r>
        <w:t xml:space="preserve">[8], swapping the ordinal GAO complexity index in for the instrument count control, adding baseline life cycle cost as a scale control, and adding schedule slip in months as a fourth regressor. Built to discipline the same doctrinal prior under two non-identical control sets, the two specifications let the reader judge whether the finding holds up against plausible variation in the conditioning information program managers and the GAO itself rely on.</w:t>
      </w:r>
    </w:p>
    <w:p>
      <w:pPr>
        <w:pStyle w:val="BodyText"/>
        <w:spacing w:line="480" w:lineRule="auto"/>
        <w:ind w:firstLine="720"/>
      </w:pPr>
      <w:r>
        <w:t xml:space="preserve">The chapter reports, for each paper, the estimated coefficients, the heteroskedasticity consistent (HC1) standard errors, the two-sided p-values, and the model fit statistics the estimator returned, and it reads each against the dissertation’s prospective hypotheses H0 and H1</w:t>
      </w:r>
      <w:r>
        <w:t xml:space="preserve"> </w:t>
      </w:r>
      <w:hyperlink w:anchor="ref-1">
        <w:r>
          <w:rPr>
            <w:rStyle w:val="Hyperlink"/>
          </w:rPr>
          <w:t xml:space="preserve">[1]</w:t>
        </w:r>
      </w:hyperlink>
      <w:r>
        <w:t xml:space="preserve">[2][3]. Tables, formulas, and graphical displays of the data go to Appendix A and are not reproduced inline. No numerical claim appears here beyond the quantities the estimators returned for the panels as committed; nothing shows up that is absent from those returns.</w:t>
      </w:r>
    </w:p>
    <w:bookmarkStart w:id="124" w:name="X8ea0b247e979f7452ee6314f9ffd29f60a6be1f"/>
    <w:p>
      <w:pPr>
        <w:pStyle w:val="Heading2"/>
        <w:spacing w:line="480" w:lineRule="auto"/>
      </w:pPr>
      <w:r>
        <w:t xml:space="preserve">6.1 Paper 1: FFRDC Systems Engineering Intensity and Cost Growth on Thirty Major Projects</w:t>
      </w:r>
    </w:p>
    <w:bookmarkStart w:id="118" w:name="model-fit"/>
    <w:p>
      <w:pPr>
        <w:pStyle w:val="Heading3"/>
        <w:spacing w:line="480" w:lineRule="auto"/>
      </w:pPr>
      <w:r>
        <w:t xml:space="preserve">6.1.1 Model fit</w:t>
      </w:r>
    </w:p>
    <w:p>
      <w:pPr>
        <w:pStyle w:val="FirstParagraph"/>
        <w:spacing w:line="480" w:lineRule="auto"/>
      </w:pPr>
      <w:r>
        <w:t xml:space="preserve">Paper 1 regresses percentage cost growth from the Phase B or Agency Baseline Commitment baseline on a binary FFRDC systems engineering intensity indicator, planned development months between Key Decision Point C and the baselined launch readiness date, and the as-baselined instrument count, with a constant, on a panel of N equal to 30 NASA and NOAA major projects drawn from successive GAO assessments</w:t>
      </w:r>
      <w:r>
        <w:t xml:space="preserve"> </w:t>
      </w:r>
      <w:hyperlink w:anchor="ref-4">
        <w:r>
          <w:rPr>
            <w:rStyle w:val="Hyperlink"/>
          </w:rPr>
          <w:t xml:space="preserve">[4]</w:t>
        </w:r>
      </w:hyperlink>
      <w:r>
        <w:t xml:space="preserve">. The estimator returns an unadjusted coefficient of determination of 0.206 and an adjusted coefficient of determination of 0.114. The model F statistic carries a two-sided p value of 0.136.</w:t>
      </w:r>
    </w:p>
    <w:p>
      <w:pPr>
        <w:pStyle w:val="BodyText"/>
        <w:spacing w:line="480" w:lineRule="auto"/>
        <w:ind w:firstLine="720"/>
      </w:pPr>
      <w:r>
        <w:t xml:space="preserve">Three observations about model fit come before any individual coefficient. The unadjusted R squared of 0.206 puts roughly one fifth of the cross-project variation in percentage cost growth on the Paper 1 panel inside the three regressors and the constant, a modest share and not an inconsequential one for a small heterogeneous panel of mission programs spanning science, Earth observation, and human spaceflight transportation lines. The fall from the unadjusted to the adjusted statistic, with the adjusted R squared dropping to 0.114, marks the cost of three regressors against thirty observations and signals that the regressors’ marginal explanatory power as a group is bounded. And the model F p value of 0.136 leaves the joint null of zero explanatory power for the three regressors unrejected at conventional levels. Taken whole, the Paper 1 specification gives no statistically significant linear account of the variation in cost growth across the panel.</w:t>
      </w:r>
    </w:p>
    <w:p>
      <w:pPr>
        <w:pStyle w:val="BodyText"/>
        <w:spacing w:line="480" w:lineRule="auto"/>
        <w:ind w:firstLine="720"/>
      </w:pPr>
      <w:r>
        <w:t xml:space="preserve">Stating the doctrinal weight of this fit summary plainly matters. Paper 1’s specification was chosen because it is the regression the doctrine has implicitly invited for two decades: a level cost-growth equation with the FFRDC indicator as the variable of interest and the two project difficulty proxies the GAO and NASA program offices themselves report. The doctrine’s prior wants the FFRDC indicator carrying a negative and detectable coefficient in such an equation. What the fit summary records is that the equation the doctrine invites holds only modest explanatory traction at the available sample size, and that the joint null of no explanation stands unrejected. Inside that envelope the estimate of the FFRDC coefficient has to be read.</w:t>
      </w:r>
    </w:p>
    <w:bookmarkEnd w:id="118"/>
    <w:bookmarkStart w:id="119" w:name="X3dc67598a1da590abe9cb08f01931c2a00c3e1a"/>
    <w:p>
      <w:pPr>
        <w:pStyle w:val="Heading3"/>
        <w:spacing w:line="480" w:lineRule="auto"/>
      </w:pPr>
      <w:r>
        <w:t xml:space="preserve">6.1.2 The FFRDC systems engineering intensity coefficient</w:t>
      </w:r>
    </w:p>
    <w:p>
      <w:pPr>
        <w:pStyle w:val="FirstParagraph"/>
        <w:spacing w:line="480" w:lineRule="auto"/>
      </w:pPr>
      <w:r>
        <w:t xml:space="preserve">The coefficient on the FFRDC systems engineering intensity indicator is plus 8.833 percentage points of cost growth, with an HC1 standard error of 8.690 and a two-sided p value of 0.309. Three readings follow.</w:t>
      </w:r>
    </w:p>
    <w:p>
      <w:pPr>
        <w:pStyle w:val="BodyText"/>
        <w:spacing w:line="480" w:lineRule="auto"/>
        <w:ind w:firstLine="720"/>
      </w:pPr>
      <w:r>
        <w:t xml:space="preserve">Start with the strict null reading. The doctrinal claim under test says FFRDC systems engineering engagement carries a general cost discipline effect on civil space major projects, and a strict null rule asks whether the indicator coefficient is statistically distinguishable from zero in the negative direction at the conventional five percent level. It is not. The point estimate comes out positive rather than negative, the standard error runs large against the point estimate, and the two-sided p value of 0.309 sits well outside any conventional threshold for rejecting the null of zero. The panel does not endorse the doctrinal prior.</w:t>
      </w:r>
    </w:p>
    <w:p>
      <w:pPr>
        <w:pStyle w:val="BodyText"/>
        <w:spacing w:line="480" w:lineRule="auto"/>
        <w:ind w:firstLine="720"/>
      </w:pPr>
      <w:r>
        <w:t xml:space="preserve">Turn next to the sign reading. Though the FFRDC indicator is not statistically distinguishable from zero, the point estimate is positive. Read at face value, it would say that, holding planned development duration and instrument count fixed, projects in which a NASA FFRDC, a UARC operating under FFRDC equivalent terms, or a NASA center with substantial documented FFRDC SETA support performs the prime systems engineering and technical assurance role show on average about 8.8 percentage points more cost growth than projects in which industry primes lead the integration role without documented FFRDC SE participation. The sign reading is no causal claim. Around plus 8.833 the confidence interval runs wide, admitting zero and admitting substantial positive and negative effects. What survives is directional: among the projects the doctrine routes to FFRDC SE on grounds of cost discipline, the unconditional and lightly conditional cost outcome record does not look better than the record of projects routed elsewhere, and on this panel it looks slightly worse.</w:t>
      </w:r>
    </w:p>
    <w:p>
      <w:pPr>
        <w:pStyle w:val="BodyText"/>
        <w:spacing w:line="480" w:lineRule="auto"/>
        <w:ind w:firstLine="720"/>
      </w:pPr>
      <w:r>
        <w:t xml:space="preserve">Come finally to the selection reading, which the Paper 1 discussion already names. Treatment assignment in the panel is not random. Programs get routed to FFRDC systems engineering precisely because their work is hard, and the two difficulty controls the panel can carry, planned development duration and instrument count, are unlikely to absorb the full difficulty premium that drives the routing. A positive but statistically indistinguishable FFRDC coefficient is the pattern a selection-on-difficulty data generating process predicts under a small panel and a coarse control set. The empirical reading does not need the panel to support a positive causal effect of FFRDC engagement on cost growth in order to refuse the doctrinal prior. It needs only the panel to refuse to endorse a negative causal effect, and on the strict null reading the panel does.</w:t>
      </w:r>
    </w:p>
    <w:bookmarkEnd w:id="119"/>
    <w:bookmarkStart w:id="120" w:name="Xddce74a826f0b701af36cbe7b11707e1e1db921"/>
    <w:p>
      <w:pPr>
        <w:pStyle w:val="Heading3"/>
        <w:spacing w:line="480" w:lineRule="auto"/>
      </w:pPr>
      <w:r>
        <w:t xml:space="preserve">6.1.3 The planned development duration coefficient</w:t>
      </w:r>
    </w:p>
    <w:p>
      <w:pPr>
        <w:pStyle w:val="FirstParagraph"/>
        <w:spacing w:line="480" w:lineRule="auto"/>
      </w:pPr>
      <w:r>
        <w:t xml:space="preserve">The coefficient on planned development duration in months is plus 0.333 percentage points of cost growth per additional planned month, with an HC1 standard error of 0.263 and a two-sided p value of 0.205. Of everything in the Paper 1 specification, this coefficient comes closest to a marginal finding, and it is also the coefficient whose sign agrees with theoretical priors.</w:t>
      </w:r>
    </w:p>
    <w:p>
      <w:pPr>
        <w:pStyle w:val="BodyText"/>
        <w:spacing w:line="480" w:lineRule="auto"/>
        <w:ind w:firstLine="720"/>
      </w:pPr>
      <w:r>
        <w:t xml:space="preserve">The sign agreement matters. Standing intuition from the cost analysis literature holds that longer planned development arcs pile up more decision points, more requirement churn, and more rebaseline opportunities, and so convert into more percentage cost growth at the project level. A point estimate of about a third of a percentage point of cost growth per planned month squares with that intuition and lands at a plausible magnitude for the GAO panel. Across the full range of planned development durations the panel holds, the duration term contributes a meaningful share of predicted cost growth even without crossing the conventional five percent significance threshold.</w:t>
      </w:r>
    </w:p>
    <w:p>
      <w:pPr>
        <w:pStyle w:val="BodyText"/>
        <w:spacing w:line="480" w:lineRule="auto"/>
        <w:ind w:firstLine="720"/>
      </w:pPr>
      <w:r>
        <w:t xml:space="preserve">The two-sided p value of 0.205 leaves the duration coefficient statistically indistinguishable from zero at the five percent level and at the ten percent level. So what survives is directional rather than a strict-null rejection. The duration result does not rescue the doctrinal prior on the FFRDC indicator, because the difficulty premium tied to longer planned arcs is exactly the difficulty the FFRDC routing decision is supposed to mitigate. If anything it deepens the selection reading, since it confirms that observable difficulty controls already carry economically meaningful sign on cost growth, leaving less unexplained variance for the FFRDC indicator to occupy.</w:t>
      </w:r>
    </w:p>
    <w:bookmarkEnd w:id="120"/>
    <w:bookmarkStart w:id="121" w:name="the-instrument-count-coefficient"/>
    <w:p>
      <w:pPr>
        <w:pStyle w:val="Heading3"/>
        <w:spacing w:line="480" w:lineRule="auto"/>
      </w:pPr>
      <w:r>
        <w:t xml:space="preserve">6.1.4 The instrument count coefficient</w:t>
      </w:r>
    </w:p>
    <w:p>
      <w:pPr>
        <w:pStyle w:val="FirstParagraph"/>
        <w:spacing w:line="480" w:lineRule="auto"/>
      </w:pPr>
      <w:r>
        <w:t xml:space="preserve">The coefficient on instrument count is minus 0.763 percentage points of cost growth per additional instrument, with an HC1 standard error of 1.361 and a two-sided p value of 0.575. The sign runs against the naive prior that more instruments should mean more integration risk and so more cost growth, and the standard error runs roughly twice the magnitude of the point estimate, leaving the coefficient far from any conventional significance threshold.</w:t>
      </w:r>
    </w:p>
    <w:p>
      <w:pPr>
        <w:pStyle w:val="BodyText"/>
        <w:spacing w:line="480" w:lineRule="auto"/>
        <w:ind w:firstLine="720"/>
      </w:pPr>
      <w:r>
        <w:t xml:space="preserve">Part measurement reading, part heterogeneity reading, is what the data invite for this term. Instrument count reads zero for human spaceflight transportation elements carrying no science payload, so the variable blends a no-instrument human spaceflight subpopulation with a science mission subpopulation in which instrument count correlates with both architectural complexity and institutional configuration. Inside the science subpopulation the marginal cost growth effect of an additional instrument is not pinned down at the available sample size, and the sign and magnitude of the pooled coefficient should not be read as carrying structural content. The Paper 1 discussion already named this pattern, and the regression returns it.</w:t>
      </w:r>
    </w:p>
    <w:bookmarkEnd w:id="121"/>
    <w:bookmarkStart w:id="122" w:name="the-intercept"/>
    <w:p>
      <w:pPr>
        <w:pStyle w:val="Heading3"/>
        <w:spacing w:line="480" w:lineRule="auto"/>
      </w:pPr>
      <w:r>
        <w:t xml:space="preserve">6.1.5 The intercept</w:t>
      </w:r>
    </w:p>
    <w:p>
      <w:pPr>
        <w:pStyle w:val="FirstParagraph"/>
        <w:spacing w:line="480" w:lineRule="auto"/>
      </w:pPr>
      <w:r>
        <w:t xml:space="preserve">The intercept is minus 0.982 percent of cost growth with an HC1 standard error of 15.168 and a two-sided p value of 0.948. Read literally, it is the predicted percentage cost growth for a non-FFRDC-led project with a planned development duration of zero months and an instrument count of zero. That benchmark falls outside the support of the data, and the very large standard error confirms it. What the constant invites is the reading that it carries no structural information; the regression’s substantive content lives in the slope coefficients.</w:t>
      </w:r>
    </w:p>
    <w:bookmarkEnd w:id="122"/>
    <w:bookmarkStart w:id="123" w:name="paper-1-summary-against-h0-and-h1"/>
    <w:p>
      <w:pPr>
        <w:pStyle w:val="Heading3"/>
        <w:spacing w:line="480" w:lineRule="auto"/>
      </w:pPr>
      <w:r>
        <w:t xml:space="preserve">6.1.6 Paper 1 summary against H0 and H1</w:t>
      </w:r>
    </w:p>
    <w:p>
      <w:pPr>
        <w:pStyle w:val="FirstParagraph"/>
        <w:spacing w:line="480" w:lineRule="auto"/>
      </w:pPr>
      <w:r>
        <w:t xml:space="preserve">At conventional significance levels the Paper 1 specification fails to reject H0 on the cost growth outcome. The FFRDC systems engineering intensity coefficient is not statistically distinguishable from zero, and the point estimate signs positive rather than negative. Under the dissertation’s prospectus, H1 falls in the strict sense if the FFRDC coefficient is statistically indistinguishable from zero or carries the opposite sign in the integration and verification subpopulation. Paper 1 does not separately identify that subpopulation, so it does not deliver the strict H1 test the prospectus reserves for the work package level. What it delivers is the upper bound paper level result the dissertation has to clear before it can credibly attribute any positive H1 finding at the work package level: at the project level, the doctrinal prior on FFRDC cost discipline does not survive contact with the cost growth record, so any work package level positive has to be built without leaning on a project level cost discipline claim.</w:t>
      </w:r>
    </w:p>
    <w:bookmarkEnd w:id="123"/>
    <w:bookmarkEnd w:id="124"/>
    <w:bookmarkStart w:id="132" w:name="X7a2429f8d0e056e45acc8cd1b46e1e0326a2cd3"/>
    <w:p>
      <w:pPr>
        <w:pStyle w:val="Heading2"/>
        <w:spacing w:line="480" w:lineRule="auto"/>
      </w:pPr>
      <w:r>
        <w:t xml:space="preserve">6.2 Paper 2: FFRDC Support and Cost Growth with Schedule Slip Conditioning on Thirty-Five Major Projects</w:t>
      </w:r>
    </w:p>
    <w:bookmarkStart w:id="125" w:name="model-fit-1"/>
    <w:p>
      <w:pPr>
        <w:pStyle w:val="Heading3"/>
        <w:spacing w:line="480" w:lineRule="auto"/>
      </w:pPr>
      <w:r>
        <w:t xml:space="preserve">6.2.1 Model fit</w:t>
      </w:r>
    </w:p>
    <w:p>
      <w:pPr>
        <w:pStyle w:val="FirstParagraph"/>
        <w:spacing w:line="480" w:lineRule="auto"/>
      </w:pPr>
      <w:r>
        <w:t xml:space="preserve">Paper 2 regresses percentage cost growth between the Key Decision Point C baseline life cycle cost and the most recent GAO reported life cycle cost on a binary FFRDC support indicator, the GAO ordinal one-to-five complexity index, the baseline life cycle cost in millions of dollars, and the months of launch readiness date slip from baseline, with a constant, on a panel of N equal to 35 NASA major projects drawn from the GAO Assessments of Major NASA Projects series covering 2016 through 2025 reporting cycles including GAO-24-106767 and GAO-25-107591</w:t>
      </w:r>
      <w:r>
        <w:t xml:space="preserve"> </w:t>
      </w:r>
      <w:hyperlink w:anchor="ref-4">
        <w:r>
          <w:rPr>
            <w:rStyle w:val="Hyperlink"/>
          </w:rPr>
          <w:t xml:space="preserve">[4]</w:t>
        </w:r>
      </w:hyperlink>
      <w:r>
        <w:t xml:space="preserve">[5][8].</w:t>
      </w:r>
    </w:p>
    <w:p>
      <w:pPr>
        <w:pStyle w:val="BodyText"/>
        <w:spacing w:line="480" w:lineRule="auto"/>
        <w:ind w:firstLine="720"/>
      </w:pPr>
      <w:r>
        <w:t xml:space="preserve">The estimator returns an unadjusted R squared of 0.667 and an adjusted R squared of 0.623. The model F statistic carries a two-sided p value of approximately 1.15 times ten to the minus fifth. Three observations follow.</w:t>
      </w:r>
    </w:p>
    <w:p>
      <w:pPr>
        <w:pStyle w:val="BodyText"/>
        <w:spacing w:line="480" w:lineRule="auto"/>
        <w:ind w:firstLine="720"/>
      </w:pPr>
      <w:r>
        <w:t xml:space="preserve">First, the joint explanatory power of the Paper 2 specification runs substantially higher than the Paper 1 specification’s. Roughly two thirds of the cross-project variation in percentage cost growth across the thirty-five project Paper 2 panel lands inside the four regressors and the constant, against one fifth in Paper 1. That improvement runs large enough to be unlikely as an artifact of the somewhat larger sample size, and the next two sub-sections argue it comes almost entirely from the inclusion of schedule slip as a regressor.</w:t>
      </w:r>
    </w:p>
    <w:p>
      <w:pPr>
        <w:pStyle w:val="BodyText"/>
        <w:spacing w:line="480" w:lineRule="auto"/>
        <w:ind w:firstLine="720"/>
      </w:pPr>
      <w:r>
        <w:t xml:space="preserve">Second, the gap between the unadjusted and adjusted R squared narrows substantially against Paper 1, from a 0.092 gap in Paper 1 to a 0.044 gap in Paper 2. That narrower gap squares with the addition of regressors whose marginal explanatory power is real rather than spurious, and it signals a Paper 2 specification well populated rather than overfit.</w:t>
      </w:r>
    </w:p>
    <w:p>
      <w:pPr>
        <w:pStyle w:val="BodyText"/>
        <w:spacing w:line="480" w:lineRule="auto"/>
        <w:ind w:firstLine="720"/>
      </w:pPr>
      <w:r>
        <w:t xml:space="preserve">Third, the model F p value of approximately one in one hundred thousand decisively rejects the joint null of zero explanatory power for the four regressors. Taken whole, the Paper 2 specification gives a statistically significant linear account of cost growth across the panel. So the reader stands in a position to read individual coefficients with more confidence than in Paper 1, understanding that the high joint significance concentrates in one of the four regressors, as the next sub-sections show.</w:t>
      </w:r>
    </w:p>
    <w:bookmarkEnd w:id="125"/>
    <w:bookmarkStart w:id="126" w:name="the-ffrdc-support-coefficient"/>
    <w:p>
      <w:pPr>
        <w:pStyle w:val="Heading3"/>
        <w:spacing w:line="480" w:lineRule="auto"/>
      </w:pPr>
      <w:r>
        <w:t xml:space="preserve">6.2.2 The FFRDC support coefficient</w:t>
      </w:r>
    </w:p>
    <w:p>
      <w:pPr>
        <w:pStyle w:val="FirstParagraph"/>
        <w:spacing w:line="480" w:lineRule="auto"/>
      </w:pPr>
      <w:r>
        <w:t xml:space="preserve">The coefficient on the FFRDC support indicator is plus 22.276 percentage points of cost growth, with an HC1 standard error of 12.754 and a two-sided p value of 0.081. Large in economic magnitude, the point estimate is. Holding the GAO complexity index, the baseline life cycle cost, and the months of schedule slip fixed, projects with substantial FFRDC technical or programmatic support show on average about twenty-two percentage points more cost growth than projects without such support across the Paper 2 panel.</w:t>
      </w:r>
    </w:p>
    <w:p>
      <w:pPr>
        <w:pStyle w:val="BodyText"/>
        <w:spacing w:line="480" w:lineRule="auto"/>
        <w:ind w:firstLine="720"/>
      </w:pPr>
      <w:r>
        <w:t xml:space="preserve">The statistical significance of the coefficient sits at the marginal end of conventional reporting. The two-sided p value of 0.081 places the coefficient below the ten percent significance threshold and above the five percent threshold. Read against the dissertation’s strict null decision rule, the FFRDC support coefficient is not statistically distinguishable from zero in the negative direction; it is marginally distinguishable from zero in the positive direction. Paper 2 does not endorse the doctrinal claim that FFRDC engagement carries a general cost discipline effect on civil space major projects, and it refuses that claim more sharply than Paper 1 does.</w:t>
      </w:r>
    </w:p>
    <w:p>
      <w:pPr>
        <w:pStyle w:val="BodyText"/>
        <w:spacing w:line="480" w:lineRule="auto"/>
        <w:ind w:firstLine="720"/>
      </w:pPr>
      <w:r>
        <w:t xml:space="preserve">The Paper 2 discussion is right to read the positive coefficient as a selection result rather than a causal claim about FFRDC effort. The FFRDC support indicator marks a portfolio concentration: FFRDC support clusters on the long cycle planetary and astrophysics missions including Mars Sample Return, Europa Clipper, and the James Webb Space Telescope. These missions absorb the technical risk commercial vendors are unwilling or unable to price, and the GAO ordinal complexity index does not appear to capture the full difficulty premium tied to that risk absorption. What the data invite is the reading that the residual difficulty premium loads onto the FFRDC indicator after the complexity index is held fixed, and that the FFRDC coefficient should not be read as the causal effect of FFRDC effort on cost discipline. It should be read as confirmation that the doctrinal prior on cost discipline does not survive the conditional record at the project level, even under a richer control set than Paper 1 could carry.</w:t>
      </w:r>
    </w:p>
    <w:bookmarkEnd w:id="126"/>
    <w:bookmarkStart w:id="127" w:name="the-schedule-slip-coefficient"/>
    <w:p>
      <w:pPr>
        <w:pStyle w:val="Heading3"/>
        <w:spacing w:line="480" w:lineRule="auto"/>
      </w:pPr>
      <w:r>
        <w:t xml:space="preserve">6.2.3 The schedule slip coefficient</w:t>
      </w:r>
    </w:p>
    <w:p>
      <w:pPr>
        <w:pStyle w:val="FirstParagraph"/>
        <w:spacing w:line="480" w:lineRule="auto"/>
      </w:pPr>
      <w:r>
        <w:t xml:space="preserve">The coefficient on schedule slip in months is plus 1.655 percentage points of cost growth per additional month of launch readiness date slip from baseline, with an HC1 standard error of 0.340 and a two-sided p value rounded to zero at four decimal places. This is the dominant statistical finding of the Paper 2 specification.</w:t>
      </w:r>
    </w:p>
    <w:p>
      <w:pPr>
        <w:pStyle w:val="BodyText"/>
        <w:spacing w:line="480" w:lineRule="auto"/>
        <w:ind w:firstLine="720"/>
      </w:pPr>
      <w:r>
        <w:t xml:space="preserve">Economically substantial, the point estimate is. A project that slips a year piles up on the order of twenty percentage points of additional cost growth at the panel average, holding the other regressors fixed. The standard error runs small enough against the point estimate that the coefficient is statistically distinguishable from zero at the one tenth of one percent level and beyond, which is as decisive as the panel can produce. The schedule slip coefficient squares with the standing GAO finding across the assessment series that cost and schedule co-vary on major NASA projects, and it squares with the operational reality that monthly burn against fixed overhead and standing teams converts directly into life cycle cost growth on long arc programs</w:t>
      </w:r>
      <w:r>
        <w:t xml:space="preserve"> </w:t>
      </w:r>
      <w:hyperlink w:anchor="ref-4">
        <w:r>
          <w:rPr>
            <w:rStyle w:val="Hyperlink"/>
          </w:rPr>
          <w:t xml:space="preserve">[4]</w:t>
        </w:r>
      </w:hyperlink>
      <w:r>
        <w:t xml:space="preserve">[6][7][8].</w:t>
      </w:r>
    </w:p>
    <w:p>
      <w:pPr>
        <w:pStyle w:val="BodyText"/>
        <w:spacing w:line="480" w:lineRule="auto"/>
        <w:ind w:firstLine="720"/>
      </w:pPr>
      <w:r>
        <w:t xml:space="preserve">The dominant statistical role of schedule slip in the Paper 2 specification reframes the cost discipline conversation two ways. It suggests the model’s joint explanatory power concentrates in this one regressor, and that the model F result reported in the previous sub-section should be read as the result of a regression in which one variable carries the signal. And it suggests the policy actionable handle on cost growth, in the conditional sample, runs through schedule rather than through institutional sourcing. The doctrinal claim that the FFRDC comparative advantage runs through cost discipline is not the empirical pattern the panel returns. The pattern the panel returns is that the comparative advantage question, if it is to be answered in the cost record at all, has to be answered as a question about schedule outcomes commensurate with mission class.</w:t>
      </w:r>
    </w:p>
    <w:bookmarkEnd w:id="127"/>
    <w:bookmarkStart w:id="128" w:name="the-complexity-index-coefficient"/>
    <w:p>
      <w:pPr>
        <w:pStyle w:val="Heading3"/>
        <w:spacing w:line="480" w:lineRule="auto"/>
      </w:pPr>
      <w:r>
        <w:t xml:space="preserve">6.2.4 The complexity index coefficient</w:t>
      </w:r>
    </w:p>
    <w:p>
      <w:pPr>
        <w:pStyle w:val="FirstParagraph"/>
        <w:spacing w:line="480" w:lineRule="auto"/>
      </w:pPr>
      <w:r>
        <w:t xml:space="preserve">The coefficient on the GAO ordinal one-to-five complexity index is minus 0.279 percentage points of cost growth per index point, with an HC1 standard error of 2.455 and a two-sided p value of 0.910. Statistically indistinguishable from zero by a wide margin, the coefficient is, and the point estimate runs small in economic magnitude against the standard error.</w:t>
      </w:r>
    </w:p>
    <w:p>
      <w:pPr>
        <w:pStyle w:val="BodyText"/>
        <w:spacing w:line="480" w:lineRule="auto"/>
        <w:ind w:firstLine="720"/>
      </w:pPr>
      <w:r>
        <w:t xml:space="preserve">The reading is that, with schedule slip and the FFRDC support indicator conditioning the equation, the ordinal GAO complexity index adds essentially no additional information about cost outcomes. Non-trivial, this result. The complexity index is the GAO’s own structured summary of subsystem count and technology readiness level profile, and its near-zero conditional coefficient suggests the difficulty signal the index carries is already captured by the indicators it co-varies with in the panel, especially the FFRDC support indicator and, indirectly, the schedule slip regressor through which much of the realized difficulty propagates. The Paper 2 discussion’s reading, that the complexity index does not absorb the FFRDC difficulty premium and so lets that premium load onto the FFRDC coefficient, squares with the near-zero estimate for complexity itself.</w:t>
      </w:r>
    </w:p>
    <w:bookmarkEnd w:id="128"/>
    <w:bookmarkStart w:id="129" w:name="the-baseline-life-cycle-cost-coefficient"/>
    <w:p>
      <w:pPr>
        <w:pStyle w:val="Heading3"/>
        <w:spacing w:line="480" w:lineRule="auto"/>
      </w:pPr>
      <w:r>
        <w:t xml:space="preserve">6.2.5 The baseline life cycle cost coefficient</w:t>
      </w:r>
    </w:p>
    <w:p>
      <w:pPr>
        <w:pStyle w:val="FirstParagraph"/>
        <w:spacing w:line="480" w:lineRule="auto"/>
      </w:pPr>
      <w:r>
        <w:t xml:space="preserve">The coefficient on the baseline life cycle cost in millions of dollars is plus 0.002 percentage points of cost growth per million dollars of baseline cost, with an HC1 standard error of 0.0015 and a two-sided p value of 0.185. Essentially zero in economic magnitude, the coefficient is, and it is not statistically distinguishable from zero at conventional levels.</w:t>
      </w:r>
    </w:p>
    <w:p>
      <w:pPr>
        <w:pStyle w:val="BodyText"/>
        <w:spacing w:line="480" w:lineRule="auto"/>
        <w:ind w:firstLine="720"/>
      </w:pPr>
      <w:r>
        <w:t xml:space="preserve">The reading is that, conditional on the other regressors, the scale of the baseline life cycle cost carries no independent information about the percentage cost growth outcome in the Paper 2 panel. Two interpretive points follow. Percentage cost growth is already a scale-normalized outcome, so the absence of a sizable conditional scale effect squares with the construction of the dependent variable rather than with a substantive null about whether more expensive projects grow at different rates. And the small positive sign of the point estimate, though not statistically distinguishable from zero, squares with the standing observation that the largest projects in the GAO panel, the flagship planetary and astrophysics missions among them, are also the projects that have absorbed the most cost growth in absolute terms, so that even a percentage-normalized outcome keeps a faint scale signature.</w:t>
      </w:r>
    </w:p>
    <w:bookmarkEnd w:id="129"/>
    <w:bookmarkStart w:id="130" w:name="the-intercept-1"/>
    <w:p>
      <w:pPr>
        <w:pStyle w:val="Heading3"/>
        <w:spacing w:line="480" w:lineRule="auto"/>
      </w:pPr>
      <w:r>
        <w:t xml:space="preserve">6.2.6 The intercept</w:t>
      </w:r>
    </w:p>
    <w:p>
      <w:pPr>
        <w:pStyle w:val="FirstParagraph"/>
        <w:spacing w:line="480" w:lineRule="auto"/>
      </w:pPr>
      <w:r>
        <w:t xml:space="preserve">The intercept is minus 20.676 percent of cost growth with an HC1 standard error of 15.776 and a two-sided p value of 0.190. As in Paper 1, it benchmarks a configuration outside the support of the data, a non-FFRDC project with a complexity index value of zero, a baseline life cycle cost of zero dollars, and zero months of schedule slip. The intercept carries no structural information, and what the constant invites is the reading that the regression’s substantive content sits in the slope coefficients on schedule slip and on the FFRDC support indicator.</w:t>
      </w:r>
    </w:p>
    <w:bookmarkEnd w:id="130"/>
    <w:bookmarkStart w:id="131" w:name="paper-2-summary-against-h0-and-h1"/>
    <w:p>
      <w:pPr>
        <w:pStyle w:val="Heading3"/>
        <w:spacing w:line="480" w:lineRule="auto"/>
      </w:pPr>
      <w:r>
        <w:t xml:space="preserve">6.2.7 Paper 2 summary against H0 and H1</w:t>
      </w:r>
    </w:p>
    <w:p>
      <w:pPr>
        <w:pStyle w:val="FirstParagraph"/>
        <w:spacing w:line="480" w:lineRule="auto"/>
      </w:pPr>
      <w:r>
        <w:t xml:space="preserve">In the negative direction the Paper 2 specification fails to reject H0 on the cost growth outcome. The FFRDC support coefficient is not statistically distinguishable from zero in the negative direction at the five percent level and is marginally distinguishable from zero in the positive direction at the ten percent level. Under the dissertation’s prospectus, H1 falls in the strict sense if the FFRDC coefficient is statistically indistinguishable from zero or carries the opposite sign in the integration and verification subpopulation, and Paper 2 does not separately identify that subpopulation. So the strict H1 test stays reserved for the work package level analysis in subsequent chapters. Beyond the Paper 1 result, what Paper 2 delivers is a much sharper conditional refusal of the doctrinal cost discipline prior, together with a strong policy actionable finding on schedule slip.</w:t>
      </w:r>
    </w:p>
    <w:bookmarkEnd w:id="131"/>
    <w:bookmarkEnd w:id="132"/>
    <w:bookmarkStart w:id="133" w:name="cross-paper-reading"/>
    <w:p>
      <w:pPr>
        <w:pStyle w:val="Heading2"/>
        <w:spacing w:line="480" w:lineRule="auto"/>
      </w:pPr>
      <w:r>
        <w:t xml:space="preserve">6.3 Cross-Paper Reading</w:t>
      </w:r>
    </w:p>
    <w:p>
      <w:pPr>
        <w:pStyle w:val="FirstParagraph"/>
        <w:spacing w:line="480" w:lineRule="auto"/>
      </w:pPr>
      <w:r>
        <w:t xml:space="preserve">Read together, Paper 1 and Paper 2 deliver three results robust across the two specifications and the two panels.</w:t>
      </w:r>
    </w:p>
    <w:p>
      <w:pPr>
        <w:pStyle w:val="BodyText"/>
        <w:spacing w:line="480" w:lineRule="auto"/>
        <w:ind w:firstLine="720"/>
      </w:pPr>
      <w:r>
        <w:t xml:space="preserve">The first robust result is the refusal of the doctrinal prior on FFRDC cost discipline at the project level. In both panels the FFRDC indicator signs positive rather than negative, and in both it comes back either statistically indistinguishable from zero (Paper 1, p equal to 0.309) or marginally distinguishable from zero in the positive direction (Paper 2, p equal to 0.081). Neither specification supports the doctrinal claim that FFRDC engagement is a general cost discipline mechanism at the project level, and the larger and more recent Paper 2 panel sharpens rather than softens the refusal.</w:t>
      </w:r>
    </w:p>
    <w:p>
      <w:pPr>
        <w:pStyle w:val="BodyText"/>
        <w:spacing w:line="480" w:lineRule="auto"/>
        <w:ind w:firstLine="720"/>
      </w:pPr>
      <w:r>
        <w:t xml:space="preserve">The second robust result is the dominant role of schedule on cost. Paper 1 finds a sign-consistent but not statistically detectable duration coefficient (plus 0.333 percentage points per planned month, p equal to 0.205), and Paper 2 finds a strongly statistically detectable schedule slip coefficient (plus 1.655 percentage points per slipped month, p rounded to zero). The two coefficients measure different temporal quantities and are not numerically comparable, and they point the same way: time on the program clock converts into cost growth, and the realized slippage conversion in Paper 2 is the single largest detectable effect in either specification. The cost discipline conversation, to whatever extent the cost record informs it at all, has to begin with schedule.</w:t>
      </w:r>
    </w:p>
    <w:p>
      <w:pPr>
        <w:pStyle w:val="BodyText"/>
        <w:spacing w:line="480" w:lineRule="auto"/>
        <w:ind w:firstLine="720"/>
      </w:pPr>
      <w:r>
        <w:t xml:space="preserve">The third robust result is the modest role of nominally difficulty-coded controls beyond the time signal. Paper 1’s instrument count coefficient is wrong-signed and statistically indistinguishable from zero (minus 0.763 per instrument, p equal to 0.575), and Paper 2’s complexity index coefficient is statistically indistinguishable from zero (minus 0.279 per index point, p equal to 0.910). Neither structured difficulty proxy carries detectable conditional information about cost growth once the FFRDC indicator and the time variable are in the equation. The reading is that the visible structured difficulty controls in the GAO record cannot absorb the difficulty premium the FFRDC routing decision encodes, which is exactly the pattern the prospectus anticipated as the motivation for the work package level identification strategy.</w:t>
      </w:r>
    </w:p>
    <w:p>
      <w:pPr>
        <w:pStyle w:val="BodyText"/>
        <w:spacing w:line="480" w:lineRule="auto"/>
        <w:ind w:firstLine="720"/>
      </w:pPr>
      <w:r>
        <w:t xml:space="preserve">Together the three robust results do not falsify H1 in the strict sense, because H1 stays reserved for the work package level analysis where the integration and verification subpopulation is separately identifiable. What they do is set the disciplinary baseline the work package level chapters must be read against. At the project level, conditional on what the GAO record makes visible, the doctrine the dissertation set out to discipline does not survive the cost growth equation under either control set. A program manager who routes work to an FFRDC under a project-level cost discipline prior is routing under a prior the panels do not endorse. The question that remains, taken up next by the dissertation’s mixed methods design, is whether the work package level record recovers a defensible comparative advantage in the integration and verification subpopulation that the project level pooled estimates cannot see</w:t>
      </w:r>
      <w:r>
        <w:t xml:space="preserve"> </w:t>
      </w:r>
      <w:hyperlink w:anchor="ref-9">
        <w:r>
          <w:rPr>
            <w:rStyle w:val="Hyperlink"/>
          </w:rPr>
          <w:t xml:space="preserve">[9]</w:t>
        </w:r>
      </w:hyperlink>
      <w:r>
        <w:t xml:space="preserve">[12][13][15].</w:t>
      </w:r>
    </w:p>
    <w:bookmarkEnd w:id="133"/>
    <w:bookmarkEnd w:id="134"/>
    <w:bookmarkStart w:id="140" w:name="X21322cb5e29cbf4eb576afddcad42f86ace4e0d"/>
    <w:p>
      <w:pPr>
        <w:pStyle w:val="Heading1"/>
        <w:spacing w:line="480" w:lineRule="auto"/>
      </w:pPr>
      <w:r>
        <w:t xml:space="preserve">Chapter 7. Discussion and Governance Implications</w:t>
      </w:r>
    </w:p>
    <w:bookmarkStart w:id="135" w:name="reading-the-two-estimates-together"/>
    <w:p>
      <w:pPr>
        <w:pStyle w:val="Heading2"/>
        <w:spacing w:line="480" w:lineRule="auto"/>
      </w:pPr>
      <w:r>
        <w:t xml:space="preserve">7.1 Reading the Two Estimates Together</w:t>
      </w:r>
    </w:p>
    <w:p>
      <w:pPr>
        <w:pStyle w:val="FirstParagraph"/>
        <w:spacing w:line="480" w:lineRule="auto"/>
      </w:pPr>
      <w:r>
        <w:t xml:space="preserve">A single doctrinal claim is what the dissertation’s two quantitative papers were built to discipline: that engaging a Federally Funded Research and Development Center as the systems engineering and technical assurance presence on a civil space major project produces, as a general matter, tighter cost performance against the Phase B baseline.</w:t>
      </w:r>
    </w:p>
    <w:p>
      <w:pPr>
        <w:pStyle w:val="BodyText"/>
        <w:spacing w:line="480" w:lineRule="auto"/>
        <w:ind w:firstLine="720"/>
      </w:pPr>
      <w:r>
        <w:t xml:space="preserve">The first paper worked a hand-compiled panel of thirty NASA and NOAA projects across the 2008 through 2024 Government Accountability Office assessment cycles and ran an ordinary least squares cost growth regression on an FFRDC indicator with planned development duration and instrument count as controls. Its fitted FFRDC coefficient came out positive at roughly nine percentage points and not statistically distinguishable from zero, with a model F p value of 0.136 and an adjusted R squared of 0.114. The second paper worked a thirty five project subset of the more recent GAO cycles, added the GAO ordinal complexity index, baseline life cycle cost, and schedule slip as controls, and returned an FFRDC coefficient of plus twenty two percentage points of cost growth at marginal significance, schedule slip absorbing most of the explained variance at 1.66 percentage points of cost growth per month of launch readiness date slip and a p value below 0.001. On magnitude and on the statistical character of the FFRDC indicator the two estimates differ. On the direction in which the doctrinal prior fails they agree. Neither specification hands the FFRDC indicator a negative and detectable coefficient. In both, the variance the regression actually explains traces to project difficulty and to schedule discipline, not to the institutional form of the systems engineering provider.</w:t>
      </w:r>
    </w:p>
    <w:p>
      <w:pPr>
        <w:pStyle w:val="BodyText"/>
        <w:spacing w:line="480" w:lineRule="auto"/>
        <w:ind w:firstLine="720"/>
      </w:pPr>
      <w:r>
        <w:t xml:space="preserve">Reading the two estimates jointly is no exercise in averaging.</w:t>
      </w:r>
    </w:p>
    <w:p>
      <w:pPr>
        <w:pStyle w:val="BodyText"/>
        <w:spacing w:line="480" w:lineRule="auto"/>
        <w:ind w:firstLine="720"/>
      </w:pPr>
      <w:r>
        <w:t xml:space="preserve">The two panels partly overlap, the FFRDC indicator runs binary and coarse in both, and the distance between a nine point and a twenty two point conditional association is exactly the distance a panel of thirty to thirty five heterogeneous projects cannot resolve. The point lands elsewhere: two independently coded panels, with two different control sets, fail in the same direction against the same null. Neither regression lets the doctrinal claim that FFRDC engagement is a general cost discipline mechanism survive. Both let the longstanding GAO finding that cost growth co-varies with schedule slip on NASA major projects survive</w:t>
      </w:r>
      <w:r>
        <w:t xml:space="preserve"> </w:t>
      </w:r>
      <w:hyperlink w:anchor="ref-4">
        <w:r>
          <w:rPr>
            <w:rStyle w:val="Hyperlink"/>
          </w:rPr>
          <w:t xml:space="preserve">[4]</w:t>
        </w:r>
      </w:hyperlink>
      <w:r>
        <w:t xml:space="preserve">[6][7][8]. What follows for the dissertation, and for the program manager it is written for, is that the routing decision between an FFRDC, a prime contractor, and an in-house government team cannot be defended on a general cost discipline prior. It has to be defended, if at all, on a narrower claim about where in a program lifecycle the FFRDC institutional form actually carries a marginal effect the regression at program level is too coarse to see.</w:t>
      </w:r>
    </w:p>
    <w:bookmarkEnd w:id="135"/>
    <w:bookmarkStart w:id="136"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For NASA program management the first implication is that the standing portfolio-level defense of FFRDC engagement, run through doctrine, congressional reporting, and the annual sponsor reviews, has to migrate. Resting it on a claim about cost discipline at the project level is not an option, because the cost record at the project level produces no such claim. It has to migrate to claims the regression cannot test. Three of those are visible in the institutional record and merit explicit articulation by program managers who choose to keep routing systems engineering and technical assurance scope through an FFRDC.</w:t>
      </w:r>
    </w:p>
    <w:p>
      <w:pPr>
        <w:pStyle w:val="BodyText"/>
        <w:spacing w:line="480" w:lineRule="auto"/>
        <w:ind w:firstLine="720"/>
      </w:pPr>
      <w:r>
        <w:t xml:space="preserve">Continuity across program transitions is the first migrated claim. Major civil space programs span Key Decision Points B through E across periods that routinely run past a decade, and the GAO assessments document persistent management churn during those transitions</w:t>
      </w:r>
      <w:r>
        <w:t xml:space="preserve"> </w:t>
      </w:r>
      <w:hyperlink w:anchor="ref-6">
        <w:r>
          <w:rPr>
            <w:rStyle w:val="Hyperlink"/>
          </w:rPr>
          <w:t xml:space="preserve">[6]</w:t>
        </w:r>
      </w:hyperlink>
      <w:r>
        <w:t xml:space="preserve">[7][8]. An FFRDC institutional form carries a workforce not exposed to recompete cycles the way a prime contractor’s program team is, and that workforce can in principle hold the institutional memory that survives Phase A through Phase D handoffs. This effect the second paper’s regression cannot detect, because its unit of analysis is the project rather than the transition, and because the cost growth variable runs dominated by the schedule slip that propagates through the transition rather than by the technical memory that does or does not survive it. Built to surface whether program managers actually experience FFRDC continuity as a binding constraint on transition cost is the dissertation’s qualitative arm, which interviews program managers across the three NASA mission directorates carrying the largest FFRDC spend, and its interview protocol should be read as the binding test of the continuity claim.</w:t>
      </w:r>
    </w:p>
    <w:p>
      <w:pPr>
        <w:pStyle w:val="BodyText"/>
        <w:spacing w:line="480" w:lineRule="auto"/>
        <w:ind w:firstLine="720"/>
      </w:pPr>
      <w:r>
        <w:t xml:space="preserve">Independent technical assurance is the second migrated claim.</w:t>
      </w:r>
    </w:p>
    <w:p>
      <w:pPr>
        <w:pStyle w:val="BodyText"/>
        <w:spacing w:line="480" w:lineRule="auto"/>
        <w:ind w:firstLine="720"/>
      </w:pPr>
      <w:r>
        <w:t xml:space="preserve">The doctrinal justification for FFRDC engagement on systems engineering integration scope rests partly on the claim that the FFRDC, by virtue of its restrictions on competing for commercial work and its long tenure technical staff, can produce assurance products a prime contractor cannot, since the prime is implicated in the design decisions under review. This claim the cost regression cannot test either, because the effect of independent assurance, if it exists, lands on the rebaseline event rather than on the cost growth measured against the most recent rebaseline. A program with strong independent assurance may rebaseline earlier and more honestly, improving the realism of the eventual estimate while GAO records it as a Phase B to current baseline change rather than a cost growth victory. Program managers routing assurance scope through an FFRDC under this rationale should expect the rebaseline timing and the rebaseline depth, not the headline cost growth, to be the observables that carry the effect. And the dissertation’s larger work-package level identification strategy, collapsing the unit of analysis to the work package and exploiting staggered task order timing within programs that hold both FFRDC and non-FFRDC work packages, is the design with any chance of recovering that effect from the cost record.</w:t>
      </w:r>
    </w:p>
    <w:p>
      <w:pPr>
        <w:pStyle w:val="BodyText"/>
        <w:spacing w:line="480" w:lineRule="auto"/>
        <w:ind w:firstLine="720"/>
      </w:pPr>
      <w:r>
        <w:t xml:space="preserve">Freedom from competitive conflict in source selection is the third migrated claim. FFRDCs take on source selection and acquisition strategy work the prime contractor on a program cannot perform without conflict, and the supporting space situational awareness and traffic management literature documents cases where the FFRDC institutional form was the only feasible provider of cross-cutting technical work touching multiple competing primes</w:t>
      </w:r>
      <w:r>
        <w:t xml:space="preserve"> </w:t>
      </w:r>
      <w:hyperlink w:anchor="ref-9">
        <w:r>
          <w:rPr>
            <w:rStyle w:val="Hyperlink"/>
          </w:rPr>
          <w:t xml:space="preserve">[9]</w:t>
        </w:r>
      </w:hyperlink>
      <w:r>
        <w:t xml:space="preserve">[11][13][15]. That is a claim about the feasibility of the assurance product, not about its cost discipline effect, and the regression gets no purchase on it. The program management implication is procedural: the routing decision for source selection support is a different decision from the routing decision for cost discipline, and conflating the two has been the most consistent rhetorical mistake in the doctrinal defense.</w:t>
      </w:r>
    </w:p>
    <w:p>
      <w:pPr>
        <w:pStyle w:val="BodyText"/>
        <w:spacing w:line="480" w:lineRule="auto"/>
        <w:ind w:firstLine="720"/>
      </w:pPr>
      <w:r>
        <w:t xml:space="preserve">A second-order implication for NASA program management runs through the schedule slip coefficient in the second paper. At 1.66 percentage points of cost growth per month of launch readiness date slip, schedule slip is the policy actionable finding the second paper carries, and the FFRDC routing decision should be reorganized around it. Whatever marginal effect the FFRDC institutional form has on the cost record, it must be operating through schedule, since schedule is where the regression’s explained variance concentrates. Program managers routing systems engineering and technical assurance scope through an FFRDC should require, as a condition of the routing, a schedule discipline product the FFRDC delivers and the prime cannot. Fail to articulate such a product, and the routing cannot be defended on the regression’s terms.</w:t>
      </w:r>
    </w:p>
    <w:p>
      <w:pPr>
        <w:pStyle w:val="BodyText"/>
        <w:spacing w:line="480" w:lineRule="auto"/>
        <w:ind w:firstLine="720"/>
      </w:pPr>
      <w:r>
        <w:t xml:space="preserve">A third implication, and the one that weighs most on the dissertation’s later chapters, is that the GAO ordinal complexity index carries no useful conditional information about cost growth in the presence of the schedule slip control. The second paper reports a complexity coefficient statistically indistinguishable from zero with a p value of 0.91. This squares with the standing GAO methodology, in which the complexity index is built to characterize project difficulty for portfolio communication rather than for conditional estimation</w:t>
      </w:r>
      <w:r>
        <w:t xml:space="preserve"> </w:t>
      </w:r>
      <w:hyperlink w:anchor="ref-4">
        <w:r>
          <w:rPr>
            <w:rStyle w:val="Hyperlink"/>
          </w:rPr>
          <w:t xml:space="preserve">[4]</w:t>
        </w:r>
      </w:hyperlink>
      <w:r>
        <w:t xml:space="preserve">. The dissertation’s larger identification strategy, dropping to the work package and conditioning on technology readiness level at quarter start and on program phase, is designed to recover the difficulty signal the ordinal index loses. Program managers using the GAO complexity index as their internal prior on what to route to an FFRDC are using a measure that, in the presence of a schedule discipline control, does not predict cost outcomes.</w:t>
      </w:r>
    </w:p>
    <w:bookmarkEnd w:id="136"/>
    <w:bookmarkStart w:id="137"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Most acutely exposed to the cost growth pattern the two papers document is the Jet Propulsion Laboratory, because the second paper’s most consequential observations sit on the long-cycle planetary and astrophysics missions JPL leads or supports as the systems engineering and technical assurance presence. Mars Sample Return, Europa Clipper, and the science instrument community JPL convenes carry, in the second paper’s panel, the cost growth the FFRDC indicator picks up. What follows for JPL decision making is not that the laboratory should retreat from the work that produces the cost growth, since that work is the work the institutional form exists to absorb. What follows is that the laboratory should be unsparingly clear about which of the three migrated claims it defends the routing on, project by project, and should carry that defense in the documentary record the GAO and the NASA Cost Analysis Division consult.</w:t>
      </w:r>
    </w:p>
    <w:p>
      <w:pPr>
        <w:pStyle w:val="BodyText"/>
        <w:spacing w:line="480" w:lineRule="auto"/>
        <w:ind w:firstLine="720"/>
      </w:pPr>
      <w:r>
        <w:t xml:space="preserve">The first JPL-specific implication is that the laboratory’s portfolio defense should break the science directorate’s work into the three migrated claims and report against each. The continuity defense holds strongest on the missions spanning Key Decision Point B through Phase E across more than a decade, where the JPL technical workforce is the only institutional locus that survives the prime contractor recompetes punctuating the program. The independent assurance defense holds strongest on missions where the prime is implicated in the design decisions under review, which on the planetary portfolio is essentially every mission. The source selection defense holds strongest on the cross-cutting technical work touching the science instrument community, where the FFRDC is the only feasible provider</w:t>
      </w:r>
      <w:r>
        <w:t xml:space="preserve"> </w:t>
      </w:r>
      <w:hyperlink w:anchor="ref-15">
        <w:r>
          <w:rPr>
            <w:rStyle w:val="Hyperlink"/>
          </w:rPr>
          <w:t xml:space="preserve">[15]</w:t>
        </w:r>
      </w:hyperlink>
      <w:r>
        <w:t xml:space="preserve">. The laboratory’s institutional reporting should make the three defenses visible separately, because the cost record will not.</w:t>
      </w:r>
    </w:p>
    <w:p>
      <w:pPr>
        <w:pStyle w:val="BodyText"/>
        <w:spacing w:line="480" w:lineRule="auto"/>
        <w:ind w:firstLine="720"/>
      </w:pPr>
      <w:r>
        <w:t xml:space="preserve">The second JPL-specific implication runs through the schedule slip coefficient and through the GAO portfolio assessments that document the human spaceflight cost and schedule profile</w:t>
      </w:r>
      <w:r>
        <w:t xml:space="preserve"> </w:t>
      </w:r>
      <w:hyperlink w:anchor="ref-6">
        <w:r>
          <w:rPr>
            <w:rStyle w:val="Hyperlink"/>
          </w:rPr>
          <w:t xml:space="preserve">[6]</w:t>
        </w:r>
      </w:hyperlink>
      <w:r>
        <w:t xml:space="preserve">[8]. The science directorate’s schedule discipline product, if it exists, is the rebaseline timing and rebaseline depth product, and JPL should report it on exactly those terms. Repeated rebaselines on the long-cycle missions have disciplined the laboratory, and the question for its leadership is whether the rebaseline timing on a JPL-led mission runs earlier and more honest than the rebaseline timing on a prime-led mission of comparable difficulty. That question the regression cannot answer, and the GAO assessment series can, because the GAO records the rebaseline events and the cost variance recognized at each. The laboratory’s internal portfolio analytics should build the rebaseline timing series and report it against the prime-led comparators.</w:t>
      </w:r>
    </w:p>
    <w:p>
      <w:pPr>
        <w:pStyle w:val="BodyText"/>
        <w:spacing w:line="480" w:lineRule="auto"/>
        <w:ind w:firstLine="720"/>
      </w:pPr>
      <w:r>
        <w:t xml:space="preserve">The third JPL-specific implication concerns the work package routing decision inside a JPL-led mission. The dissertation’s larger identification strategy drops to the work package because the program-level regression lacks the resolution to identify the FFRDC effect, and the laboratory’s internal routing decisions should drop with it. A JPL mission holds a mix of integration scope, independent verification scope, and hardware production throughput scope, and the dissertation’s H1 predicts the FFRDC marginal effect concentrated on the first two and null or negative on the third. The laboratory’s internal sourcing decisions should line up with that prediction, hardware production throughput scope routed to the institutions that price and execute it best, and integration and independent verification scope kept inside the FFRDC institutional form where the marginal effect, if any, has to sit.</w:t>
      </w:r>
    </w:p>
    <w:p>
      <w:pPr>
        <w:pStyle w:val="BodyText"/>
        <w:spacing w:line="480" w:lineRule="auto"/>
        <w:ind w:firstLine="720"/>
      </w:pPr>
      <w:r>
        <w:t xml:space="preserve">The fourth JPL-specific implication, which weighs on the laboratory’s recompete posture, is that the doctrinal defense the laboratory has historically carried in its institutional reporting is the defense the two regressions refuse to support. The laboratory’s reporting should migrate to the three migrated claims with the same urgency the program management community migrates. Defensible are the continuity, independent assurance, and source selection conflict claims. Not defensible is the general cost discipline claim. The laboratory’s recompete reporting should be rebuilt around the defensible claims, with the GAO assessment series and the second paper’s schedule slip coefficient as the disciplining record.</w:t>
      </w:r>
    </w:p>
    <w:bookmarkEnd w:id="137"/>
    <w:bookmarkStart w:id="138" w:name="limitations"/>
    <w:p>
      <w:pPr>
        <w:pStyle w:val="Heading2"/>
        <w:spacing w:line="480" w:lineRule="auto"/>
      </w:pPr>
      <w:r>
        <w:t xml:space="preserve">7.4 Limitations</w:t>
      </w:r>
    </w:p>
    <w:p>
      <w:pPr>
        <w:pStyle w:val="FirstParagraph"/>
        <w:spacing w:line="480" w:lineRule="auto"/>
      </w:pPr>
      <w:r>
        <w:t xml:space="preserve">The dissertation’s quantitative arm carries the standard limitations of a small panel observational design on a heterogeneous portfolio, and they run larger than the standard discussion usually admits. The unit of analysis is the first. Both regressions are estimated at the project level, with a binary FFRDC indicator that collapses the gradient of FFRDC effort share into a presence-absence variable. That collapse is the source of the regression’s inability to identify the marginal effect, and the dissertation’s qualitative arm and the work-package level design the prospectus outlines are the responses to it. The reader should take the two papers as the upper-bound regressions the dissertation has to clear, not as its central evidentiary moves.</w:t>
      </w:r>
    </w:p>
    <w:p>
      <w:pPr>
        <w:pStyle w:val="BodyText"/>
        <w:spacing w:line="480" w:lineRule="auto"/>
        <w:ind w:firstLine="720"/>
      </w:pPr>
      <w:r>
        <w:t xml:space="preserve">Selection on unobservables is the second limitation. Projects get routed to an FFRDC because the work is hard, and the difficulty controls the GAO record offers do not exhaust the hardness signal that drives the routing. The first paper’s planned development duration and instrument count controls, and the second paper’s GAO ordinal complexity index and baseline life cycle cost controls, recover a portion of the hardness signal while missing the technological readiness profile, the heritage profile, and the international partnership profile the program offices use internally to characterize difficulty. Exactly this residual selection biases the naive FFRDC coefficient toward zero or toward the wrong sign, and the second paper’s marginal twenty two percentage point coefficient reads best as that bias rather than as a causal estimate. The dissertation’s staggered difference-in-differences design at the work-package level answers this limitation, and the qualitative arm’s interview protocol answers the residual selection the design cannot absorb.</w:t>
      </w:r>
    </w:p>
    <w:p>
      <w:pPr>
        <w:pStyle w:val="BodyText"/>
        <w:spacing w:line="480" w:lineRule="auto"/>
        <w:ind w:firstLine="720"/>
      </w:pPr>
      <w:r>
        <w:t xml:space="preserve">The cost growth measure itself is the third limitation. Both papers measure cost growth against the Phase B baseline or against the Agency Baseline Commitment, and the measure is recognized cost variance rather than ultimate cost realization. A program that rebaselines early and honestly records large cost growth against the Phase B baseline and small cost growth against the most recent rebaseline, and the GAO methodology records both, while the second paper uses the most recent estimate against the original baseline as the dependent variable. That is the standard GAO communication measure, and it is the measure the program manager actually defends in front of Congress, and it is not the measure that recovers the FFRDC independent assurance effect on rebaseline timing. The dissertation’s later chapters should report the cost growth measure both against the Phase B baseline and against the most recent rebaseline, reading the difference between the two as a partial signal on the independent assurance effect.</w:t>
      </w:r>
    </w:p>
    <w:p>
      <w:pPr>
        <w:pStyle w:val="BodyText"/>
        <w:spacing w:line="480" w:lineRule="auto"/>
        <w:ind w:firstLine="720"/>
      </w:pPr>
      <w:r>
        <w:t xml:space="preserve">The binary character of the FFRDC indicator is the fourth limitation. The indicator does not tell apart a project on which JPL is the prime systems engineering and technical assurance presence from a project on which a different FFRDC carries a smaller share of the SETA scope, and it does not tell apart a project on which the FFRDC is integrated with the prime’s program team from a project on which the FFRDC carries an independent assurance role. Visible in both papers and defensible at the small panel size the GAO record supports, those coding choices leave the indicator the coarsest variable in the regression and the one most plausibly responsible for the failure to detect a marginal effect.</w:t>
      </w:r>
    </w:p>
    <w:p>
      <w:pPr>
        <w:pStyle w:val="BodyText"/>
        <w:spacing w:line="480" w:lineRule="auto"/>
        <w:ind w:firstLine="720"/>
      </w:pPr>
      <w:r>
        <w:t xml:space="preserve">Generalization beyond the civil space portfolio is the fifth limitation. The dissertation’s findings are estimated on NASA and NOAA major projects, with no defense portfolio observations, and the institutional form of the FFRDCs supporting defense space programs differs in ways the literature documents and the cost record reflects</w:t>
      </w:r>
      <w:r>
        <w:t xml:space="preserve"> </w:t>
      </w:r>
      <w:hyperlink w:anchor="ref-9">
        <w:r>
          <w:rPr>
            <w:rStyle w:val="Hyperlink"/>
          </w:rPr>
          <w:t xml:space="preserve">[9]</w:t>
        </w:r>
      </w:hyperlink>
      <w:r>
        <w:t xml:space="preserve">[10][11][13]. The dissertation does not claim its findings generalize to the defense space portfolio, and the program management community should not read them as a general statement about FFRDC effectiveness across the federal portfolio.</w:t>
      </w:r>
    </w:p>
    <w:p>
      <w:pPr>
        <w:pStyle w:val="BodyText"/>
        <w:spacing w:line="480" w:lineRule="auto"/>
        <w:ind w:firstLine="720"/>
      </w:pPr>
      <w:r>
        <w:t xml:space="preserve">The sixth limitation is qualitative and matters most to the dissertation’s later chapters. The two papers do not address the FFRDC contribution to mission success, where mission success is the achievement of the science or operational objective the project was funded to deliver. A project that overruns cost and schedule against the Phase B baseline and delivers the science is a project the doctrinal defense of FFRDC engagement would correctly count a success, and the dissertation’s measurement architecture does not yet capture that dimension. The qualitative arm should be read as the first move toward a mission success measure, and the dissertation’s later chapters should articulate the measure explicitly.</w:t>
      </w:r>
    </w:p>
    <w:bookmarkEnd w:id="138"/>
    <w:bookmarkStart w:id="139" w:name="future-research"/>
    <w:p>
      <w:pPr>
        <w:pStyle w:val="Heading2"/>
        <w:spacing w:line="480" w:lineRule="auto"/>
      </w:pPr>
      <w:r>
        <w:t xml:space="preserve">7.5 Future Research</w:t>
      </w:r>
    </w:p>
    <w:p>
      <w:pPr>
        <w:pStyle w:val="FirstParagraph"/>
        <w:spacing w:line="480" w:lineRule="auto"/>
      </w:pPr>
      <w:r>
        <w:t xml:space="preserve">Three lines of future research follow directly from the chapter’s findings and from the limitations. The first is the work-package level identification strategy the prospectus outlines and the two papers leave for the dissertation’s empirical core. That strategy needs linkage of the NASA Cost Analysis Data Requirement record to the FFRDC task order metadata, both obtainable and neither currently linked at the work-package resolution the design requires. The data linkage is the binding constraint on the strategy, so the first line of future research should be constructing the linked record. And the qualitative arm’s interview protocol should be designed partly to recover the linkage rules the program offices use internally, because the program offices hold linked records the public archive does not expose.</w:t>
      </w:r>
    </w:p>
    <w:p>
      <w:pPr>
        <w:pStyle w:val="BodyText"/>
        <w:spacing w:line="480" w:lineRule="auto"/>
        <w:ind w:firstLine="720"/>
      </w:pPr>
      <w:r>
        <w:t xml:space="preserve">The second line of future research is the rebaseline timing and rebaseline depth measurement the cost growth measure does not recover. The GAO assessment series records the rebaseline events and the cost variance recognized at each, and building a rebaseline timing panel across the GAO record is a discrete and tractable research product. It would test whether FFRDC-led programs rebaseline earlier and more honestly than prime-led programs of comparable difficulty, and it would discipline the independent assurance claim the cost growth regression cannot reach. It is also the likeliest route to a defensible JPL recompete reporting architecture, because the rebaseline timing record is the record the laboratory has standing to defend.</w:t>
      </w:r>
    </w:p>
    <w:p>
      <w:pPr>
        <w:pStyle w:val="BodyText"/>
        <w:spacing w:line="480" w:lineRule="auto"/>
        <w:ind w:firstLine="720"/>
      </w:pPr>
      <w:r>
        <w:t xml:space="preserve">The third line of future research is the mission success measure. On a mission success measure comparable across mission classes the civil space program management community has not converged, and the dissertation’s later chapters should make a discrete contribution to that convergence. A mission success measure combining science objective achievement, schedule and cost margin at launch readiness, and on-orbit performance against the baseline operational concept would discipline the FFRDC routing decision where the cost growth regression cannot, and would let the dissertation’s findings be read against the metric the program management community actually cares about. The supporting space economics literature frames the measure, treating the public sector as a coordinator of market failures in a sector that stays capital intensive and stays yoked to long technology development arcs</w:t>
      </w:r>
      <w:r>
        <w:t xml:space="preserve"> </w:t>
      </w:r>
      <w:hyperlink w:anchor="ref-1">
        <w:r>
          <w:rPr>
            <w:rStyle w:val="Hyperlink"/>
          </w:rPr>
          <w:t xml:space="preserve">[1]</w:t>
        </w:r>
      </w:hyperlink>
      <w:r>
        <w:t xml:space="preserve">[2][5], and the supporting architectural and norms literature frames the multi-actor governance fabric in which the measure has to be defended</w:t>
      </w:r>
      <w:r>
        <w:t xml:space="preserve"> </w:t>
      </w:r>
      <w:hyperlink w:anchor="ref-3">
        <w:r>
          <w:rPr>
            <w:rStyle w:val="Hyperlink"/>
          </w:rPr>
          <w:t xml:space="preserve">[3]</w:t>
        </w:r>
      </w:hyperlink>
      <w:r>
        <w:t xml:space="preserve">. The dissertation’s later chapters should take up the measure explicitly, and the program management community should expect it to be the locus of the next round of doctrinal discipline.</w:t>
      </w:r>
    </w:p>
    <w:bookmarkEnd w:id="139"/>
    <w:bookmarkEnd w:id="140"/>
    <w:bookmarkStart w:id="184" w:name="chapter-8.-conclusion"/>
    <w:p>
      <w:pPr>
        <w:pStyle w:val="Heading1"/>
        <w:spacing w:line="480" w:lineRule="auto"/>
      </w:pPr>
      <w:r>
        <w:t xml:space="preserve">Chapter 8. Conclusion</w:t>
      </w:r>
    </w:p>
    <w:bookmarkStart w:id="141" w:name="the-argument-restated"/>
    <w:p>
      <w:pPr>
        <w:pStyle w:val="Heading2"/>
        <w:spacing w:line="480" w:lineRule="auto"/>
      </w:pPr>
      <w:r>
        <w:t xml:space="preserve">8.1 The Argument Restated</w:t>
      </w:r>
    </w:p>
    <w:p>
      <w:pPr>
        <w:pStyle w:val="FirstParagraph"/>
        <w:spacing w:line="480" w:lineRule="auto"/>
      </w:pPr>
      <w:r>
        <w:t xml:space="preserve">A question the civil space acquisition literature has carried, unexamined, for the better part of a generation is where this dissertation began. Federally Funded Research and Development Centers get embedded inside NASA major projects as systems engineering and technical assurance partners as a matter of routine, and the doctrinal justification for that embedding leans on three claims the literature has treated as self-evident: continuity across program transitions, objectivity in independent review, and freedom from competitive conflict in source selection. A level claim about institutional comparative advantage, that justification is, and yet nobody has ever disciplined the level claim with an estimate of where, within the lifecycle of a civil space mission program, the FFRDC institutional form measurably alters execution outcomes against a counterfactual sourcing through ordinary contractors or in-house government staff. The prospectus recast the FFRDC engagement decision as a sourcing decision at the work-package level and bound the dissertation to a single falsifiable contribution: that conditional on work-package scope, technology readiness level, and program phase, FFRDC participation reduces cost growth and schedule slip in work packages whose dominant risk is integration or independent verification and is null or negative in work packages whose dominant risk is hardware production throughput.</w:t>
      </w:r>
    </w:p>
    <w:p>
      <w:pPr>
        <w:pStyle w:val="BodyText"/>
        <w:spacing w:line="480" w:lineRule="auto"/>
        <w:ind w:firstLine="720"/>
      </w:pPr>
      <w:r>
        <w:t xml:space="preserve">Two research papers anchor the empirical core, and they interrogate that contribution from two directions.</w:t>
      </w:r>
    </w:p>
    <w:p>
      <w:pPr>
        <w:pStyle w:val="BodyText"/>
        <w:spacing w:line="480" w:lineRule="auto"/>
        <w:ind w:firstLine="720"/>
      </w:pPr>
      <w:r>
        <w:t xml:space="preserve">The first ran an ordinary least squares regression of cost growth on FFRDC systems engineering intensity across a hand-compiled panel of thirty NASA and NOAA major projects drawn from the Government Accountability Office assessment series</w:t>
      </w:r>
      <w:r>
        <w:t xml:space="preserve"> </w:t>
      </w:r>
      <w:hyperlink w:anchor="ref-4">
        <w:r>
          <w:rPr>
            <w:rStyle w:val="Hyperlink"/>
          </w:rPr>
          <w:t xml:space="preserve">[4]</w:t>
        </w:r>
      </w:hyperlink>
      <w:r>
        <w:t xml:space="preserve">. Its point estimate on the FFRDC indicator came out positive at roughly nine percentage points of additional cost growth and was not statistically distinguishable from zero at conventional levels. The second widened the panel to thirty-five projects, added schedule slip and a complexity index as controls, and estimated a model whose joint explanatory power reached statistical significance at the one-percent level. In that specification the FFRDC coefficient rose to roughly twenty-two percentage points of additional cost growth with a p-value of 0.081, marginally significant at the ten-percent level, while schedule slip carried 1.66 percentage points of cost growth per month and dominated the model with a p-value below 0.001. Neither paper recovered the negative coefficient the doctrine of FFRDC cost discipline requires. The first failed to reject the null and refused to endorse the doctrine. The second went further, producing a conditional association in the opposite direction.</w:t>
      </w:r>
    </w:p>
    <w:p>
      <w:pPr>
        <w:pStyle w:val="BodyText"/>
        <w:spacing w:line="480" w:lineRule="auto"/>
        <w:ind w:firstLine="720"/>
      </w:pPr>
      <w:r>
        <w:t xml:space="preserve">From different distances the two estimates point at the same finding. Read as one argument, they say that at the program level, conditioning only on the visible difficulty controls GAO and the NASA program offices themselves use</w:t>
      </w:r>
      <w:r>
        <w:t xml:space="preserve"> </w:t>
      </w:r>
      <w:hyperlink w:anchor="ref-6">
        <w:r>
          <w:rPr>
            <w:rStyle w:val="Hyperlink"/>
          </w:rPr>
          <w:t xml:space="preserve">[6]</w:t>
        </w:r>
      </w:hyperlink>
      <w:r>
        <w:t xml:space="preserve">[7][8], the data refuse to produce a general FFRDC cost discipline effect. The doctrine the program manager carries into the fiscal-year routing decision is a doctrine the regression does not endorse. That refusal is the dissertation’s first finding, and it is the finding that drives the work-package design the prospectus committed to and the qualitative arm characterizes.</w:t>
      </w:r>
    </w:p>
    <w:bookmarkEnd w:id="141"/>
    <w:bookmarkStart w:id="142" w:name="X4a9343b3cd9e6e7bc9ad9c674c35539df791cbc"/>
    <w:p>
      <w:pPr>
        <w:pStyle w:val="Heading2"/>
        <w:spacing w:line="480" w:lineRule="auto"/>
      </w:pPr>
      <w:r>
        <w:t xml:space="preserve">8.2 What the Argument Does and Does Not Establish</w:t>
      </w:r>
    </w:p>
    <w:p>
      <w:pPr>
        <w:pStyle w:val="FirstParagraph"/>
        <w:spacing w:line="480" w:lineRule="auto"/>
      </w:pPr>
      <w:r>
        <w:t xml:space="preserve">Narrower than the headline, the argument is. It does not establish that FFRDC engagement causes cost growth on civil space major projects. The selection mechanism shows in both panels and squares with the standing observation that FFRDC systems engineering concentrates on the projects whose intrinsic difficulty already predicts higher cost growth, the long-arc planetary and astrophysics missions and the human spaceflight transportation elements whose schedule slip dominates the second paper’s variance among them. What the argument does establish is that the level claim the doctrine carries cannot be defended from the available aggregate evidence. Too coarse to recover the work-package mechanism, the program-level panel is, and the two visible difficulty controls absorb only part of the assignment process. The first paper’s positive but insignificant coefficient and the second paper’s larger and marginally significant coefficient square jointly with the substantive reading that the doctrinal prior is unsupported and with the methodological reading that program-level regressions cannot identify the FFRDC marginal effect even in principle.</w:t>
      </w:r>
    </w:p>
    <w:p>
      <w:pPr>
        <w:pStyle w:val="BodyText"/>
        <w:spacing w:line="480" w:lineRule="auto"/>
        <w:ind w:firstLine="720"/>
      </w:pPr>
      <w:r>
        <w:t xml:space="preserve">That dual reading is itself a contribution. It tells the program manager who routes work to an FFRDC every fiscal year that the routing has to be defended on the narrower claim that the work package in question carries the risk profile in which FFRDC participation has been shown to alter execution outcomes, and not on the general cost discipline prior the doctrine supplies. The narrower claim is the one the work-package identification strategy is designed to test, and the prospectus committed to a staggered difference-in-differences design on NASA Cost Analysis Data Requirement records linked to NASA Acquisition Internet Service contract actions</w:t>
      </w:r>
      <w:r>
        <w:t xml:space="preserve"> </w:t>
      </w:r>
      <w:hyperlink w:anchor="ref-4">
        <w:r>
          <w:rPr>
            <w:rStyle w:val="Hyperlink"/>
          </w:rPr>
          <w:t xml:space="preserve">[4]</w:t>
        </w:r>
      </w:hyperlink>
      <w:r>
        <w:t xml:space="preserve">, precisely because the program-level estimate cannot do the identification work the doctrine implicitly assumes the program manager has already done.</w:t>
      </w:r>
    </w:p>
    <w:p>
      <w:pPr>
        <w:pStyle w:val="BodyText"/>
        <w:spacing w:line="480" w:lineRule="auto"/>
        <w:ind w:firstLine="720"/>
      </w:pPr>
      <w:r>
        <w:t xml:space="preserve">A complementary burden falls on the qualitative arm. Its interview design, stratified across the three NASA mission directorates carrying the largest FFRDC spend, characterizes the decision logic behind the treatment assignment and surfaces mechanisms the quantitative arm cannot identify. A recurring pattern turns up in the interviews: program managers route to an FFRDC when the work involves integration across institutional seams, when the work requires independent verification of a contractor product, and when the work requires continuity across a program transition no industry prime can credibly carry. Those three patterns map onto the integration and verification subpopulation of the H1 contribution, and they fail to map onto the hardware production throughput subpopulation in which H1 predicts a null or negative FFRDC effect. So the qualitative pattern squares with the work-package contribution even where the program-level regression refuses to endorse the general doctrine.</w:t>
      </w:r>
    </w:p>
    <w:bookmarkEnd w:id="142"/>
    <w:bookmarkStart w:id="143" w:name="the-contribution-to-knowledge"/>
    <w:p>
      <w:pPr>
        <w:pStyle w:val="Heading2"/>
        <w:spacing w:line="480" w:lineRule="auto"/>
      </w:pPr>
      <w:r>
        <w:t xml:space="preserve">8.3 The Contribution to Knowledge</w:t>
      </w:r>
    </w:p>
    <w:p>
      <w:pPr>
        <w:pStyle w:val="FirstParagraph"/>
        <w:spacing w:line="480" w:lineRule="auto"/>
      </w:pPr>
      <w:r>
        <w:t xml:space="preserve">Three layers hold the contribution to knowledge.</w:t>
      </w:r>
    </w:p>
    <w:p>
      <w:pPr>
        <w:pStyle w:val="BodyText"/>
        <w:spacing w:line="480" w:lineRule="auto"/>
        <w:ind w:firstLine="720"/>
      </w:pPr>
      <w:r>
        <w:t xml:space="preserve">At the layer of the space economics literature, the dissertation disciplines a level claim the literature has carried as exogenous. Weinzierl’s reframing of space as a sector in which public-sector coordination of market failure is the durable structural feature</w:t>
      </w:r>
      <w:r>
        <w:t xml:space="preserve"> </w:t>
      </w:r>
      <w:hyperlink w:anchor="ref-1">
        <w:r>
          <w:rPr>
            <w:rStyle w:val="Hyperlink"/>
          </w:rPr>
          <w:t xml:space="preserve">[1]</w:t>
        </w:r>
      </w:hyperlink>
      <w:r>
        <w:t xml:space="preserve">[5] treats the institutional mix inside the public sector as given. The reconfiguration of public roles as private capital has entered the sector is documented by the sustainability and capacity literature</w:t>
      </w:r>
      <w:r>
        <w:t xml:space="preserve"> </w:t>
      </w:r>
      <w:hyperlink w:anchor="ref-2">
        <w:r>
          <w:rPr>
            <w:rStyle w:val="Hyperlink"/>
          </w:rPr>
          <w:t xml:space="preserve">[2]</w:t>
        </w:r>
      </w:hyperlink>
      <w:r>
        <w:t xml:space="preserve">, and the parallel reconfiguration of the technical governance fabric in which civil space missions sit is documented by the architectural and norms literature</w:t>
      </w:r>
      <w:r>
        <w:t xml:space="preserve"> </w:t>
      </w:r>
      <w:hyperlink w:anchor="ref-3">
        <w:r>
          <w:rPr>
            <w:rStyle w:val="Hyperlink"/>
          </w:rPr>
          <w:t xml:space="preserve">[3]</w:t>
        </w:r>
      </w:hyperlink>
      <w:r>
        <w:t xml:space="preserve">. None of these strands estimates the marginal contribution of a specific public-sector institution to project execution. The dissertation provides the first published estimate that the FFRDC level claim does not survive a program-level regression with the difficulty controls the GAO assessment series itself uses, and it provides the design that drops to the work-package level where the marginal effect can be identified. That descent is the contribution the space economics literature did not previously hold.</w:t>
      </w:r>
    </w:p>
    <w:p>
      <w:pPr>
        <w:pStyle w:val="BodyText"/>
        <w:spacing w:line="480" w:lineRule="auto"/>
        <w:ind w:firstLine="720"/>
      </w:pPr>
      <w:r>
        <w:t xml:space="preserve">At the layer of the acquisition and major projects literature, the dissertation recasts the FFRDC engagement decision from a doctrinal commitment to a sourcing decision at the work-package level. Across two decades the GAO assessment series has documented that cost and schedule co-vary on NASA major projects</w:t>
      </w:r>
      <w:r>
        <w:t xml:space="preserve"> </w:t>
      </w:r>
      <w:hyperlink w:anchor="ref-4">
        <w:r>
          <w:rPr>
            <w:rStyle w:val="Hyperlink"/>
          </w:rPr>
          <w:t xml:space="preserve">[4]</w:t>
        </w:r>
      </w:hyperlink>
      <w:r>
        <w:t xml:space="preserve">[6][7][8] and that successive acquisition reform initiatives have not moved the cost growth distribution. A candidate explanation for the persistence of that distribution the dissertation locates in the unexamined level claim program managers carry about FFRDC participation. Route FFRDC participation under a doctrine the data do not endorse at the general level, and the routing has to be re-evaluated at the work-package level under a finer prior, the finer prior being the one the work-package identification strategy will produce. So the contribution is methodological as much as substantive. It says the major projects literature has been working at the wrong level of analysis.</w:t>
      </w:r>
    </w:p>
    <w:p>
      <w:pPr>
        <w:pStyle w:val="BodyText"/>
        <w:spacing w:line="480" w:lineRule="auto"/>
        <w:ind w:firstLine="720"/>
      </w:pPr>
      <w:r>
        <w:t xml:space="preserve">At the layer of operational practice in the federal acquisition community, the dissertation produces a defensible quantitative prior a program manager can stand on. The first paper’s refusal to reject the null and the second paper’s conditional positive coefficient say jointly that the general cost discipline defense of FFRDC routing is not available. The work-package mechanism the prospectus and the qualitative arm characterize identifies the narrower defense that remains: FFRDC participation is the appropriate sourcing decision when the dominant risk is integration across institutional seams or independent verification of a contractor product. From the dissertation the community of program managers, the cost analysis division, and the FFRDC sponsors gain a sourcing rule finer than the doctrine it replaces and supported by the panel evidence rather than asserted against it.</w:t>
      </w:r>
    </w:p>
    <w:p>
      <w:pPr>
        <w:pStyle w:val="BodyText"/>
        <w:spacing w:line="480" w:lineRule="auto"/>
        <w:ind w:firstLine="720"/>
      </w:pPr>
      <w:r>
        <w:t xml:space="preserve">The contribution is methodological too for the small-N civil space cost panel literature. The dissertation shows that the program-level regression with two or three visible difficulty controls is structurally underpowered to recover the FFRDC marginal effect, and that the right level of analysis is the work package within a program. The CADRe-NAIS linkage the prospectus committed to is the dataset architecture the literature has not previously assembled at scale, and the staggered difference-in-differences design on that linkage is the identification strategy the literature has not previously deployed for this question. So the dissertation opens a research program rather than closing a research question.</w:t>
      </w:r>
    </w:p>
    <w:bookmarkEnd w:id="143"/>
    <w:bookmarkStart w:id="144" w:name="limits-and-forward-work"/>
    <w:p>
      <w:pPr>
        <w:pStyle w:val="Heading2"/>
        <w:spacing w:line="480" w:lineRule="auto"/>
      </w:pPr>
      <w:r>
        <w:t xml:space="preserve">8.4 Limits and Forward Work</w:t>
      </w:r>
    </w:p>
    <w:p>
      <w:pPr>
        <w:pStyle w:val="FirstParagraph"/>
        <w:spacing w:line="480" w:lineRule="auto"/>
      </w:pPr>
      <w:r>
        <w:t xml:space="preserve">Visible, and committed to in the prospectus, are the limits of the present work. CADRe coverage runs uneven across mission directorates and across phases, and the analysis restricts to programs with continuous coverage from Phase B through Phase D. The rework indicator, built from program-manager monthly reports, answers to reporting discretion. The substitution-versus-complementarity distinction between FFRDC task orders and contractor scope stays invisible in the contract record and is recoverable only for the stratified interview subsample. The two research papers carry their own limits. The first paper’s panel of thirty is small and its controls are coarse. The second paper’s binary FFRDC indicator does not capture FFRDC effort share, and its panel does not separate formulation-phase from development-phase cost growth even as the Mars Sample Return formulation-phase estimate drives a meaningful share of the variance.</w:t>
      </w:r>
    </w:p>
    <w:p>
      <w:pPr>
        <w:pStyle w:val="BodyText"/>
        <w:spacing w:line="480" w:lineRule="auto"/>
        <w:ind w:firstLine="720"/>
      </w:pPr>
      <w:r>
        <w:t xml:space="preserve">Three branches carry the forward work. The first is the work-package extension of the dissertation’s identification strategy to a panel of project-year observations with a fixed effect for mission class, the natural next paper. The second is the integration of FFRDC effort share, measured as obligated FFRDC labor hours per program quarter, as a continuous treatment in place of the binary indicator, the methodological refinement the second paper explicitly flagged as required. The third is the cross-FFRDC comparison among the NASA sponsoring agencies and the Department of Defense Aerospace Corporation sponsoring agency, which would discipline the claim that the FFRDC marginal effect is institutional rather than program-specific.</w:t>
      </w:r>
    </w:p>
    <w:p>
      <w:pPr>
        <w:pStyle w:val="BodyText"/>
        <w:spacing w:line="480" w:lineRule="auto"/>
        <w:ind w:firstLine="720"/>
      </w:pPr>
      <w:r>
        <w:t xml:space="preserve">A fourth branch sits at the boundary of the dissertation’s contribution. The narrower doctrinal claims the regression cannot test, continuity across program transitions, objectivity in independent review, and freedom from contractor conflict in source selection, may carry the FFRDC justification even where the cost discipline claim does not. Themselves testable, those claims are, and they call for an event-study design on program transitions, an instrumented design on independent review outcomes, and a textual analysis design on source selection memoranda, each its own dissertation. The present work does not close those questions. It marks them as the residual on which the FFRDC doctrine, stripped of its cost discipline defense, will have to stand.</w:t>
      </w:r>
    </w:p>
    <w:bookmarkEnd w:id="144"/>
    <w:bookmarkStart w:id="145" w:name="closing-statement"/>
    <w:p>
      <w:pPr>
        <w:pStyle w:val="Heading2"/>
        <w:spacing w:line="480" w:lineRule="auto"/>
      </w:pPr>
      <w:r>
        <w:t xml:space="preserve">8.5 Closing Statement</w:t>
      </w:r>
    </w:p>
    <w:p>
      <w:pPr>
        <w:pStyle w:val="FirstParagraph"/>
        <w:spacing w:line="480" w:lineRule="auto"/>
      </w:pPr>
      <w:r>
        <w:t xml:space="preserve">The civil space major projects portfolio is the most consequential single instrument of federal scientific and exploratory investment, and the FFRDC institutional form is the most consequential single institutional partner inside that portfolio.</w:t>
      </w:r>
    </w:p>
    <w:p>
      <w:pPr>
        <w:pStyle w:val="BodyText"/>
        <w:spacing w:line="480" w:lineRule="auto"/>
        <w:ind w:firstLine="720"/>
      </w:pPr>
      <w:r>
        <w:t xml:space="preserve">Across two decades of acquisition reform the doctrinal defense of FFRDC engagement has been carried on a level claim about cost discipline the available program-level evidence does not support and the regression in the second research paper actively contradicts at the marginal significance level. The dissertation does not conclude that FFRDC engagement is unwarranted. It concludes that the warrant for FFRDC engagement has to be re-located, from the general cost discipline claim the data refuse to endorse to the work-package mechanism the qualitative arm characterizes and the staggered difference-in-differences design on the CADRe-NAIS linkage is positioned to identify. The program manager who routes work to an FFRDC every fiscal year now holds a finer prior than the doctrine supplies, and the literature now holds a level of analysis at which the FFRDC marginal effect can be estimated. That re-location is the contribution of the dissertation, and it is the contribution on which the next generation of work on civil space acquisition can be built.</w:t>
      </w:r>
    </w:p>
    <w:bookmarkEnd w:id="145"/>
    <w:bookmarkStart w:id="183" w:name="references"/>
    <w:p>
      <w:pPr>
        <w:pStyle w:val="Heading2"/>
        <w:spacing w:line="480" w:lineRule="auto"/>
      </w:pPr>
      <w:r>
        <w:t xml:space="preserve">References</w:t>
      </w:r>
    </w:p>
    <w:p>
      <w:pPr>
        <w:pStyle w:val="FirstParagraph"/>
        <w:spacing w:line="480" w:lineRule="auto"/>
      </w:pPr>
      <w:bookmarkStart w:id="146" w:name="ref-1"/>
      <w:bookmarkEnd w:id="146"/>
      <w:r>
        <w:t xml:space="preserve">1. Weinzierl, M. (2018).</w:t>
      </w:r>
      <w:r>
        <w:t xml:space="preserve"> </w:t>
      </w:r>
      <w:r>
        <w:rPr>
          <w:i/>
          <w:iCs/>
        </w:rPr>
        <w:t xml:space="preserve">Space, the Final Economic Frontier</w:t>
      </w:r>
      <w:r>
        <w:t xml:space="preserve">. (Space Economy Papers corpus, SD18.)</w:t>
      </w:r>
    </w:p>
    <w:p>
      <w:pPr>
        <w:pStyle w:val="BodyText"/>
        <w:spacing w:line="480" w:lineRule="auto"/>
        <w:ind w:firstLine="720"/>
      </w:pPr>
      <w:bookmarkStart w:id="147" w:name="ref-2"/>
      <w:bookmarkEnd w:id="147"/>
      <w:r>
        <w:t xml:space="preserve">2.</w:t>
      </w:r>
      <w:r>
        <w:t xml:space="preserve"> </w:t>
      </w:r>
      <w:r>
        <w:rPr>
          <w:i/>
          <w:iCs/>
        </w:rPr>
        <w:t xml:space="preserve">The Role of Space in Driving Sustainability, Security, and Development</w:t>
      </w:r>
      <w:r>
        <w:t xml:space="preserve">. (Space Economy Papers corpus, SD13.)</w:t>
      </w:r>
    </w:p>
    <w:p>
      <w:pPr>
        <w:pStyle w:val="BodyText"/>
        <w:spacing w:line="480" w:lineRule="auto"/>
        <w:ind w:firstLine="720"/>
      </w:pPr>
      <w:bookmarkStart w:id="148" w:name="ref-3"/>
      <w:bookmarkEnd w:id="148"/>
      <w:r>
        <w:t xml:space="preserve">3.</w:t>
      </w:r>
      <w:r>
        <w:t xml:space="preserve"> </w:t>
      </w:r>
      <w:r>
        <w:rPr>
          <w:i/>
          <w:iCs/>
        </w:rPr>
        <w:t xml:space="preserve">Architectural Socio-Technological Transformative Change of Space-Use Norms</w:t>
      </w:r>
      <w:r>
        <w:t xml:space="preserve">. (Space Economy Papers corpus, SD03.)</w:t>
      </w:r>
    </w:p>
    <w:p>
      <w:pPr>
        <w:pStyle w:val="BodyText"/>
        <w:spacing w:line="480" w:lineRule="auto"/>
        <w:ind w:firstLine="720"/>
      </w:pPr>
      <w:bookmarkStart w:id="149" w:name="ref-4"/>
      <w:bookmarkEnd w:id="149"/>
      <w:r>
        <w:t xml:space="preserve">4. U.S. Government Accountability Office.</w:t>
      </w:r>
      <w:r>
        <w:t xml:space="preserve"> </w:t>
      </w:r>
      <w:r>
        <w:rPr>
          <w:i/>
          <w:iCs/>
        </w:rPr>
        <w:t xml:space="preserve">NASA Assessments of Major Projects</w:t>
      </w:r>
      <w:r>
        <w:t xml:space="preserve"> </w:t>
      </w:r>
      <w:r>
        <w:t xml:space="preserve">and successor</w:t>
      </w:r>
      <w:r>
        <w:t xml:space="preserve"> </w:t>
      </w:r>
      <w:r>
        <w:rPr>
          <w:i/>
          <w:iCs/>
        </w:rPr>
        <w:t xml:space="preserve">NASA Major Project Assessment</w:t>
      </w:r>
      <w:r>
        <w:t xml:space="preserve"> </w:t>
      </w:r>
      <w:r>
        <w:t xml:space="preserve">annual report series. Retrieved as products GAO-08-1004SP, GAO-12-207SP, GAO-13-276SP, GAO-14-338SP, GAO-15-315SP, GAO-16-309SP, GAO-17-262SP, GAO-18-280SP, GAO-20-405, GAO-21-306, GAO-22-105212, and GAO-23-106021. https://www.gao.gov/</w:t>
      </w:r>
    </w:p>
    <w:p>
      <w:pPr>
        <w:pStyle w:val="BodyText"/>
        <w:spacing w:line="480" w:lineRule="auto"/>
        <w:ind w:firstLine="720"/>
      </w:pPr>
      <w:bookmarkStart w:id="150" w:name="ref-5"/>
      <w:bookmarkEnd w:id="150"/>
      <w:r>
        <w:t xml:space="preserve">5. Weinzierl, M. (2018). Space, the Final Economic Frontier.</w:t>
      </w:r>
      <w:r>
        <w:t xml:space="preserve"> </w:t>
      </w:r>
      <w:r>
        <w:rPr>
          <w:i/>
          <w:iCs/>
        </w:rPr>
        <w:t xml:space="preserve">Journal of Economic Perspectives</w:t>
      </w:r>
      <w:r>
        <w:t xml:space="preserve"> </w:t>
      </w:r>
      <w:r>
        <w:t xml:space="preserve">32(2): 173 to 192. (Space Economy Papers corpus, source key SD18.)</w:t>
      </w:r>
    </w:p>
    <w:p>
      <w:pPr>
        <w:pStyle w:val="BodyText"/>
        <w:spacing w:line="480" w:lineRule="auto"/>
        <w:ind w:firstLine="720"/>
      </w:pPr>
      <w:bookmarkStart w:id="151" w:name="ref-6"/>
      <w:bookmarkEnd w:id="151"/>
      <w:r>
        <w:t xml:space="preserve">6. U.S. Government Accountability Office, NASA Human Space Exploration: Persistent Delays and Cost Growth Reinforce Concerns Over Management of Programs, GAO-20-145, 2020.</w:t>
      </w:r>
    </w:p>
    <w:p>
      <w:pPr>
        <w:pStyle w:val="BodyText"/>
        <w:spacing w:line="480" w:lineRule="auto"/>
        <w:ind w:firstLine="720"/>
      </w:pPr>
      <w:bookmarkStart w:id="152" w:name="ref-7"/>
      <w:bookmarkEnd w:id="152"/>
      <w:r>
        <w:t xml:space="preserve">7. U.S. Government Accountability Office, NASA Commercial Crew Program: Continued Delays Pose Risks for Uninterrupted Access to the International Space Station, GAO-20-121, 2020.</w:t>
      </w:r>
    </w:p>
    <w:p>
      <w:pPr>
        <w:pStyle w:val="BodyText"/>
        <w:spacing w:line="480" w:lineRule="auto"/>
        <w:ind w:firstLine="720"/>
      </w:pPr>
      <w:bookmarkStart w:id="153" w:name="ref-8"/>
      <w:bookmarkEnd w:id="153"/>
      <w:r>
        <w:t xml:space="preserve">8. U.S. Government Accountability Office, NASA Lunar Programs: Significant Work Remains, Underscoring Challenges to Achieving Moon Landing in 2024, GAO-21-105, 2021.</w:t>
      </w:r>
    </w:p>
    <w:p>
      <w:pPr>
        <w:pStyle w:val="BodyText"/>
        <w:spacing w:line="480" w:lineRule="auto"/>
        <w:ind w:firstLine="720"/>
      </w:pPr>
      <w:bookmarkStart w:id="154" w:name="ref-9"/>
      <w:bookmarkEnd w:id="154"/>
      <w:r>
        <w:t xml:space="preserve">9. Bernard Seery, Universities Space Research Association; Karin Hilser, Universities Space Research Association; Kevin Toner, MITRE Corporation; Robert Carden, MITRE Corporation; Scott Kordella, MITRE Corporation; Aaron Rosengren, University of Arizon; Carolin Frueh, Purdue University. Testbed to Evaluate New Approaches for STM (2019).</w:t>
      </w:r>
    </w:p>
    <w:p>
      <w:pPr>
        <w:pStyle w:val="BodyText"/>
        <w:spacing w:line="480" w:lineRule="auto"/>
        <w:ind w:firstLine="720"/>
      </w:pPr>
      <w:bookmarkStart w:id="155" w:name="ref-10"/>
      <w:bookmarkEnd w:id="155"/>
      <w:r>
        <w:t xml:space="preserve">10. Greg Furlich, University of Colorado Boulder, Center for National Security Initiatives; Angie Crews, University of Colorado Boulder, Center for National Security Initiatives; Jack McGuigan, True Anomaly; Tim McLauglin, InTrack Radar Technologies; Chris Burns, InTrack Radar Technologies; Pace Balster, Katalyst Space Technologies; Gabrielle Jones, Katalyst Space Technologies; Gaven Hofer, Katalyst Space Technologies; Ian Stuart Bartlett, HEO; Lakitha Hettiarachchi, HEO; Lt. Haley Spolar, United States Space Force, Space Systems Command; Major Sean Allen, United States Space Force, Space Systems Command. Automated, Collaborative Applications to Close Kill Chain Gaps (2024). doi:</w:t>
      </w:r>
      <w:r>
        <w:t xml:space="preserve"> </w:t>
      </w:r>
      <w:hyperlink r:id="rId156">
        <w:r>
          <w:rPr>
            <w:rStyle w:val="Hyperlink"/>
          </w:rPr>
          <w:t xml:space="preserve">10.64861/WAID8303</w:t>
        </w:r>
      </w:hyperlink>
    </w:p>
    <w:p>
      <w:pPr>
        <w:pStyle w:val="BodyText"/>
        <w:spacing w:line="480" w:lineRule="auto"/>
        <w:ind w:firstLine="720"/>
      </w:pPr>
      <w:bookmarkStart w:id="157" w:name="ref-11"/>
      <w:bookmarkEnd w:id="157"/>
      <w:r>
        <w:t xml:space="preserve">11. Major Rick Luce (Space &amp; Missile Systems Center), Captain Paula Reele (Space &amp; Missile Systems Center), Chris Sabol (AFRL/RDSMA), Paul Zetocha (AFRL/RVSVC), Juan Echeverry (Scitor Corporation), Barbara Golf (Integrity Applications Incorporated). Joint Space Operations Center Mission System Application Development Environment (2012).</w:t>
      </w:r>
    </w:p>
    <w:p>
      <w:pPr>
        <w:pStyle w:val="BodyText"/>
        <w:spacing w:line="480" w:lineRule="auto"/>
        <w:ind w:firstLine="720"/>
      </w:pPr>
      <w:bookmarkStart w:id="158" w:name="ref-12"/>
      <w:bookmarkEnd w:id="158"/>
      <w:r>
        <w:t xml:space="preserve">12. Imène Goumiri, Lawrence Livermore National Laboratory; Luc Peterson, Lawrence Livermore National Laboratory; Ashley Cocciadiferro, Lawrence Livermore National Laboratory; Ryan Lee, Lawrence Livermore National Laboratory; Jason Bernstein, Lawrence Livermore National Laboratory. A Common Task Framework for Testing and Evaluation at the Space Domain Awareness Tools, Applications, and Processing Lab (2024). doi:</w:t>
      </w:r>
      <w:r>
        <w:t xml:space="preserve"> </w:t>
      </w:r>
      <w:hyperlink r:id="rId159">
        <w:r>
          <w:rPr>
            <w:rStyle w:val="Hyperlink"/>
          </w:rPr>
          <w:t xml:space="preserve">10.64861/CEFU5799</w:t>
        </w:r>
      </w:hyperlink>
    </w:p>
    <w:p>
      <w:pPr>
        <w:pStyle w:val="BodyText"/>
        <w:spacing w:line="480" w:lineRule="auto"/>
        <w:ind w:firstLine="720"/>
      </w:pPr>
      <w:bookmarkStart w:id="160" w:name="ref-13"/>
      <w:bookmarkEnd w:id="160"/>
      <w:r>
        <w:t xml:space="preserve">13. Jeremy Murray-Krezan (Air Force Research Laboratory), Chris Sabol (Air Force Research Laboratory), Lt Anthony M. Runco (Space &amp; Missile Systems Center), Paul Zetocha (Air Force Research Laboratory), Juan Echeverry (Scitor Corp.), Richard Kim (Scitor Corp.). The Joint Space Operations Center (JSpOC) Mission System (JMS) and the Advanced Research, Collaboration, and Application Development Environment (ARCADE) (2014).</w:t>
      </w:r>
    </w:p>
    <w:p>
      <w:pPr>
        <w:pStyle w:val="BodyText"/>
        <w:spacing w:line="480" w:lineRule="auto"/>
        <w:ind w:firstLine="720"/>
      </w:pPr>
      <w:bookmarkStart w:id="161" w:name="ref-14"/>
      <w:bookmarkEnd w:id="161"/>
      <w:r>
        <w:t xml:space="preserve">14. Matthew Britton, The Aerospace Corporation; Christopher Griffith, The Aerospace Corporation; Brian Baptista, The Aerospace Corporation. An Edge Computing Algorithm for Onboard Processing of Electro-Optical Imagery (2023). doi:</w:t>
      </w:r>
      <w:r>
        <w:t xml:space="preserve"> </w:t>
      </w:r>
      <w:hyperlink r:id="rId162">
        <w:r>
          <w:rPr>
            <w:rStyle w:val="Hyperlink"/>
          </w:rPr>
          <w:t xml:space="preserve">10.64861/ZPBX5069</w:t>
        </w:r>
      </w:hyperlink>
    </w:p>
    <w:p>
      <w:pPr>
        <w:pStyle w:val="BodyText"/>
        <w:spacing w:line="480" w:lineRule="auto"/>
        <w:ind w:firstLine="720"/>
      </w:pPr>
      <w:bookmarkStart w:id="163" w:name="ref-15"/>
      <w:bookmarkEnd w:id="163"/>
      <w:r>
        <w:t xml:space="preserve">15. Sandra Magnus, Office of Space Commerce; Matthew Hejduk, Aerospace; Jessica Johnson, MIT Lincoln Laboratory; John Giles, MITRE Corporation; Anna Parikka, Global Science &amp; Technology, Inc.; Christine Joseph, Office of Space Commerce; Carson Coursey, The Aerospace Corporation; Miles Lifson, The Aerospace Corporation; André Antunes de Sá, Kayhan Space; Denna Baker, LeoLabs, Inc.; Matthew Duncan, SpaceNav; Conner Grey, Slingshot Aerospace; Robert Hall, COMSPOC Corporation; Samantha Johnson, LeoLabs, Inc.; Pol Mesalles-Ripoll, SpaceNav; Daniel Oltrogge, COMSPOC Corporation; Jason Stauch, Slingshot Aerospace; Derek Strobel, Kayhan Space. The TraCSS Consolidated Pathfinder: Leveraging Commercial Capability in LEO (2024). doi:</w:t>
      </w:r>
      <w:r>
        <w:t xml:space="preserve"> </w:t>
      </w:r>
      <w:hyperlink r:id="rId164">
        <w:r>
          <w:rPr>
            <w:rStyle w:val="Hyperlink"/>
          </w:rPr>
          <w:t xml:space="preserve">10.64861/BAJJ5826</w:t>
        </w:r>
      </w:hyperlink>
    </w:p>
    <w:p>
      <w:pPr>
        <w:pStyle w:val="BodyText"/>
        <w:spacing w:line="480" w:lineRule="auto"/>
        <w:ind w:firstLine="720"/>
      </w:pPr>
      <w:bookmarkStart w:id="165" w:name="ref-16"/>
      <w:bookmarkEnd w:id="165"/>
      <w:r>
        <w:t xml:space="preserve">16. Sean Allen, SSC/SZG. SDA TAP Lab Using Commercial Technology to Avoid Operational Surprise (2024). doi:</w:t>
      </w:r>
      <w:r>
        <w:t xml:space="preserve"> </w:t>
      </w:r>
      <w:hyperlink r:id="rId166">
        <w:r>
          <w:rPr>
            <w:rStyle w:val="Hyperlink"/>
          </w:rPr>
          <w:t xml:space="preserve">10.64861/YPPJ6850</w:t>
        </w:r>
      </w:hyperlink>
    </w:p>
    <w:p>
      <w:pPr>
        <w:pStyle w:val="BodyText"/>
        <w:spacing w:line="480" w:lineRule="auto"/>
        <w:ind w:firstLine="720"/>
      </w:pPr>
      <w:bookmarkStart w:id="167" w:name="ref-17"/>
      <w:bookmarkEnd w:id="167"/>
      <w:r>
        <w:t xml:space="preserve">17. Markus Koller; Marius Eggert; Markus Kranz; Lorenz Maurer; Jakob Meier; Robin Müller; Robin Schweigert; Jonas Weihrauch; Felix Gerstenberger; W. Guter; Torsten Torunski; Sabine Klinkner. Design and first results of the solar cell experiment on EIVE (2025). doi:</w:t>
      </w:r>
      <w:r>
        <w:t xml:space="preserve"> </w:t>
      </w:r>
      <w:hyperlink r:id="rId168">
        <w:r>
          <w:rPr>
            <w:rStyle w:val="Hyperlink"/>
          </w:rPr>
          <w:t xml:space="preserve">10.1016/j.actaastro.2025.01.029</w:t>
        </w:r>
      </w:hyperlink>
    </w:p>
    <w:p>
      <w:pPr>
        <w:pStyle w:val="BodyText"/>
        <w:spacing w:line="480" w:lineRule="auto"/>
        <w:ind w:firstLine="720"/>
      </w:pPr>
      <w:bookmarkStart w:id="169" w:name="ref-18"/>
      <w:bookmarkEnd w:id="169"/>
      <w:r>
        <w:t xml:space="preserve">18. Robert Zboray; Claudia Röösli; Alexander Flisch; M. Plamondon; R. Kaufmann; Carina von Deschwanden; Kai Zweiacker; Thomas Lüthi; Tobias Bandi; G. Bourban; Volker Gass; Damian Amstutz; Alex Dommann; A. Neels. Multi-scale and multi-energy non-destructive X-ray analysis of the European Retrievable Carrier (EURECA) (2025). doi:</w:t>
      </w:r>
      <w:r>
        <w:t xml:space="preserve"> </w:t>
      </w:r>
      <w:hyperlink r:id="rId170">
        <w:r>
          <w:rPr>
            <w:rStyle w:val="Hyperlink"/>
          </w:rPr>
          <w:t xml:space="preserve">10.1016/j.actaastro.2025.05.042</w:t>
        </w:r>
      </w:hyperlink>
    </w:p>
    <w:p>
      <w:pPr>
        <w:pStyle w:val="BodyText"/>
        <w:spacing w:line="480" w:lineRule="auto"/>
        <w:ind w:firstLine="720"/>
      </w:pPr>
      <w:bookmarkStart w:id="171" w:name="ref-19"/>
      <w:bookmarkEnd w:id="171"/>
      <w:r>
        <w:t xml:space="preserve">19. Andreas Benedikter; Kai Wickhusen; Hauke Hußmann; Alexander Stark; Friedrich Damme; Marc Rodríguez-Cassolà; Gerhard Krieger. Periodic orbits for interferometric and tomographic radar imaging of Saturn’s moon Enceladus (2021). doi:</w:t>
      </w:r>
      <w:r>
        <w:t xml:space="preserve"> </w:t>
      </w:r>
      <w:hyperlink r:id="rId172">
        <w:r>
          <w:rPr>
            <w:rStyle w:val="Hyperlink"/>
          </w:rPr>
          <w:t xml:space="preserve">10.1016/j.actaastro.2021.10.041</w:t>
        </w:r>
      </w:hyperlink>
    </w:p>
    <w:p>
      <w:pPr>
        <w:pStyle w:val="BodyText"/>
        <w:spacing w:line="480" w:lineRule="auto"/>
        <w:ind w:firstLine="720"/>
      </w:pPr>
      <w:bookmarkStart w:id="173" w:name="ref-20"/>
      <w:bookmarkEnd w:id="173"/>
      <w:r>
        <w:t xml:space="preserve">20. Constantin Traub; Mohamed Khalil Ben‐Larbi; Fabrizio Turco; Anton Johann Große Siestrup; Julian Harbeck; Enrico Stoll; Daniel Lück. Revealing the impact of operational constraints on aerodynamic collision avoidance maneuvers: In-flight results from the BEESAT-4 CubeSat (2025). doi:</w:t>
      </w:r>
      <w:r>
        <w:t xml:space="preserve"> </w:t>
      </w:r>
      <w:hyperlink r:id="rId174">
        <w:r>
          <w:rPr>
            <w:rStyle w:val="Hyperlink"/>
          </w:rPr>
          <w:t xml:space="preserve">10.1016/j.actaastro.2025.04.038</w:t>
        </w:r>
      </w:hyperlink>
    </w:p>
    <w:p>
      <w:pPr>
        <w:pStyle w:val="BodyText"/>
        <w:spacing w:line="480" w:lineRule="auto"/>
        <w:ind w:firstLine="720"/>
      </w:pPr>
      <w:bookmarkStart w:id="175" w:name="ref-21"/>
      <w:bookmarkEnd w:id="175"/>
      <w:r>
        <w:t xml:space="preserve">21. Chloé Carrière; Kevin Pahud; Volker Gass. Use of space analog missions as an educational tool in primary schools (2022). doi:</w:t>
      </w:r>
      <w:r>
        <w:t xml:space="preserve"> </w:t>
      </w:r>
      <w:hyperlink r:id="rId176">
        <w:r>
          <w:rPr>
            <w:rStyle w:val="Hyperlink"/>
          </w:rPr>
          <w:t xml:space="preserve">10.1016/j.actaastro.2022.07.042</w:t>
        </w:r>
      </w:hyperlink>
    </w:p>
    <w:p>
      <w:pPr>
        <w:pStyle w:val="BodyText"/>
        <w:spacing w:line="480" w:lineRule="auto"/>
        <w:ind w:firstLine="720"/>
      </w:pPr>
      <w:bookmarkStart w:id="177" w:name="ref-22"/>
      <w:bookmarkEnd w:id="177"/>
      <w:r>
        <w:t xml:space="preserve">22. Martin Koßagk; Leo Peiffer; Lukas Mohr; Martin Tajmar; Tino Schmiel. First tests of a laser ice drill for the exploration of interplanetary ice and icy soils (2025). doi:</w:t>
      </w:r>
      <w:r>
        <w:t xml:space="preserve"> </w:t>
      </w:r>
      <w:hyperlink r:id="rId178">
        <w:r>
          <w:rPr>
            <w:rStyle w:val="Hyperlink"/>
          </w:rPr>
          <w:t xml:space="preserve">10.1016/j.actaastro.2025.08.049</w:t>
        </w:r>
      </w:hyperlink>
    </w:p>
    <w:p>
      <w:pPr>
        <w:pStyle w:val="BodyText"/>
        <w:spacing w:line="480" w:lineRule="auto"/>
        <w:ind w:firstLine="720"/>
      </w:pPr>
      <w:bookmarkStart w:id="179" w:name="ref-23"/>
      <w:bookmarkEnd w:id="179"/>
      <w:r>
        <w:t xml:space="preserve">23. Mara S. Escartí-Guillem; Sergio Hoyas; Lluís Miquel García Raffi. Deflector shape impact on aero-acoustic noise generation and propagation (2023). doi:</w:t>
      </w:r>
      <w:r>
        <w:t xml:space="preserve"> </w:t>
      </w:r>
      <w:hyperlink r:id="rId180">
        <w:r>
          <w:rPr>
            <w:rStyle w:val="Hyperlink"/>
          </w:rPr>
          <w:t xml:space="preserve">10.1016/j.actaastro.2023.09.005</w:t>
        </w:r>
      </w:hyperlink>
    </w:p>
    <w:p>
      <w:pPr>
        <w:pStyle w:val="BodyText"/>
        <w:spacing w:line="480" w:lineRule="auto"/>
        <w:ind w:firstLine="720"/>
      </w:pPr>
      <w:bookmarkStart w:id="181" w:name="ref-24"/>
      <w:bookmarkEnd w:id="181"/>
      <w:r>
        <w:t xml:space="preserve">24. M. Schubert; Christopher Kebschull; Johannes Gelhaus; Simona Silvestri. Evaluating sensor tasking strategies for object cataloging in GEO (2024). doi:</w:t>
      </w:r>
      <w:r>
        <w:t xml:space="preserve"> </w:t>
      </w:r>
      <w:hyperlink r:id="rId182">
        <w:r>
          <w:rPr>
            <w:rStyle w:val="Hyperlink"/>
          </w:rPr>
          <w:t xml:space="preserve">10.1016/j.actaastro.2024.11.026</w:t>
        </w:r>
      </w:hyperlink>
    </w:p>
    <w:bookmarkEnd w:id="183"/>
    <w:bookmarkEnd w:id="184"/>
    <w:bookmarkStart w:id="20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2" w:name="Xc976b8f86a50cd31e7ecf7c32973b568606624d"/>
    <w:p>
      <w:pPr>
        <w:pStyle w:val="Heading2"/>
        <w:spacing w:line="480" w:lineRule="auto"/>
      </w:pPr>
      <w:r>
        <w:t xml:space="preserve">A.1 Where Does FFRDC Systems Engineering Pay? An OLS Estimate of FFRDC-Intensive Engagement on Civil Space Project Cost Growth</w:t>
      </w:r>
    </w:p>
    <w:p>
      <w:pPr>
        <w:pStyle w:val="FirstParagraph"/>
        <w:spacing w:line="480" w:lineRule="auto"/>
      </w:pPr>
      <m:oMathPara>
        <m:oMathParaPr>
          <m:jc m:val="center"/>
        </m:oMathParaPr>
        <m:oMath>
          <m:sSub>
            <m:e>
              <m:r>
                <m:rPr>
                  <m:nor/>
                  <m:sty m:val="p"/>
                </m:rPr>
                <m:t>cost_growth_pct</m:t>
              </m:r>
            </m:e>
            <m:sub>
              <m:r>
                <m:t>i</m:t>
              </m:r>
            </m:sub>
          </m:sSub>
          <m:r>
            <m:rPr>
              <m:sty m:val="p"/>
            </m:rPr>
            <m:t>=</m:t>
          </m:r>
          <m:sSub>
            <m:e>
              <m:r>
                <m:t>β</m:t>
              </m:r>
            </m:e>
            <m:sub>
              <m:r>
                <m:t>0</m:t>
              </m:r>
            </m:sub>
          </m:sSub>
          <m:r>
            <m:rPr>
              <m:sty m:val="p"/>
            </m:rPr>
            <m:t>+</m:t>
          </m:r>
          <m:sSub>
            <m:e>
              <m:r>
                <m:t>β</m:t>
              </m:r>
            </m:e>
            <m:sub>
              <m:r>
                <m:t>1</m:t>
              </m:r>
            </m:sub>
          </m:sSub>
          <m:r>
            <m:t> </m:t>
          </m:r>
          <m:sSub>
            <m:e>
              <m:r>
                <m:rPr>
                  <m:nor/>
                  <m:sty m:val="p"/>
                </m:rPr>
                <m:t>ffrdc_se_intensive</m:t>
              </m:r>
            </m:e>
            <m:sub>
              <m:r>
                <m:t>i</m:t>
              </m:r>
            </m:sub>
          </m:sSub>
          <m:r>
            <m:rPr>
              <m:sty m:val="p"/>
            </m:rPr>
            <m:t>+</m:t>
          </m:r>
          <m:sSub>
            <m:e>
              <m:r>
                <m:t>β</m:t>
              </m:r>
            </m:e>
            <m:sub>
              <m:r>
                <m:t>2</m:t>
              </m:r>
            </m:sub>
          </m:sSub>
          <m:r>
            <m:t> </m:t>
          </m:r>
          <m:sSub>
            <m:e>
              <m:r>
                <m:rPr>
                  <m:nor/>
                  <m:sty m:val="p"/>
                </m:rPr>
                <m:t>planned_dev_months</m:t>
              </m:r>
            </m:e>
            <m:sub>
              <m:r>
                <m:t>i</m:t>
              </m:r>
            </m:sub>
          </m:sSub>
          <m:r>
            <m:rPr>
              <m:sty m:val="p"/>
            </m:rPr>
            <m:t>+</m:t>
          </m:r>
          <m:sSub>
            <m:e>
              <m:r>
                <m:t>β</m:t>
              </m:r>
            </m:e>
            <m:sub>
              <m:r>
                <m:t>3</m:t>
              </m:r>
            </m:sub>
          </m:sSub>
          <m:r>
            <m:t> </m:t>
          </m:r>
          <m:sSub>
            <m:e>
              <m:r>
                <m:rPr>
                  <m:nor/>
                  <m:sty m:val="p"/>
                </m:rPr>
                <m:t>instrument_count</m:t>
              </m:r>
            </m:e>
            <m:sub>
              <m:r>
                <m:t>i</m:t>
              </m:r>
            </m:sub>
          </m:sSub>
          <m:r>
            <m:rPr>
              <m:sty m:val="p"/>
            </m:rPr>
            <m:t>+</m:t>
          </m:r>
          <m:sSub>
            <m:e>
              <m:r>
                <m:t>ε</m:t>
              </m:r>
            </m:e>
            <m:sub>
              <m:r>
                <m:t>i</m:t>
              </m:r>
            </m:sub>
          </m:sSub>
        </m:oMath>
      </m:oMathPara>
    </w:p>
    <w:bookmarkStart w:id="18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-0.982</w:t>
            </w:r>
          </w:p>
        </w:tc>
        <w:tc>
          <w:tcPr>
            <w:tcW w:w="0" w:type="auto"/>
          </w:tcPr>
          <w:p>
            <w:pPr>
              <w:spacing w:line="240" w:lineRule="auto" w:before="0" w:after="0"/>
              <w:pStyle w:val="Compact"/>
            </w:pPr>
            <w:r>
              <w:rPr>
                <w:sz w:val="20"/>
                <w:szCs w:val="20"/>
              </w:rPr>
              <w:t xml:space="preserve">15.1676</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0.9484</w:t>
            </w:r>
          </w:p>
        </w:tc>
        <w:tc>
          <w:tcPr>
            <w:tcW w:w="0" w:type="auto"/>
          </w:tcPr>
          <w:p>
            <w:pPr>
              <w:spacing w:line="240" w:lineRule="auto" w:before="0" w:after="0"/>
              <w:pStyle w:val="Compact"/>
            </w:pPr>
            <w:r>
              <w:rPr>
                <w:sz w:val="20"/>
                <w:szCs w:val="20"/>
              </w:rPr>
              <w:t xml:space="preserve">[-30.7099, 28.7459]</w:t>
            </w:r>
          </w:p>
        </w:tc>
      </w:tr>
      <w:tr>
        <w:tc>
          <w:tcPr>
            <w:tcW w:w="0" w:type="auto"/>
          </w:tcPr>
          <w:p>
            <w:pPr>
              <w:spacing w:line="240" w:lineRule="auto" w:before="0" w:after="0"/>
              <w:pStyle w:val="Compact"/>
            </w:pPr>
            <w:r>
              <w:rPr>
                <w:sz w:val="20"/>
                <w:szCs w:val="20"/>
              </w:rPr>
              <w:t xml:space="preserve">ffrdc_se_intensive</w:t>
            </w:r>
          </w:p>
        </w:tc>
        <w:tc>
          <w:tcPr>
            <w:tcW w:w="0" w:type="auto"/>
          </w:tcPr>
          <w:p>
            <w:pPr>
              <w:spacing w:line="240" w:lineRule="auto" w:before="0" w:after="0"/>
              <w:pStyle w:val="Compact"/>
            </w:pPr>
            <w:r>
              <w:rPr>
                <w:sz w:val="20"/>
                <w:szCs w:val="20"/>
              </w:rPr>
              <w:t xml:space="preserve">8.833</w:t>
            </w:r>
          </w:p>
        </w:tc>
        <w:tc>
          <w:tcPr>
            <w:tcW w:w="0" w:type="auto"/>
          </w:tcPr>
          <w:p>
            <w:pPr>
              <w:spacing w:line="240" w:lineRule="auto" w:before="0" w:after="0"/>
              <w:pStyle w:val="Compact"/>
            </w:pPr>
            <w:r>
              <w:rPr>
                <w:sz w:val="20"/>
                <w:szCs w:val="20"/>
              </w:rPr>
              <w:t xml:space="preserve">8.6899</w:t>
            </w:r>
          </w:p>
        </w:tc>
        <w:tc>
          <w:tcPr>
            <w:tcW w:w="0" w:type="auto"/>
          </w:tcPr>
          <w:p>
            <w:pPr>
              <w:spacing w:line="240" w:lineRule="auto" w:before="0" w:after="0"/>
              <w:pStyle w:val="Compact"/>
            </w:pPr>
            <w:r>
              <w:rPr>
                <w:sz w:val="20"/>
                <w:szCs w:val="20"/>
              </w:rPr>
              <w:t xml:space="preserve">1.0165</w:t>
            </w:r>
          </w:p>
        </w:tc>
        <w:tc>
          <w:tcPr>
            <w:tcW w:w="0" w:type="auto"/>
          </w:tcPr>
          <w:p>
            <w:pPr>
              <w:spacing w:line="240" w:lineRule="auto" w:before="0" w:after="0"/>
              <w:pStyle w:val="Compact"/>
            </w:pPr>
            <w:r>
              <w:rPr>
                <w:sz w:val="20"/>
                <w:szCs w:val="20"/>
              </w:rPr>
              <w:t xml:space="preserve">0.3094</w:t>
            </w:r>
          </w:p>
        </w:tc>
        <w:tc>
          <w:tcPr>
            <w:tcW w:w="0" w:type="auto"/>
          </w:tcPr>
          <w:p>
            <w:pPr>
              <w:spacing w:line="240" w:lineRule="auto" w:before="0" w:after="0"/>
              <w:pStyle w:val="Compact"/>
            </w:pPr>
            <w:r>
              <w:rPr>
                <w:sz w:val="20"/>
                <w:szCs w:val="20"/>
              </w:rPr>
              <w:t xml:space="preserve">[-8.1988, 25.8648]</w:t>
            </w:r>
          </w:p>
        </w:tc>
      </w:tr>
      <w:tr>
        <w:tc>
          <w:tcPr>
            <w:tcW w:w="0" w:type="auto"/>
          </w:tcPr>
          <w:p>
            <w:pPr>
              <w:spacing w:line="240" w:lineRule="auto" w:before="0" w:after="0"/>
              <w:pStyle w:val="Compact"/>
            </w:pPr>
            <w:r>
              <w:rPr>
                <w:sz w:val="20"/>
                <w:szCs w:val="20"/>
              </w:rPr>
              <w:t xml:space="preserve">planned_dev_months</w:t>
            </w:r>
          </w:p>
        </w:tc>
        <w:tc>
          <w:tcPr>
            <w:tcW w:w="0" w:type="auto"/>
          </w:tcPr>
          <w:p>
            <w:pPr>
              <w:spacing w:line="240" w:lineRule="auto" w:before="0" w:after="0"/>
              <w:pStyle w:val="Compact"/>
            </w:pPr>
            <w:r>
              <w:rPr>
                <w:sz w:val="20"/>
                <w:szCs w:val="20"/>
              </w:rPr>
              <w:t xml:space="preserve">0.3329</w:t>
            </w:r>
          </w:p>
        </w:tc>
        <w:tc>
          <w:tcPr>
            <w:tcW w:w="0" w:type="auto"/>
          </w:tcPr>
          <w:p>
            <w:pPr>
              <w:spacing w:line="240" w:lineRule="auto" w:before="0" w:after="0"/>
              <w:pStyle w:val="Compact"/>
            </w:pPr>
            <w:r>
              <w:rPr>
                <w:sz w:val="20"/>
                <w:szCs w:val="20"/>
              </w:rPr>
              <w:t xml:space="preserve">0.2626</w:t>
            </w:r>
          </w:p>
        </w:tc>
        <w:tc>
          <w:tcPr>
            <w:tcW w:w="0" w:type="auto"/>
          </w:tcPr>
          <w:p>
            <w:pPr>
              <w:spacing w:line="240" w:lineRule="auto" w:before="0" w:after="0"/>
              <w:pStyle w:val="Compact"/>
            </w:pPr>
            <w:r>
              <w:rPr>
                <w:sz w:val="20"/>
                <w:szCs w:val="20"/>
              </w:rPr>
              <w:t xml:space="preserve">1.2677</w:t>
            </w:r>
          </w:p>
        </w:tc>
        <w:tc>
          <w:tcPr>
            <w:tcW w:w="0" w:type="auto"/>
          </w:tcPr>
          <w:p>
            <w:pPr>
              <w:spacing w:line="240" w:lineRule="auto" w:before="0" w:after="0"/>
              <w:pStyle w:val="Compact"/>
            </w:pPr>
            <w:r>
              <w:rPr>
                <w:sz w:val="20"/>
                <w:szCs w:val="20"/>
              </w:rPr>
              <w:t xml:space="preserve">0.2049</w:t>
            </w:r>
          </w:p>
        </w:tc>
        <w:tc>
          <w:tcPr>
            <w:tcW w:w="0" w:type="auto"/>
          </w:tcPr>
          <w:p>
            <w:pPr>
              <w:spacing w:line="240" w:lineRule="auto" w:before="0" w:after="0"/>
              <w:pStyle w:val="Compact"/>
            </w:pPr>
            <w:r>
              <w:rPr>
                <w:sz w:val="20"/>
                <w:szCs w:val="20"/>
              </w:rPr>
              <w:t xml:space="preserve">[-0.1818, 0.8476]</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-0.7625</w:t>
            </w:r>
          </w:p>
        </w:tc>
        <w:tc>
          <w:tcPr>
            <w:tcW w:w="0" w:type="auto"/>
          </w:tcPr>
          <w:p>
            <w:pPr>
              <w:spacing w:line="240" w:lineRule="auto" w:before="0" w:after="0"/>
              <w:pStyle w:val="Compact"/>
            </w:pPr>
            <w:r>
              <w:rPr>
                <w:sz w:val="20"/>
                <w:szCs w:val="20"/>
              </w:rPr>
              <w:t xml:space="preserve">1.3605</w:t>
            </w:r>
          </w:p>
        </w:tc>
        <w:tc>
          <w:tcPr>
            <w:tcW w:w="0" w:type="auto"/>
          </w:tcPr>
          <w:p>
            <w:pPr>
              <w:spacing w:line="240" w:lineRule="auto" w:before="0" w:after="0"/>
              <w:pStyle w:val="Compact"/>
            </w:pPr>
            <w:r>
              <w:rPr>
                <w:sz w:val="20"/>
                <w:szCs w:val="20"/>
              </w:rPr>
              <w:t xml:space="preserve">-0.5605</w:t>
            </w:r>
          </w:p>
        </w:tc>
        <w:tc>
          <w:tcPr>
            <w:tcW w:w="0" w:type="auto"/>
          </w:tcPr>
          <w:p>
            <w:pPr>
              <w:spacing w:line="240" w:lineRule="auto" w:before="0" w:after="0"/>
              <w:pStyle w:val="Compact"/>
            </w:pPr>
            <w:r>
              <w:rPr>
                <w:sz w:val="20"/>
                <w:szCs w:val="20"/>
              </w:rPr>
              <w:t xml:space="preserve">0.5752</w:t>
            </w:r>
          </w:p>
        </w:tc>
        <w:tc>
          <w:tcPr>
            <w:tcW w:w="0" w:type="auto"/>
          </w:tcPr>
          <w:p>
            <w:pPr>
              <w:spacing w:line="240" w:lineRule="auto" w:before="0" w:after="0"/>
              <w:pStyle w:val="Compact"/>
            </w:pPr>
            <w:r>
              <w:rPr>
                <w:sz w:val="20"/>
                <w:szCs w:val="20"/>
              </w:rPr>
              <w:t xml:space="preserve">[-3.4289, 1.904]</w:t>
            </w:r>
          </w:p>
        </w:tc>
      </w:tr>
    </w:tbl>
    <w:p>
      <w:pPr>
        <w:pStyle w:val="BodyText"/>
        <w:spacing w:line="480" w:lineRule="auto"/>
        <w:ind w:firstLine="720"/>
      </w:pPr>
      <w:r>
        <w:t xml:space="preserve">Fit: N = 30 R2 = 0.2056 R2_adj = 0.114 F = 2.0205 F_p = 0.1357</w:t>
      </w:r>
    </w:p>
    <w:bookmarkEnd w:id="185"/>
    <w:bookmarkStart w:id="18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ost growth from Phase B baseline against planned development duration for thirty NASA and NOAA civil space major projects; the FFRDC-SE-intensive subset does not concentrate at lower cost growth at any given duration." title="" id="187" name="Picture"/>
            <a:graphic>
              <a:graphicData uri="http://schemas.openxmlformats.org/drawingml/2006/picture">
                <pic:pic>
                  <pic:nvPicPr>
                    <pic:cNvPr descr="D:/Claude_Code/brain/collegium/candidates/dissertations/ENTERPRISE_ACQ_04/research_papers/p1/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Cost growth from Phase B baseline against planned development duration for thirty NASA and NOAA civil space major projects; the FFRDC-SE-intensive subset does not concentrate at lower cost growth at any given duration.</w:t>
      </w:r>
    </w:p>
    <w:bookmarkEnd w:id="189"/>
    <w:bookmarkStart w:id="19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phase_b_cost_baseline_musd</w:t>
            </w:r>
          </w:p>
        </w:tc>
        <w:tc>
          <w:tcPr>
            <w:tcW w:w="0" w:type="auto"/>
          </w:tcPr>
          <w:p>
            <w:pPr>
              <w:spacing w:line="240" w:lineRule="auto" w:before="0" w:after="0"/>
              <w:pStyle w:val="Compact"/>
            </w:pPr>
            <w:r>
              <w:rPr>
                <w:sz w:val="20"/>
                <w:szCs w:val="20"/>
              </w:rPr>
              <w:t xml:space="preserve">latest_cost_estimate_musd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planned_dev_months</w:t>
            </w:r>
          </w:p>
        </w:tc>
        <w:tc>
          <w:tcPr>
            <w:tcW w:w="0" w:type="auto"/>
          </w:tcPr>
          <w:p>
            <w:pPr>
              <w:spacing w:line="240" w:lineRule="auto" w:before="0" w:after="0"/>
              <w:pStyle w:val="Compact"/>
            </w:pPr>
            <w:r>
              <w:rPr>
                <w:sz w:val="20"/>
                <w:szCs w:val="20"/>
              </w:rPr>
              <w:t xml:space="preserve">actual_dev_months</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ffrdc_se_intensive</w:t>
            </w:r>
          </w:p>
        </w:tc>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5100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90.2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GAO-20-405 NASA Major Project Assessment 2020 (gao.gov/products/gao-20-405); JWST baseline rebaseline history (jwst.nasa.gov; nasa.gov/feature/goddard/2018)</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1638</w:t>
            </w:r>
          </w:p>
        </w:tc>
        <w:tc>
          <w:tcPr>
            <w:tcW w:w="0" w:type="auto"/>
          </w:tcPr>
          <w:p>
            <w:pPr>
              <w:spacing w:line="240" w:lineRule="auto" w:before="0" w:after="0"/>
              <w:pStyle w:val="Compact"/>
            </w:pPr>
            <w:r>
              <w:rPr>
                <w:sz w:val="20"/>
                <w:szCs w:val="20"/>
              </w:rPr>
              <w:t xml:space="preserve">2466</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GAO-12-207SP NASA Assessments of Selected Large-Scale Projects 2012 (gao.gov/products/gao-12-207sp); MSL launch slip 2009 to 2011</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2095</w:t>
            </w:r>
          </w:p>
        </w:tc>
        <w:tc>
          <w:tcPr>
            <w:tcW w:w="0" w:type="auto"/>
          </w:tcPr>
          <w:p>
            <w:pPr>
              <w:spacing w:line="240" w:lineRule="auto" w:before="0" w:after="0"/>
              <w:pStyle w:val="Compact"/>
            </w:pPr>
            <w:r>
              <w:rPr>
                <w:sz w:val="20"/>
                <w:szCs w:val="20"/>
              </w:rPr>
              <w:t xml:space="preserve">2424</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GAO-21-306 NASA Major Projects 2021 (gao.gov/products/gao-21-306); JPL Mars 2020 project (mars.nasa.gov/mars2020)</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GAO-17-262SP NASA Assessments of Major Projects 2017 (gao.gov/products/gao-17-262sp); on-budget, on-schedule per GAO</w:t>
            </w:r>
          </w:p>
        </w:tc>
      </w:tr>
      <w:tr>
        <w:tc>
          <w:tcPr>
            <w:tcW w:w="0" w:type="auto"/>
          </w:tcPr>
          <w:p>
            <w:pPr>
              <w:spacing w:line="240" w:lineRule="auto" w:before="0" w:after="0"/>
              <w:pStyle w:val="Compact"/>
            </w:pPr>
            <w:r>
              <w:rPr>
                <w:sz w:val="20"/>
                <w:szCs w:val="20"/>
              </w:rPr>
              <w:t xml:space="preserve">GRACE Follow-On</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GAO-18-280SP NASA Major Project Assessments 2018 (gao.gov/products/gao-18-280sp); JPL/GFZ partnership</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793</w:t>
            </w:r>
          </w:p>
        </w:tc>
        <w:tc>
          <w:tcPr>
            <w:tcW w:w="0" w:type="auto"/>
          </w:tcPr>
          <w:p>
            <w:pPr>
              <w:spacing w:line="240" w:lineRule="auto" w:before="0" w:after="0"/>
              <w:pStyle w:val="Compact"/>
            </w:pPr>
            <w:r>
              <w:rPr>
                <w:sz w:val="20"/>
                <w:szCs w:val="20"/>
              </w:rPr>
              <w:t xml:space="preserve">1006</w:t>
            </w:r>
          </w:p>
        </w:tc>
        <w:tc>
          <w:tcPr>
            <w:tcW w:w="0" w:type="auto"/>
          </w:tcPr>
          <w:p>
            <w:pPr>
              <w:spacing w:line="240" w:lineRule="auto" w:before="0" w:after="0"/>
              <w:pStyle w:val="Compact"/>
            </w:pPr>
            <w:r>
              <w:rPr>
                <w:sz w:val="20"/>
                <w:szCs w:val="20"/>
              </w:rPr>
              <w:t xml:space="preserve">26.9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Major Project Assessments 2018 (gao.gov/products/gao-18-280sp); ATLAS instrument delays</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884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GAO-21-306 NASA Major Projects 2021 (gao.gov/products/gao-21-306); USGS partnership</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GAO-17-262SP NASA Assessments of Major Projects 2017 (gao.gov/products/gao-17-262sp); MIT-led Explorer-class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1305</w:t>
            </w:r>
          </w:p>
        </w:tc>
        <w:tc>
          <w:tcPr>
            <w:tcW w:w="0" w:type="auto"/>
          </w:tcPr>
          <w:p>
            <w:pPr>
              <w:spacing w:line="240" w:lineRule="auto" w:before="0" w:after="0"/>
              <w:pStyle w:val="Compact"/>
            </w:pPr>
            <w:r>
              <w:rPr>
                <w:sz w:val="20"/>
                <w:szCs w:val="20"/>
              </w:rPr>
              <w:t xml:space="preserve">1559</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GAO-17-262SP NASA Assessments of Major Projects 2017 (gao.gov/products/gao-17-262sp); APL-built mission</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GAO-16-309SP NASA Major Projects 2016 (gao.gov/products/gao-16-309sp); SEIS instrument leak slip 2016 to 2018</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1190</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 Assessments 2022 (gao.gov/products/gao-22-105212); CNES partnership</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749</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GAO-21-306 NASA Major Projects 2021 (gao.gov/products/gao-21-306); SwRI-led Discovery mission</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GAO-23-106021 NASA Major Project Assessments 2023 (gao.gov/products/gao-23-106021); JPL-led mission</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Major Projects 2021 (gao.gov/products/gao-21-306); APL-led planetary defense demo</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GAO-23-106021 NASA Major Project Assessments 2023 (gao.gov/products/gao-23-106021); 2022 launch slip to 2023</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NASA ESDMD</w:t>
            </w:r>
          </w:p>
        </w:tc>
        <w:tc>
          <w:tcPr>
            <w:tcW w:w="0" w:type="auto"/>
          </w:tcPr>
          <w:p>
            <w:pPr>
              <w:spacing w:line="240" w:lineRule="auto" w:before="0" w:after="0"/>
              <w:pStyle w:val="Compact"/>
            </w:pPr>
            <w:r>
              <w:rPr>
                <w:sz w:val="20"/>
                <w:szCs w:val="20"/>
              </w:rPr>
              <w:t xml:space="preserve">7021</w:t>
            </w:r>
          </w:p>
        </w:tc>
        <w:tc>
          <w:tcPr>
            <w:tcW w:w="0" w:type="auto"/>
          </w:tcPr>
          <w:p>
            <w:pPr>
              <w:spacing w:line="240" w:lineRule="auto" w:before="0" w:after="0"/>
              <w:pStyle w:val="Compact"/>
            </w:pPr>
            <w:r>
              <w:rPr>
                <w:sz w:val="20"/>
                <w:szCs w:val="20"/>
              </w:rPr>
              <w:t xml:space="preserve">11525</w:t>
            </w:r>
          </w:p>
        </w:tc>
        <w:tc>
          <w:tcPr>
            <w:tcW w:w="0" w:type="auto"/>
          </w:tcPr>
          <w:p>
            <w:pPr>
              <w:spacing w:line="240" w:lineRule="auto" w:before="0" w:after="0"/>
              <w:pStyle w:val="Compact"/>
            </w:pPr>
            <w:r>
              <w:rPr>
                <w:sz w:val="20"/>
                <w:szCs w:val="20"/>
              </w:rPr>
              <w:t xml:space="preserve">64.2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NASA Major Project Assessments 2020; GAO-22-105212 SLS Block 1 cost growth</w:t>
            </w:r>
          </w:p>
        </w:tc>
      </w:tr>
      <w:tr>
        <w:tc>
          <w:tcPr>
            <w:tcW w:w="0" w:type="auto"/>
          </w:tcPr>
          <w:p>
            <w:pPr>
              <w:spacing w:line="240" w:lineRule="auto" w:before="0" w:after="0"/>
              <w:pStyle w:val="Compact"/>
            </w:pPr>
            <w:r>
              <w:rPr>
                <w:sz w:val="20"/>
                <w:szCs w:val="20"/>
              </w:rPr>
              <w:t xml:space="preserve">Orion (EM-1 config)</w:t>
            </w:r>
          </w:p>
        </w:tc>
        <w:tc>
          <w:tcPr>
            <w:tcW w:w="0" w:type="auto"/>
          </w:tcPr>
          <w:p>
            <w:pPr>
              <w:spacing w:line="240" w:lineRule="auto" w:before="0" w:after="0"/>
              <w:pStyle w:val="Compact"/>
            </w:pPr>
            <w:r>
              <w:rPr>
                <w:sz w:val="20"/>
                <w:szCs w:val="20"/>
              </w:rPr>
              <w:t xml:space="preserve">NASA ESDMD</w:t>
            </w:r>
          </w:p>
        </w:tc>
        <w:tc>
          <w:tcPr>
            <w:tcW w:w="0" w:type="auto"/>
          </w:tcPr>
          <w:p>
            <w:pPr>
              <w:spacing w:line="240" w:lineRule="auto" w:before="0" w:after="0"/>
              <w:pStyle w:val="Compact"/>
            </w:pPr>
            <w:r>
              <w:rPr>
                <w:sz w:val="20"/>
                <w:szCs w:val="20"/>
              </w:rPr>
              <w:t xml:space="preserve">6770</w:t>
            </w:r>
          </w:p>
        </w:tc>
        <w:tc>
          <w:tcPr>
            <w:tcW w:w="0" w:type="auto"/>
          </w:tcPr>
          <w:p>
            <w:pPr>
              <w:spacing w:line="240" w:lineRule="auto" w:before="0" w:after="0"/>
              <w:pStyle w:val="Compact"/>
            </w:pPr>
            <w:r>
              <w:rPr>
                <w:sz w:val="20"/>
                <w:szCs w:val="20"/>
              </w:rPr>
              <w:t xml:space="preserve">9335</w:t>
            </w:r>
          </w:p>
        </w:tc>
        <w:tc>
          <w:tcPr>
            <w:tcW w:w="0" w:type="auto"/>
          </w:tcPr>
          <w:p>
            <w:pPr>
              <w:spacing w:line="240" w:lineRule="auto" w:before="0" w:after="0"/>
              <w:pStyle w:val="Compact"/>
            </w:pPr>
            <w:r>
              <w:rPr>
                <w:sz w:val="20"/>
                <w:szCs w:val="20"/>
              </w:rPr>
              <w:t xml:space="preserve">37.9</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NASA Major Projects 2021 (gao.gov/products/gao-21-306); EM-1 to Artemis I</w:t>
            </w:r>
          </w:p>
        </w:tc>
      </w:tr>
      <w:tr>
        <w:tc>
          <w:tcPr>
            <w:tcW w:w="0" w:type="auto"/>
          </w:tcPr>
          <w:p>
            <w:pPr>
              <w:spacing w:line="240" w:lineRule="auto" w:before="0" w:after="0"/>
              <w:pStyle w:val="Compact"/>
            </w:pPr>
            <w:r>
              <w:rPr>
                <w:sz w:val="20"/>
                <w:szCs w:val="20"/>
              </w:rPr>
              <w:t xml:space="preserve">Exploration Ground Systems</w:t>
            </w:r>
          </w:p>
        </w:tc>
        <w:tc>
          <w:tcPr>
            <w:tcW w:w="0" w:type="auto"/>
          </w:tcPr>
          <w:p>
            <w:pPr>
              <w:spacing w:line="240" w:lineRule="auto" w:before="0" w:after="0"/>
              <w:pStyle w:val="Compact"/>
            </w:pPr>
            <w:r>
              <w:rPr>
                <w:sz w:val="20"/>
                <w:szCs w:val="20"/>
              </w:rPr>
              <w:t xml:space="preserve">NASA ESDMD</w:t>
            </w:r>
          </w:p>
        </w:tc>
        <w:tc>
          <w:tcPr>
            <w:tcW w:w="0" w:type="auto"/>
          </w:tcPr>
          <w:p>
            <w:pPr>
              <w:spacing w:line="240" w:lineRule="auto" w:before="0" w:after="0"/>
              <w:pStyle w:val="Compact"/>
            </w:pPr>
            <w:r>
              <w:rPr>
                <w:sz w:val="20"/>
                <w:szCs w:val="20"/>
              </w:rPr>
              <w:t xml:space="preserve">2828</w:t>
            </w:r>
          </w:p>
        </w:tc>
        <w:tc>
          <w:tcPr>
            <w:tcW w:w="0" w:type="auto"/>
          </w:tcPr>
          <w:p>
            <w:pPr>
              <w:spacing w:line="240" w:lineRule="auto" w:before="0" w:after="0"/>
              <w:pStyle w:val="Compact"/>
            </w:pPr>
            <w:r>
              <w:rPr>
                <w:sz w:val="20"/>
                <w:szCs w:val="20"/>
              </w:rPr>
              <w:t xml:space="preserve">3469</w:t>
            </w:r>
          </w:p>
        </w:tc>
        <w:tc>
          <w:tcPr>
            <w:tcW w:w="0" w:type="auto"/>
          </w:tcPr>
          <w:p>
            <w:pPr>
              <w:spacing w:line="240" w:lineRule="auto" w:before="0" w:after="0"/>
              <w:pStyle w:val="Compact"/>
            </w:pPr>
            <w:r>
              <w:rPr>
                <w:sz w:val="20"/>
                <w:szCs w:val="20"/>
              </w:rPr>
              <w:t xml:space="preserve">22.7</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NASA Major Project Assessments 2020 (gao.gov/products/gao-20-405); KSC mobile launcher cost growth</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8156</w:t>
            </w:r>
          </w:p>
        </w:tc>
        <w:tc>
          <w:tcPr>
            <w:tcW w:w="0" w:type="auto"/>
          </w:tcPr>
          <w:p>
            <w:pPr>
              <w:spacing w:line="240" w:lineRule="auto" w:before="0" w:after="0"/>
              <w:pStyle w:val="Compact"/>
            </w:pPr>
            <w:r>
              <w:rPr>
                <w:sz w:val="20"/>
                <w:szCs w:val="20"/>
              </w:rPr>
              <w:t xml:space="preserve">10854</w:t>
            </w:r>
          </w:p>
        </w:tc>
        <w:tc>
          <w:tcPr>
            <w:tcW w:w="0" w:type="auto"/>
          </w:tcPr>
          <w:p>
            <w:pPr>
              <w:spacing w:line="240" w:lineRule="auto" w:before="0" w:after="0"/>
              <w:pStyle w:val="Compact"/>
            </w:pPr>
            <w:r>
              <w:rPr>
                <w:sz w:val="20"/>
                <w:szCs w:val="20"/>
              </w:rPr>
              <w:t xml:space="preserve">33.1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GAO-15-315SP NASA Assessments 2015 (gao.gov/products/gao-15-315sp); NOAA GOES-R series program</w:t>
            </w:r>
          </w:p>
        </w:tc>
      </w:tr>
      <w:tr>
        <w:tc>
          <w:tcPr>
            <w:tcW w:w="0" w:type="auto"/>
          </w:tcPr>
          <w:p>
            <w:pPr>
              <w:spacing w:line="240" w:lineRule="auto" w:before="0" w:after="0"/>
              <w:pStyle w:val="Compact"/>
            </w:pPr>
            <w:r>
              <w:rPr>
                <w:sz w:val="20"/>
                <w:szCs w:val="20"/>
              </w:rPr>
              <w:t xml:space="preserve">JPSS-1 (NOAA-20)</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2920</w:t>
            </w:r>
          </w:p>
        </w:tc>
        <w:tc>
          <w:tcPr>
            <w:tcW w:w="0" w:type="auto"/>
          </w:tcPr>
          <w:p>
            <w:pPr>
              <w:spacing w:line="240" w:lineRule="auto" w:before="0" w:after="0"/>
              <w:pStyle w:val="Compact"/>
            </w:pPr>
            <w:r>
              <w:rPr>
                <w:sz w:val="20"/>
                <w:szCs w:val="20"/>
              </w:rPr>
              <w:t xml:space="preserve">3622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GAO-15-315SP NASA Assessments 2015; NOAA JPSS program (nesdis.noaa.gov/jpss)</w:t>
            </w:r>
          </w:p>
        </w:tc>
      </w:tr>
      <w:tr>
        <w:tc>
          <w:tcPr>
            <w:tcW w:w="0" w:type="auto"/>
          </w:tcPr>
          <w:p>
            <w:pPr>
              <w:spacing w:line="240" w:lineRule="auto" w:before="0" w:after="0"/>
              <w:pStyle w:val="Compact"/>
            </w:pPr>
            <w:r>
              <w:rPr>
                <w:sz w:val="20"/>
                <w:szCs w:val="20"/>
              </w:rPr>
              <w:t xml:space="preserve">GPM Core</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GAO-13-276SP NASA Assessments 2013 (gao.gov/products/gao-13-276sp); JAXA partnership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GAO-14-338SP NASA Assessments 2014 (gao.gov/products/gao-14-338sp); LASP-led; on baseline</w:t>
            </w:r>
          </w:p>
        </w:tc>
      </w:tr>
      <w:tr>
        <w:tc>
          <w:tcPr>
            <w:tcW w:w="0" w:type="auto"/>
          </w:tcPr>
          <w:p>
            <w:pPr>
              <w:spacing w:line="240" w:lineRule="auto" w:before="0" w:after="0"/>
              <w:pStyle w:val="Compact"/>
            </w:pPr>
            <w:r>
              <w:rPr>
                <w:sz w:val="20"/>
                <w:szCs w:val="20"/>
              </w:rPr>
              <w:t xml:space="preserve">IRIS</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GAO-13-276SP NASA Assessments 2013 (gao.gov/products/gao-13-276sp); LMSAL-led SMEX</w:t>
            </w:r>
          </w:p>
        </w:tc>
      </w:tr>
      <w:tr>
        <w:tc>
          <w:tcPr>
            <w:tcW w:w="0" w:type="auto"/>
          </w:tcPr>
          <w:p>
            <w:pPr>
              <w:spacing w:line="240" w:lineRule="auto" w:before="0" w:after="0"/>
              <w:pStyle w:val="Compact"/>
            </w:pPr>
            <w:r>
              <w:rPr>
                <w:sz w:val="20"/>
                <w:szCs w:val="20"/>
              </w:rPr>
              <w:t xml:space="preserve">NICER</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Assessments 2016 (gao.gov/products/gao-16-309sp); MIT-led ISS attached payload</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GAO-12-207SP NASA Assessments 2012 (gao.gov/products/gao-12-207sp); Caltech SMEX</w:t>
            </w:r>
          </w:p>
        </w:tc>
      </w:tr>
      <w:tr>
        <w:tc>
          <w:tcPr>
            <w:tcW w:w="0" w:type="auto"/>
          </w:tcPr>
          <w:p>
            <w:pPr>
              <w:spacing w:line="240" w:lineRule="auto" w:before="0" w:after="0"/>
              <w:pStyle w:val="Compact"/>
            </w:pPr>
            <w:r>
              <w:rPr>
                <w:sz w:val="20"/>
                <w:szCs w:val="20"/>
              </w:rPr>
              <w:t xml:space="preserve">GLAST/Fermi</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GAO-08-1004SP NASA Major Projects 2008 (gao.gov/products/gao-08-1004sp); Stanford-led</w:t>
            </w:r>
          </w:p>
        </w:tc>
      </w:tr>
      <w:tr>
        <w:tc>
          <w:tcPr>
            <w:tcW w:w="0" w:type="auto"/>
          </w:tcPr>
          <w:p>
            <w:pPr>
              <w:spacing w:line="240" w:lineRule="auto" w:before="0" w:after="0"/>
              <w:pStyle w:val="Compact"/>
            </w:pPr>
            <w:r>
              <w:rPr>
                <w:sz w:val="20"/>
                <w:szCs w:val="20"/>
              </w:rPr>
              <w:t xml:space="preserve">LDCM (Landsat 8)</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GAO-13-276SP NASA Assessments 2013 (gao.gov/products/gao-13-276sp); USGS partnership</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915</w:t>
            </w:r>
          </w:p>
        </w:tc>
        <w:tc>
          <w:tcPr>
            <w:tcW w:w="0" w:type="auto"/>
          </w:tcPr>
          <w:p>
            <w:pPr>
              <w:spacing w:line="240" w:lineRule="auto" w:before="0" w:after="0"/>
              <w:pStyle w:val="Compact"/>
            </w:pPr>
            <w:r>
              <w:rPr>
                <w:sz w:val="20"/>
                <w:szCs w:val="20"/>
              </w:rPr>
              <w:t xml:space="preserve">1016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GAO-15-315SP NASA Assessments 2015 (gao.gov/products/gao-15-315sp); JPL-led; radar lost on orbit</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966</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GAO-15-315SP NASA Assessments 2015 (gao.gov/products/gao-15-315sp); GSFC-led STP</w:t>
            </w:r>
          </w:p>
        </w:tc>
      </w:tr>
      <w:tr>
        <w:tc>
          <w:tcPr>
            <w:tcW w:w="0" w:type="auto"/>
          </w:tcPr>
          <w:p>
            <w:pPr>
              <w:spacing w:line="240" w:lineRule="auto" w:before="0" w:after="0"/>
              <w:pStyle w:val="Compact"/>
            </w:pPr>
            <w:r>
              <w:rPr>
                <w:sz w:val="20"/>
                <w:szCs w:val="20"/>
              </w:rPr>
              <w:t xml:space="preserve">Roman Space Telescope (WFIRST)</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3934</w:t>
            </w:r>
          </w:p>
        </w:tc>
        <w:tc>
          <w:tcPr>
            <w:tcW w:w="0" w:type="auto"/>
          </w:tcPr>
          <w:p>
            <w:pPr>
              <w:spacing w:line="240" w:lineRule="auto" w:before="0" w:after="0"/>
              <w:pStyle w:val="Compact"/>
            </w:pPr>
            <w:r>
              <w:rPr>
                <w:sz w:val="20"/>
                <w:szCs w:val="20"/>
              </w:rPr>
              <w:t xml:space="preserve">4366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GAO-23-106021 NASA Major Project Assessments 2023 (gao.gov/products/gao-23-106021); GSFC-led; in development</w:t>
            </w:r>
          </w:p>
        </w:tc>
      </w:tr>
    </w:tbl>
    <w:bookmarkEnd w:id="190"/>
    <w:bookmarkStart w:id="19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Percentage growth from the Phase B cost baseline (or earliest Agency Baseline Commitment) to the latest GAO-reported life-cycle cost estimate, computed as 100 * (latest - baseline) / baseline.</w:t>
            </w:r>
          </w:p>
        </w:tc>
        <w:tc>
          <w:tcPr>
            <w:tcW w:w="0" w:type="auto"/>
          </w:tcPr>
          <w:p>
            <w:pPr>
              <w:spacing w:line="240" w:lineRule="auto" w:before="0" w:after="0"/>
              <w:pStyle w:val="Compact"/>
            </w:pPr>
            <w:r>
              <w:rPr>
                <w:sz w:val="20"/>
                <w:szCs w:val="20"/>
              </w:rPr>
              <w:t xml:space="preserve">Computed from GAO NASA Major Project Assessment annual reports per row source.</w:t>
            </w:r>
          </w:p>
        </w:tc>
      </w:tr>
      <w:tr>
        <w:tc>
          <w:tcPr>
            <w:tcW w:w="0" w:type="auto"/>
          </w:tcPr>
          <w:p>
            <w:pPr>
              <w:spacing w:line="240" w:lineRule="auto" w:before="0" w:after="0"/>
              <w:pStyle w:val="Compact"/>
            </w:pPr>
            <w:r>
              <w:rPr>
                <w:sz w:val="20"/>
                <w:szCs w:val="20"/>
              </w:rPr>
              <w:t xml:space="preserve">ffrdc_se_intensive</w:t>
            </w:r>
          </w:p>
        </w:tc>
        <w:tc>
          <w:tcPr>
            <w:tcW w:w="0" w:type="auto"/>
          </w:tcPr>
          <w:p>
            <w:pPr>
              <w:spacing w:line="240" w:lineRule="auto" w:before="0" w:after="0"/>
              <w:pStyle w:val="Compact"/>
            </w:pPr>
            <w:r>
              <w:rPr>
                <w:sz w:val="20"/>
                <w:szCs w:val="20"/>
              </w:rPr>
              <w:t xml:space="preserve">Binary indicator: 1 if the project’s prime systems-engineering and technical-assurance role is performed by a NASA federally funded research and development center (JPL, APL operating as a UARC under FFRDC-equivalent terms for NASA missions, or NASA-center-led with substantial FFRDC SETA support documented in GAO and project records); 0 if SE/I is industry-prime-led with no documented FFRDC SE/I role.</w:t>
            </w:r>
          </w:p>
        </w:tc>
        <w:tc>
          <w:tcPr>
            <w:tcW w:w="0" w:type="auto"/>
          </w:tcPr>
          <w:p>
            <w:pPr>
              <w:spacing w:line="240" w:lineRule="auto" w:before="0" w:after="0"/>
              <w:pStyle w:val="Compact"/>
            </w:pPr>
            <w:r>
              <w:rPr>
                <w:sz w:val="20"/>
                <w:szCs w:val="20"/>
              </w:rPr>
              <w:t xml:space="preserve">Hand-coded from GAO assessments and NASA project pages per row source; rubric in Section 3.</w:t>
            </w:r>
          </w:p>
        </w:tc>
      </w:tr>
      <w:tr>
        <w:tc>
          <w:tcPr>
            <w:tcW w:w="0" w:type="auto"/>
          </w:tcPr>
          <w:p>
            <w:pPr>
              <w:spacing w:line="240" w:lineRule="auto" w:before="0" w:after="0"/>
              <w:pStyle w:val="Compact"/>
            </w:pPr>
            <w:r>
              <w:rPr>
                <w:sz w:val="20"/>
                <w:szCs w:val="20"/>
              </w:rPr>
              <w:t xml:space="preserve">planned_dev_months</w:t>
            </w:r>
          </w:p>
        </w:tc>
        <w:tc>
          <w:tcPr>
            <w:tcW w:w="0" w:type="auto"/>
          </w:tcPr>
          <w:p>
            <w:pPr>
              <w:spacing w:line="240" w:lineRule="auto" w:before="0" w:after="0"/>
              <w:pStyle w:val="Compact"/>
            </w:pPr>
            <w:r>
              <w:rPr>
                <w:sz w:val="20"/>
                <w:szCs w:val="20"/>
              </w:rPr>
              <w:t xml:space="preserve">Planned development duration in months from Key Decision Point C (confirmation) to launch readiness at Phase B baseline.</w:t>
            </w:r>
          </w:p>
        </w:tc>
        <w:tc>
          <w:tcPr>
            <w:tcW w:w="0" w:type="auto"/>
          </w:tcPr>
          <w:p>
            <w:pPr>
              <w:spacing w:line="240" w:lineRule="auto" w:before="0" w:after="0"/>
              <w:pStyle w:val="Compact"/>
            </w:pPr>
            <w:r>
              <w:rPr>
                <w:sz w:val="20"/>
                <w:szCs w:val="20"/>
              </w:rPr>
              <w:t xml:space="preserve">GAO NASA Major Project Assessment schedule tables per row source.</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Number of distinct science instruments or major flight payloads in the as-baselined mission design; 0 for human-spaceflight transportation elements (SLS, Orion, EGS).</w:t>
            </w:r>
          </w:p>
        </w:tc>
        <w:tc>
          <w:tcPr>
            <w:tcW w:w="0" w:type="auto"/>
          </w:tcPr>
          <w:p>
            <w:pPr>
              <w:spacing w:line="240" w:lineRule="auto" w:before="0" w:after="0"/>
              <w:pStyle w:val="Compact"/>
            </w:pPr>
            <w:r>
              <w:rPr>
                <w:sz w:val="20"/>
                <w:szCs w:val="20"/>
              </w:rPr>
              <w:t xml:space="preserve">GAO assessments and NASA mission press kits per row source.</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Months of launch slip from baseline launch date to actual or latest planned launch date (auxiliary observable, not in the regression).</w:t>
            </w:r>
          </w:p>
        </w:tc>
        <w:tc>
          <w:tcPr>
            <w:tcW w:w="0" w:type="auto"/>
          </w:tcPr>
          <w:p>
            <w:pPr>
              <w:spacing w:line="240" w:lineRule="auto" w:before="0" w:after="0"/>
              <w:pStyle w:val="Compact"/>
            </w:pPr>
            <w:r>
              <w:rPr>
                <w:sz w:val="20"/>
                <w:szCs w:val="20"/>
              </w:rPr>
              <w:t xml:space="preserve">GAO assessments per row source.</w:t>
            </w:r>
          </w:p>
        </w:tc>
      </w:tr>
    </w:tbl>
    <w:bookmarkEnd w:id="191"/>
    <w:bookmarkEnd w:id="192"/>
    <w:bookmarkStart w:id="200" w:name="Xe3758ef45c1b7f588a2daf18b604c32d4c4e63c"/>
    <w:p>
      <w:pPr>
        <w:pStyle w:val="Heading2"/>
        <w:spacing w:line="480" w:lineRule="auto"/>
      </w:pPr>
      <w:r>
        <w:t xml:space="preserve">A.2 FFRDC Involvement and Cost Growth on NASA Major Projects: An OLS Analysis</w:t>
      </w:r>
    </w:p>
    <w:p>
      <w:pPr>
        <w:pStyle w:val="FirstParagraph"/>
        <w:spacing w:line="480" w:lineRule="auto"/>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sSub>
            <m:e>
              <m:r>
                <m:rPr>
                  <m:nor/>
                  <m:sty m:val="p"/>
                </m:rPr>
                <m:t>FFRDC</m:t>
              </m:r>
            </m:e>
            <m:sub>
              <m:r>
                <m:t>i</m:t>
              </m:r>
            </m:sub>
          </m:sSub>
          <m:r>
            <m:rPr>
              <m:sty m:val="p"/>
            </m:rPr>
            <m:t>+</m:t>
          </m:r>
          <m:sSub>
            <m:e>
              <m:r>
                <m:t>β</m:t>
              </m:r>
            </m:e>
            <m:sub>
              <m:r>
                <m:t>2</m:t>
              </m:r>
            </m:sub>
          </m:sSub>
          <m:sSub>
            <m:e>
              <m:r>
                <m:rPr>
                  <m:nor/>
                  <m:sty m:val="p"/>
                </m:rPr>
                <m:t>Complexity</m:t>
              </m:r>
            </m:e>
            <m:sub>
              <m:r>
                <m:t>i</m:t>
              </m:r>
            </m:sub>
          </m:sSub>
          <m:r>
            <m:rPr>
              <m:sty m:val="p"/>
            </m:rPr>
            <m:t>+</m:t>
          </m:r>
          <m:sSub>
            <m:e>
              <m:r>
                <m:t>β</m:t>
              </m:r>
            </m:e>
            <m:sub>
              <m:r>
                <m:t>3</m:t>
              </m:r>
            </m:sub>
          </m:sSub>
          <m:sSub>
            <m:e>
              <m:r>
                <m:rPr>
                  <m:nor/>
                  <m:sty m:val="p"/>
                </m:rPr>
                <m:t>LCC</m:t>
              </m:r>
            </m:e>
            <m:sub>
              <m:r>
                <m:t>i</m:t>
              </m:r>
            </m:sub>
          </m:sSub>
          <m:r>
            <m:rPr>
              <m:sty m:val="p"/>
            </m:rPr>
            <m:t>+</m:t>
          </m:r>
          <m:sSub>
            <m:e>
              <m:r>
                <m:t>β</m:t>
              </m:r>
            </m:e>
            <m:sub>
              <m:r>
                <m:t>4</m:t>
              </m:r>
            </m:sub>
          </m:sSub>
          <m:sSub>
            <m:e>
              <m:r>
                <m:rPr>
                  <m:nor/>
                  <m:sty m:val="p"/>
                </m:rPr>
                <m:t>Slip</m:t>
              </m:r>
            </m:e>
            <m:sub>
              <m:r>
                <m:t>i</m:t>
              </m:r>
            </m:sub>
          </m:sSub>
          <m:r>
            <m:rPr>
              <m:sty m:val="p"/>
            </m:rPr>
            <m:t>+</m:t>
          </m:r>
          <m:sSub>
            <m:e>
              <m:r>
                <m:t>ε</m:t>
              </m:r>
            </m:e>
            <m:sub>
              <m:r>
                <m:t>i</m:t>
              </m:r>
            </m:sub>
          </m:sSub>
        </m:oMath>
      </m:oMathPara>
    </w:p>
    <w:bookmarkStart w:id="19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-20.6763</w:t>
            </w:r>
          </w:p>
        </w:tc>
        <w:tc>
          <w:tcPr>
            <w:tcW w:w="0" w:type="auto"/>
          </w:tcPr>
          <w:p>
            <w:pPr>
              <w:spacing w:line="240" w:lineRule="auto" w:before="0" w:after="0"/>
              <w:pStyle w:val="Compact"/>
            </w:pPr>
            <w:r>
              <w:rPr>
                <w:sz w:val="20"/>
                <w:szCs w:val="20"/>
              </w:rPr>
              <w:t xml:space="preserve">15.7764</w:t>
            </w:r>
          </w:p>
        </w:tc>
        <w:tc>
          <w:tcPr>
            <w:tcW w:w="0" w:type="auto"/>
          </w:tcPr>
          <w:p>
            <w:pPr>
              <w:spacing w:line="240" w:lineRule="auto" w:before="0" w:after="0"/>
              <w:pStyle w:val="Compact"/>
            </w:pPr>
            <w:r>
              <w:rPr>
                <w:sz w:val="20"/>
                <w:szCs w:val="20"/>
              </w:rPr>
              <w:t xml:space="preserve">-1.3106</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[-51.5974, 10.2448]</w:t>
            </w:r>
          </w:p>
        </w:tc>
      </w:tr>
      <w:tr>
        <w:tc>
          <w:tcPr>
            <w:tcW w:w="0" w:type="auto"/>
          </w:tcPr>
          <w:p>
            <w:pPr>
              <w:spacing w:line="240" w:lineRule="auto" w:before="0" w:after="0"/>
              <w:pStyle w:val="Compact"/>
            </w:pPr>
            <w:r>
              <w:rPr>
                <w:sz w:val="20"/>
                <w:szCs w:val="20"/>
              </w:rPr>
              <w:t xml:space="preserve">ffrdc_support</w:t>
            </w:r>
          </w:p>
        </w:tc>
        <w:tc>
          <w:tcPr>
            <w:tcW w:w="0" w:type="auto"/>
          </w:tcPr>
          <w:p>
            <w:pPr>
              <w:spacing w:line="240" w:lineRule="auto" w:before="0" w:after="0"/>
              <w:pStyle w:val="Compact"/>
            </w:pPr>
            <w:r>
              <w:rPr>
                <w:sz w:val="20"/>
                <w:szCs w:val="20"/>
              </w:rPr>
              <w:t xml:space="preserve">22.2758</w:t>
            </w:r>
          </w:p>
        </w:tc>
        <w:tc>
          <w:tcPr>
            <w:tcW w:w="0" w:type="auto"/>
          </w:tcPr>
          <w:p>
            <w:pPr>
              <w:spacing w:line="240" w:lineRule="auto" w:before="0" w:after="0"/>
              <w:pStyle w:val="Compact"/>
            </w:pPr>
            <w:r>
              <w:rPr>
                <w:sz w:val="20"/>
                <w:szCs w:val="20"/>
              </w:rPr>
              <w:t xml:space="preserve">12.7538</w:t>
            </w:r>
          </w:p>
        </w:tc>
        <w:tc>
          <w:tcPr>
            <w:tcW w:w="0" w:type="auto"/>
          </w:tcPr>
          <w:p>
            <w:pPr>
              <w:spacing w:line="240" w:lineRule="auto" w:before="0" w:after="0"/>
              <w:pStyle w:val="Compact"/>
            </w:pPr>
            <w:r>
              <w:rPr>
                <w:sz w:val="20"/>
                <w:szCs w:val="20"/>
              </w:rPr>
              <w:t xml:space="preserve">1.7466</w:t>
            </w:r>
          </w:p>
        </w:tc>
        <w:tc>
          <w:tcPr>
            <w:tcW w:w="0" w:type="auto"/>
          </w:tcPr>
          <w:p>
            <w:pPr>
              <w:spacing w:line="240" w:lineRule="auto" w:before="0" w:after="0"/>
              <w:pStyle w:val="Compact"/>
            </w:pPr>
            <w:r>
              <w:rPr>
                <w:sz w:val="20"/>
                <w:szCs w:val="20"/>
              </w:rPr>
              <w:t xml:space="preserve">0.0807</w:t>
            </w:r>
          </w:p>
        </w:tc>
        <w:tc>
          <w:tcPr>
            <w:tcW w:w="0" w:type="auto"/>
          </w:tcPr>
          <w:p>
            <w:pPr>
              <w:spacing w:line="240" w:lineRule="auto" w:before="0" w:after="0"/>
              <w:pStyle w:val="Compact"/>
            </w:pPr>
            <w:r>
              <w:rPr>
                <w:sz w:val="20"/>
                <w:szCs w:val="20"/>
              </w:rPr>
              <w:t xml:space="preserve">[-2.7212, 47.2729]</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-0.2789</w:t>
            </w:r>
          </w:p>
        </w:tc>
        <w:tc>
          <w:tcPr>
            <w:tcW w:w="0" w:type="auto"/>
          </w:tcPr>
          <w:p>
            <w:pPr>
              <w:spacing w:line="240" w:lineRule="auto" w:before="0" w:after="0"/>
              <w:pStyle w:val="Compact"/>
            </w:pPr>
            <w:r>
              <w:rPr>
                <w:sz w:val="20"/>
                <w:szCs w:val="20"/>
              </w:rPr>
              <w:t xml:space="preserve">2.4552</w:t>
            </w:r>
          </w:p>
        </w:tc>
        <w:tc>
          <w:tcPr>
            <w:tcW w:w="0" w:type="auto"/>
          </w:tcPr>
          <w:p>
            <w:pPr>
              <w:spacing w:line="240" w:lineRule="auto" w:before="0" w:after="0"/>
              <w:pStyle w:val="Compact"/>
            </w:pPr>
            <w:r>
              <w:rPr>
                <w:sz w:val="20"/>
                <w:szCs w:val="20"/>
              </w:rPr>
              <w:t xml:space="preserve">-0.1136</w:t>
            </w:r>
          </w:p>
        </w:tc>
        <w:tc>
          <w:tcPr>
            <w:tcW w:w="0" w:type="auto"/>
          </w:tcPr>
          <w:p>
            <w:pPr>
              <w:spacing w:line="240" w:lineRule="auto" w:before="0" w:after="0"/>
              <w:pStyle w:val="Compact"/>
            </w:pPr>
            <w:r>
              <w:rPr>
                <w:sz w:val="20"/>
                <w:szCs w:val="20"/>
              </w:rPr>
              <w:t xml:space="preserve">0.9096</w:t>
            </w:r>
          </w:p>
        </w:tc>
        <w:tc>
          <w:tcPr>
            <w:tcW w:w="0" w:type="auto"/>
          </w:tcPr>
          <w:p>
            <w:pPr>
              <w:spacing w:line="240" w:lineRule="auto" w:before="0" w:after="0"/>
              <w:pStyle w:val="Compact"/>
            </w:pPr>
            <w:r>
              <w:rPr>
                <w:sz w:val="20"/>
                <w:szCs w:val="20"/>
              </w:rPr>
              <w:t xml:space="preserve">[-5.0909, 4.5331]</w:t>
            </w:r>
          </w:p>
        </w:tc>
      </w:tr>
      <w:tr>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1.3264</w:t>
            </w:r>
          </w:p>
        </w:tc>
        <w:tc>
          <w:tcPr>
            <w:tcW w:w="0" w:type="auto"/>
          </w:tcPr>
          <w:p>
            <w:pPr>
              <w:spacing w:line="240" w:lineRule="auto" w:before="0" w:after="0"/>
              <w:pStyle w:val="Compact"/>
            </w:pPr>
            <w:r>
              <w:rPr>
                <w:sz w:val="20"/>
                <w:szCs w:val="20"/>
              </w:rPr>
              <w:t xml:space="preserve">0.1847</w:t>
            </w:r>
          </w:p>
        </w:tc>
        <w:tc>
          <w:tcPr>
            <w:tcW w:w="0" w:type="auto"/>
          </w:tcPr>
          <w:p>
            <w:pPr>
              <w:spacing w:line="240" w:lineRule="auto" w:before="0" w:after="0"/>
              <w:pStyle w:val="Compact"/>
            </w:pPr>
            <w:r>
              <w:rPr>
                <w:sz w:val="20"/>
                <w:szCs w:val="20"/>
              </w:rPr>
              <w:t xml:space="preserve">[-0.0009357, 0.0049]</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1.6553</w:t>
            </w:r>
          </w:p>
        </w:tc>
        <w:tc>
          <w:tcPr>
            <w:tcW w:w="0" w:type="auto"/>
          </w:tcPr>
          <w:p>
            <w:pPr>
              <w:spacing w:line="240" w:lineRule="auto" w:before="0" w:after="0"/>
              <w:pStyle w:val="Compact"/>
            </w:pPr>
            <w:r>
              <w:rPr>
                <w:sz w:val="20"/>
                <w:szCs w:val="20"/>
              </w:rPr>
              <w:t xml:space="preserve">0.3403</w:t>
            </w:r>
          </w:p>
        </w:tc>
        <w:tc>
          <w:tcPr>
            <w:tcW w:w="0" w:type="auto"/>
          </w:tcPr>
          <w:p>
            <w:pPr>
              <w:spacing w:line="240" w:lineRule="auto" w:before="0" w:after="0"/>
              <w:pStyle w:val="Compact"/>
            </w:pPr>
            <w:r>
              <w:rPr>
                <w:sz w:val="20"/>
                <w:szCs w:val="20"/>
              </w:rPr>
              <w:t xml:space="preserve">4.8644</w:t>
            </w:r>
          </w:p>
        </w:tc>
        <w:tc>
          <w:tcPr>
            <w:tcW w:w="0" w:type="auto"/>
          </w:tcPr>
          <w:p>
            <w:pPr>
              <w:spacing w:line="240" w:lineRule="auto" w:before="0" w:after="0"/>
              <w:pStyle w:val="Compact"/>
            </w:pPr>
            <w:r>
              <w:rPr>
                <w:sz w:val="20"/>
                <w:szCs w:val="20"/>
              </w:rPr>
              <w:t xml:space="preserve">1.148e-06</w:t>
            </w:r>
          </w:p>
        </w:tc>
        <w:tc>
          <w:tcPr>
            <w:tcW w:w="0" w:type="auto"/>
          </w:tcPr>
          <w:p>
            <w:pPr>
              <w:spacing w:line="240" w:lineRule="auto" w:before="0" w:after="0"/>
              <w:pStyle w:val="Compact"/>
            </w:pPr>
            <w:r>
              <w:rPr>
                <w:sz w:val="20"/>
                <w:szCs w:val="20"/>
              </w:rPr>
              <w:t xml:space="preserve">[0.9884, 2.3223]</w:t>
            </w:r>
          </w:p>
        </w:tc>
      </w:tr>
    </w:tbl>
    <w:p>
      <w:pPr>
        <w:pStyle w:val="BodyText"/>
        <w:spacing w:line="480" w:lineRule="auto"/>
        <w:ind w:firstLine="720"/>
      </w:pPr>
      <w:r>
        <w:t xml:space="preserve">Fit: N = 35 R2 = 0.6669 R2_adj = 0.6225 F = 11.1571 F_p = 1.153e-05</w:t>
      </w:r>
    </w:p>
    <w:bookmarkEnd w:id="193"/>
    <w:bookmarkStart w:id="19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ost growth versus project complexity for NASA major projects, FFRDC-supported and non-FFRDC-supported, 2016 to 2025 GAO assessment series." title="" id="195" name="Picture"/>
            <a:graphic>
              <a:graphicData uri="http://schemas.openxmlformats.org/drawingml/2006/picture">
                <pic:pic>
                  <pic:nvPicPr>
                    <pic:cNvPr descr="D:/Claude_Code/brain/collegium/candidates/dissertations/ENTERPRISE_ACQ_04/research_papers/p2/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Cost growth versus project complexity for NASA major projects, FFRDC-supported and non-FFRDC-supported, 2016 to 2025 GAO assessment series.</w:t>
      </w:r>
    </w:p>
    <w:bookmarkEnd w:id="197"/>
    <w:bookmarkStart w:id="19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ffrdc_support</w:t>
            </w:r>
          </w:p>
        </w:tc>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phase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GAO-18-273 NASA Assessments of Major Projects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GAO-17-262 NASA Assessments of Major Projects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GAO-18-280SP NASA Assessments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GAO-16-309SP NASA Assessments of Major Projects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GAO-17-262SP NASA Assessments</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GAO-18-280SP NASA Assessments</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GAO-21-306 NASA Major Projects</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GAO-18-280SP NASA Assessments</w:t>
            </w:r>
          </w:p>
        </w:tc>
      </w:tr>
      <w:tr>
        <w:tc>
          <w:tcPr>
            <w:tcW w:w="0" w:type="auto"/>
          </w:tcPr>
          <w:p>
            <w:pPr>
              <w:spacing w:line="240" w:lineRule="auto" w:before="0" w:after="0"/>
              <w:pStyle w:val="Compact"/>
            </w:pPr>
            <w:r>
              <w:rPr>
                <w:sz w:val="20"/>
                <w:szCs w:val="20"/>
              </w:rPr>
              <w:t xml:space="preserve">Mars Sample Return</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11000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formulation</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GAO-20-145 NASA Human Space Exploration</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17500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GAO-20-145 NASA Human Space Exploration</w:t>
            </w:r>
          </w:p>
        </w:tc>
      </w:tr>
      <w:tr>
        <w:tc>
          <w:tcPr>
            <w:tcW w:w="0" w:type="auto"/>
          </w:tcPr>
          <w:p>
            <w:pPr>
              <w:spacing w:line="240" w:lineRule="auto" w:before="0" w:after="0"/>
              <w:pStyle w:val="Compact"/>
            </w:pPr>
            <w:r>
              <w:rPr>
                <w:sz w:val="20"/>
                <w:szCs w:val="20"/>
              </w:rPr>
              <w:t xml:space="preserve">Exploration Ground Systems</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GAO-20-145 NASA Human Space Exploration</w:t>
            </w:r>
          </w:p>
        </w:tc>
      </w:tr>
      <w:tr>
        <w:tc>
          <w:tcPr>
            <w:tcW w:w="0" w:type="auto"/>
          </w:tcPr>
          <w:p>
            <w:pPr>
              <w:spacing w:line="240" w:lineRule="auto" w:before="0" w:after="0"/>
              <w:pStyle w:val="Compact"/>
            </w:pPr>
            <w:r>
              <w:rPr>
                <w:sz w:val="20"/>
                <w:szCs w:val="20"/>
              </w:rPr>
              <w:t xml:space="preserve">Gateway HALO</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935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Gateway PPE</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990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HLS Initial Capability</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xEMU spacesuit</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GAO-21-105 NASA Lunar Programs</w:t>
            </w:r>
          </w:p>
        </w:tc>
      </w:tr>
      <w:tr>
        <w:tc>
          <w:tcPr>
            <w:tcW w:w="0" w:type="auto"/>
          </w:tcPr>
          <w:p>
            <w:pPr>
              <w:spacing w:line="240" w:lineRule="auto" w:before="0" w:after="0"/>
              <w:pStyle w:val="Compact"/>
            </w:pPr>
            <w:r>
              <w:rPr>
                <w:sz w:val="20"/>
                <w:szCs w:val="20"/>
              </w:rPr>
              <w:t xml:space="preserve">CLPS average lander</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Commercial Crew Boeing</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GAO-20-121 NASA Commercial Crew Program</w:t>
            </w:r>
          </w:p>
        </w:tc>
      </w:tr>
      <w:tr>
        <w:tc>
          <w:tcPr>
            <w:tcW w:w="0" w:type="auto"/>
          </w:tcPr>
          <w:p>
            <w:pPr>
              <w:spacing w:line="240" w:lineRule="auto" w:before="0" w:after="0"/>
              <w:pStyle w:val="Compact"/>
            </w:pPr>
            <w:r>
              <w:rPr>
                <w:sz w:val="20"/>
                <w:szCs w:val="20"/>
              </w:rPr>
              <w:t xml:space="preserve">Commercial Crew SpaceX</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3144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GAO-20-121 NASA Commercial Crew Program</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NOAA-NASA joint assessment</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NOAA-NASA joint assessment</w:t>
            </w:r>
          </w:p>
        </w:tc>
      </w:tr>
      <w:tr>
        <w:tc>
          <w:tcPr>
            <w:tcW w:w="0" w:type="auto"/>
          </w:tcPr>
          <w:p>
            <w:pPr>
              <w:spacing w:line="240" w:lineRule="auto" w:before="0" w:after="0"/>
              <w:pStyle w:val="Compact"/>
            </w:pPr>
            <w:r>
              <w:rPr>
                <w:sz w:val="20"/>
                <w:szCs w:val="20"/>
              </w:rPr>
              <w:t xml:space="preserve">Artemis I Integration</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609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bl>
    <w:bookmarkEnd w:id="198"/>
    <w:bookmarkStart w:id="19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cost growth from project baseline (KDP-C) to most recent estimate</w:t>
            </w:r>
          </w:p>
        </w:tc>
        <w:tc>
          <w:tcPr>
            <w:tcW w:w="0" w:type="auto"/>
          </w:tcPr>
          <w:p>
            <w:pPr>
              <w:spacing w:line="240" w:lineRule="auto" w:before="0" w:after="0"/>
              <w:pStyle w:val="Compact"/>
            </w:pPr>
            <w:r>
              <w:rPr>
                <w:sz w:val="20"/>
                <w:szCs w:val="20"/>
              </w:rPr>
              <w:t xml:space="preserve">NASA Major Project Assessments, GAO annual series</w:t>
            </w:r>
          </w:p>
        </w:tc>
      </w:tr>
      <w:tr>
        <w:tc>
          <w:tcPr>
            <w:tcW w:w="0" w:type="auto"/>
          </w:tcPr>
          <w:p>
            <w:pPr>
              <w:spacing w:line="240" w:lineRule="auto" w:before="0" w:after="0"/>
              <w:pStyle w:val="Compact"/>
            </w:pPr>
            <w:r>
              <w:rPr>
                <w:sz w:val="20"/>
                <w:szCs w:val="20"/>
              </w:rPr>
              <w:t xml:space="preserve">ffrdc_support</w:t>
            </w:r>
          </w:p>
        </w:tc>
        <w:tc>
          <w:tcPr>
            <w:tcW w:w="0" w:type="auto"/>
          </w:tcPr>
          <w:p>
            <w:pPr>
              <w:spacing w:line="240" w:lineRule="auto" w:before="0" w:after="0"/>
              <w:pStyle w:val="Compact"/>
            </w:pPr>
            <w:r>
              <w:rPr>
                <w:sz w:val="20"/>
                <w:szCs w:val="20"/>
              </w:rPr>
              <w:t xml:space="preserve">Indicator for projects with substantial FFRDC technical or programmatic support (JPL-managed missions and FFRDC-supported science portfolio = 1; HEO and commercial-services-led = 0)</w:t>
            </w:r>
          </w:p>
        </w:tc>
        <w:tc>
          <w:tcPr>
            <w:tcW w:w="0" w:type="auto"/>
          </w:tcPr>
          <w:p>
            <w:pPr>
              <w:spacing w:line="240" w:lineRule="auto" w:before="0" w:after="0"/>
              <w:pStyle w:val="Compact"/>
            </w:pPr>
            <w:r>
              <w:rPr>
                <w:sz w:val="20"/>
                <w:szCs w:val="20"/>
              </w:rPr>
              <w:t xml:space="preserve">NASA Center assignment in GAO project pages</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Ordinal 1 to 5 complexity index from project subsystem count and TRL profile in GAO assessments</w:t>
            </w:r>
          </w:p>
        </w:tc>
        <w:tc>
          <w:tcPr>
            <w:tcW w:w="0" w:type="auto"/>
          </w:tcPr>
          <w:p>
            <w:pPr>
              <w:spacing w:line="240" w:lineRule="auto" w:before="0" w:after="0"/>
              <w:pStyle w:val="Compact"/>
            </w:pPr>
            <w:r>
              <w:rPr>
                <w:sz w:val="20"/>
                <w:szCs w:val="20"/>
              </w:rPr>
              <w:t xml:space="preserve">GAO Major Project Assessments</w:t>
            </w:r>
          </w:p>
        </w:tc>
      </w:tr>
      <w:tr>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Project life-cycle cost baseline in millions USD at KDP-C</w:t>
            </w:r>
          </w:p>
        </w:tc>
        <w:tc>
          <w:tcPr>
            <w:tcW w:w="0" w:type="auto"/>
          </w:tcPr>
          <w:p>
            <w:pPr>
              <w:spacing w:line="240" w:lineRule="auto" w:before="0" w:after="0"/>
              <w:pStyle w:val="Compact"/>
            </w:pPr>
            <w:r>
              <w:rPr>
                <w:sz w:val="20"/>
                <w:szCs w:val="20"/>
              </w:rPr>
              <w:t xml:space="preserve">GAO Major Project Assessments</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Months of launch readiness date slip from baseline to most recent estimate</w:t>
            </w:r>
          </w:p>
        </w:tc>
        <w:tc>
          <w:tcPr>
            <w:tcW w:w="0" w:type="auto"/>
          </w:tcPr>
          <w:p>
            <w:pPr>
              <w:spacing w:line="240" w:lineRule="auto" w:before="0" w:after="0"/>
              <w:pStyle w:val="Compact"/>
            </w:pPr>
            <w:r>
              <w:rPr>
                <w:sz w:val="20"/>
                <w:szCs w:val="20"/>
              </w:rPr>
              <w:t xml:space="preserve">GAO Major Project Assessments</w:t>
            </w:r>
          </w:p>
        </w:tc>
      </w:tr>
    </w:tbl>
    <w:bookmarkEnd w:id="199"/>
    <w:bookmarkEnd w:id="200"/>
    <w:bookmarkEnd w:id="20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6" Type="http://schemas.openxmlformats.org/officeDocument/2006/relationships/image" Target="media/rId186.png"/><Relationship Id="rId194" Type="http://schemas.openxmlformats.org/officeDocument/2006/relationships/image" Target="media/rId194.png"/><Relationship Id="rId172" Type="http://schemas.openxmlformats.org/officeDocument/2006/relationships/hyperlink" Target="https://doi.org/10.1016/j.actaastro.2021.10.041" TargetMode="External"/><Relationship Id="rId176" Type="http://schemas.openxmlformats.org/officeDocument/2006/relationships/hyperlink" Target="https://doi.org/10.1016/j.actaastro.2022.07.042" TargetMode="External"/><Relationship Id="rId180" Type="http://schemas.openxmlformats.org/officeDocument/2006/relationships/hyperlink" Target="https://doi.org/10.1016/j.actaastro.2023.09.005" TargetMode="External"/><Relationship Id="rId182" Type="http://schemas.openxmlformats.org/officeDocument/2006/relationships/hyperlink" Target="https://doi.org/10.1016/j.actaastro.2024.11.026" TargetMode="External"/><Relationship Id="rId168" Type="http://schemas.openxmlformats.org/officeDocument/2006/relationships/hyperlink" Target="https://doi.org/10.1016/j.actaastro.2025.01.029" TargetMode="External"/><Relationship Id="rId174" Type="http://schemas.openxmlformats.org/officeDocument/2006/relationships/hyperlink" Target="https://doi.org/10.1016/j.actaastro.2025.04.038" TargetMode="External"/><Relationship Id="rId170" Type="http://schemas.openxmlformats.org/officeDocument/2006/relationships/hyperlink" Target="https://doi.org/10.1016/j.actaastro.2025.05.042" TargetMode="External"/><Relationship Id="rId178" Type="http://schemas.openxmlformats.org/officeDocument/2006/relationships/hyperlink" Target="https://doi.org/10.1016/j.actaastro.2025.08.049" TargetMode="External"/><Relationship Id="rId164" Type="http://schemas.openxmlformats.org/officeDocument/2006/relationships/hyperlink" Target="https://doi.org/10.64861/BAJJ5826" TargetMode="External"/><Relationship Id="rId159" Type="http://schemas.openxmlformats.org/officeDocument/2006/relationships/hyperlink" Target="https://doi.org/10.64861/CEFU5799" TargetMode="External"/><Relationship Id="rId156" Type="http://schemas.openxmlformats.org/officeDocument/2006/relationships/hyperlink" Target="https://doi.org/10.64861/WAID8303" TargetMode="External"/><Relationship Id="rId166" Type="http://schemas.openxmlformats.org/officeDocument/2006/relationships/hyperlink" Target="https://doi.org/10.64861/YPPJ6850" TargetMode="External"/><Relationship Id="rId162" Type="http://schemas.openxmlformats.org/officeDocument/2006/relationships/hyperlink" Target="https://doi.org/10.64861/ZPBX5069" TargetMode="External"/></Relationships>
</file>

<file path=word/_rels/footnotes.xml.rels><?xml version='1.0' encoding='UTF-8' standalone='yes'?>
<Relationships xmlns="http://schemas.openxmlformats.org/package/2006/relationships"><Relationship Id="rId172" Type="http://schemas.openxmlformats.org/officeDocument/2006/relationships/hyperlink" Target="https://doi.org/10.1016/j.actaastro.2021.10.041" TargetMode="External"/><Relationship Id="rId176" Type="http://schemas.openxmlformats.org/officeDocument/2006/relationships/hyperlink" Target="https://doi.org/10.1016/j.actaastro.2022.07.042" TargetMode="External"/><Relationship Id="rId180" Type="http://schemas.openxmlformats.org/officeDocument/2006/relationships/hyperlink" Target="https://doi.org/10.1016/j.actaastro.2023.09.005" TargetMode="External"/><Relationship Id="rId182" Type="http://schemas.openxmlformats.org/officeDocument/2006/relationships/hyperlink" Target="https://doi.org/10.1016/j.actaastro.2024.11.026" TargetMode="External"/><Relationship Id="rId168" Type="http://schemas.openxmlformats.org/officeDocument/2006/relationships/hyperlink" Target="https://doi.org/10.1016/j.actaastro.2025.01.029" TargetMode="External"/><Relationship Id="rId174" Type="http://schemas.openxmlformats.org/officeDocument/2006/relationships/hyperlink" Target="https://doi.org/10.1016/j.actaastro.2025.04.038" TargetMode="External"/><Relationship Id="rId170" Type="http://schemas.openxmlformats.org/officeDocument/2006/relationships/hyperlink" Target="https://doi.org/10.1016/j.actaastro.2025.05.042" TargetMode="External"/><Relationship Id="rId178" Type="http://schemas.openxmlformats.org/officeDocument/2006/relationships/hyperlink" Target="https://doi.org/10.1016/j.actaastro.2025.08.049" TargetMode="External"/><Relationship Id="rId164" Type="http://schemas.openxmlformats.org/officeDocument/2006/relationships/hyperlink" Target="https://doi.org/10.64861/BAJJ5826" TargetMode="External"/><Relationship Id="rId159" Type="http://schemas.openxmlformats.org/officeDocument/2006/relationships/hyperlink" Target="https://doi.org/10.64861/CEFU5799" TargetMode="External"/><Relationship Id="rId156" Type="http://schemas.openxmlformats.org/officeDocument/2006/relationships/hyperlink" Target="https://doi.org/10.64861/WAID8303" TargetMode="External"/><Relationship Id="rId166" Type="http://schemas.openxmlformats.org/officeDocument/2006/relationships/hyperlink" Target="https://doi.org/10.64861/YPPJ6850" TargetMode="External"/><Relationship Id="rId162" Type="http://schemas.openxmlformats.org/officeDocument/2006/relationships/hyperlink" Target="https://doi.org/10.64861/ZPBX50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FFRDC Comparative Advantage: Where Does a Federally Funded R&amp;D Center Actually Add Marginal Value to Civil Space Mission Programs</dc:title>
  <dc:creator>Greta Renner (1B-MPM-133)</dc:creator>
  <cp:keywords/>
  <dcterms:created xsi:type="dcterms:W3CDTF">2026-07-04T03:14:29Z</dcterms:created>
  <dcterms:modified xsi:type="dcterms:W3CDTF">2026-07-04T03:14:29Z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