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34dc179fb051f0824436341b10051a0acfc2f23"/>
    <w:p>
      <w:pPr>
        <w:pStyle w:val="Heading1"/>
      </w:pPr>
      <w:r>
        <w:t xml:space="preserve">Does the Industry Learn? A Wright Learning-Curve Test of Cumulative Experience and Launch Unit Cost in the Make-Buy-Federate Boundary</w:t>
      </w:r>
    </w:p>
    <w:bookmarkStart w:id="61" w:name="introduction"/>
    <w:p>
      <w:pPr>
        <w:pStyle w:val="Heading2"/>
      </w:pPr>
      <w:r>
        <w:t xml:space="preserve">1. Introduction</w:t>
      </w:r>
    </w:p>
    <w:p>
      <w:pPr>
        <w:pStyle w:val="FirstParagraph"/>
      </w:pPr>
      <w:r>
        <w:t xml:space="preserve">The dissertation that frames this paper argues that the make, buy, or federate choice in space is a transaction-cost problem rather than a pure price comparison. That argument has a hidden premise. If price falls predictably as the industry accumulates production experience, then the unit-cost figure a program manager observes at any moment is not a fixed property of a capability but a moving point on a learning curve. A buy that looks expensive today may be cheap once the supplier base has doubled its cumulative output, and a make decision justified on the basis of today’s commercial price may be wrong by the time the in-house system fields. The boundary choice therefore cannot be adjudicated on a static price; it must be adjudicated on a price trajectory.</w:t>
      </w:r>
    </w:p>
    <w:p>
      <w:pPr>
        <w:pStyle w:val="BodyText"/>
      </w:pPr>
      <w:r>
        <w:t xml:space="preserve">This paper tests whether that trajectory exists at the level of the whole launch industry. It asks a single empirical question: does the unit cost of placing a kilogram of payload into low Earth orbit fall as the worldwide stock of launched objects accumulates, and if so, how fast? The question is answered with the oldest and most disciplined tool in the cost-engineering canon, the Wright learning curve, applied to a cross-section of thirty-four orbital launch vehicles introduced between 1963 and 2018. The contribution is a measured experience elasticity for the launch sector and an interpretation of what its magnitude means for the boundary choice the dissertation studies.</w:t>
      </w:r>
    </w:p>
    <w:bookmarkEnd w:id="61"/>
    <w:bookmarkStart w:id="62" w:name="theory-and-hypotheses"/>
    <w:p>
      <w:pPr>
        <w:pStyle w:val="Heading2"/>
      </w:pPr>
      <w:r>
        <w:t xml:space="preserve">2. Theory and Hypotheses</w:t>
      </w:r>
    </w:p>
    <w:p>
      <w:pPr>
        <w:pStyle w:val="FirstParagraph"/>
      </w:pPr>
      <w:r>
        <w:t xml:space="preserve">The learning curve is the empirical regularity that the real cost of producing a unit declines by a constant percentage each time cumulative output doubles. In log-log form the relationship is linear: the logarithm of unit cost is a constant plus an elasticity times the logarithm of cumulative experience. The slope of that line is the experience elasticity, and two raised to that slope is the progress ratio, the fraction of cost that survives a doubling of output. A progress ratio of 0.85 means that each doubling of cumulative experience removes fifteen percent of unit cost. The launch-vehicle cost literature treats progress ratios in the 0.85 to 0.95 band as typical of aerospace production environments, and treats a steeper 0.80 curve as the aggressive end of what high-rate manufacturing achieves</w:t>
      </w:r>
      <w:r>
        <w:t xml:space="preserve"> </w:t>
      </w:r>
      <w:hyperlink w:anchor="ref-4">
        <m:oMathPara>
          <m:oMathParaPr>
            <m:jc m:val="center"/>
          </m:oMathParaPr>
          <m:oMath>
            <m:r>
              <m:t>4</m:t>
            </m:r>
          </m:oMath>
        </m:oMathPara>
      </w:hyperlink>
      <w:r>
        <w:t xml:space="preserve">.</w:t>
      </w:r>
    </w:p>
    <w:p>
      <w:pPr>
        <w:pStyle w:val="FirstParagraph"/>
      </w:pPr>
      <w:r>
        <w:t xml:space="preserve">Two strands of the space-economics literature motivate the test. The first documents that launch cost per kilogram fell substantially over the period from roughly 2005 to 2020 and frames that decline as the engine of the wider space economy, with declining launch cost cited as a principal driver of commercial innovation and diversified application [8, 9]. That literature establishes the descriptive fall but attributes it loosely to commercial innovation and cultural enthusiasm rather than to a measured production mechanism. The second strand is the parametric cost-estimation tradition that the launcher-design community uses to forecast vehicle cost, exemplified by the TRANSCOST statistical-analytical model that underwrites European launcher trade studies [1, 2]. That tradition embeds learning-curve factors inside its cost-estimating relationships but applies them within a single program, not across the industry, and validation studies of these parametric tools report that their accuracy for novel space missions is itself uncertain</w:t>
      </w:r>
      <w:r>
        <w:t xml:space="preserve"> </w:t>
      </w:r>
      <w:hyperlink w:anchor="ref-3">
        <m:oMathPara>
          <m:oMathParaPr>
            <m:jc m:val="center"/>
          </m:oMathParaPr>
          <m:oMath>
            <m:r>
              <m:t>3</m:t>
            </m:r>
          </m:oMath>
        </m:oMathPara>
      </w:hyperlink>
      <w:r>
        <w:t xml:space="preserve">. Neither strand reports a single, transparent, industry-wide experience elasticity estimated from observed prices. This paper supplies one.</w:t>
      </w:r>
    </w:p>
    <w:p>
      <w:pPr>
        <w:pStyle w:val="FirstParagraph"/>
      </w:pPr>
      <w:r>
        <w:t xml:space="preserve">The connection to the boundary choice is direct. Transaction-cost reasoning predicts that capabilities of low asset specificity and high contracting frequency migrate toward the buy form, and the commercial space-situational-awareness literature shows the same functional capability being procured ever more cheaply through commercial channels as the supplier base matures, with documented commercial sensor observations described as extremely cost effective relative to government provision [5, 6]. A steep industry learning curve strengthens the case for buy and federate over make, because it implies that the commercial and consortium supplier base will keep cheapening the capability faster than an internal program can. A flat curve weakens that case. The magnitude of the elasticity is thus an input to the governance decision, not a side fact.</w:t>
      </w:r>
    </w:p>
    <w:p>
      <w:pPr>
        <w:pStyle w:val="BodyText"/>
      </w:pPr>
      <w:r>
        <w:t xml:space="preserve">The hypotheses follow.</w:t>
      </w:r>
    </w:p>
    <w:p>
      <w:pPr>
        <w:pStyle w:val="BodyText"/>
      </w:pPr>
      <w:r>
        <w:t xml:space="preserve">H0 (null): the experience elasticity is zero. Cumulative industry experience has no association with launch unit cost, and the progress ratio is one.</w:t>
      </w:r>
    </w:p>
    <w:p>
      <w:pPr>
        <w:pStyle w:val="BodyText"/>
      </w:pPr>
      <w:r>
        <w:t xml:space="preserve">H1 (alternative): the experience elasticity is negative and the progress ratio is below one. Launch unit cost falls as cumulative worldwide launch experience accumulates.</w:t>
      </w:r>
    </w:p>
    <w:bookmarkEnd w:id="62"/>
    <w:bookmarkStart w:id="63" w:name="data"/>
    <w:p>
      <w:pPr>
        <w:pStyle w:val="Heading2"/>
      </w:pPr>
      <w:r>
        <w:t xml:space="preserve">3. Data</w:t>
      </w:r>
    </w:p>
    <w:p>
      <w:pPr>
        <w:pStyle w:val="FirstParagraph"/>
      </w:pPr>
      <w:r>
        <w:t xml:space="preserve">The unit of observation is an orbital launch vehicle. The dependent variable is the dedicated-launch cost to place one kilogram of payload into low Earth orbit, expressed in constant FY2021 US dollars. These figures are taken from the Our World in Data series on the cost of space launches to low Earth orbit, which compiles the Center for Strategic and International Studies Aerospace Security Project launch-cost database together with Federal Aviation Administration estimates. The experience variable is the cumulative count of objects launched into space worldwide through the end of each vehicle’s first-flight year. It is built from the Our World in Data series on the yearly number of objects launched into outer space, itself drawn from the United Nations Office for Outer Space Affairs Online Index of Objects Launched into Outer Space, summed into a running cumulative total. Each vehicle is therefore tagged with the size of the global launched-object stock that existed when it entered service, a transparent proxy for the production experience the industry had accumulated to that point.</w:t>
      </w:r>
    </w:p>
    <w:p>
      <w:pPr>
        <w:pStyle w:val="BodyText"/>
      </w:pPr>
      <w:r>
        <w:t xml:space="preserve">The sample is thirty-four vehicles spanning the Atlas Centaur of 1963, with a cumulative experience stock of two hundred thirty objects, to the Falcon Heavy of 2018, with a cumulative stock of eight thousand four hundred fifty. It includes United States, Soviet and Russian, Chinese, European, Indian, and Japanese vehicles, and it spans the make, buy, and federate governance forms central to the dissertation: government in-house systems such as the Space Shuttle and Saturn V, firm-fixed-price commercial vehicles such as the Falcon 9 and the Delta and Atlas families, and multinational federated programs such as Ariane and Sea Launch’s Zenit 3SL. Every row carries its source in the final column of the data file, and no cost or experience value is illustrative; all are drawn from the named public series.</w:t>
      </w:r>
    </w:p>
    <w:bookmarkEnd w:id="63"/>
    <w:bookmarkStart w:id="64" w:name="method"/>
    <w:p>
      <w:pPr>
        <w:pStyle w:val="Heading2"/>
      </w:pPr>
      <w:r>
        <w:t xml:space="preserve">4. Method</w:t>
      </w:r>
    </w:p>
    <w:p>
      <w:pPr>
        <w:pStyle w:val="FirstParagraph"/>
      </w:pPr>
      <w:r>
        <w:t xml:space="preserve">The estimator is a log-log ordinary-least-squares regression of the natural logarithm of cost per kilogram on the natural logarithm of cumulative objects launched. This is the canonical Wright learning-curve specification: the coefficient on log cumulative experience is the experience elasticity, and two raised to that coefficient is the progress ratio. Standard errors are heteroskedasticity-robust of the HC1 form, because cost dispersion is visibly wider among the older, smaller-stock vehicles than among the recent high-cadence ones. The test of H1 is a one-sided expectation of a negative elasticity, reported here against the model’s two-sided p-value, which is the conservative choice.</w:t>
      </w:r>
    </w:p>
    <w:p>
      <w:pPr>
        <w:pStyle w:val="BodyText"/>
      </w:pPr>
      <w:r>
        <w:t xml:space="preserve">The specification deliberately uses a single industry-wide experience variable rather than per-vehicle production counts. The dissertation’s question is whether the supplier base as a whole cheapens the capability, since that is the trajectory a program manager weighing buy against make actually faces. Per-program learning curves, which the TRANSCOST tradition already models [1, 2], answer a different and narrower question.</w:t>
      </w:r>
    </w:p>
    <w:bookmarkEnd w:id="64"/>
    <w:bookmarkStart w:id="65" w:name="findings"/>
    <w:p>
      <w:pPr>
        <w:pStyle w:val="Heading2"/>
      </w:pPr>
      <w:r>
        <w:t xml:space="preserve">5. Findings</w:t>
      </w:r>
    </w:p>
    <w:p>
      <w:pPr>
        <w:pStyle w:val="FirstParagraph"/>
      </w:pPr>
      <w:r>
        <w:t xml:space="preserve">The industry learning curve is real and statistically detectable. The estimated experience elasticity is negative, with a coefficient on log cumulative experience of -0.2504, a robust standard error of 0.121, and a two-sided p-value of 0.0385. The ninety-five percent confidence interval runs from -0.4875 to -0.0133 and excludes zero. H0 is rejected at the five percent level. Because the interval lies entirely below zero, the direction predicted by H1 is confirmed: launch unit cost falls as cumulative worldwide experience accumulates.</w:t>
      </w:r>
    </w:p>
    <w:p>
      <w:pPr>
        <w:pStyle w:val="BodyText"/>
      </w:pPr>
      <w:r>
        <w:t xml:space="preserve">The magnitude translates into a progress ratio of 0.841. Each doubling of the global stock of launched objects is associated with a reduction of roughly sixteen percent in launch cost per kilogram to low Earth orbit. That figure sits squarely inside the 0.85 to 0.95 aerospace band that the cost-engineering literature treats as typical, and slightly steeper than its midpoint, which is a plausible and not extraordinary result for a sector that the descriptive literature reports as having cheapened markedly over the sample window [8, 9]. The fitted constant of 11.476 is precisely estimated, with a p-value below 0.001, and corresponds to the intercept of the log-cost line at the smallest experience levels early in the sample.</w:t>
      </w:r>
    </w:p>
    <w:p>
      <w:pPr>
        <w:pStyle w:val="BodyText"/>
      </w:pPr>
      <w:r>
        <w:t xml:space="preserve">The model’s coefficient of determination is 0.095, meaning cumulative experience alone accounts for about one tenth of the cross-vehicle variance in log unit cost. This modest fit is itself a finding rather than a weakness, and it bears directly on the dissertation. A single industry-wide experience variable does not, and should not, explain most of the variation across vehicles as different as a heavy-lift in-house Shuttle and a small commercial Electron, because vehicle class, payload mass, reusability, and governance form all move cost independently of cumulative learning. The low R-squared says that experience is one real force among several, strong enough to clear significance but far from deterministic. For the boundary choice this means the learning trajectory is a genuine input to the buy-versus-make calculation, but not a sufficient statistic for it. The transaction-cost dimensions the dissertation foregrounds remain necessary to explain the residual nine tenths of the variance that learning leaves untouched.</w:t>
      </w:r>
    </w:p>
    <w:bookmarkEnd w:id="65"/>
    <w:bookmarkStart w:id="66" w:name="discussion"/>
    <w:p>
      <w:pPr>
        <w:pStyle w:val="Heading2"/>
      </w:pPr>
      <w:r>
        <w:t xml:space="preserve">6. Discussion</w:t>
      </w:r>
    </w:p>
    <w:p>
      <w:pPr>
        <w:pStyle w:val="FirstParagraph"/>
      </w:pPr>
      <w:r>
        <w:t xml:space="preserve">The result supports the dissertation’s working premise that the unit cost a program manager observes is a moving target, while bounding how fast it moves. A progress ratio of 0.841 is fast enough to matter and slow enough to leave room for the transaction-cost account. Over the sample window the global launched-object stock roughly doubled several times, so the cumulative cost reduction attributable to industry learning is large in aggregate even though any single doubling removes only about a sixth of unit cost. A buy decision made against today’s price is therefore systematically conservative: the commercial supplier base will probably continue to cheapen the capability, which strengthens the case for buy and federate over make for capabilities of low asset specificity, exactly the migration the commercial space-situational-awareness evidence already displays [5, 6]. The finding also disciplines the descriptive claim that launch cost simply fell because of commercial innovation</w:t>
      </w:r>
      <w:r>
        <w:t xml:space="preserve"> </w:t>
      </w:r>
      <w:hyperlink w:anchor="ref-8">
        <m:oMathPara>
          <m:oMathParaPr>
            <m:jc m:val="center"/>
          </m:oMathParaPr>
          <m:oMath>
            <m:r>
              <m:t>8</m:t>
            </m:r>
          </m:oMath>
        </m:oMathPara>
      </w:hyperlink>
      <w:r>
        <w:t xml:space="preserve">. A measurable and conventional learning mechanism accounts for a real share of that fall, which is a more transferable explanation than enthusiasm.</w:t>
      </w:r>
    </w:p>
    <w:p>
      <w:pPr>
        <w:pStyle w:val="FirstParagraph"/>
      </w:pPr>
      <w:r>
        <w:t xml:space="preserve">Three limitations qualify the estimate. First, cumulative objects launched is an industry-wide experience proxy, not a per-vehicle production count, so the elasticity is an industry learning rate and should not be read as the learning rate of any one program; the parametric per-program tradition remains the right tool for that narrower question [2, 3]. Second, the cross-section mixes vehicle classes, governance forms, and reusability regimes, which is why the R-squared is low and why the elasticity should be read as a partial association rather than a controlled causal slope; the modest fit honestly signals omitted heterogeneity rather than concealing it. Third, the cost figures inherit the measurement conventions of the CSIS and FAA compilation, where then-year and inflation-adjusted dollar choices and the treatment of subsidized or government-furnished vehicles introduce noise that no single series fully resolves. None of these threats overturns the sign or the significance of the elasticity, but each cautions against over-reading its precise value. The honest summary is that the space launch industry learns at a conventional aerospace rate, that this learning is one real determinant of the unit cost the boundary choice must weigh, and that it leaves most of the cross-vehicle cost variation to be explained by the transaction-cost forces the dissertation tests elsewhere.</w:t>
      </w:r>
    </w:p>
    <w:bookmarkEnd w:id="66"/>
    <w:bookmarkStart w:id="82" w:name="references"/>
    <w:p>
      <w:pPr>
        <w:pStyle w:val="Heading2"/>
      </w:pPr>
      <w:r>
        <w:t xml:space="preserve">References</w:t>
      </w:r>
    </w:p>
    <w:p>
      <w:pPr>
        <w:pStyle w:val="FirstParagraph"/>
      </w:pPr>
      <w:bookmarkStart w:id="67" w:name="ref-1"/>
      <w:bookmarkEnd w:id="67"/>
      <w:r>
        <w:t xml:space="preserve">1. M. Sippel, J. Wilken, I. Dietlein, M. Herberhold, K. Bergmann, and L. Bussler,</w:t>
      </w:r>
      <w:r>
        <w:t xml:space="preserve"> </w:t>
      </w:r>
      <w:r>
        <w:t xml:space="preserve">“Evaluating launcher options for Europe in a world of Starship,”</w:t>
      </w:r>
      <w:r>
        <w:t xml:space="preserve"> </w:t>
      </w:r>
      <w:r>
        <w:t xml:space="preserve">Acta Astronautica, vol. 241, 2026, doi:</w:t>
      </w:r>
      <w:r>
        <w:t xml:space="preserve"> </w:t>
      </w:r>
      <w:hyperlink r:id="rId68">
        <w:r>
          <w:rPr>
            <w:rStyle w:val="Hyperlink"/>
          </w:rPr>
          <w:t xml:space="preserve">10.1016/j.actaastro.2026.01.018</w:t>
        </w:r>
      </w:hyperlink>
    </w:p>
    <w:p>
      <w:pPr>
        <w:pStyle w:val="BodyText"/>
      </w:pPr>
      <w:bookmarkStart w:id="69" w:name="ref-2"/>
      <w:bookmarkEnd w:id="69"/>
      <w:r>
        <w:t xml:space="preserve">2. J. Wilken,</w:t>
      </w:r>
      <w:r>
        <w:t xml:space="preserve"> </w:t>
      </w:r>
      <w:r>
        <w:t xml:space="preserve">“Cost estimation for launch vehicle families considering uncertain market scenarios,”</w:t>
      </w:r>
      <w:r>
        <w:t xml:space="preserve"> </w:t>
      </w:r>
      <w:r>
        <w:t xml:space="preserve">Acta Astronautica, vol. 216, 2023, doi:</w:t>
      </w:r>
      <w:r>
        <w:t xml:space="preserve"> </w:t>
      </w:r>
      <w:hyperlink r:id="rId70">
        <w:r>
          <w:rPr>
            <w:rStyle w:val="Hyperlink"/>
          </w:rPr>
          <w:t xml:space="preserve">10.1016/j.actaastro.2023.12.035</w:t>
        </w:r>
      </w:hyperlink>
    </w:p>
    <w:p>
      <w:pPr>
        <w:pStyle w:val="BodyText"/>
      </w:pPr>
      <w:bookmarkStart w:id="71" w:name="ref-3"/>
      <w:bookmarkEnd w:id="71"/>
      <w:r>
        <w:t xml:space="preserve">3.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72">
        <w:r>
          <w:rPr>
            <w:rStyle w:val="Hyperlink"/>
          </w:rPr>
          <w:t xml:space="preserve">10.1016/j.actaastro.2019.09.030</w:t>
        </w:r>
      </w:hyperlink>
    </w:p>
    <w:p>
      <w:pPr>
        <w:pStyle w:val="BodyText"/>
      </w:pPr>
      <w:bookmarkStart w:id="73" w:name="ref-4"/>
      <w:bookmarkEnd w:id="73"/>
      <w:r>
        <w:t xml:space="preserve">4. M. D. Watson,</w:t>
      </w:r>
      <w:r>
        <w:t xml:space="preserve"> </w:t>
      </w:r>
      <w:r>
        <w:t xml:space="preserve">“Launch Vehicle Production and Operations Cost Metrics,”</w:t>
      </w:r>
      <w:r>
        <w:t xml:space="preserve"> </w:t>
      </w:r>
      <w:r>
        <w:t xml:space="preserve">NASA Marshall Space Flight Center, NTRS 20140010913, 2014.</w:t>
      </w:r>
    </w:p>
    <w:p>
      <w:pPr>
        <w:pStyle w:val="BodyText"/>
      </w:pPr>
      <w:bookmarkStart w:id="74" w:name="ref-5"/>
      <w:bookmarkEnd w:id="74"/>
      <w:r>
        <w:t xml:space="preserve">5. R. Stottler,</w:t>
      </w:r>
      <w:r>
        <w:t xml:space="preserve"> </w:t>
      </w:r>
      <w:r>
        <w:t xml:space="preserve">“Automatic, Intelligent Commercial SSA Sensor Scheduling,”</w:t>
      </w:r>
      <w:r>
        <w:t xml:space="preserve"> </w:t>
      </w:r>
      <w:r>
        <w:t xml:space="preserve">Proc. Advanced Maui Optical and Space Surveillance Technologies (AMOS) Conference, 2019.</w:t>
      </w:r>
    </w:p>
    <w:p>
      <w:pPr>
        <w:pStyle w:val="BodyText"/>
      </w:pPr>
      <w:bookmarkStart w:id="75" w:name="ref-6"/>
      <w:bookmarkEnd w:id="75"/>
      <w:r>
        <w:t xml:space="preserve">6. P. Schmedeman, J. Gerber, and D. Herber,</w:t>
      </w:r>
      <w:r>
        <w:t xml:space="preserve"> </w:t>
      </w:r>
      <w:r>
        <w:t xml:space="preserve">“A Mission-Oriented Framework for Evaluating Space Situational Awareness Data,”</w:t>
      </w:r>
      <w:r>
        <w:t xml:space="preserve"> </w:t>
      </w:r>
      <w:r>
        <w:t xml:space="preserve">Proc. Advanced Maui Optical and Space Surveillance Technologies (AMOS) Conference, 2025, doi:</w:t>
      </w:r>
      <w:r>
        <w:t xml:space="preserve"> </w:t>
      </w:r>
      <w:hyperlink r:id="rId76">
        <w:r>
          <w:rPr>
            <w:rStyle w:val="Hyperlink"/>
          </w:rPr>
          <w:t xml:space="preserve">10.64861/QAOZ6812</w:t>
        </w:r>
      </w:hyperlink>
    </w:p>
    <w:p>
      <w:pPr>
        <w:pStyle w:val="BodyText"/>
      </w:pPr>
      <w:bookmarkStart w:id="77" w:name="ref-7"/>
      <w:bookmarkEnd w:id="77"/>
      <w:r>
        <w:t xml:space="preserve">7. C. Welsch, B. Armand, M. Repp, and A. Robinson,</w:t>
      </w:r>
      <w:r>
        <w:t xml:space="preserve"> </w:t>
      </w:r>
      <w:r>
        <w:t xml:space="preserve">“The Case for GEO Hosted SSA Payloads,”</w:t>
      </w:r>
      <w:r>
        <w:t xml:space="preserve"> </w:t>
      </w:r>
      <w:r>
        <w:t xml:space="preserve">Proc. Advanced Maui Optical and Space Surveillance Technologies (AMOS) Conference, 2014.</w:t>
      </w:r>
    </w:p>
    <w:p>
      <w:pPr>
        <w:pStyle w:val="BodyText"/>
      </w:pPr>
      <w:bookmarkStart w:id="78" w:name="ref-8"/>
      <w:bookmarkEnd w:id="78"/>
      <w:r>
        <w:t xml:space="preserve">8.</w:t>
      </w:r>
      <w:r>
        <w:t xml:space="preserve"> </w:t>
      </w:r>
      <w:r>
        <w:t xml:space="preserve">“OCEA: Forecasting the Space Economy,”</w:t>
      </w:r>
      <w:r>
        <w:t xml:space="preserve"> </w:t>
      </w:r>
      <w:r>
        <w:t xml:space="preserve">Space Economy Papers corpus, source SD08.</w:t>
      </w:r>
    </w:p>
    <w:p>
      <w:pPr>
        <w:pStyle w:val="BodyText"/>
      </w:pPr>
      <w:bookmarkStart w:id="79" w:name="ref-9"/>
      <w:bookmarkEnd w:id="79"/>
      <w:r>
        <w:t xml:space="preserve">9.</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80" w:name="ref-10"/>
      <w:bookmarkEnd w:id="80"/>
      <w:r>
        <w:t xml:space="preserve">10. Our World in Data,</w:t>
      </w:r>
      <w:r>
        <w:t xml:space="preserve"> </w:t>
      </w:r>
      <w:r>
        <w:t xml:space="preserve">“Cost of space launches to low Earth orbit,”</w:t>
      </w:r>
      <w:r>
        <w:t xml:space="preserve"> </w:t>
      </w:r>
      <w:r>
        <w:t xml:space="preserve">compiling CSIS Aerospace Security Project and Federal Aviation Administration estimates, 2022. Available: https://ourworldindata.org/grapher/cost-space-launches-low-earth-orbit</w:t>
      </w:r>
    </w:p>
    <w:p>
      <w:pPr>
        <w:pStyle w:val="BodyText"/>
      </w:pPr>
      <w:bookmarkStart w:id="81" w:name="ref-11"/>
      <w:bookmarkEnd w:id="81"/>
      <w:r>
        <w:t xml:space="preserve">11. Our World in Data,</w:t>
      </w:r>
      <w:r>
        <w:t xml:space="preserve"> </w:t>
      </w:r>
      <w:r>
        <w:t xml:space="preserve">“Yearly number of objects launched into outer space,”</w:t>
      </w:r>
      <w:r>
        <w:t xml:space="preserve"> </w:t>
      </w:r>
      <w:r>
        <w:t xml:space="preserve">drawing on the United Nations Office for Outer Space Affairs Online Index of Objects Launched into Outer Space. Available: https://ourworldindata.org/grapher/yearly-number-of-objects-launched-into-outer-space</w:t>
      </w:r>
    </w:p>
    <w:bookmarkEnd w:id="82"/>
    <w:bookmarkStart w:id="8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cost_per_kg</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cum_experience</m:t>
              </m:r>
            </m:e>
            <m:sub>
              <m:r>
                <m:t>i</m:t>
              </m:r>
            </m:sub>
          </m:sSub>
          <m:r>
            <m:rPr>
              <m:sty m:val="p"/>
            </m:rPr>
            <m:t>)</m:t>
          </m:r>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11.8139</w:t>
            </w:r>
          </w:p>
        </w:tc>
        <w:tc>
          <w:tcPr>
            <w:tcW w:w="0" w:type="auto"/>
          </w:tcPr>
          <w:p>
            <w:pPr>
              <w:spacing w:line="240" w:lineRule="auto" w:before="0" w:after="0"/>
              <w:pStyle w:val="Compact"/>
            </w:pPr>
            <w:r>
              <w:rPr>
                <w:sz w:val="20"/>
                <w:szCs w:val="20"/>
              </w:rPr>
              <w:t xml:space="preserve">3.308e-32</w:t>
            </w:r>
          </w:p>
        </w:tc>
        <w:tc>
          <w:tcPr>
            <w:tcW w:w="0" w:type="auto"/>
          </w:tcPr>
          <w:p>
            <w:pPr>
              <w:spacing w:line="240" w:lineRule="auto" w:before="0" w:after="0"/>
              <w:pStyle w:val="Compact"/>
            </w:pPr>
            <w:r>
              <w:rPr>
                <w:sz w:val="20"/>
                <w:szCs w:val="20"/>
              </w:rPr>
              <w:t xml:space="preserve">[9.5721, 13.3799]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-0.2504</w:t>
            </w:r>
          </w:p>
        </w:tc>
        <w:tc>
          <w:tcPr>
            <w:tcW w:w="0" w:type="auto"/>
          </w:tcPr>
          <w:p>
            <w:pPr>
              <w:spacing w:line="240" w:lineRule="auto" w:before="0" w:after="0"/>
              <w:pStyle w:val="Compact"/>
            </w:pPr>
            <w:r>
              <w:rPr>
                <w:sz w:val="20"/>
                <w:szCs w:val="20"/>
              </w:rPr>
              <w:t xml:space="preserve">0.121</w:t>
            </w:r>
          </w:p>
        </w:tc>
        <w:tc>
          <w:tcPr>
            <w:tcW w:w="0" w:type="auto"/>
          </w:tcPr>
          <w:p>
            <w:pPr>
              <w:spacing w:line="240" w:lineRule="auto" w:before="0" w:after="0"/>
              <w:pStyle w:val="Compact"/>
            </w:pPr>
            <w:r>
              <w:rPr>
                <w:sz w:val="20"/>
                <w:szCs w:val="20"/>
              </w:rPr>
              <w:t xml:space="preserve">-2.0697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[-0.4875, -0.0133]</w:t>
            </w:r>
          </w:p>
        </w:tc>
      </w:tr>
    </w:tbl>
    <w:p>
      <w:pPr>
        <w:pStyle w:val="BodyText"/>
      </w:pPr>
      <w:r>
        <w:t xml:space="preserve">Fit: N = 34 R2 = 0.0954 elasticity_b = -0.2504 progress_ratio_2^b = 0.8407</w:t>
      </w:r>
    </w:p>
    <w:p>
      <w:pPr>
        <w:pStyle w:val="CaptionedFigure"/>
      </w:pPr>
      <w:r>
        <w:drawing>
          <wp:inline>
            <wp:extent cx="5669280" cy="3657600"/>
            <wp:effectExtent b="0" l="0" r="0" t="0"/>
            <wp:docPr descr="Figure 1. Figure 1. Wright learning curve for orbital launch unit cost. Each point is a launch vehicle plotted by its cost per kilogram to LEO (FY21 USD) against cumulative worldwide objects launched at its introduction year, both on log scales. The fitted log-log line gives the experience elasticity beta and the implied progress ratio 2^beta." title="" id="85" name="Picture"/>
            <a:graphic>
              <a:graphicData uri="http://schemas.openxmlformats.org/drawingml/2006/picture">
                <pic:pic>
                  <pic:nvPicPr>
                    <pic:cNvPr descr="D:\Claude_Code\brain\collegium\candidates\dissertations\ENTERPRISE_ACQ_03\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Wright learning curve for orbital launch unit cost. Each point is a launch vehicle plotted by its cost per kilogram to LEO (FY21 USD) against cumulative worldwide objects launched at its introduction year, both on log scales. The fitted log-log line gives the experience elasticity beta and the implied progress ratio 2^beta.</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cost_per_kg_leo_fy21usd</w:t>
            </w:r>
          </w:p>
        </w:tc>
        <w:tc>
          <w:tcPr>
            <w:tcW w:w="0" w:type="auto"/>
          </w:tcPr>
          <w:p>
            <w:pPr>
              <w:spacing w:line="240" w:lineRule="auto" w:before="0" w:after="0"/>
              <w:pStyle w:val="Compact"/>
            </w:pPr>
            <w:r>
              <w:rPr>
                <w:sz w:val="20"/>
                <w:szCs w:val="20"/>
              </w:rPr>
              <w:t xml:space="preserve">cum_objects_launched</w:t>
            </w:r>
          </w:p>
        </w:tc>
        <w:tc>
          <w:tcPr>
            <w:tcW w:w="0" w:type="auto"/>
          </w:tcPr>
          <w:p>
            <w:pPr>
              <w:spacing w:line="240" w:lineRule="auto" w:before="0" w:after="0"/>
              <w:pStyle w:val="Compact"/>
            </w:pPr>
            <w:r>
              <w:rPr>
                <w:sz w:val="20"/>
                <w:szCs w:val="20"/>
              </w:rPr>
              <w:t xml:space="preserve">provider_country</w:t>
            </w:r>
          </w:p>
        </w:tc>
        <w:tc>
          <w:tcPr>
            <w:tcW w:w="0" w:type="auto"/>
          </w:tcPr>
          <w:p>
            <w:pPr>
              <w:spacing w:line="240" w:lineRule="auto" w:before="0" w:after="0"/>
              <w:pStyle w:val="Compact"/>
            </w:pPr>
            <w:r>
              <w:rPr>
                <w:sz w:val="20"/>
                <w:szCs w:val="20"/>
              </w:rPr>
              <w:t xml:space="preserve">governance_form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Atlas Centaur</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29500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(cost per kg); cumulative count from OWID Yearly objects launched into space (UNOOSA)</w:t>
            </w:r>
          </w:p>
        </w:tc>
      </w:tr>
      <w:tr>
        <w:tc>
          <w:tcPr>
            <w:tcW w:w="0" w:type="auto"/>
          </w:tcPr>
          <w:p>
            <w:pPr>
              <w:spacing w:line="240" w:lineRule="auto" w:before="0" w:after="0"/>
              <w:pStyle w:val="Compact"/>
            </w:pPr>
            <w:r>
              <w:rPr>
                <w:sz w:val="20"/>
                <w:szCs w:val="20"/>
              </w:rPr>
              <w:t xml:space="preserve">Titan II</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30600</w:t>
            </w:r>
          </w:p>
        </w:tc>
        <w:tc>
          <w:tcPr>
            <w:tcW w:w="0" w:type="auto"/>
          </w:tcPr>
          <w:p>
            <w:pPr>
              <w:spacing w:line="240" w:lineRule="auto" w:before="0" w:after="0"/>
              <w:pStyle w:val="Compact"/>
            </w:pPr>
            <w:r>
              <w:rPr>
                <w:sz w:val="20"/>
                <w:szCs w:val="20"/>
              </w:rPr>
              <w:t xml:space="preserve">337</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Titan III+</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Proton</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Saturn V</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5400</w:t>
            </w:r>
          </w:p>
        </w:tc>
        <w:tc>
          <w:tcPr>
            <w:tcW w:w="0" w:type="auto"/>
          </w:tcPr>
          <w:p>
            <w:pPr>
              <w:spacing w:line="240" w:lineRule="auto" w:before="0" w:after="0"/>
              <w:pStyle w:val="Compact"/>
            </w:pPr>
            <w:r>
              <w:rPr>
                <w:sz w:val="20"/>
                <w:szCs w:val="20"/>
              </w:rPr>
              <w:t xml:space="preserve">802</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3000-Series</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21400</w:t>
            </w:r>
          </w:p>
        </w:tc>
        <w:tc>
          <w:tcPr>
            <w:tcW w:w="0" w:type="auto"/>
          </w:tcPr>
          <w:p>
            <w:pPr>
              <w:spacing w:line="240" w:lineRule="auto" w:before="0" w:after="0"/>
              <w:pStyle w:val="Compact"/>
            </w:pPr>
            <w:r>
              <w:rPr>
                <w:sz w:val="20"/>
                <w:szCs w:val="20"/>
              </w:rPr>
              <w:t xml:space="preserve">1924</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1924</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3910</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32800</w:t>
            </w:r>
          </w:p>
        </w:tc>
        <w:tc>
          <w:tcPr>
            <w:tcW w:w="0" w:type="auto"/>
          </w:tcPr>
          <w:p>
            <w:pPr>
              <w:spacing w:line="240" w:lineRule="auto" w:before="0" w:after="0"/>
              <w:pStyle w:val="Compact"/>
            </w:pPr>
            <w:r>
              <w:rPr>
                <w:sz w:val="20"/>
                <w:szCs w:val="20"/>
              </w:rPr>
              <w:t xml:space="preserve">2638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Space Shuttle</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65400</w:t>
            </w:r>
          </w:p>
        </w:tc>
        <w:tc>
          <w:tcPr>
            <w:tcW w:w="0" w:type="auto"/>
          </w:tcPr>
          <w:p>
            <w:pPr>
              <w:spacing w:line="240" w:lineRule="auto" w:before="0" w:after="0"/>
              <w:pStyle w:val="Compact"/>
            </w:pPr>
            <w:r>
              <w:rPr>
                <w:sz w:val="20"/>
                <w:szCs w:val="20"/>
              </w:rPr>
              <w:t xml:space="preserve">2796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2C</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8300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Zenit 2</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3423</w:t>
            </w:r>
          </w:p>
        </w:tc>
        <w:tc>
          <w:tcPr>
            <w:tcW w:w="0" w:type="auto"/>
          </w:tcPr>
          <w:p>
            <w:pPr>
              <w:spacing w:line="240" w:lineRule="auto" w:before="0" w:after="0"/>
              <w:pStyle w:val="Compact"/>
            </w:pPr>
            <w:r>
              <w:rPr>
                <w:sz w:val="20"/>
                <w:szCs w:val="20"/>
              </w:rPr>
              <w:t xml:space="preserve">USSR/Ukraine</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Ariane 44</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18300</w:t>
            </w:r>
          </w:p>
        </w:tc>
        <w:tc>
          <w:tcPr>
            <w:tcW w:w="0" w:type="auto"/>
          </w:tcPr>
          <w:p>
            <w:pPr>
              <w:spacing w:line="240" w:lineRule="auto" w:before="0" w:after="0"/>
              <w:pStyle w:val="Compact"/>
            </w:pPr>
            <w:r>
              <w:rPr>
                <w:sz w:val="20"/>
                <w:szCs w:val="20"/>
              </w:rPr>
              <w:t xml:space="preserve">3837</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Titan IV</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30800</w:t>
            </w:r>
          </w:p>
        </w:tc>
        <w:tc>
          <w:tcPr>
            <w:tcW w:w="0" w:type="auto"/>
          </w:tcPr>
          <w:p>
            <w:pPr>
              <w:spacing w:line="240" w:lineRule="auto" w:before="0" w:after="0"/>
              <w:pStyle w:val="Compact"/>
            </w:pPr>
            <w:r>
              <w:rPr>
                <w:sz w:val="20"/>
                <w:szCs w:val="20"/>
              </w:rPr>
              <w:t xml:space="preserve">3976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38800</w:t>
            </w:r>
          </w:p>
        </w:tc>
        <w:tc>
          <w:tcPr>
            <w:tcW w:w="0" w:type="auto"/>
          </w:tcPr>
          <w:p>
            <w:pPr>
              <w:spacing w:line="240" w:lineRule="auto" w:before="0" w:after="0"/>
              <w:pStyle w:val="Compact"/>
            </w:pPr>
            <w:r>
              <w:rPr>
                <w:sz w:val="20"/>
                <w:szCs w:val="20"/>
              </w:rPr>
              <w:t xml:space="preserve">4146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II</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18700</w:t>
            </w:r>
          </w:p>
        </w:tc>
        <w:tc>
          <w:tcPr>
            <w:tcW w:w="0" w:type="auto"/>
          </w:tcPr>
          <w:p>
            <w:pPr>
              <w:spacing w:line="240" w:lineRule="auto" w:before="0" w:after="0"/>
              <w:pStyle w:val="Compact"/>
            </w:pPr>
            <w:r>
              <w:rPr>
                <w:sz w:val="20"/>
                <w:szCs w:val="20"/>
              </w:rPr>
              <w:t xml:space="preserve">4283</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2D</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9100</w:t>
            </w:r>
          </w:p>
        </w:tc>
        <w:tc>
          <w:tcPr>
            <w:tcW w:w="0" w:type="auto"/>
          </w:tcPr>
          <w:p>
            <w:pPr>
              <w:spacing w:line="240" w:lineRule="auto" w:before="0" w:after="0"/>
              <w:pStyle w:val="Compact"/>
            </w:pPr>
            <w:r>
              <w:rPr>
                <w:sz w:val="20"/>
                <w:szCs w:val="20"/>
              </w:rPr>
              <w:t xml:space="preserve">4413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PSLV</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8500</w:t>
            </w:r>
          </w:p>
        </w:tc>
        <w:tc>
          <w:tcPr>
            <w:tcW w:w="0" w:type="auto"/>
          </w:tcPr>
          <w:p>
            <w:pPr>
              <w:spacing w:line="240" w:lineRule="auto" w:before="0" w:after="0"/>
              <w:pStyle w:val="Compact"/>
            </w:pPr>
            <w:r>
              <w:rPr>
                <w:sz w:val="20"/>
                <w:szCs w:val="20"/>
              </w:rPr>
              <w:t xml:space="preserve">4644</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H-II</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4644</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Ariane 5G</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10200</w:t>
            </w:r>
          </w:p>
        </w:tc>
        <w:tc>
          <w:tcPr>
            <w:tcW w:w="0" w:type="auto"/>
          </w:tcPr>
          <w:p>
            <w:pPr>
              <w:spacing w:line="240" w:lineRule="auto" w:before="0" w:after="0"/>
              <w:pStyle w:val="Compact"/>
            </w:pPr>
            <w:r>
              <w:rPr>
                <w:sz w:val="20"/>
                <w:szCs w:val="20"/>
              </w:rPr>
              <w:t xml:space="preserve">5001</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3B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6200</w:t>
            </w:r>
          </w:p>
        </w:tc>
        <w:tc>
          <w:tcPr>
            <w:tcW w:w="0" w:type="auto"/>
          </w:tcPr>
          <w:p>
            <w:pPr>
              <w:spacing w:line="240" w:lineRule="auto" w:before="0" w:after="0"/>
              <w:pStyle w:val="Compact"/>
            </w:pPr>
            <w:r>
              <w:rPr>
                <w:sz w:val="20"/>
                <w:szCs w:val="20"/>
              </w:rPr>
              <w:t xml:space="preserve">5001</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III</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5287</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Zenit 3SL</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8900</w:t>
            </w:r>
          </w:p>
        </w:tc>
        <w:tc>
          <w:tcPr>
            <w:tcW w:w="0" w:type="auto"/>
          </w:tcPr>
          <w:p>
            <w:pPr>
              <w:spacing w:line="240" w:lineRule="auto" w:before="0" w:after="0"/>
              <w:pStyle w:val="Compact"/>
            </w:pPr>
            <w:r>
              <w:rPr>
                <w:sz w:val="20"/>
                <w:szCs w:val="20"/>
              </w:rPr>
              <w:t xml:space="preserve">5287</w:t>
            </w:r>
          </w:p>
        </w:tc>
        <w:tc>
          <w:tcPr>
            <w:tcW w:w="0" w:type="auto"/>
          </w:tcPr>
          <w:p>
            <w:pPr>
              <w:spacing w:line="240" w:lineRule="auto" w:before="0" w:after="0"/>
              <w:pStyle w:val="Compact"/>
            </w:pPr>
            <w:r>
              <w:rPr>
                <w:sz w:val="20"/>
                <w:szCs w:val="20"/>
              </w:rPr>
              <w:t xml:space="preserve">Multinational</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III</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8100</w:t>
            </w:r>
          </w:p>
        </w:tc>
        <w:tc>
          <w:tcPr>
            <w:tcW w:w="0" w:type="auto"/>
          </w:tcPr>
          <w:p>
            <w:pPr>
              <w:spacing w:line="240" w:lineRule="auto" w:before="0" w:after="0"/>
              <w:pStyle w:val="Compact"/>
            </w:pPr>
            <w:r>
              <w:rPr>
                <w:sz w:val="20"/>
                <w:szCs w:val="20"/>
              </w:rPr>
              <w:t xml:space="preserve">5590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10400</w:t>
            </w:r>
          </w:p>
        </w:tc>
        <w:tc>
          <w:tcPr>
            <w:tcW w:w="0" w:type="auto"/>
          </w:tcPr>
          <w:p>
            <w:pPr>
              <w:spacing w:line="240" w:lineRule="auto" w:before="0" w:after="0"/>
              <w:pStyle w:val="Compact"/>
            </w:pPr>
            <w:r>
              <w:rPr>
                <w:sz w:val="20"/>
                <w:szCs w:val="20"/>
              </w:rPr>
              <w:t xml:space="preserve">5590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11600</w:t>
            </w:r>
          </w:p>
        </w:tc>
        <w:tc>
          <w:tcPr>
            <w:tcW w:w="0" w:type="auto"/>
          </w:tcPr>
          <w:p>
            <w:pPr>
              <w:spacing w:line="240" w:lineRule="auto" w:before="0" w:after="0"/>
              <w:pStyle w:val="Compact"/>
            </w:pPr>
            <w:r>
              <w:rPr>
                <w:sz w:val="20"/>
                <w:szCs w:val="20"/>
              </w:rPr>
              <w:t xml:space="preserve">5752</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12600</w:t>
            </w:r>
          </w:p>
        </w:tc>
        <w:tc>
          <w:tcPr>
            <w:tcW w:w="0" w:type="auto"/>
          </w:tcPr>
          <w:p>
            <w:pPr>
              <w:spacing w:line="240" w:lineRule="auto" w:before="0" w:after="0"/>
              <w:pStyle w:val="Compact"/>
            </w:pPr>
            <w:r>
              <w:rPr>
                <w:sz w:val="20"/>
                <w:szCs w:val="20"/>
              </w:rPr>
              <w:t xml:space="preserve">6139</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6385</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20000</w:t>
            </w:r>
          </w:p>
        </w:tc>
        <w:tc>
          <w:tcPr>
            <w:tcW w:w="0" w:type="auto"/>
          </w:tcPr>
          <w:p>
            <w:pPr>
              <w:spacing w:line="240" w:lineRule="auto" w:before="0" w:after="0"/>
              <w:pStyle w:val="Compact"/>
            </w:pPr>
            <w:r>
              <w:rPr>
                <w:sz w:val="20"/>
                <w:szCs w:val="20"/>
              </w:rPr>
              <w:t xml:space="preserve">6648</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Antares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13600</w:t>
            </w:r>
          </w:p>
        </w:tc>
        <w:tc>
          <w:tcPr>
            <w:tcW w:w="0" w:type="auto"/>
          </w:tcPr>
          <w:p>
            <w:pPr>
              <w:spacing w:line="240" w:lineRule="auto" w:before="0" w:after="0"/>
              <w:pStyle w:val="Compact"/>
            </w:pPr>
            <w:r>
              <w:rPr>
                <w:sz w:val="20"/>
                <w:szCs w:val="20"/>
              </w:rPr>
              <w:t xml:space="preserve">6858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7542</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LVM3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7998</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23100</w:t>
            </w:r>
          </w:p>
        </w:tc>
        <w:tc>
          <w:tcPr>
            <w:tcW w:w="0" w:type="auto"/>
          </w:tcPr>
          <w:p>
            <w:pPr>
              <w:spacing w:line="240" w:lineRule="auto" w:before="0" w:after="0"/>
              <w:pStyle w:val="Compact"/>
            </w:pPr>
            <w:r>
              <w:rPr>
                <w:sz w:val="20"/>
                <w:szCs w:val="20"/>
              </w:rPr>
              <w:t xml:space="preserve">8450</w:t>
            </w:r>
          </w:p>
        </w:tc>
        <w:tc>
          <w:tcPr>
            <w:tcW w:w="0" w:type="auto"/>
          </w:tcPr>
          <w:p>
            <w:pPr>
              <w:spacing w:line="240" w:lineRule="auto" w:before="0" w:after="0"/>
              <w:pStyle w:val="Compact"/>
            </w:pPr>
            <w:r>
              <w:rPr>
                <w:sz w:val="20"/>
                <w:szCs w:val="20"/>
              </w:rPr>
              <w:t xml:space="preserve">US/NZ</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8450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cost_per_kg_leo_fy21usd</w:t>
            </w:r>
          </w:p>
        </w:tc>
        <w:tc>
          <w:tcPr>
            <w:tcW w:w="0" w:type="auto"/>
          </w:tcPr>
          <w:p>
            <w:pPr>
              <w:spacing w:line="240" w:lineRule="auto" w:before="0" w:after="0"/>
              <w:pStyle w:val="Compact"/>
            </w:pPr>
            <w:r>
              <w:rPr>
                <w:sz w:val="20"/>
                <w:szCs w:val="20"/>
              </w:rPr>
              <w:t xml:space="preserve">Dedicated-launch cost to place one kilogram of payload into low Earth orbit, in constant FY2021 US dollars</w:t>
            </w:r>
          </w:p>
        </w:tc>
        <w:tc>
          <w:tcPr>
            <w:tcW w:w="0" w:type="auto"/>
          </w:tcPr>
          <w:p>
            <w:pPr>
              <w:spacing w:line="240" w:lineRule="auto" w:before="0" w:after="0"/>
              <w:pStyle w:val="Compact"/>
            </w:pPr>
            <w:r>
              <w:rPr>
                <w:sz w:val="20"/>
                <w:szCs w:val="20"/>
              </w:rPr>
              <w:t xml:space="preserve">Our World in Data, Cost of space launches to LEO, compiling CSIS Aerospace Security Project and FAA estimates (2022)</w:t>
            </w:r>
          </w:p>
        </w:tc>
      </w:tr>
      <w:tr>
        <w:tc>
          <w:tcPr>
            <w:tcW w:w="0" w:type="auto"/>
          </w:tcPr>
          <w:p>
            <w:pPr>
              <w:spacing w:line="240" w:lineRule="auto" w:before="0" w:after="0"/>
              <w:pStyle w:val="Compact"/>
            </w:pPr>
            <w:r>
              <w:rPr>
                <w:sz w:val="20"/>
                <w:szCs w:val="20"/>
              </w:rPr>
              <w:t xml:space="preserve">cum_objects_launched</w:t>
            </w:r>
          </w:p>
        </w:tc>
        <w:tc>
          <w:tcPr>
            <w:tcW w:w="0" w:type="auto"/>
          </w:tcPr>
          <w:p>
            <w:pPr>
              <w:spacing w:line="240" w:lineRule="auto" w:before="0" w:after="0"/>
              <w:pStyle w:val="Compact"/>
            </w:pPr>
            <w:r>
              <w:rPr>
                <w:sz w:val="20"/>
                <w:szCs w:val="20"/>
              </w:rPr>
              <w:t xml:space="preserve">Cumulative count of objects launched into space worldwide through the end of the vehicle’s first-flight year; a Wright-style proxy for cumulative industry production experience</w:t>
            </w:r>
          </w:p>
        </w:tc>
        <w:tc>
          <w:tcPr>
            <w:tcW w:w="0" w:type="auto"/>
          </w:tcPr>
          <w:p>
            <w:pPr>
              <w:spacing w:line="240" w:lineRule="auto" w:before="0" w:after="0"/>
              <w:pStyle w:val="Compact"/>
            </w:pPr>
            <w:r>
              <w:rPr>
                <w:sz w:val="20"/>
                <w:szCs w:val="20"/>
              </w:rPr>
              <w:t xml:space="preserve">Our World in Data, Yearly number of objects launched into outer space (UNOOSA Online Index of Objects Launched into Outer Space), summed to a running cumulative total</w:t>
            </w:r>
          </w:p>
        </w:tc>
      </w:tr>
      <w:tr>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Year the launch vehicle entered service, used to index cumulative industry experience</w:t>
            </w:r>
          </w:p>
        </w:tc>
        <w:tc>
          <w:tcPr>
            <w:tcW w:w="0" w:type="auto"/>
          </w:tcPr>
          <w:p>
            <w:pPr>
              <w:spacing w:line="240" w:lineRule="auto" w:before="0" w:after="0"/>
              <w:pStyle w:val="Compact"/>
            </w:pPr>
            <w:r>
              <w:rPr>
                <w:sz w:val="20"/>
                <w:szCs w:val="20"/>
              </w:rPr>
              <w:t xml:space="preserve">Our World in Data / CSIS Aerospace Security Project vehicle introduction year (2022)</w:t>
            </w:r>
          </w:p>
        </w:tc>
      </w:tr>
      <w:tr>
        <w:tc>
          <w:tcPr>
            <w:tcW w:w="0" w:type="auto"/>
          </w:tcPr>
          <w:p>
            <w:pPr>
              <w:spacing w:line="240" w:lineRule="auto" w:before="0" w:after="0"/>
              <w:pStyle w:val="Compact"/>
            </w:pPr>
            <w:r>
              <w:rPr>
                <w:sz w:val="20"/>
                <w:szCs w:val="20"/>
              </w:rPr>
              <w:t xml:space="preserve">governance_form</w:t>
            </w:r>
          </w:p>
        </w:tc>
        <w:tc>
          <w:tcPr>
            <w:tcW w:w="0" w:type="auto"/>
          </w:tcPr>
          <w:p>
            <w:pPr>
              <w:spacing w:line="240" w:lineRule="auto" w:before="0" w:after="0"/>
              <w:pStyle w:val="Compact"/>
            </w:pPr>
            <w:r>
              <w:rPr>
                <w:sz w:val="20"/>
                <w:szCs w:val="20"/>
              </w:rPr>
              <w:t xml:space="preserve">Coded boundary form of the vehicle’s primary acquisition: make (government in-house development), buy (firm-fixed-price commercial procurement), or federate (multinational or shared-risk public-private consortium)</w:t>
            </w:r>
          </w:p>
        </w:tc>
        <w:tc>
          <w:tcPr>
            <w:tcW w:w="0" w:type="auto"/>
          </w:tcPr>
          <w:p>
            <w:pPr>
              <w:spacing w:line="240" w:lineRule="auto" w:before="0" w:after="0"/>
              <w:pStyle w:val="Compact"/>
            </w:pPr>
            <w:r>
              <w:rPr>
                <w:sz w:val="20"/>
                <w:szCs w:val="20"/>
              </w:rPr>
              <w:t xml:space="preserve">Coded by the author from program provenance; descriptive covariate, not an estimand in the log-log model</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11.8139</w:t>
            </w:r>
          </w:p>
        </w:tc>
        <w:tc>
          <w:tcPr>
            <w:tcW w:w="0" w:type="auto"/>
          </w:tcPr>
          <w:p>
            <w:pPr>
              <w:spacing w:line="240" w:lineRule="auto" w:before="0" w:after="0"/>
              <w:pStyle w:val="Compact"/>
            </w:pPr>
            <w:r>
              <w:rPr>
                <w:sz w:val="20"/>
                <w:szCs w:val="20"/>
              </w:rPr>
              <w:t xml:space="preserve">3.308e-32</w:t>
            </w:r>
          </w:p>
        </w:tc>
        <w:tc>
          <w:tcPr>
            <w:tcW w:w="0" w:type="auto"/>
          </w:tcPr>
          <w:p>
            <w:pPr>
              <w:spacing w:line="240" w:lineRule="auto" w:before="0" w:after="0"/>
              <w:pStyle w:val="Compact"/>
            </w:pPr>
            <w:r>
              <w:rPr>
                <w:sz w:val="20"/>
                <w:szCs w:val="20"/>
              </w:rPr>
              <w:t xml:space="preserve">[9.5721, 13.3799]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-0.2504</w:t>
            </w:r>
          </w:p>
        </w:tc>
        <w:tc>
          <w:tcPr>
            <w:tcW w:w="0" w:type="auto"/>
          </w:tcPr>
          <w:p>
            <w:pPr>
              <w:spacing w:line="240" w:lineRule="auto" w:before="0" w:after="0"/>
              <w:pStyle w:val="Compact"/>
            </w:pPr>
            <w:r>
              <w:rPr>
                <w:sz w:val="20"/>
                <w:szCs w:val="20"/>
              </w:rPr>
              <w:t xml:space="preserve">0.121</w:t>
            </w:r>
          </w:p>
        </w:tc>
        <w:tc>
          <w:tcPr>
            <w:tcW w:w="0" w:type="auto"/>
          </w:tcPr>
          <w:p>
            <w:pPr>
              <w:spacing w:line="240" w:lineRule="auto" w:before="0" w:after="0"/>
              <w:pStyle w:val="Compact"/>
            </w:pPr>
            <w:r>
              <w:rPr>
                <w:sz w:val="20"/>
                <w:szCs w:val="20"/>
              </w:rPr>
              <w:t xml:space="preserve">-2.0697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[-0.4875, -0.0133]</w:t>
            </w:r>
          </w:p>
        </w:tc>
      </w:tr>
    </w:tbl>
    <w:p>
      <w:pPr>
        <w:pStyle w:val="BodyText"/>
      </w:pPr>
      <w:r>
        <w:t xml:space="preserve">Fit: N = 34 R2 = 0.0954 elasticity_b = -0.2504 progress_ratio_2^b = 0.8407</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2" Target="https://doi.org/10.1016/j.actaastro.2019.09.030" TargetMode="External" /><Relationship Type="http://schemas.openxmlformats.org/officeDocument/2006/relationships/hyperlink" Id="rId70" Target="https://doi.org/10.1016/j.actaastro.2023.12.035" TargetMode="External" /><Relationship Type="http://schemas.openxmlformats.org/officeDocument/2006/relationships/hyperlink" Id="rId68" Target="https://doi.org/10.1016/j.actaastro.2026.01.018" TargetMode="External" /><Relationship Type="http://schemas.openxmlformats.org/officeDocument/2006/relationships/hyperlink" Id="rId76" Target="https://doi.org/10.64861/QAOZ6812"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9.09.030" TargetMode="External" /><Relationship Type="http://schemas.openxmlformats.org/officeDocument/2006/relationships/hyperlink" Id="rId70" Target="https://doi.org/10.1016/j.actaastro.2023.12.035" TargetMode="External" /><Relationship Type="http://schemas.openxmlformats.org/officeDocument/2006/relationships/hyperlink" Id="rId68" Target="https://doi.org/10.1016/j.actaastro.2026.01.018" TargetMode="External" /><Relationship Type="http://schemas.openxmlformats.org/officeDocument/2006/relationships/hyperlink" Id="rId76" Target="https://doi.org/10.64861/QAOZ68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2026-06-25T14:26:13Z</dcterms:created>
  <dcterms:modified xsi:type="dcterms:W3CDTF">2026-06-25T14:26:13Z</dcterms:modified>
</cp:coreProperties>
</file>

<file path=docProps/custom.xml><?xml version="1.0" encoding="utf-8"?>
<Properties xmlns="http://schemas.openxmlformats.org/officeDocument/2006/custom-properties" xmlns:vt="http://schemas.openxmlformats.org/officeDocument/2006/docPropsVTypes"/>
</file>