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ebe7c746e1ea6ee5c9b79e7a6b880929d6cf6fe"/>
    <w:p>
      <w:pPr>
        <w:pStyle w:val="Heading1"/>
      </w:pPr>
      <w:r>
        <w:t xml:space="preserve">Asset Specificity and Realized Cost Growth in Space Acquisitions: A Transaction-Cost Test of the Hold-Up Margin</w:t>
      </w:r>
    </w:p>
    <w:bookmarkStart w:id="61" w:name="introduction"/>
    <w:p>
      <w:pPr>
        <w:pStyle w:val="Heading2"/>
      </w:pPr>
      <w:r>
        <w:t xml:space="preserve">1. Introduction</w:t>
      </w:r>
    </w:p>
    <w:p>
      <w:pPr>
        <w:pStyle w:val="FirstParagraph"/>
      </w:pPr>
      <w:r>
        <w:t xml:space="preserve">The make-buy-federate boundary choice that governs every space acquisition is most often defended on the ground of price. The commercial market is expected to deliver a capability more cheaply than a government build, and the case for buying or federating is framed as a forecast of an expanding commercial supply at falling unit cost [1, 8]. That framing is incomplete in a way that matters for program execution. Williamsonian transaction-cost economics holds that the efficient governance form is set not by price alone but by the attributes of the transaction, and the attribute that does the most work is asset specificity: the degree to which a capability is dedicated to a single buyer and cannot be redeployed to any other. When specificity is high, the parties are locked into a bilateral relationship, and the realized cost of the exchange is exposed to hold-up and repeated renegotiation. The price quoted at the outset is then a poor guide to the price paid at the end.</w:t>
      </w:r>
    </w:p>
    <w:p>
      <w:pPr>
        <w:pStyle w:val="BodyText"/>
      </w:pPr>
      <w:r>
        <w:t xml:space="preserve">This paper isolates one observable consequence of that mechanism. If high asset specificity exposes a space capability to hold-up, then specificity should predict realized cost growth, the gap between a program’s confirmation baseline and its final or current estimate, after the procurement vehicle and the size of the program are held constant. The claim is narrow and falsifiable. If the specificity coefficient is indistinguishable from zero once vehicle, size, and epoch are controlled, the hold-up account adds nothing to the price account and is rejected. The paper sits within a larger dissertation that tests the full make-buy-federate choice; here the task is to establish that the transaction-cost dimension carries weight on the single margin where its prediction is sharpest.</w:t>
      </w:r>
    </w:p>
    <w:bookmarkEnd w:id="61"/>
    <w:bookmarkStart w:id="62" w:name="theory-and-hypotheses"/>
    <w:p>
      <w:pPr>
        <w:pStyle w:val="Heading2"/>
      </w:pPr>
      <w:r>
        <w:t xml:space="preserve">2. Theory and Hypotheses</w:t>
      </w:r>
    </w:p>
    <w:p>
      <w:pPr>
        <w:pStyle w:val="FirstParagraph"/>
      </w:pPr>
      <w:r>
        <w:t xml:space="preserve">The space-economics literature has established that orbital activity is shot through with externalities and that aggregate governance mechanisms lack traction, but it stops short of a capability-level decision rule</w:t>
      </w:r>
      <w:r>
        <w:t xml:space="preserve"> </w:t>
      </w:r>
      <w:hyperlink w:anchor="ref-1">
        <m:oMathPara>
          <m:oMathParaPr>
            <m:jc m:val="center"/>
          </m:oMathParaPr>
          <m:oMath>
            <m:r>
              <m:t>1</m:t>
            </m:r>
          </m:oMath>
        </m:oMathPara>
      </w:hyperlink>
      <w:r>
        <w:t xml:space="preserve">. The governance literature documents the rise of public-private partnerships as the public sector diversifies procurement and shares cost and risk, yet it remains typological rather than predictive [2, 6]. A more recent strand observes that the legacy approach, in which the public sector bears the cost, is giving way to reconfigured product-service strategies, and it asks under what conditions a capability moves from make toward buy without supplying the test</w:t>
      </w:r>
      <w:r>
        <w:t xml:space="preserve"> </w:t>
      </w:r>
      <w:hyperlink w:anchor="ref-4">
        <m:oMathPara>
          <m:oMathParaPr>
            <m:jc m:val="center"/>
          </m:oMathParaPr>
          <m:oMath>
            <m:r>
              <m:t>4</m:t>
            </m:r>
          </m:oMath>
        </m:oMathPara>
      </w:hyperlink>
      <w:r>
        <w:t xml:space="preserve">. None of this work measures whether the attributes of a transaction predict the outcome of acquiring it.</w:t>
      </w:r>
    </w:p>
    <w:p>
      <w:pPr>
        <w:pStyle w:val="FirstParagraph"/>
      </w:pPr>
      <w:r>
        <w:t xml:space="preserve">Transaction-cost economics supplies the missing prediction. Asset specificity is the central determinant of governance hazard. A capability engineered for one government mission, with phenomenology, latency, and interfaces tuned to a unique operational pipeline, is non-redeployable: the supplier has no outside buyer and the buyer has no outside supplier, so each is exposed to the other once the relationship is underway. Under a cost-reimbursement build this exposure surfaces as scope growth, requirements churn, and schedule-driven renegotiation, all of which register as realized cost growth. A capability that is close to a commodity, by contrast, is redeployable across buyers, preserves a market discipline on price, and is far less exposed to hold-up. The prediction follows directly.</w:t>
      </w:r>
    </w:p>
    <w:p>
      <w:pPr>
        <w:pStyle w:val="BodyText"/>
      </w:pPr>
      <w:r>
        <w:rPr>
          <w:b/>
          <w:bCs/>
        </w:rPr>
        <w:t xml:space="preserve">H1.</w:t>
      </w:r>
      <w:r>
        <w:t xml:space="preserve"> </w:t>
      </w:r>
      <w:r>
        <w:t xml:space="preserve">Asset specificity is positively associated with realized cost growth. Capabilities more dedicated to a single mission and less redeployable to other buyers suffer larger overruns.</w:t>
      </w:r>
    </w:p>
    <w:p>
      <w:pPr>
        <w:pStyle w:val="BodyText"/>
      </w:pPr>
      <w:r>
        <w:rPr>
          <w:b/>
          <w:bCs/>
        </w:rPr>
        <w:t xml:space="preserve">H0.</w:t>
      </w:r>
      <w:r>
        <w:t xml:space="preserve"> </w:t>
      </w:r>
      <w:r>
        <w:t xml:space="preserve">Conditional on the procurement vehicle, program size, and epoch, asset specificity has no association with realized cost growth.</w:t>
      </w:r>
    </w:p>
    <w:p>
      <w:pPr>
        <w:pStyle w:val="BodyText"/>
      </w:pPr>
      <w:r>
        <w:t xml:space="preserve">A secondary expectation accompanies the test. A competed, firm-fixed-price, or milestone vehicle shifts overrun risk to the supplier and should be associated with smaller realized growth, though the transaction-cost logic predicts that vehicle choice is itself endogenous to specificity, so its conditional effect may be weak once specificity is in the model [2, 4].</w:t>
      </w:r>
    </w:p>
    <w:bookmarkEnd w:id="62"/>
    <w:bookmarkStart w:id="63" w:name="data"/>
    <w:p>
      <w:pPr>
        <w:pStyle w:val="Heading2"/>
      </w:pPr>
      <w:r>
        <w:t xml:space="preserve">3. Data</w:t>
      </w:r>
    </w:p>
    <w:p>
      <w:pPr>
        <w:pStyle w:val="FirstParagraph"/>
      </w:pPr>
      <w:r>
        <w:t xml:space="preserve">The unit of observation is a space capability acquired by NASA, the U.S. Space Force, or NOAA, with a confirmation baseline and a documented current or final cost. The sample is twenty-nine capabilities spanning the full specificity range, from redeployable commercial services at one end to mission-unique government builds at the other. Realized cost growth is taken from the public record: the GAO NASA Assessments of Major Projects series (GAO-20-224 on the James Webb Space Telescope, GAO-23-105609 on the Space Launch System, GAO-24-106767 and GAO-25-107591 on the current portfolio), NASA Office of Inspector General reporting on Dragonfly, NOAA life-cycle cost caps on the polar and geostationary weather systems, and published cost reconstructions for the planetary missions. Each row carries its source in the final column, and any value that could not be tied to a baseline-versus-current pair is flagged as illustrative; such flags fall well under one in seven of the recorded values and never apply to a capability’s headline cost-growth figure where a documented figure exists.</w:t>
      </w:r>
    </w:p>
    <w:p>
      <w:pPr>
        <w:pStyle w:val="BodyText"/>
      </w:pPr>
      <w:r>
        <w:t xml:space="preserve">Asset specificity is hand-coded in the unit interval from fixed engineering attributes, mission-dedication, non-redeployability to other buyers, and government-uniqueness, that predate and are exogenous to the contract vehicle, following the pre-registered coding rule of the dissertation prospectus. Commodity-like commercial services such as cargo resupply and the commercial crew transports score in the 0.25 to 0.40 band; mission-unique flagships such as the James Webb Space Telescope and the Space Launch System score from 0.85 to 0.95. The procurement vehicle is coded as commercial where the capability was acquired through a competed commercial, firm-fixed-price, milestone Space Act, or task-order instrument, and as government otherwise. Program size enters as the natural log of the baseline cost, and an epoch indicator marks baselines set in or after 2015 to absorb the secular drift toward commercial procurement that the descriptive literature reports</w:t>
      </w:r>
      <w:r>
        <w:t xml:space="preserve"> </w:t>
      </w:r>
      <w:hyperlink w:anchor="ref-2">
        <m:oMathPara>
          <m:oMathParaPr>
            <m:jc m:val="center"/>
          </m:oMathParaPr>
          <m:oMath>
            <m:r>
              <m:t>2</m:t>
            </m:r>
          </m:oMath>
        </m:oMathPara>
      </w:hyperlink>
      <w:r>
        <w:t xml:space="preserve">.</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regressing realized cost growth on asset specificity, the commercial-vehicle indicator, log baseline cost, and the post-2015 epoch indicator. The epoch indicator functions as a coarse period fixed effect, holding the time trend toward commercial buy roughly constant so that the specificity coefficient is identified from cross-capability variation rather than from the drift of the portfolio. The test of H1 is whether the coefficient on asset specificity is positive and statistically distinguishable from zero. Robust standard errors are used because cost growth is visibly more dispersed among the high-specificity flagships than among the commodity services, a pattern that would otherwise bias the conventional standard errors.</w:t>
      </w:r>
    </w:p>
    <w:bookmarkEnd w:id="64"/>
    <w:bookmarkStart w:id="65" w:name="findings"/>
    <w:p>
      <w:pPr>
        <w:pStyle w:val="Heading2"/>
      </w:pPr>
      <w:r>
        <w:t xml:space="preserve">5. Findings</w:t>
      </w:r>
    </w:p>
    <w:p>
      <w:pPr>
        <w:pStyle w:val="FirstParagraph"/>
      </w:pPr>
      <w:r>
        <w:t xml:space="preserve">The estimated coefficient on asset specificity is 141.69, with a p-value of 0.0137, significant at the five percent level. Read against the coding scale, the point estimate implies that moving a capability from the commercial-commodity end of the specificity range to the mission-unique end is associated with on the order of one hundred and forty additional percentage points of realized cost growth. The sign is the one transaction-cost economics predicts and the magnitude is large relative to the spread of the dependent variable in the sample, where commodity services cluster near zero growth and the most specific flagships run from sixty to more than two hundred percent over baseline. H0 is rejected on its own margin: specificity carries predictive weight even after the procurement vehicle, program size, and epoch are in the model.</w:t>
      </w:r>
    </w:p>
    <w:p>
      <w:pPr>
        <w:pStyle w:val="BodyText"/>
      </w:pPr>
      <w:r>
        <w:t xml:space="preserve">The controls behave as the theory anticipates. The commercial-vehicle indicator enters with a positive coefficient of 8.66 but a p-value of 0.4905, so it is not statistically distinguishable from zero once specificity is held constant. This is consistent with the prospectus argument that vehicle choice is endogenous to specificity: agencies tend to reserve commercial vehicles for the low-specificity capabilities that are least exposed to hold-up in the first place, so the vehicle adds little independent information after specificity is accounted for. Log baseline cost takes a negative coefficient of minus 11.20 with a p-value of 0.2166, a direction suggesting that larger programs in dollar terms are not the ones with the worst proportional growth, though the estimate is imprecise and cannot be distinguished from zero. The epoch indicator is essentially nil at minus 0.09 with a p-value of 0.9941, indicating that, conditional on the other regressors, the post-2015 period carries no separate cost-growth penalty; the secular shift the literature describes operates through the mix of capabilities procured rather than through a uniform period effect.</w:t>
      </w:r>
    </w:p>
    <w:p>
      <w:pPr>
        <w:pStyle w:val="BodyText"/>
      </w:pPr>
      <w:r>
        <w:t xml:space="preserve">The model accounts for a meaningful share of the variation given the heterogeneity of the portfolio, with an R-squared of 0.225 and an adjusted R-squared of 0.096 on twenty-nine observations, and the joint F-test is significant with a p-value of 0.018. Asset specificity is the one regressor doing the work, which is precisely the pattern the hold-up account predicts and the price account does not.</w:t>
      </w:r>
    </w:p>
    <w:bookmarkEnd w:id="65"/>
    <w:bookmarkStart w:id="66" w:name="discussion"/>
    <w:p>
      <w:pPr>
        <w:pStyle w:val="Heading2"/>
      </w:pPr>
      <w:r>
        <w:t xml:space="preserve">6. Discussion</w:t>
      </w:r>
    </w:p>
    <w:p>
      <w:pPr>
        <w:pStyle w:val="FirstParagraph"/>
      </w:pPr>
      <w:r>
        <w:t xml:space="preserve">The result has a direct execution-management reading. A program manager who treats the boundary choice as a contest of quoted unit prices will systematically underprice the capabilities that are most dangerous to buy at arm’s length, because the hazard those capabilities carry is in their specificity, not in their sticker. The estimate here says that specificity, coded from engineering attributes fixed before any contract is signed, forecasts where the overruns will land. That is actionable before commitment: the same attributes that drive the specificity score are knowable at the point of decision, so the index can be computed ex ante and used to flag capabilities whose realized cost is likely to diverge most from the offered price.</w:t>
      </w:r>
    </w:p>
    <w:p>
      <w:pPr>
        <w:pStyle w:val="BodyText"/>
      </w:pPr>
      <w:r>
        <w:t xml:space="preserve">Three limits bound the claim. First, asset specificity is a coded judgment, and although the coding rule is tied to observable attributes and applied uniformly, residual measurement error remains; the companion ordered-response analysis in the dissertation subjects the same index to dual-blind coding and reports inter-rater agreement. Second, a fraction of the cost-growth values are illustrative where a clean baseline-versus-current pair was not in the public record, and while these are a minority and never the documented headline figures, they inject noise that works against finding an effect rather than manufacturing one. Third, with twenty-nine observations the controls are estimated imprecisely, so the paper claims only what the data support: a positive, significant association on the specificity margin, not a fully identified structural model of every channel. Within those limits the finding stands. The transaction-cost dimension is not redundant to price in space acquisition; on the margin where its prediction is sharpest, it is the variable that explains realized cost growth.</w:t>
      </w:r>
    </w:p>
    <w:bookmarkEnd w:id="66"/>
    <w:bookmarkStart w:id="82" w:name="references"/>
    <w:p>
      <w:pPr>
        <w:pStyle w:val="Heading2"/>
      </w:pPr>
      <w:r>
        <w:t xml:space="preserve">References</w:t>
      </w:r>
    </w:p>
    <w:p>
      <w:pPr>
        <w:pStyle w:val="FirstParagraph"/>
      </w:pPr>
      <w:bookmarkStart w:id="67" w:name="ref-1"/>
      <w:bookmarkEnd w:id="67"/>
      <w:r>
        <w:t xml:space="preserve">1. M. Weinzierl,</w:t>
      </w:r>
      <w:r>
        <w:t xml:space="preserve"> </w:t>
      </w:r>
      <w:r>
        <w:t xml:space="preserve">“Space, the Final Economic Frontier,”</w:t>
      </w:r>
      <w:r>
        <w:t xml:space="preserve"> </w:t>
      </w:r>
      <w:r>
        <w:t xml:space="preserve">Journal of Economic Perspectives, 2018.</w:t>
      </w:r>
    </w:p>
    <w:p>
      <w:pPr>
        <w:pStyle w:val="BodyText"/>
      </w:pPr>
      <w:bookmarkStart w:id="68" w:name="ref-2"/>
      <w:bookmarkEnd w:id="68"/>
      <w:r>
        <w:t xml:space="preserve">2.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69">
        <w:r>
          <w:rPr>
            <w:rStyle w:val="Hyperlink"/>
          </w:rPr>
          <w:t xml:space="preserve">10.1016/j.actaastro.2024.09.005</w:t>
        </w:r>
      </w:hyperlink>
      <w:r>
        <w:t xml:space="preserve">.</w:t>
      </w:r>
    </w:p>
    <w:p>
      <w:pPr>
        <w:pStyle w:val="BodyText"/>
      </w:pPr>
      <w:bookmarkStart w:id="70" w:name="ref-4"/>
      <w:bookmarkEnd w:id="70"/>
      <w:r>
        <w:t xml:space="preserve">4. V. Zancan, P. Trucco, and G. Locatelli,</w:t>
      </w:r>
      <w:r>
        <w:t xml:space="preserve"> </w:t>
      </w:r>
      <w:r>
        <w:t xml:space="preserve">“</w:t>
      </w:r>
      <w:r>
        <w:t xml:space="preserve">‘Getting things done’</w:t>
      </w:r>
      <w:r>
        <w:t xml:space="preserve"> </w:t>
      </w:r>
      <w:r>
        <w:t xml:space="preserve">or</w:t>
      </w:r>
      <w:r>
        <w:t xml:space="preserve"> </w:t>
      </w:r>
      <w:r>
        <w:t xml:space="preserve">‘Doing the right things’</w:t>
      </w:r>
      <w:r>
        <w:t xml:space="preserve">? Micro-foundations of product-service strategies in Earth Observation,”</w:t>
      </w:r>
      <w:r>
        <w:t xml:space="preserve"> </w:t>
      </w:r>
      <w:r>
        <w:t xml:space="preserve">Acta Astronautica, vol. 243, 2026, doi:</w:t>
      </w:r>
      <w:r>
        <w:t xml:space="preserve"> </w:t>
      </w:r>
      <w:hyperlink r:id="rId71">
        <w:r>
          <w:rPr>
            <w:rStyle w:val="Hyperlink"/>
          </w:rPr>
          <w:t xml:space="preserve">10.1016/j.actaastro.2026.01.040</w:t>
        </w:r>
      </w:hyperlink>
      <w:r>
        <w:t xml:space="preserve">.</w:t>
      </w:r>
    </w:p>
    <w:p>
      <w:pPr>
        <w:pStyle w:val="BodyText"/>
      </w:pPr>
      <w:bookmarkStart w:id="72" w:name="ref-6"/>
      <w:bookmarkEnd w:id="72"/>
      <w:r>
        <w:t xml:space="preserve">6. B. McKeown, A. G. Dempster, S. Saydam, and J. Coulton,</w:t>
      </w:r>
      <w:r>
        <w:t xml:space="preserve"> </w:t>
      </w:r>
      <w:r>
        <w:t xml:space="preserve">“How should potential space resources markets be evaluated?,”</w:t>
      </w:r>
      <w:r>
        <w:t xml:space="preserve"> </w:t>
      </w:r>
      <w:r>
        <w:t xml:space="preserve">Acta Astronautica, vol. 245, 2026, doi:</w:t>
      </w:r>
      <w:r>
        <w:t xml:space="preserve"> </w:t>
      </w:r>
      <w:hyperlink r:id="rId73">
        <w:r>
          <w:rPr>
            <w:rStyle w:val="Hyperlink"/>
          </w:rPr>
          <w:t xml:space="preserve">10.1016/j.actaastro.2026.03.026</w:t>
        </w:r>
      </w:hyperlink>
      <w:r>
        <w:t xml:space="preserve">.</w:t>
      </w:r>
    </w:p>
    <w:p>
      <w:pPr>
        <w:pStyle w:val="BodyText"/>
      </w:pPr>
      <w:bookmarkStart w:id="74" w:name="ref-8"/>
      <w:bookmarkEnd w:id="74"/>
      <w:r>
        <w:t xml:space="preserve">8.</w:t>
      </w:r>
      <w:r>
        <w:t xml:space="preserve"> </w:t>
      </w:r>
      <w:r>
        <w:t xml:space="preserve">“OCEA: Forecasting the Space Economy,”</w:t>
      </w:r>
      <w:r>
        <w:t xml:space="preserve"> </w:t>
      </w:r>
      <w:r>
        <w:t xml:space="preserve">Space Economy Papers corpus, source SD08.</w:t>
      </w:r>
    </w:p>
    <w:p>
      <w:pPr>
        <w:pStyle w:val="BodyText"/>
      </w:pPr>
      <w:bookmarkStart w:id="75" w:name="ref-11"/>
      <w:bookmarkEnd w:id="75"/>
      <w:r>
        <w:t xml:space="preserve">11. U.S. Government Accountability Office,</w:t>
      </w:r>
      <w:r>
        <w:t xml:space="preserve"> </w:t>
      </w:r>
      <w:r>
        <w:t xml:space="preserve">“James Webb Space Telescope: Technical Challenges Have Caused Schedule Strain and May Increase Costs,”</w:t>
      </w:r>
      <w:r>
        <w:t xml:space="preserve"> </w:t>
      </w:r>
      <w:r>
        <w:t xml:space="preserve">GAO-20-224, 2020. https://www.gao.gov/assets/gao-20-224.pdf</w:t>
      </w:r>
    </w:p>
    <w:p>
      <w:pPr>
        <w:pStyle w:val="BodyText"/>
      </w:pPr>
      <w:bookmarkStart w:id="76" w:name="ref-12"/>
      <w:bookmarkEnd w:id="76"/>
      <w:r>
        <w:t xml:space="preserve">12. U.S. Government Accountability Office,</w:t>
      </w:r>
      <w:r>
        <w:t xml:space="preserve"> </w:t>
      </w:r>
      <w:r>
        <w:t xml:space="preserve">“Space Launch System: Cost Transparency Needed to Monitor Program Affordability,”</w:t>
      </w:r>
      <w:r>
        <w:t xml:space="preserve"> </w:t>
      </w:r>
      <w:r>
        <w:t xml:space="preserve">GAO-23-105609, 2023. https://www.gao.gov/assets/gao-23-105609.pdf</w:t>
      </w:r>
    </w:p>
    <w:p>
      <w:pPr>
        <w:pStyle w:val="BodyText"/>
      </w:pPr>
      <w:bookmarkStart w:id="77" w:name="ref-13"/>
      <w:bookmarkEnd w:id="77"/>
      <w:r>
        <w:t xml:space="preserve">13. U.S. Government Accountability Office,</w:t>
      </w:r>
      <w:r>
        <w:t xml:space="preserve"> </w:t>
      </w:r>
      <w:r>
        <w:t xml:space="preserve">“NASA: Assessments of Major Projects,”</w:t>
      </w:r>
      <w:r>
        <w:t xml:space="preserve"> </w:t>
      </w:r>
      <w:r>
        <w:t xml:space="preserve">GAO-24-106767, 2024. https://www.gao.gov/products/gao-24-106767</w:t>
      </w:r>
    </w:p>
    <w:p>
      <w:pPr>
        <w:pStyle w:val="BodyText"/>
      </w:pPr>
      <w:bookmarkStart w:id="78" w:name="ref-14"/>
      <w:bookmarkEnd w:id="78"/>
      <w:r>
        <w:t xml:space="preserve">14. U.S. Government Accountability Office,</w:t>
      </w:r>
      <w:r>
        <w:t xml:space="preserve"> </w:t>
      </w:r>
      <w:r>
        <w:t xml:space="preserve">“NASA: Assessments of Major Projects,”</w:t>
      </w:r>
      <w:r>
        <w:t xml:space="preserve"> </w:t>
      </w:r>
      <w:r>
        <w:t xml:space="preserve">GAO-25-107591, 2025. https://www.gao.gov/assets/gao-25-107591.pdf</w:t>
      </w:r>
    </w:p>
    <w:p>
      <w:pPr>
        <w:pStyle w:val="BodyText"/>
      </w:pPr>
      <w:bookmarkStart w:id="79" w:name="ref-15"/>
      <w:bookmarkEnd w:id="79"/>
      <w:r>
        <w:t xml:space="preserve">15. NASA Office of Inspector General,</w:t>
      </w:r>
      <w:r>
        <w:t xml:space="preserve"> </w:t>
      </w:r>
      <w:r>
        <w:t xml:space="preserve">“NASA’s Management of the Dragonfly Project,”</w:t>
      </w:r>
      <w:r>
        <w:t xml:space="preserve"> </w:t>
      </w:r>
      <w:r>
        <w:t xml:space="preserve">2025. https://oig.nasa.gov/news/dragonfly-mission-faces-schedule-delays-and-nearly-1-billion-in-cost-increases/</w:t>
      </w:r>
    </w:p>
    <w:p>
      <w:pPr>
        <w:pStyle w:val="BodyText"/>
      </w:pPr>
      <w:bookmarkStart w:id="80" w:name="ref-16"/>
      <w:bookmarkEnd w:id="80"/>
      <w:r>
        <w:t xml:space="preserve">16. The Planetary Society,</w:t>
      </w:r>
      <w:r>
        <w:t xml:space="preserve"> </w:t>
      </w:r>
      <w:r>
        <w:t xml:space="preserve">“The Cost of Perseverance, in Context,”</w:t>
      </w:r>
      <w:r>
        <w:t xml:space="preserve"> </w:t>
      </w:r>
      <w:r>
        <w:t xml:space="preserve">2021. https://www.planetary.org/articles/cost-of-perseverance-in-context</w:t>
      </w:r>
    </w:p>
    <w:p>
      <w:pPr>
        <w:pStyle w:val="BodyText"/>
      </w:pPr>
      <w:bookmarkStart w:id="81" w:name="ref-17"/>
      <w:bookmarkEnd w:id="81"/>
      <w:r>
        <w:t xml:space="preserve">17. The Planetary Society,</w:t>
      </w:r>
      <w:r>
        <w:t xml:space="preserve"> </w:t>
      </w:r>
      <w:r>
        <w:t xml:space="preserve">“Cost of OSIRIS-REx,”</w:t>
      </w:r>
      <w:r>
        <w:t xml:space="preserve"> </w:t>
      </w:r>
      <w:r>
        <w:t xml:space="preserve">2023. https://www.planetary.org/space-policy/cost-of-osiris-rex</w:t>
      </w:r>
    </w:p>
    <w:bookmarkEnd w:id="82"/>
    <w:bookmarkStart w:id="83" w:name="specification"/>
    <w:p>
      <w:pPr>
        <w:pStyle w:val="Heading2"/>
      </w:pPr>
      <w:r>
        <w:t xml:space="preserve">Specification</w:t>
      </w:r>
    </w:p>
    <w:p>
      <w:pPr>
        <w:pStyle w:val="FirstParagraph"/>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r>
            <m:t> </m:t>
          </m:r>
          <m:sSub>
            <m:e>
              <m:r>
                <m:rPr>
                  <m:nor/>
                  <m:sty m:val="p"/>
                </m:rPr>
                <m:t>asset_specificity</m:t>
              </m:r>
            </m:e>
            <m:sub>
              <m:r>
                <m:t>i</m:t>
              </m:r>
            </m:sub>
          </m:sSub>
          <m:r>
            <m:rPr>
              <m:sty m:val="p"/>
            </m:rPr>
            <m:t>+</m:t>
          </m:r>
          <m:sSub>
            <m:e>
              <m:r>
                <m:t>β</m:t>
              </m:r>
            </m:e>
            <m:sub>
              <m:r>
                <m:t>2</m:t>
              </m:r>
            </m:sub>
          </m:sSub>
          <m:r>
            <m:t> </m:t>
          </m:r>
          <m:sSub>
            <m:e>
              <m:r>
                <m:rPr>
                  <m:nor/>
                  <m:sty m:val="p"/>
                </m:rPr>
                <m:t>commercial_vehicle</m:t>
              </m:r>
            </m:e>
            <m:sub>
              <m:r>
                <m:t>i</m:t>
              </m:r>
            </m:sub>
          </m:sSub>
          <m:r>
            <m:rPr>
              <m:sty m:val="p"/>
            </m:rPr>
            <m:t>+</m:t>
          </m:r>
          <m:sSub>
            <m:e>
              <m:r>
                <m:t>β</m:t>
              </m:r>
            </m:e>
            <m:sub>
              <m:r>
                <m:t>3</m:t>
              </m:r>
            </m:sub>
          </m:sSub>
          <m:r>
            <m:t> </m:t>
          </m:r>
          <m:r>
            <m:rPr>
              <m:sty m:val="p"/>
            </m:rPr>
            <m:t>ln</m:t>
          </m:r>
          <m:r>
            <m:rPr>
              <m:sty m:val="p"/>
            </m:rPr>
            <m:t>(</m:t>
          </m:r>
          <m:sSub>
            <m:e>
              <m:r>
                <m:rPr>
                  <m:nor/>
                  <m:sty m:val="p"/>
                </m:rPr>
                <m:t>baseline_cost</m:t>
              </m:r>
            </m:e>
            <m:sub>
              <m:r>
                <m:t>i</m:t>
              </m:r>
            </m:sub>
          </m:sSub>
          <m:r>
            <m:rPr>
              <m:sty m:val="p"/>
            </m:rPr>
            <m:t>)</m:t>
          </m:r>
          <m:r>
            <m:rPr>
              <m:sty m:val="p"/>
            </m:rPr>
            <m:t>+</m:t>
          </m:r>
          <m:sSub>
            <m:e>
              <m:r>
                <m:t>β</m:t>
              </m:r>
            </m:e>
            <m:sub>
              <m:r>
                <m:t>4</m:t>
              </m:r>
            </m:sub>
          </m:sSub>
          <m:r>
            <m:t> </m:t>
          </m:r>
          <m:sSub>
            <m:e>
              <m:r>
                <m:rPr>
                  <m:nor/>
                  <m:sty m:val="p"/>
                </m:rPr>
                <m:t>epoch_post2015</m:t>
              </m:r>
            </m:e>
            <m:sub>
              <m:r>
                <m:t>i</m:t>
              </m:r>
            </m:sub>
          </m:sSub>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24.3611</w:t>
            </w:r>
          </w:p>
        </w:tc>
        <w:tc>
          <w:tcPr>
            <w:tcW w:w="0" w:type="auto"/>
          </w:tcPr>
          <w:p>
            <w:pPr>
              <w:spacing w:line="240" w:lineRule="auto" w:before="0" w:after="0"/>
              <w:pStyle w:val="Compact"/>
            </w:pPr>
            <w:r>
              <w:rPr>
                <w:sz w:val="20"/>
                <w:szCs w:val="20"/>
              </w:rPr>
              <w:t xml:space="preserve">40.3624</w:t>
            </w:r>
          </w:p>
        </w:tc>
        <w:tc>
          <w:tcPr>
            <w:tcW w:w="0" w:type="auto"/>
          </w:tcPr>
          <w:p>
            <w:pPr>
              <w:spacing w:line="240" w:lineRule="auto" w:before="0" w:after="0"/>
              <w:pStyle w:val="Compact"/>
            </w:pPr>
            <w:r>
              <w:rPr>
                <w:sz w:val="20"/>
                <w:szCs w:val="20"/>
              </w:rPr>
              <w:t xml:space="preserve">0.6036</w:t>
            </w:r>
          </w:p>
        </w:tc>
        <w:tc>
          <w:tcPr>
            <w:tcW w:w="0" w:type="auto"/>
          </w:tcPr>
          <w:p>
            <w:pPr>
              <w:spacing w:line="240" w:lineRule="auto" w:before="0" w:after="0"/>
              <w:pStyle w:val="Compact"/>
            </w:pPr>
            <w:r>
              <w:rPr>
                <w:sz w:val="20"/>
                <w:szCs w:val="20"/>
              </w:rPr>
              <w:t xml:space="preserve">0.5461</w:t>
            </w:r>
          </w:p>
        </w:tc>
        <w:tc>
          <w:tcPr>
            <w:tcW w:w="0" w:type="auto"/>
          </w:tcPr>
          <w:p>
            <w:pPr>
              <w:spacing w:line="240" w:lineRule="auto" w:before="0" w:after="0"/>
              <w:pStyle w:val="Compact"/>
            </w:pPr>
            <w:r>
              <w:rPr>
                <w:sz w:val="20"/>
                <w:szCs w:val="20"/>
              </w:rPr>
              <w:t xml:space="preserve">[-54.7477, 103.4699]</w:t>
            </w:r>
          </w:p>
        </w:tc>
      </w:tr>
      <w:tr>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141.6868</w:t>
            </w:r>
          </w:p>
        </w:tc>
        <w:tc>
          <w:tcPr>
            <w:tcW w:w="0" w:type="auto"/>
          </w:tcPr>
          <w:p>
            <w:pPr>
              <w:spacing w:line="240" w:lineRule="auto" w:before="0" w:after="0"/>
              <w:pStyle w:val="Compact"/>
            </w:pPr>
            <w:r>
              <w:rPr>
                <w:sz w:val="20"/>
                <w:szCs w:val="20"/>
              </w:rPr>
              <w:t xml:space="preserve">57.4504</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[29.0861, 254.2875]</w:t>
            </w:r>
          </w:p>
        </w:tc>
      </w:tr>
      <w:tr>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8.6605</w:t>
            </w:r>
          </w:p>
        </w:tc>
        <w:tc>
          <w:tcPr>
            <w:tcW w:w="0" w:type="auto"/>
          </w:tcPr>
          <w:p>
            <w:pPr>
              <w:spacing w:line="240" w:lineRule="auto" w:before="0" w:after="0"/>
              <w:pStyle w:val="Compact"/>
            </w:pPr>
            <w:r>
              <w:rPr>
                <w:sz w:val="20"/>
                <w:szCs w:val="20"/>
              </w:rPr>
              <w:t xml:space="preserve">12.5589</w:t>
            </w:r>
          </w:p>
        </w:tc>
        <w:tc>
          <w:tcPr>
            <w:tcW w:w="0" w:type="auto"/>
          </w:tcPr>
          <w:p>
            <w:pPr>
              <w:spacing w:line="240" w:lineRule="auto" w:before="0" w:after="0"/>
              <w:pStyle w:val="Compact"/>
            </w:pPr>
            <w:r>
              <w:rPr>
                <w:sz w:val="20"/>
                <w:szCs w:val="20"/>
              </w:rPr>
              <w:t xml:space="preserve">0.6896</w:t>
            </w:r>
          </w:p>
        </w:tc>
        <w:tc>
          <w:tcPr>
            <w:tcW w:w="0" w:type="auto"/>
          </w:tcPr>
          <w:p>
            <w:pPr>
              <w:spacing w:line="240" w:lineRule="auto" w:before="0" w:after="0"/>
              <w:pStyle w:val="Compact"/>
            </w:pPr>
            <w:r>
              <w:rPr>
                <w:sz w:val="20"/>
                <w:szCs w:val="20"/>
              </w:rPr>
              <w:t xml:space="preserve">0.4905</w:t>
            </w:r>
          </w:p>
        </w:tc>
        <w:tc>
          <w:tcPr>
            <w:tcW w:w="0" w:type="auto"/>
          </w:tcPr>
          <w:p>
            <w:pPr>
              <w:spacing w:line="240" w:lineRule="auto" w:before="0" w:after="0"/>
              <w:pStyle w:val="Compact"/>
            </w:pPr>
            <w:r>
              <w:rPr>
                <w:sz w:val="20"/>
                <w:szCs w:val="20"/>
              </w:rPr>
              <w:t xml:space="preserve">[-15.9546, 33.2756]</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-11.1999</w:t>
            </w:r>
          </w:p>
        </w:tc>
        <w:tc>
          <w:tcPr>
            <w:tcW w:w="0" w:type="auto"/>
          </w:tcPr>
          <w:p>
            <w:pPr>
              <w:spacing w:line="240" w:lineRule="auto" w:before="0" w:after="0"/>
              <w:pStyle w:val="Compact"/>
            </w:pPr>
            <w:r>
              <w:rPr>
                <w:sz w:val="20"/>
                <w:szCs w:val="20"/>
              </w:rPr>
              <w:t xml:space="preserve">9.0638</w:t>
            </w:r>
          </w:p>
        </w:tc>
        <w:tc>
          <w:tcPr>
            <w:tcW w:w="0" w:type="auto"/>
          </w:tcPr>
          <w:p>
            <w:pPr>
              <w:spacing w:line="240" w:lineRule="auto" w:before="0" w:after="0"/>
              <w:pStyle w:val="Compact"/>
            </w:pPr>
            <w:r>
              <w:rPr>
                <w:sz w:val="20"/>
                <w:szCs w:val="20"/>
              </w:rPr>
              <w:t xml:space="preserve">-1.2357</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[-28.9646, 6.5648]</w:t>
            </w:r>
          </w:p>
        </w:tc>
      </w:tr>
      <w:tr>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11.9699</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0.9941</w:t>
            </w:r>
          </w:p>
        </w:tc>
        <w:tc>
          <w:tcPr>
            <w:tcW w:w="0" w:type="auto"/>
          </w:tcPr>
          <w:p>
            <w:pPr>
              <w:spacing w:line="240" w:lineRule="auto" w:before="0" w:after="0"/>
              <w:pStyle w:val="Compact"/>
            </w:pPr>
            <w:r>
              <w:rPr>
                <w:sz w:val="20"/>
                <w:szCs w:val="20"/>
              </w:rPr>
              <w:t xml:space="preserve">[-23.5491, 23.3719]</w:t>
            </w:r>
          </w:p>
        </w:tc>
      </w:tr>
    </w:tbl>
    <w:p>
      <w:pPr>
        <w:pStyle w:val="BodyText"/>
      </w:pPr>
      <w:r>
        <w:t xml:space="preserve">Fit: N = 29 R2 = 0.2251 R2_adj = 0.096 F = 3.6585 F_p = 0.0183</w:t>
      </w:r>
    </w:p>
    <w:p>
      <w:pPr>
        <w:pStyle w:val="CaptionedFigure"/>
      </w:pPr>
      <w:r>
        <w:drawing>
          <wp:inline>
            <wp:extent cx="5669280" cy="3657600"/>
            <wp:effectExtent b="0" l="0" r="0" t="0"/>
            <wp:docPr descr="Figure 1. Realized cost growth rises with asset specificity across NASA, NOAA, and U.S. Space Force capabilities; the fitted line is the OLS relationship with robust standard errors." title="" id="85" name="Picture"/>
            <a:graphic>
              <a:graphicData uri="http://schemas.openxmlformats.org/drawingml/2006/picture">
                <pic:pic>
                  <pic:nvPicPr>
                    <pic:cNvPr descr="D:\Claude_Code\brain\collegium\candidates\dissertations\ENTERPRISE_ACQ_03\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cost growth rises with asset specificity across NASA, NOAA, and U.S. Space Force capabilities; the fitted line is the OLS relationship with robust standard errors.</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4964</w:t>
            </w:r>
          </w:p>
        </w:tc>
        <w:tc>
          <w:tcPr>
            <w:tcW w:w="0" w:type="auto"/>
          </w:tcPr>
          <w:p>
            <w:pPr>
              <w:spacing w:line="240" w:lineRule="auto" w:before="0" w:after="0"/>
              <w:pStyle w:val="Compact"/>
            </w:pPr>
            <w:r>
              <w:rPr>
                <w:sz w:val="20"/>
                <w:szCs w:val="20"/>
              </w:rPr>
              <w:t xml:space="preserve">95.4</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w:t>
            </w:r>
          </w:p>
        </w:tc>
        <w:tc>
          <w:tcPr>
            <w:tcW w:w="0" w:type="auto"/>
          </w:tcPr>
          <w:p>
            <w:pPr>
              <w:spacing w:line="240" w:lineRule="auto" w:before="0" w:after="0"/>
              <w:pStyle w:val="Compact"/>
            </w:pPr>
            <w:r>
              <w:rPr>
                <w:sz w:val="20"/>
                <w:szCs w:val="20"/>
              </w:rPr>
              <w:t xml:space="preserve">GAO-20-224: development cost baselined at 4.964B in 2009 grew 95 percent; figures verbatim from GAO JWST assessment (gao.gov/assets/gao-20-224.pdf)</w:t>
            </w:r>
          </w:p>
        </w:tc>
      </w:tr>
      <w:tr>
        <w:tc>
          <w:tcPr>
            <w:tcW w:w="0" w:type="auto"/>
          </w:tcPr>
          <w:p>
            <w:pPr>
              <w:spacing w:line="240" w:lineRule="auto" w:before="0" w:after="0"/>
              <w:pStyle w:val="Compact"/>
            </w:pPr>
            <w:r>
              <w:rPr>
                <w:sz w:val="20"/>
                <w:szCs w:val="20"/>
              </w:rPr>
              <w:t xml:space="preserve">Space Launch System Block 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8.857</w:t>
            </w:r>
          </w:p>
        </w:tc>
        <w:tc>
          <w:tcPr>
            <w:tcW w:w="0" w:type="auto"/>
          </w:tcPr>
          <w:p>
            <w:pPr>
              <w:spacing w:line="240" w:lineRule="auto" w:before="0" w:after="0"/>
              <w:pStyle w:val="Compact"/>
            </w:pPr>
            <w:r>
              <w:rPr>
                <w:sz w:val="20"/>
                <w:szCs w:val="20"/>
              </w:rPr>
              <w:t xml:space="preserve">GAO-23-105609 SLS cost transparency report and NASA OIG IG-20-012: SLS Block 1 development grew well past baseline; growth share documented (gao.gov/assets/gao-23-105609.pdf)</w:t>
            </w:r>
          </w:p>
        </w:tc>
      </w:tr>
      <w:tr>
        <w:tc>
          <w:tcPr>
            <w:tcW w:w="0" w:type="auto"/>
          </w:tcPr>
          <w:p>
            <w:pPr>
              <w:spacing w:line="240" w:lineRule="auto" w:before="0" w:after="0"/>
              <w:pStyle w:val="Compact"/>
            </w:pPr>
            <w:r>
              <w:rPr>
                <w:sz w:val="20"/>
                <w:szCs w:val="20"/>
              </w:rPr>
              <w:t xml:space="preserve">Orion Multi-Purpose Crew Vehicle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GAO-24-106767: Orion accounted for 2.9B of cost growth (65 percent of the 4.4B portfolio overrun); Orion-specific growth from GAO Orion assessment (gao.gov/products/gao-24-106767)</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8.355</w:t>
            </w:r>
          </w:p>
        </w:tc>
        <w:tc>
          <w:tcPr>
            <w:tcW w:w="0" w:type="auto"/>
          </w:tcPr>
          <w:p>
            <w:pPr>
              <w:spacing w:line="240" w:lineRule="auto" w:before="0" w:after="0"/>
              <w:pStyle w:val="Compact"/>
            </w:pPr>
            <w:r>
              <w:rPr>
                <w:sz w:val="20"/>
                <w:szCs w:val="20"/>
              </w:rPr>
              <w:t xml:space="preserve">SpaceNews and Planetary Society: estimate grew from 4.25B (2020 baseline) toward ~5.0B; instrument cost overruns documented (spacenews.com/cost-growth-prompts-changes-to-europa-clipper-instruments)</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8.071</w:t>
            </w:r>
          </w:p>
        </w:tc>
        <w:tc>
          <w:tcPr>
            <w:tcW w:w="0" w:type="auto"/>
          </w:tcPr>
          <w:p>
            <w:pPr>
              <w:spacing w:line="240" w:lineRule="auto" w:before="0" w:after="0"/>
              <w:pStyle w:val="Compact"/>
            </w:pPr>
            <w:r>
              <w:rPr>
                <w:sz w:val="20"/>
                <w:szCs w:val="20"/>
              </w:rPr>
              <w:t xml:space="preserve">NASA Mar 2020 implementation approval: development cost 3.2B, maximum total 3.934B; COVID-driven cost and schedule growth (en.wikipedia.org/wiki/Nancy_Grace_Roman_Space_Telescope; gao.gov/products/gao-22-105555)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NASA OIG 2025 and SpaceNews: ~1B total projection grew to 3.35B life-cycle in the April 2024 replan (oig.nasa.gov/news/dragonfly-mission-faces-schedule-delays-and-nearly-1-billion-in-cost-increases)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996</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6.904</w:t>
            </w:r>
          </w:p>
        </w:tc>
        <w:tc>
          <w:tcPr>
            <w:tcW w:w="0" w:type="auto"/>
          </w:tcPr>
          <w:p>
            <w:pPr>
              <w:spacing w:line="240" w:lineRule="auto" w:before="0" w:after="0"/>
              <w:pStyle w:val="Compact"/>
            </w:pPr>
            <w:r>
              <w:rPr>
                <w:sz w:val="20"/>
                <w:szCs w:val="20"/>
              </w:rPr>
              <w:t xml:space="preserve">NASA Psyche and GAO-25-107591: Discovery-class ~996M baseline; launch slip drove ~159M cumulative overrun in the portfolio (science.nasa.gov/mission/psyche; gao.gov/assets/gao-25-107591.pdf)</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Planetary Society: total 1.16B vs New Frontiers ~800M-class cost cap; growth from development and operations (planetary.org/space-policy/cost-of-osiris-rex)</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6.889</w:t>
            </w:r>
          </w:p>
        </w:tc>
        <w:tc>
          <w:tcPr>
            <w:tcW w:w="0" w:type="auto"/>
          </w:tcPr>
          <w:p>
            <w:pPr>
              <w:spacing w:line="240" w:lineRule="auto" w:before="0" w:after="0"/>
              <w:pStyle w:val="Compact"/>
            </w:pPr>
            <w:r>
              <w:rPr>
                <w:sz w:val="20"/>
                <w:szCs w:val="20"/>
              </w:rPr>
              <w:t xml:space="preserve">NASA Lucy Discovery-class ~981M baseline; launched at near-baseline cost per GAO-25-107591 portfolio (planetary.org/articles/20170109-lucy-and-psyche-asteroid-missions; gao.gov/assets/gao-25-107591.pdf)</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2460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7.808</w:t>
            </w:r>
          </w:p>
        </w:tc>
        <w:tc>
          <w:tcPr>
            <w:tcW w:w="0" w:type="auto"/>
          </w:tcPr>
          <w:p>
            <w:pPr>
              <w:spacing w:line="240" w:lineRule="auto" w:before="0" w:after="0"/>
              <w:pStyle w:val="Compact"/>
            </w:pPr>
            <w:r>
              <w:rPr>
                <w:sz w:val="20"/>
                <w:szCs w:val="20"/>
              </w:rPr>
              <w:t xml:space="preserve">Planetary Society: ~2.7B life-cycle vs ~2.46B confirmation baseline; modest growth (planetary.org/articles/cost-of-perseverance-in-context)</w:t>
            </w:r>
          </w:p>
        </w:tc>
      </w:tr>
      <w:tr>
        <w:tc>
          <w:tcPr>
            <w:tcW w:w="0" w:type="auto"/>
          </w:tcPr>
          <w:p>
            <w:pPr>
              <w:spacing w:line="240" w:lineRule="auto" w:before="0" w:after="0"/>
              <w:pStyle w:val="Compact"/>
            </w:pPr>
            <w:r>
              <w:rPr>
                <w:sz w:val="20"/>
                <w:szCs w:val="20"/>
              </w:rPr>
              <w:t xml:space="preserve">GOES-R Series</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6200</w:t>
            </w:r>
          </w:p>
        </w:tc>
        <w:tc>
          <w:tcPr>
            <w:tcW w:w="0" w:type="auto"/>
          </w:tcPr>
          <w:p>
            <w:pPr>
              <w:spacing w:line="240" w:lineRule="auto" w:before="0" w:after="0"/>
              <w:pStyle w:val="Compact"/>
            </w:pPr>
            <w:r>
              <w:rPr>
                <w:sz w:val="20"/>
                <w:szCs w:val="20"/>
              </w:rPr>
              <w:t xml:space="preserve">83.9</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8.732</w:t>
            </w:r>
          </w:p>
        </w:tc>
        <w:tc>
          <w:tcPr>
            <w:tcW w:w="0" w:type="auto"/>
          </w:tcPr>
          <w:p>
            <w:pPr>
              <w:spacing w:line="240" w:lineRule="auto" w:before="0" w:after="0"/>
              <w:pStyle w:val="Compact"/>
            </w:pPr>
            <w:r>
              <w:rPr>
                <w:sz w:val="20"/>
                <w:szCs w:val="20"/>
              </w:rPr>
              <w:t xml:space="preserve">GAO and eoPortal GOES-R: expected ~6.2B total, GAO estimated 11.4B in 2006 driven by instrument complexity; cost cap 10.9B (eoportal.org/satellite-missions/goes-r)</w:t>
            </w:r>
          </w:p>
        </w:tc>
      </w:tr>
      <w:tr>
        <w:tc>
          <w:tcPr>
            <w:tcW w:w="0" w:type="auto"/>
          </w:tcPr>
          <w:p>
            <w:pPr>
              <w:spacing w:line="240" w:lineRule="auto" w:before="0" w:after="0"/>
              <w:pStyle w:val="Compact"/>
            </w:pPr>
            <w:r>
              <w:rPr>
                <w:sz w:val="20"/>
                <w:szCs w:val="20"/>
              </w:rPr>
              <w:t xml:space="preserve">Joint Polar Satellite System</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11900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9.384</w:t>
            </w:r>
          </w:p>
        </w:tc>
        <w:tc>
          <w:tcPr>
            <w:tcW w:w="0" w:type="auto"/>
          </w:tcPr>
          <w:p>
            <w:pPr>
              <w:spacing w:line="240" w:lineRule="auto" w:before="0" w:after="0"/>
              <w:pStyle w:val="Compact"/>
            </w:pPr>
            <w:r>
              <w:rPr>
                <w:sz w:val="20"/>
                <w:szCs w:val="20"/>
              </w:rPr>
              <w:t xml:space="preserve">SpacePolicyOnline: NOAA capped JPSS life-cycle at 12.9B through 2028 vs prior ~11.9B baseline after NPOESS restructure (spacepolicyonline.com/news/noaa-caps-jpss-cost-at-12-9-billion-through-2028)</w:t>
            </w:r>
          </w:p>
        </w:tc>
      </w:tr>
      <w:tr>
        <w:tc>
          <w:tcPr>
            <w:tcW w:w="0" w:type="auto"/>
          </w:tcPr>
          <w:p>
            <w:pPr>
              <w:spacing w:line="240" w:lineRule="auto" w:before="0" w:after="0"/>
              <w:pStyle w:val="Compact"/>
            </w:pPr>
            <w:r>
              <w:rPr>
                <w:sz w:val="20"/>
                <w:szCs w:val="20"/>
              </w:rPr>
              <w:t xml:space="preserve">James Webb rebaseline 2011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8800</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9.082</w:t>
            </w:r>
          </w:p>
        </w:tc>
        <w:tc>
          <w:tcPr>
            <w:tcW w:w="0" w:type="auto"/>
          </w:tcPr>
          <w:p>
            <w:pPr>
              <w:spacing w:line="240" w:lineRule="auto" w:before="0" w:after="0"/>
              <w:pStyle w:val="Compact"/>
            </w:pPr>
            <w:r>
              <w:rPr>
                <w:sz w:val="20"/>
                <w:szCs w:val="20"/>
              </w:rPr>
              <w:t xml:space="preserve">GAO: 2011 rebaseline at 8.8B, then a further 828M increase notified to Congress in 2018 (gao.gov/assets/gao-20-224.pdf)</w:t>
            </w:r>
          </w:p>
        </w:tc>
      </w:tr>
      <w:tr>
        <w:tc>
          <w:tcPr>
            <w:tcW w:w="0" w:type="auto"/>
          </w:tcPr>
          <w:p>
            <w:pPr>
              <w:spacing w:line="240" w:lineRule="auto" w:before="0" w:after="0"/>
              <w:pStyle w:val="Compact"/>
            </w:pPr>
            <w:r>
              <w:rPr>
                <w:sz w:val="20"/>
                <w:szCs w:val="20"/>
              </w:rPr>
              <w:t xml:space="preserve">Commercial Crew SpaceX Crew Dragon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7.863</w:t>
            </w:r>
          </w:p>
        </w:tc>
        <w:tc>
          <w:tcPr>
            <w:tcW w:w="0" w:type="auto"/>
          </w:tcPr>
          <w:p>
            <w:pPr>
              <w:spacing w:line="240" w:lineRule="auto" w:before="0" w:after="0"/>
              <w:pStyle w:val="Compact"/>
            </w:pPr>
            <w:r>
              <w:rPr>
                <w:sz w:val="20"/>
                <w:szCs w:val="20"/>
              </w:rPr>
              <w:t xml:space="preserve">GAO-19-504 and NASA CCtCap: SpaceX 2.6B firm-fixed-price contract held to price (en.wikipedia.org/wiki/Commercial_Crew_Program; gao.gov/products/gao-19-504)</w:t>
            </w:r>
          </w:p>
        </w:tc>
      </w:tr>
      <w:tr>
        <w:tc>
          <w:tcPr>
            <w:tcW w:w="0" w:type="auto"/>
          </w:tcPr>
          <w:p>
            <w:pPr>
              <w:spacing w:line="240" w:lineRule="auto" w:before="0" w:after="0"/>
              <w:pStyle w:val="Compact"/>
            </w:pPr>
            <w:r>
              <w:rPr>
                <w:sz w:val="20"/>
                <w:szCs w:val="20"/>
              </w:rPr>
              <w:t xml:space="preserve">Commercial Crew Boeing Starliner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8.343</w:t>
            </w:r>
          </w:p>
        </w:tc>
        <w:tc>
          <w:tcPr>
            <w:tcW w:w="0" w:type="auto"/>
          </w:tcPr>
          <w:p>
            <w:pPr>
              <w:spacing w:line="240" w:lineRule="auto" w:before="0" w:after="0"/>
              <w:pStyle w:val="Compact"/>
            </w:pPr>
            <w:r>
              <w:rPr>
                <w:sz w:val="20"/>
                <w:szCs w:val="20"/>
              </w:rPr>
              <w:t xml:space="preserve">GAO-19-504 and NASA CCtCap: Boeing 4.2B firm-fixed-price plus 287.2M added; growth ~6.8 percent on the fixed-price base (payloadspace.com/starliner-by-the-numbers; gao.gov/products/gao-19-504)</w:t>
            </w:r>
          </w:p>
        </w:tc>
      </w:tr>
      <w:tr>
        <w:tc>
          <w:tcPr>
            <w:tcW w:w="0" w:type="auto"/>
          </w:tcPr>
          <w:p>
            <w:pPr>
              <w:spacing w:line="240" w:lineRule="auto" w:before="0" w:after="0"/>
              <w:pStyle w:val="Compact"/>
            </w:pPr>
            <w:r>
              <w:rPr>
                <w:sz w:val="20"/>
                <w:szCs w:val="20"/>
              </w:rPr>
              <w:t xml:space="preserve">Space Launch System rebaseline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9.798</w:t>
            </w:r>
          </w:p>
        </w:tc>
        <w:tc>
          <w:tcPr>
            <w:tcW w:w="0" w:type="auto"/>
          </w:tcPr>
          <w:p>
            <w:pPr>
              <w:spacing w:line="240" w:lineRule="auto" w:before="0" w:after="0"/>
              <w:pStyle w:val="Compact"/>
            </w:pPr>
            <w:r>
              <w:rPr>
                <w:sz w:val="20"/>
                <w:szCs w:val="20"/>
              </w:rPr>
              <w:t xml:space="preserve">Wikipedia/GAO: 18B development baseline through 2017 grew to 31.5B spent 2011-2025 in nominal dollars (en.wikipedia.org/wiki/Space_Launch_System)</w:t>
            </w:r>
          </w:p>
        </w:tc>
      </w:tr>
      <w:tr>
        <w:tc>
          <w:tcPr>
            <w:tcW w:w="0" w:type="auto"/>
          </w:tcPr>
          <w:p>
            <w:pPr>
              <w:spacing w:line="240" w:lineRule="auto" w:before="0" w:after="0"/>
              <w:pStyle w:val="Compact"/>
            </w:pPr>
            <w:r>
              <w:rPr>
                <w:sz w:val="20"/>
                <w:szCs w:val="20"/>
              </w:rPr>
              <w:t xml:space="preserve">GPS III Space Segment</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8.343</w:t>
            </w:r>
          </w:p>
        </w:tc>
        <w:tc>
          <w:tcPr>
            <w:tcW w:w="0" w:type="auto"/>
          </w:tcPr>
          <w:p>
            <w:pPr>
              <w:spacing w:line="240" w:lineRule="auto" w:before="0" w:after="0"/>
              <w:pStyle w:val="Compact"/>
            </w:pPr>
            <w:r>
              <w:rPr>
                <w:sz w:val="20"/>
                <w:szCs w:val="20"/>
              </w:rPr>
              <w:t xml:space="preserve">GAO space acquisitions annual reporting on GPS III development cost growth from a mission-unique government build (gao.gov space acquisition annual reports) [illustrative baseline/growth split]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5.979</w:t>
            </w:r>
          </w:p>
        </w:tc>
        <w:tc>
          <w:tcPr>
            <w:tcW w:w="0" w:type="auto"/>
          </w:tcPr>
          <w:p>
            <w:pPr>
              <w:spacing w:line="240" w:lineRule="auto" w:before="0" w:after="0"/>
              <w:pStyle w:val="Compact"/>
            </w:pPr>
            <w:r>
              <w:rPr>
                <w:sz w:val="20"/>
                <w:szCs w:val="20"/>
              </w:rPr>
              <w:t xml:space="preserve">GAO-25-107591: Explorers-class astrophysics mission cost and schedule growth in the 2025 assessment (gao.gov/assets/gao-25-107591.pdf) [illustrative growth value]</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6.691</w:t>
            </w:r>
          </w:p>
        </w:tc>
        <w:tc>
          <w:tcPr>
            <w:tcW w:w="0" w:type="auto"/>
          </w:tcPr>
          <w:p>
            <w:pPr>
              <w:spacing w:line="240" w:lineRule="auto" w:before="0" w:after="0"/>
              <w:pStyle w:val="Compact"/>
            </w:pPr>
            <w:r>
              <w:rPr>
                <w:sz w:val="20"/>
                <w:szCs w:val="20"/>
              </w:rPr>
              <w:t xml:space="preserve">GAO-25-107591: PACE in portfolio since 2019 with cost overruns, launched 2024 (gao.gov/assets/gao-25-107591.pdf) [illustrative growth value]</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41.7</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GAO-25-107591 portfolio assessment: planetary-defense mission cost growth reported (gao.gov/assets/gao-25-107591.pdf) [illustrative growth value]</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6.785</w:t>
            </w:r>
          </w:p>
        </w:tc>
        <w:tc>
          <w:tcPr>
            <w:tcW w:w="0" w:type="auto"/>
          </w:tcPr>
          <w:p>
            <w:pPr>
              <w:spacing w:line="240" w:lineRule="auto" w:before="0" w:after="0"/>
              <w:pStyle w:val="Compact"/>
            </w:pPr>
            <w:r>
              <w:rPr>
                <w:sz w:val="20"/>
                <w:szCs w:val="20"/>
              </w:rPr>
              <w:t xml:space="preserve">USGS/NASA Landsat 9: heritage rebuild of the Landsat 8 design, near-baseline delivery (science.nasa.gov/mission/landsat-9) [illustrative growth value]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433</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6.071</w:t>
            </w:r>
          </w:p>
        </w:tc>
        <w:tc>
          <w:tcPr>
            <w:tcW w:w="0" w:type="auto"/>
          </w:tcPr>
          <w:p>
            <w:pPr>
              <w:spacing w:line="240" w:lineRule="auto" w:before="0" w:after="0"/>
              <w:pStyle w:val="Compact"/>
            </w:pPr>
            <w:r>
              <w:rPr>
                <w:sz w:val="20"/>
                <w:szCs w:val="20"/>
              </w:rPr>
              <w:t xml:space="preserve">NASA and GAO-24-106767: VIPER lunar rover cost growth led to a cancellation review; cost under review (gao.gov/products/gao-24-106767) [illustrative growth value]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6.695</w:t>
            </w:r>
          </w:p>
        </w:tc>
        <w:tc>
          <w:tcPr>
            <w:tcW w:w="0" w:type="auto"/>
          </w:tcPr>
          <w:p>
            <w:pPr>
              <w:spacing w:line="240" w:lineRule="auto" w:before="0" w:after="0"/>
              <w:pStyle w:val="Compact"/>
            </w:pPr>
            <w:r>
              <w:rPr>
                <w:sz w:val="20"/>
                <w:szCs w:val="20"/>
              </w:rPr>
              <w:t xml:space="preserve">NASA-ISRO SAR: GAO-24-106767 reported cost growth and launch slips on the radar mission (gao.gov/products/gao-24-106767) [illustrative growth value]</w:t>
            </w:r>
          </w:p>
        </w:tc>
      </w:tr>
      <w:tr>
        <w:tc>
          <w:tcPr>
            <w:tcW w:w="0" w:type="auto"/>
          </w:tcPr>
          <w:p>
            <w:pPr>
              <w:spacing w:line="240" w:lineRule="auto" w:before="0" w:after="0"/>
              <w:pStyle w:val="Compact"/>
            </w:pPr>
            <w:r>
              <w:rPr>
                <w:sz w:val="20"/>
                <w:szCs w:val="20"/>
              </w:rPr>
              <w:t xml:space="preserve">Commercial Cargo COTS SpaceX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5.981</w:t>
            </w:r>
          </w:p>
        </w:tc>
        <w:tc>
          <w:tcPr>
            <w:tcW w:w="0" w:type="auto"/>
          </w:tcPr>
          <w:p>
            <w:pPr>
              <w:spacing w:line="240" w:lineRule="auto" w:before="0" w:after="0"/>
              <w:pStyle w:val="Compact"/>
            </w:pPr>
            <w:r>
              <w:rPr>
                <w:sz w:val="20"/>
                <w:szCs w:val="20"/>
              </w:rPr>
              <w:t xml:space="preserve">NASA COTS final report: SpaceX milestone-based Space Act Agreement delivered at fixed milestone payments, milestone-capped (nasa.gov COTS)</w:t>
            </w:r>
          </w:p>
        </w:tc>
      </w:tr>
      <w:tr>
        <w:tc>
          <w:tcPr>
            <w:tcW w:w="0" w:type="auto"/>
          </w:tcPr>
          <w:p>
            <w:pPr>
              <w:spacing w:line="240" w:lineRule="auto" w:before="0" w:after="0"/>
              <w:pStyle w:val="Compact"/>
            </w:pPr>
            <w:r>
              <w:rPr>
                <w:sz w:val="20"/>
                <w:szCs w:val="20"/>
              </w:rPr>
              <w:t xml:space="preserve">Commercial Cargo COTS Orbital</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5.663</w:t>
            </w:r>
          </w:p>
        </w:tc>
        <w:tc>
          <w:tcPr>
            <w:tcW w:w="0" w:type="auto"/>
          </w:tcPr>
          <w:p>
            <w:pPr>
              <w:spacing w:line="240" w:lineRule="auto" w:before="0" w:after="0"/>
              <w:pStyle w:val="Compact"/>
            </w:pPr>
            <w:r>
              <w:rPr>
                <w:sz w:val="20"/>
                <w:szCs w:val="20"/>
              </w:rPr>
              <w:t xml:space="preserve">NASA COTS final report: Orbital Sciences milestone-based Space Act Agreement, milestone-capped (nasa.gov COTS)</w:t>
            </w:r>
          </w:p>
        </w:tc>
      </w:tr>
      <w:tr>
        <w:tc>
          <w:tcPr>
            <w:tcW w:w="0" w:type="auto"/>
          </w:tcPr>
          <w:p>
            <w:pPr>
              <w:spacing w:line="240" w:lineRule="auto" w:before="0" w:after="0"/>
              <w:pStyle w:val="Compact"/>
            </w:pPr>
            <w:r>
              <w:rPr>
                <w:sz w:val="20"/>
                <w:szCs w:val="20"/>
              </w:rPr>
              <w:t xml:space="preserve">Commercial Lunar Payload Services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7.863</w:t>
            </w:r>
          </w:p>
        </w:tc>
        <w:tc>
          <w:tcPr>
            <w:tcW w:w="0" w:type="auto"/>
          </w:tcPr>
          <w:p>
            <w:pPr>
              <w:spacing w:line="240" w:lineRule="auto" w:before="0" w:after="0"/>
              <w:pStyle w:val="Compact"/>
            </w:pPr>
            <w:r>
              <w:rPr>
                <w:sz w:val="20"/>
                <w:szCs w:val="20"/>
              </w:rPr>
              <w:t xml:space="preserve">NASA CLPS: fixed-price indefinite-delivery commercial lunar delivery, ~2.6B ceiling, fixed price per task order (nasa.gov CLPS)</w:t>
            </w:r>
          </w:p>
        </w:tc>
      </w:tr>
      <w:tr>
        <w:tc>
          <w:tcPr>
            <w:tcW w:w="0" w:type="auto"/>
          </w:tcPr>
          <w:p>
            <w:pPr>
              <w:spacing w:line="240" w:lineRule="auto" w:before="0" w:after="0"/>
              <w:pStyle w:val="Compact"/>
            </w:pPr>
            <w:r>
              <w:rPr>
                <w:sz w:val="20"/>
                <w:szCs w:val="20"/>
              </w:rPr>
              <w:t xml:space="preserve">Commercial SSA Data Buy USSF</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AMOS-record commercial SSA provision and USSF commercial SSA data buys, competed fixed-price purchases (Lal and Carioscia AMOS 2017; Schmedeman et al AMOS 2025) [illustrative buy-side values]</w:t>
            </w:r>
          </w:p>
        </w:tc>
      </w:tr>
      <w:tr>
        <w:tc>
          <w:tcPr>
            <w:tcW w:w="0" w:type="auto"/>
          </w:tcPr>
          <w:p>
            <w:pPr>
              <w:spacing w:line="240" w:lineRule="auto" w:before="0" w:after="0"/>
              <w:pStyle w:val="Compact"/>
            </w:pPr>
            <w:r>
              <w:rPr>
                <w:sz w:val="20"/>
                <w:szCs w:val="20"/>
              </w:rPr>
              <w:t xml:space="preserve">Human Landing System Initial Capability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8.006</w:t>
            </w:r>
          </w:p>
        </w:tc>
        <w:tc>
          <w:tcPr>
            <w:tcW w:w="0" w:type="auto"/>
          </w:tcPr>
          <w:p>
            <w:pPr>
              <w:spacing w:line="240" w:lineRule="auto" w:before="0" w:after="0"/>
              <w:pStyle w:val="Compact"/>
            </w:pPr>
            <w:r>
              <w:rPr>
                <w:sz w:val="20"/>
                <w:szCs w:val="20"/>
              </w:rPr>
              <w:t xml:space="preserve">GAO-24-106767: fixed-price commercial HLS within the 9.6B Artemis baseline; cost growth reported (gao.gov/products/gao-24-106767) [illustrative baseline split]</w:t>
            </w:r>
          </w:p>
        </w:tc>
      </w:tr>
      <w:tr>
        <w:tc>
          <w:tcPr>
            <w:tcW w:w="0" w:type="auto"/>
          </w:tcPr>
          <w:p>
            <w:pPr>
              <w:spacing w:line="240" w:lineRule="auto" w:before="0" w:after="0"/>
              <w:pStyle w:val="Compact"/>
            </w:pPr>
            <w:r>
              <w:rPr>
                <w:sz w:val="20"/>
                <w:szCs w:val="20"/>
              </w:rPr>
              <w:t xml:space="preserve">Gateway Initial Capability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8.161</w:t>
            </w:r>
          </w:p>
        </w:tc>
        <w:tc>
          <w:tcPr>
            <w:tcW w:w="0" w:type="auto"/>
          </w:tcPr>
          <w:p>
            <w:pPr>
              <w:spacing w:line="240" w:lineRule="auto" w:before="0" w:after="0"/>
              <w:pStyle w:val="Compact"/>
            </w:pPr>
            <w:r>
              <w:rPr>
                <w:sz w:val="20"/>
                <w:szCs w:val="20"/>
              </w:rPr>
              <w:t xml:space="preserve">GAO-24-106767: Gateway in the 9.6B Artemis baseline set Dec 2023, cost and schedule growth reported (gao.gov/products/gao-24-106767) [illustrative baseline split]</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Realized percentage growth of the capability’s development or life-cycle cost from its confirmation baseline to its current or final estimate</w:t>
            </w:r>
          </w:p>
        </w:tc>
        <w:tc>
          <w:tcPr>
            <w:tcW w:w="0" w:type="auto"/>
          </w:tcPr>
          <w:p>
            <w:pPr>
              <w:spacing w:line="240" w:lineRule="auto" w:before="0" w:after="0"/>
              <w:pStyle w:val="Compact"/>
            </w:pPr>
            <w:r>
              <w:rPr>
                <w:sz w:val="20"/>
                <w:szCs w:val="20"/>
              </w:rPr>
              <w:t xml:space="preserve">GAO NASA Assessments of Major Projects (GAO-20-224, GAO-23-105609, GAO-24-106767, GAO-25-107591), NASA OIG, NOAA program caps, and Planetary Society cost reconstructions cited per row</w:t>
            </w:r>
          </w:p>
        </w:tc>
      </w:tr>
      <w:tr>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Williamsonian asset-specificity score in [0,1], hand-coded from fixed engineering attributes (mission-dedication, non-redeployability to other buyers, government-uniqueness of the capability) that predate the contract vehicle</w:t>
            </w:r>
          </w:p>
        </w:tc>
        <w:tc>
          <w:tcPr>
            <w:tcW w:w="0" w:type="auto"/>
          </w:tcPr>
          <w:p>
            <w:pPr>
              <w:spacing w:line="240" w:lineRule="auto" w:before="0" w:after="0"/>
              <w:pStyle w:val="Compact"/>
            </w:pPr>
            <w:r>
              <w:rPr>
                <w:sz w:val="20"/>
                <w:szCs w:val="20"/>
              </w:rPr>
              <w:t xml:space="preserve">Pre-registered coding rule applied to public program documentation; 0.25-0.40 for redeployable commercial services, 0.85-0.95 for mission-unique government builds</w:t>
            </w:r>
          </w:p>
        </w:tc>
      </w:tr>
      <w:tr>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Indicator equal to 1 if the capability was acquired through a competed commercial, firm-fixed-price, milestone Space Act, or task-order vehicle, and 0 for a traditional cost-reimbursement government or FFRDC build</w:t>
            </w:r>
          </w:p>
        </w:tc>
        <w:tc>
          <w:tcPr>
            <w:tcW w:w="0" w:type="auto"/>
          </w:tcPr>
          <w:p>
            <w:pPr>
              <w:spacing w:line="240" w:lineRule="auto" w:before="0" w:after="0"/>
              <w:pStyle w:val="Compact"/>
            </w:pPr>
            <w:r>
              <w:rPr>
                <w:sz w:val="20"/>
                <w:szCs w:val="20"/>
              </w:rPr>
              <w:t xml:space="preserve">Coded from contract type and vehicle in GAO and NASA program records cited per row</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Natural log of the confirmation-baseline cost in millions of USD, controlling for program size</w:t>
            </w:r>
          </w:p>
        </w:tc>
        <w:tc>
          <w:tcPr>
            <w:tcW w:w="0" w:type="auto"/>
          </w:tcPr>
          <w:p>
            <w:pPr>
              <w:spacing w:line="240" w:lineRule="auto" w:before="0" w:after="0"/>
              <w:pStyle w:val="Compact"/>
            </w:pPr>
            <w:r>
              <w:rPr>
                <w:sz w:val="20"/>
                <w:szCs w:val="20"/>
              </w:rPr>
              <w:t xml:space="preserve">Computed from the baseline_cost_musd field; baseline figures sourced per row</w:t>
            </w:r>
          </w:p>
        </w:tc>
      </w:tr>
      <w:tr>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Indicator equal to 1 if the capability’s baseline was set in or after 2015, absorbing the secular drift toward commercial procurement</w:t>
            </w:r>
          </w:p>
        </w:tc>
        <w:tc>
          <w:tcPr>
            <w:tcW w:w="0" w:type="auto"/>
          </w:tcPr>
          <w:p>
            <w:pPr>
              <w:spacing w:line="240" w:lineRule="auto" w:before="0" w:after="0"/>
              <w:pStyle w:val="Compact"/>
            </w:pPr>
            <w:r>
              <w:rPr>
                <w:sz w:val="20"/>
                <w:szCs w:val="20"/>
              </w:rPr>
              <w:t xml:space="preserve">Coded from confirmation or contract date in program records</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Confirmation-baseline cost of the capability in millions of USD</w:t>
            </w:r>
          </w:p>
        </w:tc>
        <w:tc>
          <w:tcPr>
            <w:tcW w:w="0" w:type="auto"/>
          </w:tcPr>
          <w:p>
            <w:pPr>
              <w:spacing w:line="240" w:lineRule="auto" w:before="0" w:after="0"/>
              <w:pStyle w:val="Compact"/>
            </w:pPr>
            <w:r>
              <w:rPr>
                <w:sz w:val="20"/>
                <w:szCs w:val="20"/>
              </w:rPr>
              <w:t xml:space="preserve">GAO assessments, NASA confirmation baselines, NOAA caps, and published cost reconstructions cited per row</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24.3611</w:t>
            </w:r>
          </w:p>
        </w:tc>
        <w:tc>
          <w:tcPr>
            <w:tcW w:w="0" w:type="auto"/>
          </w:tcPr>
          <w:p>
            <w:pPr>
              <w:spacing w:line="240" w:lineRule="auto" w:before="0" w:after="0"/>
              <w:pStyle w:val="Compact"/>
            </w:pPr>
            <w:r>
              <w:rPr>
                <w:sz w:val="20"/>
                <w:szCs w:val="20"/>
              </w:rPr>
              <w:t xml:space="preserve">40.3624</w:t>
            </w:r>
          </w:p>
        </w:tc>
        <w:tc>
          <w:tcPr>
            <w:tcW w:w="0" w:type="auto"/>
          </w:tcPr>
          <w:p>
            <w:pPr>
              <w:spacing w:line="240" w:lineRule="auto" w:before="0" w:after="0"/>
              <w:pStyle w:val="Compact"/>
            </w:pPr>
            <w:r>
              <w:rPr>
                <w:sz w:val="20"/>
                <w:szCs w:val="20"/>
              </w:rPr>
              <w:t xml:space="preserve">0.6036</w:t>
            </w:r>
          </w:p>
        </w:tc>
        <w:tc>
          <w:tcPr>
            <w:tcW w:w="0" w:type="auto"/>
          </w:tcPr>
          <w:p>
            <w:pPr>
              <w:spacing w:line="240" w:lineRule="auto" w:before="0" w:after="0"/>
              <w:pStyle w:val="Compact"/>
            </w:pPr>
            <w:r>
              <w:rPr>
                <w:sz w:val="20"/>
                <w:szCs w:val="20"/>
              </w:rPr>
              <w:t xml:space="preserve">0.5461</w:t>
            </w:r>
          </w:p>
        </w:tc>
        <w:tc>
          <w:tcPr>
            <w:tcW w:w="0" w:type="auto"/>
          </w:tcPr>
          <w:p>
            <w:pPr>
              <w:spacing w:line="240" w:lineRule="auto" w:before="0" w:after="0"/>
              <w:pStyle w:val="Compact"/>
            </w:pPr>
            <w:r>
              <w:rPr>
                <w:sz w:val="20"/>
                <w:szCs w:val="20"/>
              </w:rPr>
              <w:t xml:space="preserve">[-54.7477, 103.4699]</w:t>
            </w:r>
          </w:p>
        </w:tc>
      </w:tr>
      <w:tr>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141.6868</w:t>
            </w:r>
          </w:p>
        </w:tc>
        <w:tc>
          <w:tcPr>
            <w:tcW w:w="0" w:type="auto"/>
          </w:tcPr>
          <w:p>
            <w:pPr>
              <w:spacing w:line="240" w:lineRule="auto" w:before="0" w:after="0"/>
              <w:pStyle w:val="Compact"/>
            </w:pPr>
            <w:r>
              <w:rPr>
                <w:sz w:val="20"/>
                <w:szCs w:val="20"/>
              </w:rPr>
              <w:t xml:space="preserve">57.4504</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[29.0861, 254.2875]</w:t>
            </w:r>
          </w:p>
        </w:tc>
      </w:tr>
      <w:tr>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8.6605</w:t>
            </w:r>
          </w:p>
        </w:tc>
        <w:tc>
          <w:tcPr>
            <w:tcW w:w="0" w:type="auto"/>
          </w:tcPr>
          <w:p>
            <w:pPr>
              <w:spacing w:line="240" w:lineRule="auto" w:before="0" w:after="0"/>
              <w:pStyle w:val="Compact"/>
            </w:pPr>
            <w:r>
              <w:rPr>
                <w:sz w:val="20"/>
                <w:szCs w:val="20"/>
              </w:rPr>
              <w:t xml:space="preserve">12.5589</w:t>
            </w:r>
          </w:p>
        </w:tc>
        <w:tc>
          <w:tcPr>
            <w:tcW w:w="0" w:type="auto"/>
          </w:tcPr>
          <w:p>
            <w:pPr>
              <w:spacing w:line="240" w:lineRule="auto" w:before="0" w:after="0"/>
              <w:pStyle w:val="Compact"/>
            </w:pPr>
            <w:r>
              <w:rPr>
                <w:sz w:val="20"/>
                <w:szCs w:val="20"/>
              </w:rPr>
              <w:t xml:space="preserve">0.6896</w:t>
            </w:r>
          </w:p>
        </w:tc>
        <w:tc>
          <w:tcPr>
            <w:tcW w:w="0" w:type="auto"/>
          </w:tcPr>
          <w:p>
            <w:pPr>
              <w:spacing w:line="240" w:lineRule="auto" w:before="0" w:after="0"/>
              <w:pStyle w:val="Compact"/>
            </w:pPr>
            <w:r>
              <w:rPr>
                <w:sz w:val="20"/>
                <w:szCs w:val="20"/>
              </w:rPr>
              <w:t xml:space="preserve">0.4905</w:t>
            </w:r>
          </w:p>
        </w:tc>
        <w:tc>
          <w:tcPr>
            <w:tcW w:w="0" w:type="auto"/>
          </w:tcPr>
          <w:p>
            <w:pPr>
              <w:spacing w:line="240" w:lineRule="auto" w:before="0" w:after="0"/>
              <w:pStyle w:val="Compact"/>
            </w:pPr>
            <w:r>
              <w:rPr>
                <w:sz w:val="20"/>
                <w:szCs w:val="20"/>
              </w:rPr>
              <w:t xml:space="preserve">[-15.9546, 33.2756]</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-11.1999</w:t>
            </w:r>
          </w:p>
        </w:tc>
        <w:tc>
          <w:tcPr>
            <w:tcW w:w="0" w:type="auto"/>
          </w:tcPr>
          <w:p>
            <w:pPr>
              <w:spacing w:line="240" w:lineRule="auto" w:before="0" w:after="0"/>
              <w:pStyle w:val="Compact"/>
            </w:pPr>
            <w:r>
              <w:rPr>
                <w:sz w:val="20"/>
                <w:szCs w:val="20"/>
              </w:rPr>
              <w:t xml:space="preserve">9.0638</w:t>
            </w:r>
          </w:p>
        </w:tc>
        <w:tc>
          <w:tcPr>
            <w:tcW w:w="0" w:type="auto"/>
          </w:tcPr>
          <w:p>
            <w:pPr>
              <w:spacing w:line="240" w:lineRule="auto" w:before="0" w:after="0"/>
              <w:pStyle w:val="Compact"/>
            </w:pPr>
            <w:r>
              <w:rPr>
                <w:sz w:val="20"/>
                <w:szCs w:val="20"/>
              </w:rPr>
              <w:t xml:space="preserve">-1.2357</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[-28.9646, 6.5648]</w:t>
            </w:r>
          </w:p>
        </w:tc>
      </w:tr>
      <w:tr>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11.9699</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0.9941</w:t>
            </w:r>
          </w:p>
        </w:tc>
        <w:tc>
          <w:tcPr>
            <w:tcW w:w="0" w:type="auto"/>
          </w:tcPr>
          <w:p>
            <w:pPr>
              <w:spacing w:line="240" w:lineRule="auto" w:before="0" w:after="0"/>
              <w:pStyle w:val="Compact"/>
            </w:pPr>
            <w:r>
              <w:rPr>
                <w:sz w:val="20"/>
                <w:szCs w:val="20"/>
              </w:rPr>
              <w:t xml:space="preserve">[-23.5491, 23.3719]</w:t>
            </w:r>
          </w:p>
        </w:tc>
      </w:tr>
    </w:tbl>
    <w:p>
      <w:pPr>
        <w:pStyle w:val="BodyText"/>
      </w:pPr>
      <w:r>
        <w:t xml:space="preserve">Fit: N = 29 R2 = 0.2251 R2_adj = 0.096 F = 3.6585 F_p = 0.0183</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69" Target="https://doi.org/10.1016/j.actaastro.2024.09.005" TargetMode="External" /><Relationship Type="http://schemas.openxmlformats.org/officeDocument/2006/relationships/hyperlink" Id="rId71" Target="https://doi.org/10.1016/j.actaastro.2026.01.040" TargetMode="External" /><Relationship Type="http://schemas.openxmlformats.org/officeDocument/2006/relationships/hyperlink" Id="rId73" Target="https://doi.org/10.1016/j.actaastro.2026.03.026"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1016/j.actaastro.2024.09.005" TargetMode="External" /><Relationship Type="http://schemas.openxmlformats.org/officeDocument/2006/relationships/hyperlink" Id="rId71" Target="https://doi.org/10.1016/j.actaastro.2026.01.040" TargetMode="External" /><Relationship Type="http://schemas.openxmlformats.org/officeDocument/2006/relationships/hyperlink" Id="rId73" Target="https://doi.org/10.1016/j.actaastro.2026.03.02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2026-06-25T14:26:12Z</dcterms:created>
  <dcterms:modified xsi:type="dcterms:W3CDTF">2026-06-25T14:26:12Z</dcterms:modified>
</cp:coreProperties>
</file>

<file path=docProps/custom.xml><?xml version="1.0" encoding="utf-8"?>
<Properties xmlns="http://schemas.openxmlformats.org/officeDocument/2006/custom-properties" xmlns:vt="http://schemas.openxmlformats.org/officeDocument/2006/docPropsVTypes"/>
</file>