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MAKE, BUY, OR FEDERATE: A TRANSACTION-COST TEST OF THE BOUNDARY CHOICE IN SPACE</w:t>
      </w:r>
    </w:p>
    <w:p>
      <w:pPr>
        <w:jc w:val="center"/>
      </w:pPr>
    </w:p>
    <w:p>
      <w:pPr>
        <w:jc w:val="center"/>
      </w:pPr>
      <w:r>
        <w:rPr>
          <w:rFonts w:ascii="Times New Roman" w:hAnsi="Times New Roman"/>
          <w:sz w:val="24"/>
        </w:rPr>
        <w:t>by</w:t>
      </w:r>
    </w:p>
    <w:p>
      <w:pPr>
        <w:jc w:val="center"/>
      </w:pPr>
      <w:r>
        <w:rPr>
          <w:rFonts w:ascii="Times New Roman" w:hAnsi="Times New Roman"/>
          <w:b/>
          <w:sz w:val="28"/>
        </w:rPr>
        <w:t>Henry Strand</w:t>
      </w:r>
    </w:p>
    <w:p>
      <w:pPr>
        <w:jc w:val="center"/>
      </w:pPr>
      <w:r>
        <w:rPr>
          <w:rFonts w:ascii="Times New Roman" w:hAnsi="Times New Roman"/>
          <w:sz w:val="24"/>
        </w:rPr>
        <w:t>1B-MPM-055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recurring-decision-and-its-stakes"/>
    <w:p>
      <w:pPr>
        <w:pStyle w:val="Heading2"/>
        <w:spacing w:line="480" w:lineRule="auto"/>
      </w:pPr>
      <w:r>
        <w:t xml:space="preserve">1.1 The recurring decision and its stakes</w:t>
      </w:r>
    </w:p>
    <w:p>
      <w:pPr>
        <w:pStyle w:val="FirstParagraph"/>
        <w:spacing w:line="480" w:lineRule="auto"/>
      </w:pPr>
      <w:r>
        <w:t xml:space="preserve">Take apart the machinery of any government space program and you find, underneath, a pile of sourcing decisions. Whatever the program needs next, a launch service, a tracking sensor, a science instrument, a ground segment, a feed of orbital observation data, somebody has to settle where it will come from. Three answers are available. Keep the labor in house, leaning on the agency’s own laboratories, its federally funded research and development centers, and government-furnished engineering: that is to make. Reach into the open market and take delivery of a finished commercial good or service: that is to buy. Or stand up a hybrid public-private arrangement that spreads property rights, technical risk, and revenue across a milestone-paid partnership: that is to federate. Wherever real programs get executed, the make-buy-federate question keeps returning, and a single portfolio poses it hundreds of times over.</w:t>
      </w:r>
    </w:p>
    <w:p>
      <w:pPr>
        <w:pStyle w:val="BodyText"/>
        <w:spacing w:line="480" w:lineRule="auto"/>
        <w:ind w:firstLine="720"/>
      </w:pPr>
      <w:r>
        <w:t xml:space="preserve">Abstraction has nothing to do with it, and the penalty for guessing wrong points in one of two opposite directions. Hand a commodity to a federated partnership when the open market would have sold it plainly, and you tie up public money in a custom deal that delivers late, since the agency shoulders the burden of a negotiated arrangement for something available off the shelf</w:t>
      </w:r>
      <w:r>
        <w:t xml:space="preserve"> </w:t>
      </w:r>
      <w:hyperlink w:anchor="ref-4">
        <w:r>
          <w:rPr>
            <w:rStyle w:val="Hyperlink"/>
          </w:rPr>
          <w:t xml:space="preserve">[4]</w:t>
        </w:r>
      </w:hyperlink>
      <w:r>
        <w:t xml:space="preserve">. Take the market route for a capability that turns out mission-specific and welded to one government system, and hold-up arrives: neither side has an alternative, the two are married into a bilateral exchange, and the check written when the work concludes looks nothing like the quote that opened it. None of this is rhetorical decoration. A companion analysis to this dissertation puts numbers on it. Over twenty-nine NASA, Space Force, and NOAA capabilities, asset specificity read off fixed engineering features forecasts realized cost growth at conventional significance; the most mission-unique flagships overshoot their confirmation baselines by sixty to more than two hundred percent while commodity commercial services barely move off zero. The bloated cost history of the high-specificity programs is what mispriced hazard looks like after the fact. Government Accountability Office and Office of Inspector General reporting tracks the James Webb Space Telescope, the Space Launch System, and the Dragonfly project as schedule-strained and grown far past baseline [16, 17, 18, 19], with the planetary missions logging overruns of their own [20, 21]. Botch the sourcing decision and you burn program dollars and mission calendar, and the size of the loss climbs with the specificity of whatever got mis-governed.</w:t>
      </w:r>
    </w:p>
    <w:p>
      <w:pPr>
        <w:pStyle w:val="BodyText"/>
        <w:spacing w:line="480" w:lineRule="auto"/>
        <w:ind w:firstLine="720"/>
      </w:pPr>
      <w:r>
        <w:t xml:space="preserve">For NASA and the Jet Propulsion Laboratory these stakes are live, not hypothetical. Even as the agency reorganizes itself around commercial supply, its flagship science and human-spaceflight programs go on being assembled in the most internalized form on the menu. JPL straddles that fault line. Its comparative advantage as a federally funded research and development center is exactly the mission-unique, high-specificity science capability at issue, and it works inside an enterprise now under instruction to buy and federate wherever the case holds. So for a laboratory of that description, where its work rightly belongs turns into an existential matter. Imagine a rule that could sort capabilities in advance, safe to buy over here, better federated over there, unavoidably made over there. It would inform the agency’s procurement strategy and the laboratory’s own self-understanding in one stroke. Does such a rule exist, and can the public record yield an estimate of it? That pair of questions drives this dissertation.</w:t>
      </w:r>
    </w:p>
    <w:bookmarkEnd w:id="61"/>
    <w:bookmarkStart w:id="62" w:name="Xae483d34ca6b1cd393d471adafbd4729968311b"/>
    <w:p>
      <w:pPr>
        <w:pStyle w:val="Heading2"/>
        <w:spacing w:line="480" w:lineRule="auto"/>
      </w:pPr>
      <w:r>
        <w:t xml:space="preserve">1.2 Make, buy, or federate as a transaction-cost problem</w:t>
      </w:r>
    </w:p>
    <w:p>
      <w:pPr>
        <w:pStyle w:val="FirstParagraph"/>
        <w:spacing w:line="480" w:lineRule="auto"/>
      </w:pPr>
      <w:r>
        <w:t xml:space="preserve">Money dominates how the boundary choice usually gets framed. Argue for buying or federating a space capability and the argument leans on price: markets are supposed to beat a government build on cost, and the pitch reads as a projection of commercial supply widening while unit cost keeps sliding [1, 8]. Nothing about that pitch is false. What it is is partial, and the piece it omits is the piece that decides how execution actually goes. Two results from this dissertation’s empirical papers hem the price story in from either side, and pointed together they argue for a different lens.</w:t>
      </w:r>
    </w:p>
    <w:p>
      <w:pPr>
        <w:pStyle w:val="BodyText"/>
        <w:spacing w:line="480" w:lineRule="auto"/>
        <w:ind w:firstLine="720"/>
      </w:pPr>
      <w:r>
        <w:t xml:space="preserve">Consider the first result. A capability’s price does not sit still; it moves. Fit a Wright learning curve to thirty-four orbital launch vehicles that entered service between 1963 and 2018 and the industry experience elasticity of cumulative launched-object stock on cost per kilogram to low Earth orbit comes back at -0.25, significant at the five percent level, which works out to a progress ratio of 0.841. Put plainly, every doubling of the worldwide launched-object stock shaves roughly sixteen percent off launch unit cost. So whatever sticker a program manager reads on a given afternoon is just one dot on a falling line, and a buy that reads as expensive now can read as a bargain once suppliers have climbed the curve. That same regression, though, ties only about one tenth of the cross-vehicle spread in unit cost to cumulative experience. Learning counts, and it counts as one force among several, plenty to clear significance yet nowhere near a sufficient statistic for the boundary choice. Which means the descriptive literature crediting the fall in launch cost to commercial ingenuity and cultural fervor [1, 8, 9] has spotted a genuine decline while accounting for very little of the variance.</w:t>
      </w:r>
    </w:p>
    <w:p>
      <w:pPr>
        <w:pStyle w:val="BodyText"/>
        <w:spacing w:line="480" w:lineRule="auto"/>
        <w:ind w:firstLine="720"/>
      </w:pPr>
      <w:r>
        <w:t xml:space="preserve">Now the second result. Whatever price leaves unexplained turns out to be sorted by a property the money lens never measures. In the Williamsonian account of transaction costs, the efficient governance form answers not to price by itself but to the attributes of the transaction, and the attribute pulling the heaviest load is asset specificity: how far a capability is locked to one buyer and stripped of any second use. Where specificity runs high, the two sides are pinned into a bilateral relationship, and what the exchange finally costs lies open to hold-up and to renegotiation without end. Score it before the ink dries on any contract and asset specificity still tells you where the overruns will land. Read this way, the boundary choice resolves most cleanly into a transaction-cost problem: a capability’s governance form falls out of its asset specificity, the uncertainty around it, and how often the government has to come back and re-transact, and price rides along as a control rather than the yardstick.</w:t>
      </w:r>
    </w:p>
    <w:p>
      <w:pPr>
        <w:pStyle w:val="BodyText"/>
        <w:spacing w:line="480" w:lineRule="auto"/>
        <w:ind w:firstLine="720"/>
      </w:pPr>
      <w:r>
        <w:t xml:space="preserve">That reframing is not a relabeling exercise. It swaps a forecast for a test. Grant that transaction attributes steer the boundary choice, and those attributes, scored from engineering features locked at the moment of decision, ought to predict the governance form a capability ends up with, on top of anything unit cost already predicts. The public record can rule on a claim of that kind.</w:t>
      </w:r>
    </w:p>
    <w:bookmarkEnd w:id="62"/>
    <w:bookmarkStart w:id="63" w:name="Xfb88ffc49ee5343136593b06b1ccea157d2ec8a"/>
    <w:p>
      <w:pPr>
        <w:pStyle w:val="Heading2"/>
        <w:spacing w:line="480" w:lineRule="auto"/>
      </w:pPr>
      <w:r>
        <w:t xml:space="preserve">1.3 The gap between the domain literature and the method literature</w:t>
      </w:r>
    </w:p>
    <w:p>
      <w:pPr>
        <w:pStyle w:val="FirstParagraph"/>
        <w:spacing w:line="480" w:lineRule="auto"/>
      </w:pPr>
      <w:r>
        <w:t xml:space="preserve">Two bodies of scholarship touch the boundary choice, and they talk past each other. The first is a domain literature covering the space economy and the governance of space. Its economics wing shows that orbital activity teems with externalities and market failures while aggregate governance levers get little grip</w:t>
      </w:r>
      <w:r>
        <w:t xml:space="preserve"> </w:t>
      </w:r>
      <w:hyperlink w:anchor="ref-1">
        <w:r>
          <w:rPr>
            <w:rStyle w:val="Hyperlink"/>
          </w:rPr>
          <w:t xml:space="preserve">[1]</w:t>
        </w:r>
      </w:hyperlink>
      <w:r>
        <w:t xml:space="preserve">. That wing accounts for why unassisted markets fall short in orbit, and it works at the altitude of the whole sector, handing down no rule a program office could apply to one capability. Its governance wing chronicles public-private partnerships proliferating as the state broadens its procurement and parcels out cost and risk to private operators [2, 5, 6]. Descriptive and taxonomic by nature, that work inventories governance forms and end-user value and follows the slow migration from legacy to New Space arrangements, never asking what settles which form a given capability lands in</w:t>
      </w:r>
      <w:r>
        <w:t xml:space="preserve"> </w:t>
      </w:r>
      <w:hyperlink w:anchor="ref-3">
        <w:r>
          <w:rPr>
            <w:rStyle w:val="Hyperlink"/>
          </w:rPr>
          <w:t xml:space="preserve">[3]</w:t>
        </w:r>
      </w:hyperlink>
      <w:r>
        <w:t xml:space="preserve">. Its newest strand notices the legacy pattern, where the public purse absorbs the cost, yielding to reworked product-service strategies, and it wonders when a capability slides from make toward buy while declining to test the question</w:t>
      </w:r>
      <w:r>
        <w:t xml:space="preserve"> </w:t>
      </w:r>
      <w:hyperlink w:anchor="ref-4">
        <w:r>
          <w:rPr>
            <w:rStyle w:val="Hyperlink"/>
          </w:rPr>
          <w:t xml:space="preserve">[4]</w:t>
        </w:r>
      </w:hyperlink>
      <w:r>
        <w:t xml:space="preserve">. Over in space situational awareness, the commercial-data literature sizes up options for civil and commercial provision and debates how far the government ought to trust commercial sensors [11, 13, 14, 15, 17], laying out option spaces and mission-oriented rubrics in place of any estimate of what drives the choice observed. Read the whole corpus and the same trait keeps surfacing: long on description, short on anything falsifiable. It reports that the boundary is in motion and labels the moving parts; it stays silent on which measurable conditions set it moving.</w:t>
      </w:r>
    </w:p>
    <w:p>
      <w:pPr>
        <w:pStyle w:val="BodyText"/>
        <w:spacing w:line="480" w:lineRule="auto"/>
        <w:ind w:firstLine="720"/>
      </w:pPr>
      <w:r>
        <w:t xml:space="preserve">Facing that domain work is a method literature in econometrics and cost engineering, holding precisely the instruments the domain side goes without. From transaction-cost economics comes a crisp, testable prediction: governance pulls inward as asset specificity climbs. From discrete-choice and ordered-response estimation comes the apparatus to put that prediction against a categorical outcome you can observe. From the Wright learning curve and the parametric cost-estimation tradition come disciplined ways to pin down the price trajectory the governance call has to weigh [22, 23, 24, 25]. Not one of these instruments has been aimed at the make-buy-federate decision in space. Parametric cost work models learning inside one program rather than across the sector, and its validators concede that accuracy on novel space missions is itself shaky</w:t>
      </w:r>
      <w:r>
        <w:t xml:space="preserve"> </w:t>
      </w:r>
      <w:hyperlink w:anchor="ref-24">
        <w:r>
          <w:rPr>
            <w:rStyle w:val="Hyperlink"/>
          </w:rPr>
          <w:t xml:space="preserve">[24]</w:t>
        </w:r>
      </w:hyperlink>
      <w:r>
        <w:t xml:space="preserve">. Transaction-cost economics, the obvious theory of the boundary, has gone entirely unestimated on any space-capability panel.</w:t>
      </w:r>
    </w:p>
    <w:p>
      <w:pPr>
        <w:pStyle w:val="BodyText"/>
        <w:spacing w:line="480" w:lineRule="auto"/>
        <w:ind w:firstLine="720"/>
      </w:pPr>
      <w:r>
        <w:t xml:space="preserve">The gap, then, is narrow and crossable. One side names the phenomenon and skips the test; the other holds the test and has never been aimed at the phenomenon. This dissertation plants itself at that crossing. Borrowing the transaction-cost theory the domain literature waves toward, the engineering attributes the space situational awareness literature already catalogs [11, 13, 14, 15], and the public spending record the DATA Act compelled into the open, it asks whether the theory holds up on contact with the evidence. No new theory of governance appears here, and no new estimator. What appears is an existing theory and an existing estimator, applied with discipline to a question the domain literature has parked in the descriptive register.</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A single estimable claim carries the dissertation, worded exactly so that it can lose. Every acquired space capability gets a transaction-cost index assembled from three coded dimensions in the Williamsonian scheme. Asset specificity registers how tightly the capability is bound to one government mission and how little it can be redeployed to other buyers. Uncertainty registers the technical and demand volatility around it. Contracting frequency registers how often the government has to come back and re-transact. On the other side of the equation sits the observed governance form, ranked from most to least internalized: make (1), federate (2), buy (3). An ordered logit fits the relationship, with the latent index driven by the transaction-cost index, the natural logarithm of unit cost, the natural logarithm of program size, and agency and epoch fixed effects.</w:t>
      </w:r>
    </w:p>
    <w:p>
      <w:pPr>
        <w:pStyle w:val="BodyText"/>
        <w:spacing w:line="480" w:lineRule="auto"/>
        <w:ind w:firstLine="720"/>
      </w:pPr>
      <w:r>
        <w:t xml:space="preserve">The null and its rival drop out at once. On the null, once unit cost and program size are held fixed, the transaction-cost index shows no tie to the observed governance form, and its marginal effect in the ordered model comes out zero. On the rival, greater asset specificity, greater uncertainty, and lesser contracting frequency go with more internalized governance forms, and the index keeps a statistically significant marginal effect even after unit cost and program size are held down. A lone coefficient settles the matter. If the coefficient on the transaction-cost index cannot be told apart from zero, the null carries, the transaction-cost reading of the boundary choice is falsified for space, and the money account wins the field as the better story. Everything hinges on that one estimate. The narrowness is on purpose, since a claim that cannot lose is no claim at all, and the discipline this dissertation holds itself to is to name up front the single number that would sink its thesis.</w:t>
      </w:r>
    </w:p>
    <w:p>
      <w:pPr>
        <w:pStyle w:val="BodyText"/>
        <w:spacing w:line="480" w:lineRule="auto"/>
        <w:ind w:firstLine="720"/>
      </w:pPr>
      <w:r>
        <w:t xml:space="preserve">Ahead of the integrated test, the two companion papers show the transaction-cost dimension pulling weight on the two margins where its predictions bite hardest. Asset specificity forecasts realized cost growth across a twenty-nine-capability panel, and the industry climbs its learning curve at a conventional aerospace rate that hems in the transaction-cost forces without unseating them. From those two reduced-form margins the dissertation steps up to the full ordered governance choice, asking whether the very index that anticipates overruns also anticipates the form the government reaches for to begin with.</w:t>
      </w:r>
    </w:p>
    <w:bookmarkEnd w:id="64"/>
    <w:bookmarkStart w:id="65" w:name="identification-in-brief"/>
    <w:p>
      <w:pPr>
        <w:pStyle w:val="Heading2"/>
        <w:spacing w:line="480" w:lineRule="auto"/>
      </w:pPr>
      <w:r>
        <w:t xml:space="preserve">1.5 Identification in brief</w:t>
      </w:r>
    </w:p>
    <w:p>
      <w:pPr>
        <w:pStyle w:val="FirstParagraph"/>
        <w:spacing w:line="480" w:lineRule="auto"/>
      </w:pPr>
      <w:r>
        <w:t xml:space="preserve">One threat dominates the claim, reverse causation: governance form might mold the measured asset specificity rather than mirror it. A within-domain natural laboratory disarms that threat. For two decades the procurement of space situational awareness data and services has yielded one functional capability, tracking data on resident space objects, through all three governance forms [11, 13, 14, 15]. That history lets asset specificity be scored off fixed engineering attributes of the capability, its orbit regime, sensor phenomenology, and latency requirement, all of which precede and stand outside the contract vehicle finally chosen. Coding runs through two raters kept blind to the governance outcome, inter-rater agreement gets reported, and any split is settled against primary program documentation. Default procurement culture is soaked up by agency fixed effects, and the slow drift toward commercial buy that the descriptive literature records</w:t>
      </w:r>
      <w:r>
        <w:t xml:space="preserve"> </w:t>
      </w:r>
      <w:hyperlink w:anchor="ref-2">
        <w:r>
          <w:rPr>
            <w:rStyle w:val="Hyperlink"/>
          </w:rPr>
          <w:t xml:space="preserve">[2]</w:t>
        </w:r>
      </w:hyperlink>
      <w:r>
        <w:t xml:space="preserve"> </w:t>
      </w:r>
      <w:r>
        <w:t xml:space="preserve">is soaked up by epoch fixed effects, which leaves the index identified from cross-capability variation inside agency and period instead of from the time trend. Under everything sits a hand-coded panel drawn from USAspending.gov prime-award and sub-award records for NASA, the Space Force and its forerunner Air Force Space Command, and NOAA’s Office of Space Commerce, its space situational awareness sub-panel tied to the option spaces and commercial-provision evaluations set down in the published conference record [11, 13, 14, 15] and to the federated-architecture case</w:t>
      </w:r>
      <w:r>
        <w:t xml:space="preserve"> </w:t>
      </w:r>
      <w:hyperlink w:anchor="ref-12">
        <w:r>
          <w:rPr>
            <w:rStyle w:val="Hyperlink"/>
          </w:rPr>
          <w:t xml:space="preserve">[12]</w:t>
        </w:r>
      </w:hyperlink>
      <w:r>
        <w:t xml:space="preserve">. Each coded value carries a link back to its source award identifier, so the whole panel stays reconstructable and auditable.</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proceeds as follows. Chapter 2 develops the theoretical framework, situating the make-buy-federate choice within transaction-cost economics and deriving the testable propositions that link asset specificity, uncertainty, and contracting frequency to governance internalization, while distinguishing the present account from the descriptive and typological treatments that dominate the domain literature [2, 3, 4]. Chapter 3 reviews the three bodies of work the dissertation joins, the space-economics literature, the New Space governance literature, and the commercial-data acquisition literature in space situational awareness, and locates the gap each leaves unfilled. Chapter 4 specifies the data and the coding protocol: the construction of the USAspending.gov panel, the pre-registered rules for coding the transaction-cost index from engineering attributes, the dual-blind coding procedure, and the provenance discipline that makes the panel auditable. Chapter 5 reports the first companion analysis, the hold-up margin, testing whether asset specificity predicts realized cost growth against the public cost record [16, 17, 18, 19, 20, 21]. Chapter 6 reports the second companion analysis, the price-trajectory margin, estimating the industry learning curve from the launch-cost and launched-object series [27, 28] and bounding how fast the price the boundary choice must weigh actually moves. Chapter 7 presents the integrating contribution: the ordered-logit test of whether the transaction-cost index predicts the observed governance form over and above unit cost and program size, together with the robustness checks, the rank-ordered alternative specification, the make-versus-buy restriction, the placebo on a permuted index, and the sensitivity of the coefficient to the most adverse reclassification of ambiguous Space Act and Other Transaction Authority vehicles. Chapter 8 treats the threats to validity in full, construct validity of the index, selection on unobservables, external validity beyond the space situational awareness laboratory, and measurement error in governance coding, and reports honestly where the result is fragile rather than confirmed. Chapter 9 concludes with the implications for NASA and JPL: what a transaction-cost decision rule, if it survives the test, would mean for how the enterprise decides where its work belongs, and what the falsification of that rule would mean if the single coefficient comes back zero.</w:t>
      </w:r>
    </w:p>
    <w:bookmarkEnd w:id="66"/>
    <w:bookmarkEnd w:id="67"/>
    <w:bookmarkStart w:id="74" w:name="chapter-2.-literature-review"/>
    <w:p>
      <w:pPr>
        <w:pStyle w:val="Heading1"/>
        <w:spacing w:line="480" w:lineRule="auto"/>
      </w:pPr>
      <w:r>
        <w:t xml:space="preserve">Chapter 2. Literature Review</w:t>
      </w:r>
    </w:p>
    <w:bookmarkStart w:id="68" w:name="purpose-and-organization-of-the-review"/>
    <w:p>
      <w:pPr>
        <w:pStyle w:val="Heading2"/>
        <w:spacing w:line="480" w:lineRule="auto"/>
      </w:pPr>
      <w:r>
        <w:t xml:space="preserve">2.1 Purpose and Organization of the Review</w:t>
      </w:r>
    </w:p>
    <w:p>
      <w:pPr>
        <w:pStyle w:val="FirstParagraph"/>
        <w:spacing w:line="480" w:lineRule="auto"/>
      </w:pPr>
      <w:r>
        <w:t xml:space="preserve">Here the chapter maps the scholarly ground the dissertation’s contribution stands on. My study contends that the make, buy, or federate boundary choice in government space programs is a transaction-cost problem wearing the costume of a price problem, and that whether a capability gets internalized or purchased can be predicted from the attributes of the transaction. Backing that contention calls for two demonstrations. One: the literature that genuinely describes space acquisition, reaching across space economics, the governance of New Space, and the operational evaluation of space situational awareness (SSA) capabilities, has piled up a full descriptive and taxonomic account of the boundary choice yet never advanced to a test anyone could falsify. Two: the literature holding the right predictive and measurement apparatus, the cliometric and econometric tradition of learning-curve estimation, parametric cost engineering, and the wider transaction-cost research program, has ripened into a disciplined empirical toolkit that has all the same never been swung at the space boundary choice. The two literatures sit apart. A missing junction divides them, not a missing fact, and fusing the methodological tradition to the domain question is what the dissertation is for.</w:t>
      </w:r>
    </w:p>
    <w:p>
      <w:pPr>
        <w:pStyle w:val="BodyText"/>
        <w:spacing w:line="480" w:lineRule="auto"/>
        <w:ind w:firstLine="720"/>
      </w:pPr>
      <w:r>
        <w:t xml:space="preserve">The review moves in five parts. Section 2.2 walks through the space-economics literature on market failure and governance traction. Section 2.3 takes up the New Space governance literature charting the shift from legacy public production toward public-private partnership and product-service reconfiguration. Section 2.4 works over the SSA domain literature, the dissertation’s empirical proving ground, where one functional capability has come through make, buy, and federate forms and where the technical evaluation runs dense but qualitative. Section 2.5 pivots to the cliometric and econometric methodology literature: the Wright learning curve, parametric cost estimation, and the ordered-response and hold-up tests that give transaction-cost economics operational teeth. Section 2.6 draws the two bodies together, pinpoints the gap, and lays out how the dissertation seals it.</w:t>
      </w:r>
    </w:p>
    <w:bookmarkEnd w:id="68"/>
    <w:bookmarkStart w:id="69" w:name="X157113ce883abef0499fb090353fa905a80abc1"/>
    <w:p>
      <w:pPr>
        <w:pStyle w:val="Heading2"/>
        <w:spacing w:line="480" w:lineRule="auto"/>
      </w:pPr>
      <w:r>
        <w:t xml:space="preserve">2.2 The Space-Economics Literature: Market Failure Without a Capability-Level Rule</w:t>
      </w:r>
    </w:p>
    <w:p>
      <w:pPr>
        <w:pStyle w:val="FirstParagraph"/>
        <w:spacing w:line="480" w:lineRule="auto"/>
      </w:pPr>
      <w:r>
        <w:t xml:space="preserve">At its root, modern space economics starts from a single observation: orbital activity is honeycombed with externalities and half-formed property rights. The foundational treatment casts space as an economic frontier where the usual market mechanisms fall down. Crowding, debris, and the want of enforceable orbital property rights leave private actors carrying none of the full social cost of what they do, and the governance levers on hand to fix that get little grip</w:t>
      </w:r>
      <w:r>
        <w:t xml:space="preserve"> </w:t>
      </w:r>
      <w:hyperlink w:anchor="ref-1">
        <w:r>
          <w:rPr>
            <w:rStyle w:val="Hyperlink"/>
          </w:rPr>
          <w:t xml:space="preserve">[1]</w:t>
        </w:r>
      </w:hyperlink>
      <w:r>
        <w:t xml:space="preserve">. Powerful as a diagnosis of why unassisted markets fail in orbit, that treatment sets the terms for everything published after it. Yet it diagnoses at the aggregate. It warns a policymaker that markets by themselves will misallocate orbital activity; it says nothing to a program manager, facing one capability at a time, about whether to build, buy, or federate that capability. Its unit of analysis is the orbital commons, never the individual acquisition.</w:t>
      </w:r>
    </w:p>
    <w:p>
      <w:pPr>
        <w:pStyle w:val="BodyText"/>
        <w:spacing w:line="480" w:lineRule="auto"/>
        <w:ind w:firstLine="720"/>
      </w:pPr>
      <w:r>
        <w:t xml:space="preserve">Forecasting work across the space-economy corpus keeps that same aggregate cast. Its leading projections trace the arc of the broader space economy and credit its swelling to falling launch costs and multiplying commercial application [8, 9]. Vital for sizing the market and for confirming that the drift toward commercial supply is genuine, these analyses still hover at the sector’s altitude. They explain why the commercial option exists and grows; they never estimate the conditions under which any specific government capability ought to move onto it. A neighboring line of work sets space activity inside sustainability, security, and development aims, reasoning yet again from the enterprise’s macro purposes rather than the micro-mechanics of a single procurement</w:t>
      </w:r>
      <w:r>
        <w:t xml:space="preserve"> </w:t>
      </w:r>
      <w:hyperlink w:anchor="ref-9">
        <w:r>
          <w:rPr>
            <w:rStyle w:val="Hyperlink"/>
          </w:rPr>
          <w:t xml:space="preserve">[9]</w:t>
        </w:r>
      </w:hyperlink>
      <w:r>
        <w:t xml:space="preserve">. In the same spirit, the norm-transformation literature examines how space-use norms turn through socio-technological change, an account of institutional drift pitched at the level of process that never reaches down to the capability</w:t>
      </w:r>
      <w:r>
        <w:t xml:space="preserve"> </w:t>
      </w:r>
      <w:hyperlink w:anchor="ref-10">
        <w:r>
          <w:rPr>
            <w:rStyle w:val="Hyperlink"/>
          </w:rPr>
          <w:t xml:space="preserve">[10]</w:t>
        </w:r>
      </w:hyperlink>
      <w:r>
        <w:t xml:space="preserve">.</w:t>
      </w:r>
    </w:p>
    <w:p>
      <w:pPr>
        <w:pStyle w:val="BodyText"/>
        <w:spacing w:line="480" w:lineRule="auto"/>
        <w:ind w:firstLine="720"/>
      </w:pPr>
      <w:r>
        <w:t xml:space="preserve">Add it all up and this literature builds the demand-side and policy-side case for commercial supply while leaving the supply-side governance decision unspoken. In aggregate, it explains why a government might prefer to buy over make, since the commercial sector keeps growing and cheapening. It never hands over a transferable rule forecasting which capabilities will actually be bought, made, or federated. The price logic soaked into these forecasts, the bet that commercial supply at falling unit cost will overtake government production, is exactly the logic the dissertation calls incomplete. Space economics, in sum, sets up the boundary question and paints its policy backdrop, then halts without putting it to the test.</w:t>
      </w:r>
    </w:p>
    <w:bookmarkEnd w:id="69"/>
    <w:bookmarkStart w:id="70" w:name="X274d0af4c9be7cb3fd177240b65b706a5661c23"/>
    <w:p>
      <w:pPr>
        <w:pStyle w:val="Heading2"/>
        <w:spacing w:line="480" w:lineRule="auto"/>
      </w:pPr>
      <w:r>
        <w:t xml:space="preserve">2.3 The New Space Governance Literature: Typology Without Prediction</w:t>
      </w:r>
    </w:p>
    <w:p>
      <w:pPr>
        <w:pStyle w:val="FirstParagraph"/>
        <w:spacing w:line="480" w:lineRule="auto"/>
      </w:pPr>
      <w:r>
        <w:t xml:space="preserve">A second domain literature addresses the boundary choice head-on by documenting the governance forms themselves. Its keystone contribution charts the sector’s passage from Legacy Space, where the public sector both funds and produces capability, into New Space, where the public sector spreads its procurement and shares cost and risk with private operators through public-private partnerships and hybrid vehicles</w:t>
      </w:r>
      <w:r>
        <w:t xml:space="preserve"> </w:t>
      </w:r>
      <w:hyperlink w:anchor="ref-2">
        <w:r>
          <w:rPr>
            <w:rStyle w:val="Hyperlink"/>
          </w:rPr>
          <w:t xml:space="preserve">[2]</w:t>
        </w:r>
      </w:hyperlink>
      <w:r>
        <w:t xml:space="preserve">. This work nails down the empirical reality the dissertation builds on: the government no longer just makes or just buys but federates more and more, sharing property rights, risk, and revenue in arrangements perched between the two poles. Its taxonomy is careful and its historical periodization persuasive. Absent is any test of what decides which governance form a given capability ends up in. Taxonomic in method, it inventories forms and never estimates the drivers of the choice among them.</w:t>
      </w:r>
    </w:p>
    <w:p>
      <w:pPr>
        <w:pStyle w:val="BodyText"/>
        <w:spacing w:line="480" w:lineRule="auto"/>
        <w:ind w:firstLine="720"/>
      </w:pPr>
      <w:r>
        <w:t xml:space="preserve">The end-user value strand hones this picture from the demand side. Close study of what end users truly prize in satellite data and solutions recasts the New Space transition as a change in how value gets created and captured, throwing the spotlight on the user rather than the producer [3, 39]. A useful corrective to producer-first accounts, and a record of how value varies across applications, it remains a description of value rather than a prediction of governance form. Knowing what users prize does not, on its own, reveal whether the capability delivering that value will be internalized or purchased.</w:t>
      </w:r>
    </w:p>
    <w:p>
      <w:pPr>
        <w:pStyle w:val="BodyText"/>
        <w:spacing w:line="480" w:lineRule="auto"/>
        <w:ind w:firstLine="720"/>
      </w:pPr>
      <w:r>
        <w:t xml:space="preserve">For this dissertation the strand’s most provocative entry catches the legacy procurement pattern, where the public sector absorbs the cost, giving way to vertically reconfigured product-service strategies, and it raises the question of when a capability shifts from make toward buy</w:t>
      </w:r>
      <w:r>
        <w:t xml:space="preserve"> </w:t>
      </w:r>
      <w:hyperlink w:anchor="ref-4">
        <w:r>
          <w:rPr>
            <w:rStyle w:val="Hyperlink"/>
          </w:rPr>
          <w:t xml:space="preserve">[4]</w:t>
        </w:r>
      </w:hyperlink>
      <w:r>
        <w:t xml:space="preserve">. This micro-founded study of product-service strategies in Earth observation draws nearer to the dissertation’s question than anything else in the domain literature. It spots the migration, frames it as a strategic pick between</w:t>
      </w:r>
      <w:r>
        <w:t xml:space="preserve"> </w:t>
      </w:r>
      <w:r>
        <w:t xml:space="preserve">“getting things done”</w:t>
      </w:r>
      <w:r>
        <w:t xml:space="preserve"> </w:t>
      </w:r>
      <w:r>
        <w:t xml:space="preserve">and</w:t>
      </w:r>
      <w:r>
        <w:t xml:space="preserve"> </w:t>
      </w:r>
      <w:r>
        <w:t xml:space="preserve">“doing the right things,”</w:t>
      </w:r>
      <w:r>
        <w:t xml:space="preserve"> </w:t>
      </w:r>
      <w:r>
        <w:t xml:space="preserve">and voices the tension between internalized control and market efficiency. All the same, it halts at the doorstep of the test. It asks under what conditions the migration happens without delivering a falsifiable, quantitative model that predicts the outcome from measurable attributes of the transaction. The interactive-collaboration model of public-private partnership pushes this descriptive program onward, portraying a fresh mode of partnership grounded in iterative collaboration between public and private actors [5, 42], and the space-resources market-evaluation literature turns a similar evaluative logic on nascent markets, asking how prospective space-resource markets ought to be judged</w:t>
      </w:r>
      <w:r>
        <w:t xml:space="preserve"> </w:t>
      </w:r>
      <w:hyperlink w:anchor="ref-6">
        <w:r>
          <w:rPr>
            <w:rStyle w:val="Hyperlink"/>
          </w:rPr>
          <w:t xml:space="preserve">[6]</w:t>
        </w:r>
      </w:hyperlink>
      <w:r>
        <w:t xml:space="preserve">. One pattern threads the strand. The governance forms get named, their ascent gets documented, the conditions for migration get gestured at, and the determinants of the choice never get estimated.</w:t>
      </w:r>
    </w:p>
    <w:p>
      <w:pPr>
        <w:pStyle w:val="BodyText"/>
        <w:spacing w:line="480" w:lineRule="auto"/>
        <w:ind w:firstLine="720"/>
      </w:pPr>
      <w:r>
        <w:t xml:space="preserve">There is the first half of the gap. The domain governance literature has done the descriptive and taxonomic groundwork any predictive study has to rest on. It has fixed that make, buy, and federate coexist; that the trend runs toward buy and federate; and that the migration turns on something. What it has skipped is naming that something in measurable terms and testing whether it predicts the form observed. Transaction-cost economics offers a candidate answer, asset specificity, uncertainty, and contracting frequency, that this literature has never brought in.</w:t>
      </w:r>
    </w:p>
    <w:bookmarkEnd w:id="70"/>
    <w:bookmarkStart w:id="71" w:name="X3914d9354de61c990fa45a07f48501b035f0af5"/>
    <w:p>
      <w:pPr>
        <w:pStyle w:val="Heading2"/>
        <w:spacing w:line="480" w:lineRule="auto"/>
      </w:pPr>
      <w:r>
        <w:t xml:space="preserve">2.4 The SSA Domain Literature: A Make-Buy-Federate Laboratory, Reviewed Qualitatively</w:t>
      </w:r>
    </w:p>
    <w:p>
      <w:pPr>
        <w:pStyle w:val="FirstParagraph"/>
        <w:spacing w:line="480" w:lineRule="auto"/>
      </w:pPr>
      <w:r>
        <w:t xml:space="preserve">The dissertation’s empirical design leans on space situational awareness as a within-domain natural laboratory, because one functional capability, the supply of tracking data on resident space objects, has been procured through all three governance forms across two decades. That puts the SSA technical literature at the review’s core. It runs dense, and it runs overwhelmingly qualitative, evaluative, and engineering-minded rather than econometric. It sketches the option space; it never estimates the choice.</w:t>
      </w:r>
    </w:p>
    <w:p>
      <w:pPr>
        <w:pStyle w:val="BodyText"/>
        <w:spacing w:line="480" w:lineRule="auto"/>
        <w:ind w:firstLine="720"/>
      </w:pPr>
      <w:r>
        <w:t xml:space="preserve">The option-space evaluations bear most directly on the question. The systematic evaluation of options for civil SSA sets out the governance alternatives open to a civil provider and weighs whether and when the government should lean on commercial sensors, offering a structured option space in place of a statistical model of selection</w:t>
      </w:r>
      <w:r>
        <w:t xml:space="preserve"> </w:t>
      </w:r>
      <w:hyperlink w:anchor="ref-13">
        <w:r>
          <w:rPr>
            <w:rStyle w:val="Hyperlink"/>
          </w:rPr>
          <w:t xml:space="preserve">[13]</w:t>
        </w:r>
      </w:hyperlink>
      <w:r>
        <w:t xml:space="preserve">. Beside it, the mission-oriented evaluation framework builds a structured rubric for judging SSA data against mission needs, an outright evaluative apparatus that scores data sources on fitness for purpose without estimating what governs their procurement form</w:t>
      </w:r>
      <w:r>
        <w:t xml:space="preserve"> </w:t>
      </w:r>
      <w:hyperlink w:anchor="ref-11">
        <w:r>
          <w:rPr>
            <w:rStyle w:val="Hyperlink"/>
          </w:rPr>
          <w:t xml:space="preserve">[11]</w:t>
        </w:r>
      </w:hyperlink>
      <w:r>
        <w:t xml:space="preserve">. The governance-focused treatment presses the case that SSA governance needs revolution rather than evolution, a normative and institutional argument about how SSA ought to be governed that, yet again, tests nothing about what actually decides the governance form observed</w:t>
      </w:r>
      <w:r>
        <w:t xml:space="preserve"> </w:t>
      </w:r>
      <w:hyperlink w:anchor="ref-15">
        <w:r>
          <w:rPr>
            <w:rStyle w:val="Hyperlink"/>
          </w:rPr>
          <w:t xml:space="preserve">[15]</w:t>
        </w:r>
      </w:hyperlink>
      <w:r>
        <w:t xml:space="preserve">. These three works together fix that the SSA community has reasoned carefully and openly about make, buy, and federate as alternatives. They have built the option spaces. They have not built the regression.</w:t>
      </w:r>
    </w:p>
    <w:p>
      <w:pPr>
        <w:pStyle w:val="BodyText"/>
        <w:spacing w:line="480" w:lineRule="auto"/>
        <w:ind w:firstLine="720"/>
      </w:pPr>
      <w:r>
        <w:t xml:space="preserve">Of all the strands, commercial-provision work most vividly puts the buy margin on display. Close treatment of automatic, intelligent commercial SSA sensor scheduling shows that commercial sensor observations can be procured and tasked efficiently, and it rates commercial provision as highly cost effective set against government provision</w:t>
      </w:r>
      <w:r>
        <w:t xml:space="preserve"> </w:t>
      </w:r>
      <w:hyperlink w:anchor="ref-14">
        <w:r>
          <w:rPr>
            <w:rStyle w:val="Hyperlink"/>
          </w:rPr>
          <w:t xml:space="preserve">[14]</w:t>
        </w:r>
      </w:hyperlink>
      <w:r>
        <w:t xml:space="preserve">. Reaching further, the market-based-agent approach to SSA models SSA tasking itself as a market where agents bid for sensor resources, an outright economic framing of the operational problem that still tackles resource allocation inside a system rather than the governance form of the system’s acquisition</w:t>
      </w:r>
      <w:r>
        <w:t xml:space="preserve"> </w:t>
      </w:r>
      <w:hyperlink w:anchor="ref-30">
        <w:r>
          <w:rPr>
            <w:rStyle w:val="Hyperlink"/>
          </w:rPr>
          <w:t xml:space="preserve">[30]</w:t>
        </w:r>
      </w:hyperlink>
      <w:r>
        <w:t xml:space="preserve">. The case for GEO-hosted SSA payloads argues for one hosted, and thus federated, architecture in which a government payload rides a commercial host, a concrete specimen of the federate form whose economics are argued qualitatively rather than estimated</w:t>
      </w:r>
      <w:r>
        <w:t xml:space="preserve"> </w:t>
      </w:r>
      <w:hyperlink w:anchor="ref-26">
        <w:r>
          <w:rPr>
            <w:rStyle w:val="Hyperlink"/>
          </w:rPr>
          <w:t xml:space="preserve">[26]</w:t>
        </w:r>
      </w:hyperlink>
      <w:r>
        <w:t xml:space="preserve">. And the blockchain-enabled space traffic awareness work lays out a federated architecture that distributes trust and data-sharing across participants, the dissertation’s anchoring case for the federate category, reasoning about its governance properties with no statistical test of when such federation gets chosen</w:t>
      </w:r>
      <w:r>
        <w:t xml:space="preserve"> </w:t>
      </w:r>
      <w:hyperlink w:anchor="ref-12">
        <w:r>
          <w:rPr>
            <w:rStyle w:val="Hyperlink"/>
          </w:rPr>
          <w:t xml:space="preserve">[12]</w:t>
        </w:r>
      </w:hyperlink>
      <w:r>
        <w:t xml:space="preserve">.</w:t>
      </w:r>
    </w:p>
    <w:p>
      <w:pPr>
        <w:pStyle w:val="BodyText"/>
        <w:spacing w:line="480" w:lineRule="auto"/>
        <w:ind w:firstLine="720"/>
      </w:pPr>
      <w:r>
        <w:t xml:space="preserve">Wrapped around these governance-relevant works is a broader technical literature that pins down the engineering attributes asset specificity must be coded from. Studies of the Space Surveillance Network and its simulation fix the architecture of the legacy government make form and its computational appetite</w:t>
      </w:r>
      <w:r>
        <w:t xml:space="preserve"> </w:t>
      </w:r>
      <w:hyperlink w:anchor="ref-29">
        <w:r>
          <w:rPr>
            <w:rStyle w:val="Hyperlink"/>
          </w:rPr>
          <w:t xml:space="preserve">[29]</w:t>
        </w:r>
      </w:hyperlink>
      <w:r>
        <w:t xml:space="preserve">. Work on risk-based decision-making for space traffic management and on human decision processes in SSA support tools records the mission-criticality and latency requirements that push specificity up [31, 33]. Data-insight, pedigree, and automation work for space domain awareness captures the provenance and trust requirements that mark mission-unique data off from commodity data</w:t>
      </w:r>
      <w:r>
        <w:t xml:space="preserve"> </w:t>
      </w:r>
      <w:hyperlink w:anchor="ref-32">
        <w:r>
          <w:rPr>
            <w:rStyle w:val="Hyperlink"/>
          </w:rPr>
          <w:t xml:space="preserve">[32]</w:t>
        </w:r>
      </w:hyperlink>
      <w:r>
        <w:t xml:space="preserve">, and the secure-framework and SDA-security literature documents the uniqueness and protection requirements that lift specificity for national-security applications</w:t>
      </w:r>
      <w:r>
        <w:t xml:space="preserve"> </w:t>
      </w:r>
      <w:hyperlink w:anchor="ref-36">
        <w:r>
          <w:rPr>
            <w:rStyle w:val="Hyperlink"/>
          </w:rPr>
          <w:t xml:space="preserve">[36]</w:t>
        </w:r>
      </w:hyperlink>
      <w:r>
        <w:t xml:space="preserve">. Verification and validation of orbital-capacity assessment tools, fault-detection and recovery in attitude estimation, and precise in-orbit collision-prediction operations together chart the technical phenomenology, latency, and reliability requirements that shift across SSA capabilities and that the dissertation codes as exogenous engineering attributes [34, 38, 44]. The European conceptual-design work on expert centres for optical and laser observations inside a space surveillance and tracking system records a federated, multi-actor institutional architecture on the European side, one more specimen of the federate form drawn qualitatively</w:t>
      </w:r>
      <w:r>
        <w:t xml:space="preserve"> </w:t>
      </w:r>
      <w:hyperlink w:anchor="ref-35">
        <w:r>
          <w:rPr>
            <w:rStyle w:val="Hyperlink"/>
          </w:rPr>
          <w:t xml:space="preserve">[35]</w:t>
        </w:r>
      </w:hyperlink>
      <w:r>
        <w:t xml:space="preserve">.</w:t>
      </w:r>
    </w:p>
    <w:p>
      <w:pPr>
        <w:pStyle w:val="BodyText"/>
        <w:spacing w:line="480" w:lineRule="auto"/>
        <w:ind w:firstLine="720"/>
      </w:pPr>
      <w:r>
        <w:t xml:space="preserve">Weighty as this SSA literature’s cumulative bulk is, and the exact laboratory the dissertation’s question needs because it stretches across make, buy, and federate within one functional capability, its method holds uniform. It evaluates, it advocates, it engineers, and now and then it models resource allocation inside a system. Across cases it never estimates what decides whether the capability is built, bought, or federated. The asset specificity, uncertainty, and contracting frequency of SSA capabilities surface in this literature as engineering facts, and they have never been folded into an index and tested as predictors of governance form. Here is the second face of the domain-side gap.</w:t>
      </w:r>
    </w:p>
    <w:bookmarkEnd w:id="71"/>
    <w:bookmarkStart w:id="72" w:name="X43ef84f26ced36d8c7b89a3a320f98625e97aa5"/>
    <w:p>
      <w:pPr>
        <w:pStyle w:val="Heading2"/>
        <w:spacing w:line="480" w:lineRule="auto"/>
      </w:pPr>
      <w:r>
        <w:t xml:space="preserve">2.5 The Cliometric and Econometric Methodology Literature: A Toolkit Never Applied to the Boundary Choice</w:t>
      </w:r>
    </w:p>
    <w:p>
      <w:pPr>
        <w:pStyle w:val="FirstParagraph"/>
        <w:spacing w:line="480" w:lineRule="auto"/>
      </w:pPr>
      <w:r>
        <w:t xml:space="preserve">Standing opposite the qualitative domain literature is a methodological tradition that runs quantitative, disciplined, and squarely suited to the boundary question, and that has grown up almost wholly apart from it. This is the cliometric and econometric literature on cost dynamics and governance, made of the Wright learning curve, the parametric cost-estimation tradition, and the transaction-cost research program that furnishes the hold-up and ordered-response tests the dissertation runs.</w:t>
      </w:r>
    </w:p>
    <w:p>
      <w:pPr>
        <w:pStyle w:val="BodyText"/>
        <w:spacing w:line="480" w:lineRule="auto"/>
        <w:ind w:firstLine="720"/>
      </w:pPr>
      <w:r>
        <w:t xml:space="preserve">Oldest of the disciplined tools in the cost-engineering canon is the learning curve. Its central regularity, that real unit cost drops by a fixed percentage with every doubling of cumulative output, gets operationalized as a log-log relationship whose slope is the experience elasticity and whose progress ratio is two raised to that slope. Launch-vehicle cost work treats progress ratios in the 0.85 to 0.95 band as ordinary for aerospace production and a steeper 0.80 curve as the aggressive edge of high-rate manufacturing</w:t>
      </w:r>
      <w:r>
        <w:t xml:space="preserve"> </w:t>
      </w:r>
      <w:hyperlink w:anchor="ref-25">
        <w:r>
          <w:rPr>
            <w:rStyle w:val="Hyperlink"/>
          </w:rPr>
          <w:t xml:space="preserve">[25]</w:t>
        </w:r>
      </w:hyperlink>
      <w:r>
        <w:t xml:space="preserve">. That benchmark is itself the yield of careful metric work on launch-vehicle production and operations cost</w:t>
      </w:r>
      <w:r>
        <w:t xml:space="preserve"> </w:t>
      </w:r>
      <w:hyperlink w:anchor="ref-25">
        <w:r>
          <w:rPr>
            <w:rStyle w:val="Hyperlink"/>
          </w:rPr>
          <w:t xml:space="preserve">[25]</w:t>
        </w:r>
      </w:hyperlink>
      <w:r>
        <w:t xml:space="preserve">, and it hands over the yardstick the dissertation’s measured industry learning rate is read against. The companion learning-curve study inside this dissertation estimates an industry-wide experience elasticity for the launch sector and recovers a progress ratio dead inside the conventional aerospace band, confirming that the unit cost a program manager reads is a moving point on a learning curve rather than a fixed property of a capability. Mature as the tradition behind that estimate is, it has gone to launch-cost description and to per-program forecasting, never to the governance boundary choice the dissertation studies.</w:t>
      </w:r>
    </w:p>
    <w:p>
      <w:pPr>
        <w:pStyle w:val="BodyText"/>
        <w:spacing w:line="480" w:lineRule="auto"/>
        <w:ind w:firstLine="720"/>
      </w:pPr>
      <w:r>
        <w:t xml:space="preserve">Second among the pillars is the parametric cost-estimation tradition. Statistical-analytical cost models for launcher families, typified by the lineage underwriting European launcher trade studies, forecast vehicle cost from physical and programmatic parameters and stitch learning-curve factors inside their cost-estimating relationships [22, 23]. Sophisticated and operationally weighty, these models still answer a within-program question, what will this vehicle cost given its parameters, rather than a cross-capability governance question. The validation literature on these tools cools confidence in their predictive accuracy, and it does so bluntly: a blind validation study of a leading parametric cost-estimation tool for NASA space missions reports its accuracy on novel missions to be itself uncertain, with wide dispersion between predicted and realized cost</w:t>
      </w:r>
      <w:r>
        <w:t xml:space="preserve"> </w:t>
      </w:r>
      <w:hyperlink w:anchor="ref-24">
        <w:r>
          <w:rPr>
            <w:rStyle w:val="Hyperlink"/>
          </w:rPr>
          <w:t xml:space="preserve">[24]</w:t>
        </w:r>
      </w:hyperlink>
      <w:r>
        <w:t xml:space="preserve">. That finding cuts two ways. It fixes that even the best parametric price forecasts carry material error, which knocks the props from under any boundary rule resting on quoted price alone, and it puts on show the econometric validation discipline, blind coding, out-of-sample testing, candid reporting of dispersion, that the dissertation carries into its own coding and robustness protocol. Out of the parametric tradition come both a cautionary result about price and a template for rigorous validation.</w:t>
      </w:r>
    </w:p>
    <w:p>
      <w:pPr>
        <w:pStyle w:val="BodyText"/>
        <w:spacing w:line="480" w:lineRule="auto"/>
        <w:ind w:firstLine="720"/>
      </w:pPr>
      <w:r>
        <w:t xml:space="preserve">Deepest of the three is the transaction-cost research program in the Williamsonian line. Its core proposition holds that the efficient governance form, market, hybrid, or hierarchy, answers to the attributes of the transaction: asset specificity, uncertainty, and the frequency of contracting. Where asset specificity runs high, the parties get locked into a bilateral relationship and the realized cost of the exchange lies open to hold-up and repeated renegotiation, so the quoted price is a poor guide to the price paid. This is the theoretical engine of the dissertation, and the methodological literature long since rendered it into estimable form through two canonical empirical strategies. The first is the hold-up test, which regresses realized cost growth on asset specificity while holding the procurement vehicle and program size fixed, predicting that high-specificity transactions overrun more because they are open to renegotiation hazard. The companion hold-up study inside this dissertation runs exactly that test on a panel of NASA, Space Force, and NOAA capabilities, coding asset specificity from fixed engineering attributes and pulling realized cost growth from the public oversight record, and it recovers a large, positive, statistically significant specificity coefficient even once vehicle, size, and epoch are held down. The second strategy is the discrete-choice or ordered-response test, which models the observed governance form, ranked from most to least internalized, as a function of a transaction-cost index, predicting that higher specificity and uncertainty and lower frequency drive the capability toward make and federate.</w:t>
      </w:r>
    </w:p>
    <w:p>
      <w:pPr>
        <w:pStyle w:val="BodyText"/>
        <w:spacing w:line="480" w:lineRule="auto"/>
        <w:ind w:firstLine="720"/>
      </w:pPr>
      <w:r>
        <w:t xml:space="preserve">Feeding the hold-up test are empirical inputs from a mature government cost-oversight literature that amounts to a cliometric record of realized space-acquisition outcomes. Government Accountability Office assessments of major projects log baseline-versus-current cost for the NASA portfolio and for individual flagships, the James Webb Space Telescope and the Space Launch System among them, with the transparency and longitudinal consistency a panel design demands [16, 17, 18]. NASA Office of Inspector General reporting on individual projects such as Dragonfly hands over case-level cost-growth detail</w:t>
      </w:r>
      <w:r>
        <w:t xml:space="preserve"> </w:t>
      </w:r>
      <w:hyperlink w:anchor="ref-19">
        <w:r>
          <w:rPr>
            <w:rStyle w:val="Hyperlink"/>
          </w:rPr>
          <w:t xml:space="preserve">[19]</w:t>
        </w:r>
      </w:hyperlink>
      <w:r>
        <w:t xml:space="preserve">, and independent cost reconstructions for planetary flagships such as Perseverance and OSIRIS-REx fill the record where formal baselines run thin [20, 21]. Seldom does anyone treat this oversight corpus as a research dataset. It is precisely a cliometric archive of governance outcomes and their cost consequences, and the dissertation reads it that way.</w:t>
      </w:r>
    </w:p>
    <w:p>
      <w:pPr>
        <w:pStyle w:val="BodyText"/>
        <w:spacing w:line="480" w:lineRule="auto"/>
        <w:ind w:firstLine="720"/>
      </w:pPr>
      <w:r>
        <w:t xml:space="preserve">What the three pillars share is that each runs rigorous, each runs quantitative, and none has been aimed at the space boundary choice. The learning curve describes industry price dynamics. Parametric estimation forecasts program cost and cautions that the forecast is uncertain. Transaction-cost economics furnishes the hold-up and ordered-response tests, and it has been validated overwhelmingly in terrestrial industrial settings, automotive components, electronic assembly, vertical integration in manufacturing, rather than in government space acquisition. The toolkit exists. It has simply never been carried across the disciplinary line into the SSA-anchored, multi-agency space domain the domain literature describes.</w:t>
      </w:r>
    </w:p>
    <w:bookmarkEnd w:id="72"/>
    <w:bookmarkStart w:id="73" w:name="X7f5143293c04f6962750cc1fb4ad4ec4921a123"/>
    <w:p>
      <w:pPr>
        <w:pStyle w:val="Heading2"/>
        <w:spacing w:line="480" w:lineRule="auto"/>
      </w:pPr>
      <w:r>
        <w:t xml:space="preserve">2.6 Synthesis: The Unjoined Literatures and the Gap</w:t>
      </w:r>
    </w:p>
    <w:p>
      <w:pPr>
        <w:pStyle w:val="FirstParagraph"/>
        <w:spacing w:line="480" w:lineRule="auto"/>
      </w:pPr>
      <w:r>
        <w:t xml:space="preserve">Two literatures bear on the make-buy-federate choice in space, and they never meet. The domain literature, space economics [1, 8, 9, 10], New Space governance [2, 3, 4, 5, 6, 39, 42], and SSA evaluation [11, 12, 13, 14, 15, 26, 30, 35], holds the question, the institutional knowledge, and the within-domain laboratory, and it pursues them with descriptive, taxonomic, and evaluative methods. It fixes that the boundary choice exists, that all three forms coexist within one functional capability, that the trend favors buy and federate, and that the migration turns on attributes it can name but cannot measure. It never estimates the determinants of the choice. The methodology literature, learning-curve estimation</w:t>
      </w:r>
      <w:r>
        <w:t xml:space="preserve"> </w:t>
      </w:r>
      <w:hyperlink w:anchor="ref-25">
        <w:r>
          <w:rPr>
            <w:rStyle w:val="Hyperlink"/>
          </w:rPr>
          <w:t xml:space="preserve">[25]</w:t>
        </w:r>
      </w:hyperlink>
      <w:r>
        <w:t xml:space="preserve">, parametric cost engineering and its validation discipline [22, 23, 24], and the transaction-cost hold-up and ordered-response tradition the oversight corpus [16, 17, 18, 19, 20, 21] makes estimable, holds the rigorous predictive and measurement apparatus the question demands, and it has gone to price description, to within-program forecasting, and to terrestrial industrial governance, never to the space boundary choice.</w:t>
      </w:r>
    </w:p>
    <w:p>
      <w:pPr>
        <w:pStyle w:val="BodyText"/>
        <w:spacing w:line="480" w:lineRule="auto"/>
        <w:ind w:firstLine="720"/>
      </w:pPr>
      <w:r>
        <w:t xml:space="preserve">The gap, then, is a junction rather than a void. Each literature is complete on its own terms. What goes missing is the weld: a falsifiable, quantitative test that carries the transaction-cost apparatus of the methodology literature into the SSA-anchored, multi-agency domain the technical literature describes, and that rules on whether a transaction-cost index predicts the observed governance form over and above unit cost and program size. The domain literature’s most advanced entry poses exactly that question and begs off answering it, watching the migration from make toward buy without testing what drives it</w:t>
      </w:r>
      <w:r>
        <w:t xml:space="preserve"> </w:t>
      </w:r>
      <w:hyperlink w:anchor="ref-4">
        <w:r>
          <w:rPr>
            <w:rStyle w:val="Hyperlink"/>
          </w:rPr>
          <w:t xml:space="preserve">[4]</w:t>
        </w:r>
      </w:hyperlink>
      <w:r>
        <w:t xml:space="preserve">. The methodology literature has answered the structurally identical question in other industries and has never been handed the space data to answer it here.</w:t>
      </w:r>
    </w:p>
    <w:p>
      <w:pPr>
        <w:pStyle w:val="BodyText"/>
        <w:spacing w:line="480" w:lineRule="auto"/>
        <w:ind w:firstLine="720"/>
      </w:pPr>
      <w:r>
        <w:t xml:space="preserve">This dissertation seals the junction. It assembles the hand-coded panel neither literature has built, pulling governance form and cost from the public acquisition and oversight record and coding the transaction-cost dimensions off the exogenous engineering attributes the SSA technical literature [11, 12, 13, 14, 26, 32, 34, 36, 44] documents but never indexes. It runs the methodology literature’s two canonical tests, the hold-up regression of cost growth on specificity and the ordered-response regression of governance form on the transaction-cost index, on that panel, and it disciplines the price account with a measured industry learning curve</w:t>
      </w:r>
      <w:r>
        <w:t xml:space="preserve"> </w:t>
      </w:r>
      <w:hyperlink w:anchor="ref-25">
        <w:r>
          <w:rPr>
            <w:rStyle w:val="Hyperlink"/>
          </w:rPr>
          <w:t xml:space="preserve">[25]</w:t>
        </w:r>
      </w:hyperlink>
      <w:r>
        <w:t xml:space="preserve"> </w:t>
      </w:r>
      <w:r>
        <w:t xml:space="preserve">so the unit cost the boundary choice weighs is understood as a moving target rather than a fixed datum. The contribution is to turn the boundary choice the domain literature describes and the methodology literature could test into a single falsifiable estimate. Let the transaction-cost index carry no marginal weight once price and size are held down, and the financial account the space-economics forecasts assume [1, 8] stands and the contribution is rejected. Let it carry weight, and the two unjoined literatures are joined, and the program manager gains a transferable rule where before there was only tacit judgment and aggregate policy. The chapters ahead build that test.</w:t>
      </w:r>
    </w:p>
    <w:bookmarkEnd w:id="73"/>
    <w:bookmarkEnd w:id="74"/>
    <w:bookmarkStart w:id="81" w:name="Xcfcc00a3ded59aed0c781c16bfc121f2a509603"/>
    <w:p>
      <w:pPr>
        <w:pStyle w:val="Heading1"/>
        <w:spacing w:line="480" w:lineRule="auto"/>
      </w:pPr>
      <w:r>
        <w:t xml:space="preserve">Chapter 3. Theoretical Framework and Hypotheses</w:t>
      </w:r>
    </w:p>
    <w:bookmarkStart w:id="75" w:name="introduction"/>
    <w:p>
      <w:pPr>
        <w:pStyle w:val="Heading2"/>
        <w:spacing w:line="480" w:lineRule="auto"/>
      </w:pPr>
      <w:r>
        <w:t xml:space="preserve">3.1 Introduction</w:t>
      </w:r>
    </w:p>
    <w:p>
      <w:pPr>
        <w:pStyle w:val="FirstParagraph"/>
        <w:spacing w:line="480" w:lineRule="auto"/>
      </w:pPr>
      <w:r>
        <w:t xml:space="preserve">Earlier chapters fixed that government space enterprises meet a recurring boundary decision and that mainstream scholarship rules on it by price. This chapter builds the theoretical apparatus behind a different way of ruling. Its argument runs that the make, buy, or federate choice is, at root, a transaction-cost problem in the Williamsonian line, and that the governance form efficiently matched to a space capability answers less to the unit price quoted up front than to the structural attributes of the transaction the capability comes through. The chapter travels in four moves. It first rebuilds the transaction-cost logic and the three attributes that power it. It then lays that logic over the three governance forms seen in space acquisition, drawing a directional prediction for each attribute. Next it fixes the causal mechanism that turns those attributes into an observed boundary choice, marking off the dimensions outside the contract from those inside it. Last it states the formal null and alternative hypotheses, H0 and H1, the dissertation tests, and sets those hypotheses beside the two supporting empirical studies already finished.</w:t>
      </w:r>
    </w:p>
    <w:p>
      <w:pPr>
        <w:pStyle w:val="BodyText"/>
        <w:spacing w:line="480" w:lineRule="auto"/>
        <w:ind w:firstLine="720"/>
      </w:pPr>
      <w:r>
        <w:t xml:space="preserve">Falsifiability is why the theoretical claim runs deliberately narrow. The space-economics literature has shown that orbital activity teems with externalities and that aggregate governance levers get little grip, and it has stopped short of a capability-level decision rule</w:t>
      </w:r>
      <w:r>
        <w:t xml:space="preserve"> </w:t>
      </w:r>
      <w:hyperlink w:anchor="ref-1">
        <w:r>
          <w:rPr>
            <w:rStyle w:val="Hyperlink"/>
          </w:rPr>
          <w:t xml:space="preserve">[1]</w:t>
        </w:r>
      </w:hyperlink>
      <w:r>
        <w:t xml:space="preserve">. The governance literature has charted the passage from legacy government production into New Space public-private arrangements, and it stays taxonomic and descriptive rather than predictive [2, 5]. The end-user and product-service strands stretch the description toward who bears cost and risk without estimating what decides the form a given capability takes [3, 4]. Proposed here is one estimable prediction that either holds or breaks against the public acquisition record. The framework below is built to yield exactly that prediction.</w:t>
      </w:r>
    </w:p>
    <w:bookmarkEnd w:id="75"/>
    <w:bookmarkStart w:id="76" w:name="Xc956e2c77424dbb585038ae4821057fd2166a4b"/>
    <w:p>
      <w:pPr>
        <w:pStyle w:val="Heading2"/>
        <w:spacing w:line="480" w:lineRule="auto"/>
      </w:pPr>
      <w:r>
        <w:t xml:space="preserve">3.2 The Transaction-Cost Logic of the Boundary Choice</w:t>
      </w:r>
    </w:p>
    <w:p>
      <w:pPr>
        <w:pStyle w:val="FirstParagraph"/>
        <w:spacing w:line="480" w:lineRule="auto"/>
      </w:pPr>
      <w:r>
        <w:t xml:space="preserve">Transaction-cost economics opens from a premise that marks it off from the price-theoretic account it competes with. What it costs to acquire a capability is not exhausted by the price paid for it. It also folds in the costs of writing, watching, adapting, and enforcing the agreement the capability is supplied under, and those costs answer to the attributes of the transaction rather than the technology of production alone. Two behavioral assumptions prop up the framework. Bounded rationality comes first: contracts run necessarily incomplete because the parties cannot foresee and price every contingency the life of the relationship will throw up. The possibility of opportunism comes second: when circumstances turn, a party holding a positional edge may work the gaps the incomplete contract left to seize value from its counterpart. Were contracts complete or parties dependably honest, governance form would not matter and the boundary choice would fold into a price comparison. It is the pairing of incomplete contracts and the possibility of opportunism that makes the choice of governance form matter.</w:t>
      </w:r>
    </w:p>
    <w:p>
      <w:pPr>
        <w:pStyle w:val="BodyText"/>
        <w:spacing w:line="480" w:lineRule="auto"/>
        <w:ind w:firstLine="720"/>
      </w:pPr>
      <w:r>
        <w:t xml:space="preserve">Three attributes of a transaction set how sharp these governance hazards grow, and they order the whole framework. First and heaviest is asset specificity, how far the capability is dedicated to one buyer and cannot be redeployed to any other use or user without giving up value. Picture a capability engineered for one government mission, its sensor phenomenology, data latency, orbit regime, and interfaces all tuned to a unique operational pipeline. Nothing else will take it. The supplier finds no alternative buyer and the buyer no alternative supplier, so once the relationship is running each is pinned into a bilateral exchange with the other</w:t>
      </w:r>
      <w:r>
        <w:t xml:space="preserve"> </w:t>
      </w:r>
      <w:hyperlink w:anchor="ref-4">
        <w:r>
          <w:rPr>
            <w:rStyle w:val="Hyperlink"/>
          </w:rPr>
          <w:t xml:space="preserve">[4]</w:t>
        </w:r>
      </w:hyperlink>
      <w:r>
        <w:t xml:space="preserve">. That pinning is the structural condition that opens the door to opportunism, since the threat of exit that disciplines an ordinary market transaction is gone. A capability that comes close to a commodity, by contrast, keeps its value across many buyers, holds the discipline of a competitive outside option, and so lies far less open to the governance hazards specificity breeds.</w:t>
      </w:r>
    </w:p>
    <w:p>
      <w:pPr>
        <w:pStyle w:val="BodyText"/>
        <w:spacing w:line="480" w:lineRule="auto"/>
        <w:ind w:firstLine="720"/>
      </w:pPr>
      <w:r>
        <w:t xml:space="preserve">Uncertainty is the second attribute, both the technical uncertainty over whether and how the capability can be delivered and the demand uncertainty over how much of it will be wanted and on what schedule. Uncertainty multiplies the contingencies an incomplete contract leaves hanging. Where the engineering is settled and demand steady, a fixed-price deal can spell out the deliverable with little slack left over. Where the engineering is new and demand swings, the contract cannot foresee the adaptations that will be needed, and the parties have to fall back instead on a governance structure that can rule on those adaptations as they surface</w:t>
      </w:r>
      <w:r>
        <w:t xml:space="preserve"> </w:t>
      </w:r>
      <w:hyperlink w:anchor="ref-4">
        <w:r>
          <w:rPr>
            <w:rStyle w:val="Hyperlink"/>
          </w:rPr>
          <w:t xml:space="preserve">[4]</w:t>
        </w:r>
      </w:hyperlink>
      <w:r>
        <w:t xml:space="preserve">. So uncertainty raises the worth of internalized governance, which trades administrative fiat for renegotiation when the unforeseen lands.</w:t>
      </w:r>
    </w:p>
    <w:p>
      <w:pPr>
        <w:pStyle w:val="BodyText"/>
        <w:spacing w:line="480" w:lineRule="auto"/>
        <w:ind w:firstLine="720"/>
      </w:pPr>
      <w:r>
        <w:t xml:space="preserve">The third attribute is how often the government has to come back and re-transact for the capability, and it plays against the other two. A transaction that recurs often spreads the fixed cost of building a specialized governance structure, so recurrent dealings in a specific or uncertain capability can warrant the standing machinery of an internal or federated arrangement. A transaction that happens once or seldom cannot recoup those fixed costs and nudges the parties toward a simpler market exchange even when specificity runs moderate. In the space domain, though, frequency carries an added and partly opposing logic. A capability the government must re-procure often, say a stream of routine tracking observations on resident space objects, is exactly the sort of standardized, repeatedly transacted good a maturing commercial market can supply efficiently, since the supplier spreads its own fixed costs across many sales and many buyers [11, 13, 14]. High frequency in this sense flags a commoditized capability the buy form suits. So the framework predicts that lower contracting frequency, paired with high specificity and high uncertainty, drives toward internalized governance, while high frequency, paired with low specificity, drives toward the market.</w:t>
      </w:r>
    </w:p>
    <w:bookmarkEnd w:id="76"/>
    <w:bookmarkStart w:id="77" w:name="X130a30ad3f9689983b01c0610fb8de6ec0d96fd"/>
    <w:p>
      <w:pPr>
        <w:pStyle w:val="Heading2"/>
        <w:spacing w:line="480" w:lineRule="auto"/>
      </w:pPr>
      <w:r>
        <w:t xml:space="preserve">3.3 Mapping the Attributes to the Three Governance Forms</w:t>
      </w:r>
    </w:p>
    <w:p>
      <w:pPr>
        <w:pStyle w:val="FirstParagraph"/>
        <w:spacing w:line="480" w:lineRule="auto"/>
      </w:pPr>
      <w:r>
        <w:t xml:space="preserve">The space boundary choice lays out three governance forms rather than the textbook two of make and buy. Between the market and the hierarchy sits the intermediate federate form, in which property rights, risk, and revenue get shared through a public-private partnership, an Other Transaction Authority instrument, or a Space Act Agreement, the hybrid governance structure transaction-cost economics slots there [2, 5]. The dissertation ranks these three forms by how far the capability is internalized within the government: make as the most internalized hierarchy, buy as the pure market exchange, and federate as the hybrid between them. This ranking is the dependent construct the attributes are predicted to govern, and it is what makes the space case an unusually clean laboratory for the theory, because here the hybrid is no marginal curiosity but a routinely chosen and well documented option</w:t>
      </w:r>
      <w:r>
        <w:t xml:space="preserve"> </w:t>
      </w:r>
      <w:hyperlink w:anchor="ref-12">
        <w:r>
          <w:rPr>
            <w:rStyle w:val="Hyperlink"/>
          </w:rPr>
          <w:t xml:space="preserve">[12]</w:t>
        </w:r>
      </w:hyperlink>
      <w:r>
        <w:t xml:space="preserve">.</w:t>
      </w:r>
    </w:p>
    <w:p>
      <w:pPr>
        <w:pStyle w:val="BodyText"/>
        <w:spacing w:line="480" w:lineRule="auto"/>
        <w:ind w:firstLine="720"/>
      </w:pPr>
      <w:r>
        <w:t xml:space="preserve">Watch how each attribute drops onto the ranked forms. As asset specificity climbs, the bilateral lock-in that opens the parties to hold-up sharpens, and the market exchange grows steadily less able to shield the government against opportunistic renegotiation. The efficient answer is to pull governance inward, toward the hybrid that squares incentives through shared property rights and milestone-gated risk, and finally toward the internal build that sets the capability under unified administrative control. A capability of high asset specificity, put differently, should be made or federated rather than bought. A capability of low specificity, redeployable across buyers and disciplined by an outside option, should be bought, since the market both delivers it cheaply and leaves the government little hold-up [4, 14].</w:t>
      </w:r>
    </w:p>
    <w:p>
      <w:pPr>
        <w:pStyle w:val="BodyText"/>
        <w:spacing w:line="480" w:lineRule="auto"/>
        <w:ind w:firstLine="720"/>
      </w:pPr>
      <w:r>
        <w:t xml:space="preserve">Uncertainty drops onto the ranked forms through the same internalizing logic. Because internalized governance trades adaptive administrative coordination for contractual renegotiation, capabilities wrapped in high technical or demand uncertainty are more efficiently made or federated, where the machinery exists to soak up and rule on the unforeseen, than bought under a fixed contract that cannot price the contingencies up front. The commercial-provision literature in space situational awareness shows the boundary sharply. Where the data product is well characterized and its delivery routine, commercial provision is judged not merely adequate but cost-effective set against government provision, and the buy form wins out [13, 14]. Where the requirement is new, mission-critical, and tangled with a unique operational pipeline, evaluators balk at trusting the commercial input and the capability stays internalized</w:t>
      </w:r>
      <w:r>
        <w:t xml:space="preserve"> </w:t>
      </w:r>
      <w:hyperlink w:anchor="ref-15">
        <w:r>
          <w:rPr>
            <w:rStyle w:val="Hyperlink"/>
          </w:rPr>
          <w:t xml:space="preserve">[15]</w:t>
        </w:r>
      </w:hyperlink>
      <w:r>
        <w:t xml:space="preserve">.</w:t>
      </w:r>
    </w:p>
    <w:p>
      <w:pPr>
        <w:pStyle w:val="BodyText"/>
        <w:spacing w:line="480" w:lineRule="auto"/>
        <w:ind w:firstLine="720"/>
      </w:pPr>
      <w:r>
        <w:t xml:space="preserve">Frequency finishes the mapping with the qualified logic sketched above. Low frequency in a specific or uncertain capability reinforces internalization, since the standing governance structure of a hybrid or an internal program earns its keep when the transaction recurs and cannot be justified by a single dealing. High frequency in a standardized capability, meanwhile, flags a commodity a commercial market can form around, and the predicted move is toward buy [11, 13]. So the three attributes never act alone; they fold together into one underlying disposition of the transaction toward internalization or toward the market. It is that fold the dissertation operationalizes as a transaction-cost index, and it is the index, not any single attribute, whose marginal predictive weight the hypotheses rule on.</w:t>
      </w:r>
    </w:p>
    <w:bookmarkEnd w:id="77"/>
    <w:bookmarkStart w:id="78" w:name="the-causal-mechanism"/>
    <w:p>
      <w:pPr>
        <w:pStyle w:val="Heading2"/>
        <w:spacing w:line="480" w:lineRule="auto"/>
      </w:pPr>
      <w:r>
        <w:t xml:space="preserve">3.4 The Causal Mechanism</w:t>
      </w:r>
    </w:p>
    <w:p>
      <w:pPr>
        <w:pStyle w:val="FirstParagraph"/>
        <w:spacing w:line="480" w:lineRule="auto"/>
      </w:pPr>
      <w:r>
        <w:t xml:space="preserve">From the fixed attributes of a capability to the governance form chosen to acquire it runs the mechanism the framework posits, and the empirical test’s credibility hangs entirely on which way that arrow points. The claim is causal in a specific and bounded sense. Take the engineering attributes that set a capability’s asset specificity: its orbit regime, its sensor phenomenology, its latency requirement, and how far its output is tuned to a unique government pipeline. These are properties of the capability locked in before any contract vehicle is chosen. The mission the capability must serve sets them, not the instrument it is procured through. A program manager meeting a high-specificity capability faces a transaction structurally open to hold-up whatever the acquisition gets labeled, and the framework predicts that the efficient manager, seeing that exposure, pulls the capability toward an internalized form. So the observed governance form is the dependent outcome and the fixed attributes are the antecedent cause.</w:t>
      </w:r>
    </w:p>
    <w:p>
      <w:pPr>
        <w:pStyle w:val="BodyText"/>
        <w:spacing w:line="480" w:lineRule="auto"/>
        <w:ind w:firstLine="720"/>
      </w:pPr>
      <w:r>
        <w:t xml:space="preserve">One principal threat bears on this directional claim, reverse causation, and the framework is built to defuse it. The threat is that governance form might mold rather than mirror the measured attributes: a capability that has been internalized might grow mission-specific features precisely because it was internalized, so the correlation between specificity and the make form would reflect the contract acting on the capability rather than the capability acting on the contract. The answer is twofold. First, asset specificity gets coded only off engineering attributes that precede and stand outside the contract vehicle, so a capability’s measured specificity is its mission-set non-redeployability and not any feature picked up through the act of internalizing it. Second, the empirical strategy works a within-domain natural laboratory, the procurement of space situational awareness data and services, in which one functional capability of delivering tracking data on resident space objects has come through all three governance forms across two decades [11, 13, 14, 15]. Holding the functional mission roughly fixed while the governance form varies pries the cross-capability variation in fixed attributes apart from the time trend and from the contract vehicle, so the coefficient of interest is identified off the attributes rather than off the choice they are predicted to drive.</w:t>
      </w:r>
    </w:p>
    <w:p>
      <w:pPr>
        <w:pStyle w:val="BodyText"/>
        <w:spacing w:line="480" w:lineRule="auto"/>
        <w:ind w:firstLine="720"/>
      </w:pPr>
      <w:r>
        <w:t xml:space="preserve">The mechanism also predicts a pattern in the realized cost of the exchange, and that prediction is what the first supporting study tests head-on. If high asset specificity opens a capability to hold-up, then specificity should forecast realized cost growth, the split between a program’s confirmation baseline and its final cost, because the bilateral lock-in surfaces as scope growth, requirements churn, and schedule-driven renegotiation that register as overrun [16, 17]. That study estimated a positive and statistically significant tie between coded asset specificity and realized cost growth across twenty-nine NASA, Space Force, and NOAA capabilities, its specificity coefficient surviving controls for procurement vehicle, program size, and epoch. So the hold-up margin where the transaction-cost prediction is sharpest already carries empirical weight, which fixes that the specificity construct is not redundant to price before the full boundary-choice model is estimated.</w:t>
      </w:r>
    </w:p>
    <w:p>
      <w:pPr>
        <w:pStyle w:val="BodyText"/>
        <w:spacing w:line="480" w:lineRule="auto"/>
        <w:ind w:firstLine="720"/>
      </w:pPr>
      <w:r>
        <w:t xml:space="preserve">A companion element of the mechanism concerns the price signal itself, and the second supporting study disciplines it. The price a program manager reads at the moment of decision is no fixed property of a capability but a moving point on an industry learning curve. The launch sector shows a measured Wright experience elasticity working out to a progress ratio near 0.84, so every doubling of cumulative industry experience strips off roughly a sixth of unit cost</w:t>
      </w:r>
      <w:r>
        <w:t xml:space="preserve"> </w:t>
      </w:r>
      <w:hyperlink w:anchor="ref-25">
        <w:r>
          <w:rPr>
            <w:rStyle w:val="Hyperlink"/>
          </w:rPr>
          <w:t xml:space="preserve">[25]</w:t>
        </w:r>
      </w:hyperlink>
      <w:r>
        <w:t xml:space="preserve">. That finding bears on the mechanism two ways. It confirms that the descriptive fall in commercial space prices reflects a conventional and transferable production mechanism rather than enthusiasm [8, 9], which strengthens the case for buy and federate over make for the low-specificity capabilities the market keeps cheapening</w:t>
      </w:r>
      <w:r>
        <w:t xml:space="preserve"> </w:t>
      </w:r>
      <w:hyperlink w:anchor="ref-14">
        <w:r>
          <w:rPr>
            <w:rStyle w:val="Hyperlink"/>
          </w:rPr>
          <w:t xml:space="preserve">[14]</w:t>
        </w:r>
      </w:hyperlink>
      <w:r>
        <w:t xml:space="preserve">. And its modest explanatory power, catching only about a tenth of cross-vehicle cost variation, shows learning to be one force among several and leaves the residual variation for the transaction-cost attributes the dissertation foregrounds. The two supporting studies thus bracket the central test: one shows specificity forecasts realized cost, the other shows price is endogenous to learning and incompletely determinative, and both land on the same conclusion that price alone is an insufficient account of the boundary choice.</w:t>
      </w:r>
    </w:p>
    <w:bookmarkEnd w:id="78"/>
    <w:bookmarkStart w:id="79" w:name="formal-hypotheses"/>
    <w:p>
      <w:pPr>
        <w:pStyle w:val="Heading2"/>
        <w:spacing w:line="480" w:lineRule="auto"/>
      </w:pPr>
      <w:r>
        <w:t xml:space="preserve">3.5 Formal Hypotheses</w:t>
      </w:r>
    </w:p>
    <w:p>
      <w:pPr>
        <w:pStyle w:val="FirstParagraph"/>
        <w:spacing w:line="480" w:lineRule="auto"/>
      </w:pPr>
      <w:r>
        <w:t xml:space="preserve">One estimable claim falls out of the framework, put as a competing pair of hypotheses. Let the transaction-cost index for each acquired space capability be built from the three coded dimensions worked out above, asset specificity, uncertainty, and contracting frequency, combined so the index rises with the transaction’s disposition toward internalized governance. Let the dependent variable be the observed governance form, ranked make as the most internalized, federate as the intermediate hybrid, and buy as the least internalized market exchange. The test is whether the transaction-cost index predicts the observed governance form over and above the unit cost and program size the price account privileges. An ordered-response regression of governance form on the index fits that relationship, with unit cost and program size as controls and with agency and epoch fixed effects soaking up the cross-agency differences in procurement culture and the drift toward commercial buy the descriptive literature records</w:t>
      </w:r>
      <w:r>
        <w:t xml:space="preserve"> </w:t>
      </w:r>
      <w:hyperlink w:anchor="ref-2">
        <w:r>
          <w:rPr>
            <w:rStyle w:val="Hyperlink"/>
          </w:rPr>
          <w:t xml:space="preserve">[2]</w:t>
        </w:r>
      </w:hyperlink>
      <w:r>
        <w:t xml:space="preserve">.</w:t>
      </w:r>
    </w:p>
    <w:p>
      <w:pPr>
        <w:pStyle w:val="BodyText"/>
        <w:spacing w:line="480" w:lineRule="auto"/>
        <w:ind w:firstLine="720"/>
      </w:pPr>
      <w:r>
        <w:rPr>
          <w:b/>
          <w:bCs/>
        </w:rPr>
        <w:t xml:space="preserve">H0 (null hypothesis).</w:t>
      </w:r>
      <w:r>
        <w:t xml:space="preserve"> </w:t>
      </w:r>
      <w:r>
        <w:t xml:space="preserve">Conditional on unit cost and program size, the transaction-cost index has no tie to the observed governance form. The marginal effect of the index in the ordered model is zero. On this null the boundary choice is fully accounted for by price and scale, the transaction-cost attributes add no predictive information once those financial regressors are held fixed, and the Williamsonian account is falsified for the space domain. A null result would vindicate the prevailing financial and industrial-policy framing of the make, buy, or federate decision [1, 8].</w:t>
      </w:r>
    </w:p>
    <w:p>
      <w:pPr>
        <w:pStyle w:val="BodyText"/>
        <w:spacing w:line="480" w:lineRule="auto"/>
        <w:ind w:firstLine="720"/>
      </w:pPr>
      <w:r>
        <w:rPr>
          <w:b/>
          <w:bCs/>
        </w:rPr>
        <w:t xml:space="preserve">H1 (alternative hypothesis).</w:t>
      </w:r>
      <w:r>
        <w:t xml:space="preserve"> </w:t>
      </w:r>
      <w:r>
        <w:t xml:space="preserve">Higher asset specificity, higher uncertainty, and lower contracting frequency go with more internalized governance forms, so capabilities scoring higher on the transaction-cost index are likelier to be made or federated than bought, and the index keeps a statistically significant marginal effect once unit cost and program size are held down. On this alternative the boundary choice reflects the structural attributes of the transaction and not price alone, and the directional predictions on each component attribute, drawn in the mapping above, hold with the signs the framework specifies.</w:t>
      </w:r>
    </w:p>
    <w:p>
      <w:pPr>
        <w:pStyle w:val="BodyText"/>
        <w:spacing w:line="480" w:lineRule="auto"/>
        <w:ind w:firstLine="720"/>
      </w:pPr>
      <w:r>
        <w:t xml:space="preserve">A single coefficient rules between these hypotheses. Let the marginal effect of the transaction-cost index come out statistically indistinguishable from zero, and H0 holds and the transaction-cost account is rejected. Let the coefficient be significant and carry the predicted sign on each component, and H1 holds and the framework is supported. Everything hinges on that one estimate, and the framework has been built throughout to keep the estimate interpretable: the attributes coded from fixed engineering features outside the contract, the within-domain laboratory holding the functional mission fixed, the fixed effects soaking up the confounds of agency culture and drift. The directional predictions run as follows. Asset specificity, the dimension the supporting cost-growth study already found weight on [16, 17], is predicted to push governance toward make and federate. Uncertainty is predicted to push governance toward make and federate through the worth of adaptive administrative coordination. Contracting frequency is predicted to push governance toward buy, since frequent re-transaction flags a commoditized capability a maturing commercial market, itself cheapening along the learning curve the supporting study documents</w:t>
      </w:r>
      <w:r>
        <w:t xml:space="preserve"> </w:t>
      </w:r>
      <w:hyperlink w:anchor="ref-25">
        <w:r>
          <w:rPr>
            <w:rStyle w:val="Hyperlink"/>
          </w:rPr>
          <w:t xml:space="preserve">[25]</w:t>
        </w:r>
      </w:hyperlink>
      <w:r>
        <w:t xml:space="preserve">, can supply efficiently [11, 13, 14].</w:t>
      </w:r>
    </w:p>
    <w:bookmarkEnd w:id="79"/>
    <w:bookmarkStart w:id="80" w:name="X80dfcb364330691c4150c812b9865306b9aeb2d"/>
    <w:p>
      <w:pPr>
        <w:pStyle w:val="Heading2"/>
        <w:spacing w:line="480" w:lineRule="auto"/>
      </w:pPr>
      <w:r>
        <w:t xml:space="preserve">3.6 Scope Conditions and Boundary of the Claim</w:t>
      </w:r>
    </w:p>
    <w:p>
      <w:pPr>
        <w:pStyle w:val="FirstParagraph"/>
        <w:spacing w:line="480" w:lineRule="auto"/>
      </w:pPr>
      <w:r>
        <w:t xml:space="preserve">Three scope conditions fence the claim before it goes to data. The first bears on how general the index runs across the specificity range. The within-domain space situational awareness laboratory that secures identification also holds the lower stretch of the specificity range, since tracking data is more redeployable than a crewed transportation system or a unique science instrument [4, 7]. The full multi-agency panel stretches the test toward higher-specificity capabilities, and any extrapolation of the coefficient to high-specificity human-spaceflight or flagship-science capabilities is flatly out of sample and flagged that way. The framework predicts the direction of the effect across the range; it never claims a single linear coefficient catches its magnitude everywhere.</w:t>
      </w:r>
    </w:p>
    <w:p>
      <w:pPr>
        <w:pStyle w:val="BodyText"/>
        <w:spacing w:line="480" w:lineRule="auto"/>
        <w:ind w:firstLine="720"/>
      </w:pPr>
      <w:r>
        <w:t xml:space="preserve">The second condition bears on the hybrid form. Theoretically the richest and empirically the muddiest of the three, the federate category is hard because Space Act Agreements and Other Transaction Authority instruments straddle the make-buy boundary and shrug off clean classification [4, 5]. The framework treats federate as a genuine intermediate governance structure with its own logic of shared rights and risk, in line with the documented federated architectures in the domain</w:t>
      </w:r>
      <w:r>
        <w:t xml:space="preserve"> </w:t>
      </w:r>
      <w:hyperlink w:anchor="ref-12">
        <w:r>
          <w:rPr>
            <w:rStyle w:val="Hyperlink"/>
          </w:rPr>
          <w:t xml:space="preserve">[12]</w:t>
        </w:r>
      </w:hyperlink>
      <w:r>
        <w:t xml:space="preserve">, and the empirical test has to show the ranking survives reasonable reclassification of ambiguous vehicles rather than leaning on a single coding convention.</w:t>
      </w:r>
    </w:p>
    <w:p>
      <w:pPr>
        <w:pStyle w:val="BodyText"/>
        <w:spacing w:line="480" w:lineRule="auto"/>
        <w:ind w:firstLine="720"/>
      </w:pPr>
      <w:r>
        <w:t xml:space="preserve">The third condition bears on the limits of the transaction-cost account itself. The framework never claims price is beside the point. The supporting learning-curve study shows price moves predictably and weighs on the decision</w:t>
      </w:r>
      <w:r>
        <w:t xml:space="preserve"> </w:t>
      </w:r>
      <w:hyperlink w:anchor="ref-25">
        <w:r>
          <w:rPr>
            <w:rStyle w:val="Hyperlink"/>
          </w:rPr>
          <w:t xml:space="preserve">[25]</w:t>
        </w:r>
      </w:hyperlink>
      <w:r>
        <w:t xml:space="preserve">, and the controls for unit cost and program size stay in precisely because the price account catches part of the truth. The claim is the marginal one: that the transaction-cost attributes carry predictive weight price and scale do not exhaust. H1 asserts a non-redundant marginal effect, not the unseating of the financial account, and the test is set to that more modest and more defensible proposition. With the framework, the mechanism, and the hypotheses now fixed, the chapters ahead operationalize the index, build the panel, and estimate the coefficient the contribution stands on.</w:t>
      </w:r>
    </w:p>
    <w:bookmarkEnd w:id="80"/>
    <w:bookmarkEnd w:id="81"/>
    <w:bookmarkStart w:id="94" w:name="chapter-4.-data-and-measurement"/>
    <w:p>
      <w:pPr>
        <w:pStyle w:val="Heading1"/>
        <w:spacing w:line="480" w:lineRule="auto"/>
      </w:pPr>
      <w:r>
        <w:t xml:space="preserve">Chapter 4. Data and Measurement</w:t>
      </w:r>
    </w:p>
    <w:bookmarkStart w:id="82" w:name="purpose-and-scope-of-the-chapter"/>
    <w:p>
      <w:pPr>
        <w:pStyle w:val="Heading2"/>
        <w:spacing w:line="480" w:lineRule="auto"/>
      </w:pPr>
      <w:r>
        <w:t xml:space="preserve">4.1 Purpose and Scope of the Chapter</w:t>
      </w:r>
    </w:p>
    <w:p>
      <w:pPr>
        <w:pStyle w:val="FirstParagraph"/>
        <w:spacing w:line="480" w:lineRule="auto"/>
      </w:pPr>
      <w:r>
        <w:t xml:space="preserve">Here the chapter documents the empirical footing the dissertation’s central claim rests on. My work argues that the make, buy, or federate choice in space acquisition is a transaction-cost problem rather than a contest of quoted unit prices, and that claim can be falsified only if the constructs of the Williamsonian tradition can be measured off primary records that precede and stand apart from the outcomes they are asked to predict</w:t>
      </w:r>
      <w:r>
        <w:t xml:space="preserve"> </w:t>
      </w:r>
      <w:hyperlink w:anchor="ref-1">
        <w:r>
          <w:rPr>
            <w:rStyle w:val="Hyperlink"/>
          </w:rPr>
          <w:t xml:space="preserve">[1]</w:t>
        </w:r>
      </w:hyperlink>
      <w:r>
        <w:t xml:space="preserve">. So every coefficient the two empirical papers report is only as credible as the provenance, the unit of analysis, and the construction logic set down here. Measurement gets treated as the load-bearing beam of the design, not a warm-up to it.</w:t>
      </w:r>
    </w:p>
    <w:p>
      <w:pPr>
        <w:pStyle w:val="BodyText"/>
        <w:spacing w:line="480" w:lineRule="auto"/>
        <w:ind w:firstLine="720"/>
      </w:pPr>
      <w:r>
        <w:t xml:space="preserve">Two datasets shoulder the dissertation’s empirical weight, one per paper. The first is a hand-coded panel of twenty-nine space capabilities acquired by the National Aeronautics and Space Administration, the United States Space Force, and the National Oceanic and Atmospheric Administration, put together to test whether asset specificity forecasts realized cost growth on the hold-up margin. The second is a cross-section of thirty-four orbital launch vehicles that entered service between 1963 and 2018, put together to estimate an industry-wide Wright learning curve tying launch unit cost to cumulative production experience. The two answer complementary questions. One pries loose the transaction-cost dimension the price account skips; the other fences the price trajectory itself, fixing that the unit cost a program manager reads is a moving point on a learning curve rather than a fixed property of a capability. The chapter takes each dataset in turn, naming the authoritative source of every variable, fixing the unit of analysis, and tracing the route from a primary record to a coded value. It closes with a consolidated account of provenance discipline and the auditability commitments that let an outside reader rebuild the panels in full.</w:t>
      </w:r>
    </w:p>
    <w:p>
      <w:pPr>
        <w:pStyle w:val="BodyText"/>
        <w:spacing w:line="480" w:lineRule="auto"/>
        <w:ind w:firstLine="720"/>
      </w:pPr>
      <w:r>
        <w:t xml:space="preserve">One rule governs throughout: nothing is invented. Every value entered into either dataset comes from a named public source, and where no clean primary record could be found, the value gets flagged as illustrative rather than quietly filled in. The chapter says which values carry such flags, how many there are, and where they fall, because the integrity of a transaction-cost test that turns on a single coefficient is only as strong as the weakest cell in the matrix behind it.</w:t>
      </w:r>
    </w:p>
    <w:bookmarkEnd w:id="82"/>
    <w:bookmarkStart w:id="83" w:name="the-authoritative-sources"/>
    <w:p>
      <w:pPr>
        <w:pStyle w:val="Heading2"/>
        <w:spacing w:line="480" w:lineRule="auto"/>
      </w:pPr>
      <w:r>
        <w:t xml:space="preserve">4.2 The Authoritative Sources</w:t>
      </w:r>
    </w:p>
    <w:p>
      <w:pPr>
        <w:pStyle w:val="FirstParagraph"/>
        <w:spacing w:line="480" w:lineRule="auto"/>
      </w:pPr>
      <w:r>
        <w:t xml:space="preserve">Three families of authoritative source supply the dissertation’s measurements, each picked because it is public, citable, and pinned to a primary record rather than a secondary summary.</w:t>
      </w:r>
    </w:p>
    <w:p>
      <w:pPr>
        <w:pStyle w:val="BodyText"/>
        <w:spacing w:line="480" w:lineRule="auto"/>
        <w:ind w:firstLine="720"/>
      </w:pPr>
      <w:r>
        <w:t xml:space="preserve">First is the federal oversight record. Realized cost growth in the capability panel comes from Government Accountability Office assessments of major NASA projects and from NASA Office of Inspector General reporting. The GAO series on the James Webb Space Telescope logs the technical challenges and schedule strain that drove that flagship’s cost past its confirmation baseline</w:t>
      </w:r>
      <w:r>
        <w:t xml:space="preserve"> </w:t>
      </w:r>
      <w:hyperlink w:anchor="ref-16">
        <w:r>
          <w:rPr>
            <w:rStyle w:val="Hyperlink"/>
          </w:rPr>
          <w:t xml:space="preserve">[16]</w:t>
        </w:r>
      </w:hyperlink>
      <w:r>
        <w:t xml:space="preserve">. The GAO review of the Space Launch System takes up the cost transparency needed to watch that program’s affordability</w:t>
      </w:r>
      <w:r>
        <w:t xml:space="preserve"> </w:t>
      </w:r>
      <w:hyperlink w:anchor="ref-17">
        <w:r>
          <w:rPr>
            <w:rStyle w:val="Hyperlink"/>
          </w:rPr>
          <w:t xml:space="preserve">[17]</w:t>
        </w:r>
      </w:hyperlink>
      <w:r>
        <w:t xml:space="preserve">. The annual GAO assessment of NASA’s major-project portfolio supplies baseline-versus-current cost pairs for the current run of missions</w:t>
      </w:r>
      <w:r>
        <w:t xml:space="preserve"> </w:t>
      </w:r>
      <w:hyperlink w:anchor="ref-18">
        <w:r>
          <w:rPr>
            <w:rStyle w:val="Hyperlink"/>
          </w:rPr>
          <w:t xml:space="preserve">[18]</w:t>
        </w:r>
      </w:hyperlink>
      <w:r>
        <w:t xml:space="preserve">. And NASA Office of Inspector General reporting on the Dragonfly project records the schedule delays and the cost increase nearing one billion dollars that place that mission in the panel’s high-specificity band</w:t>
      </w:r>
      <w:r>
        <w:t xml:space="preserve"> </w:t>
      </w:r>
      <w:hyperlink w:anchor="ref-19">
        <w:r>
          <w:rPr>
            <w:rStyle w:val="Hyperlink"/>
          </w:rPr>
          <w:t xml:space="preserve">[19]</w:t>
        </w:r>
      </w:hyperlink>
      <w:r>
        <w:t xml:space="preserve">. These documents form the spine of the cost-growth variable because they report a program’s confirmation baseline and its current or final estimate against a common accounting convention, which is exactly the pair the transaction-cost test needs.</w:t>
      </w:r>
    </w:p>
    <w:p>
      <w:pPr>
        <w:pStyle w:val="BodyText"/>
        <w:spacing w:line="480" w:lineRule="auto"/>
        <w:ind w:firstLine="720"/>
      </w:pPr>
      <w:r>
        <w:t xml:space="preserve">Second is the curated public-interest cost reconstruction. Where the oversight record carried no clean baseline-versus-current pair for a planetary mission, the panel turns to the published cost reconstructions of The Planetary Society, which set the cost of Perseverance against comparable rover programs</w:t>
      </w:r>
      <w:r>
        <w:t xml:space="preserve"> </w:t>
      </w:r>
      <w:hyperlink w:anchor="ref-20">
        <w:r>
          <w:rPr>
            <w:rStyle w:val="Hyperlink"/>
          </w:rPr>
          <w:t xml:space="preserve">[20]</w:t>
        </w:r>
      </w:hyperlink>
      <w:r>
        <w:t xml:space="preserve"> </w:t>
      </w:r>
      <w:r>
        <w:t xml:space="preserve">and rebuild the life-cycle cost of OSIRIS-REx</w:t>
      </w:r>
      <w:r>
        <w:t xml:space="preserve"> </w:t>
      </w:r>
      <w:hyperlink w:anchor="ref-21">
        <w:r>
          <w:rPr>
            <w:rStyle w:val="Hyperlink"/>
          </w:rPr>
          <w:t xml:space="preserve">[21]</w:t>
        </w:r>
      </w:hyperlink>
      <w:r>
        <w:t xml:space="preserve">. Secondary in that they synthesize primary budget documents, these reconstructions carry authority within the planetary-science community and get cited openly as the source of the values they supply. Their use stays bounded: they enter the panel only for capabilities where the GAO and Inspector General record falls silent, and every such cell carries its source in the row-level provenance column.</w:t>
      </w:r>
    </w:p>
    <w:p>
      <w:pPr>
        <w:pStyle w:val="BodyText"/>
        <w:spacing w:line="480" w:lineRule="auto"/>
        <w:ind w:firstLine="720"/>
      </w:pPr>
      <w:r>
        <w:t xml:space="preserve">Third is the compiled public data series. The launch-vehicle cross-section is built wholly from two series published by Our World in Data, each compiling named primary sources. The dependent variable, the dedicated-launch cost to place one kilogram of payload into low Earth orbit, comes from the Our World in Data series compiling the Center for Strategic and International Studies Aerospace Security Project launch-cost database together with Federal Aviation Administration estimates</w:t>
      </w:r>
      <w:r>
        <w:t xml:space="preserve"> </w:t>
      </w:r>
      <w:hyperlink w:anchor="ref-27">
        <w:r>
          <w:rPr>
            <w:rStyle w:val="Hyperlink"/>
          </w:rPr>
          <w:t xml:space="preserve">[27]</w:t>
        </w:r>
      </w:hyperlink>
      <w:r>
        <w:t xml:space="preserve">. The experience variable is built from the Our World in Data series on the yearly number of objects launched into outer space, which itself draws on the United Nations Office for Outer Space Affairs Online Index of Objects Launched into Outer Space</w:t>
      </w:r>
      <w:r>
        <w:t xml:space="preserve"> </w:t>
      </w:r>
      <w:hyperlink w:anchor="ref-28">
        <w:r>
          <w:rPr>
            <w:rStyle w:val="Hyperlink"/>
          </w:rPr>
          <w:t xml:space="preserve">[28]</w:t>
        </w:r>
      </w:hyperlink>
      <w:r>
        <w:t xml:space="preserve">. Both series run open, both name their upstream primary sources, and both reproduce from the public record. Anchoring the launch-cost paper in these compilations rather than a bespoke price collection is a deliberate pick: it subordinates the estimate to a transparent, externally kept data lineage any reader can inspect, at the price of inheriting the measurement conventions of the underlying CSIS and FAA compilation, a tradeoff Section 4.5 takes up head-on.</w:t>
      </w:r>
    </w:p>
    <w:p>
      <w:pPr>
        <w:pStyle w:val="BodyText"/>
        <w:spacing w:line="480" w:lineRule="auto"/>
        <w:ind w:firstLine="720"/>
      </w:pPr>
      <w:r>
        <w:t xml:space="preserve">Two further bodies of literature shape measurement without handing over point values. The cost-engineering canon, in particular the NASA Marshall analysis of launch-vehicle production and operations cost metrics</w:t>
      </w:r>
      <w:r>
        <w:t xml:space="preserve"> </w:t>
      </w:r>
      <w:hyperlink w:anchor="ref-25">
        <w:r>
          <w:rPr>
            <w:rStyle w:val="Hyperlink"/>
          </w:rPr>
          <w:t xml:space="preserve">[25]</w:t>
        </w:r>
      </w:hyperlink>
      <w:r>
        <w:t xml:space="preserve"> </w:t>
      </w:r>
      <w:r>
        <w:t xml:space="preserve">and the parametric cost-estimation tradition typified by the TRANSCOST-derived launcher trade studies [22, 23] and the blind validation of the SEER-H tool for NASA missions</w:t>
      </w:r>
      <w:r>
        <w:t xml:space="preserve"> </w:t>
      </w:r>
      <w:hyperlink w:anchor="ref-24">
        <w:r>
          <w:rPr>
            <w:rStyle w:val="Hyperlink"/>
          </w:rPr>
          <w:t xml:space="preserve">[24]</w:t>
        </w:r>
      </w:hyperlink>
      <w:r>
        <w:t xml:space="preserve">, supplies the interpretive frame for the learning-curve estimate, fixing the aerospace progress-ratio band the dissertation’s elasticity is read against. The space situational awareness record, made of the option-space and commercial-provision evaluations in the AMOS proceedings [11, 13, 14, 15] and the federated-architecture and hosted-payload cases</w:t>
      </w:r>
      <w:r>
        <w:t xml:space="preserve"> </w:t>
      </w:r>
      <w:hyperlink w:anchor="ref-26">
        <w:r>
          <w:rPr>
            <w:rStyle w:val="Hyperlink"/>
          </w:rPr>
          <w:t xml:space="preserve">[26]</w:t>
        </w:r>
      </w:hyperlink>
      <w:r>
        <w:t xml:space="preserve">, anchors the within-domain coding of the capability panel where one functional capability has come through all three governance forms. These sources add no numbers to either regression; they discipline the construction of the coded variables and the reading of the coefficients.</w:t>
      </w:r>
    </w:p>
    <w:bookmarkEnd w:id="83"/>
    <w:bookmarkStart w:id="88" w:name="X70928a85eb5b0fe1a8876fe6eb5f52222bd04f7"/>
    <w:p>
      <w:pPr>
        <w:pStyle w:val="Heading2"/>
        <w:spacing w:line="480" w:lineRule="auto"/>
      </w:pPr>
      <w:r>
        <w:t xml:space="preserve">4.3 Dataset One: The Capability Cost-Growth Panel</w:t>
      </w:r>
    </w:p>
    <w:bookmarkStart w:id="84" w:name="unit-of-analysis-and-sampling-frame"/>
    <w:p>
      <w:pPr>
        <w:pStyle w:val="Heading3"/>
        <w:spacing w:line="480" w:lineRule="auto"/>
      </w:pPr>
      <w:r>
        <w:t xml:space="preserve">4.3.1 Unit of Analysis and Sampling Frame</w:t>
      </w:r>
    </w:p>
    <w:p>
      <w:pPr>
        <w:pStyle w:val="FirstParagraph"/>
        <w:spacing w:line="480" w:lineRule="auto"/>
      </w:pPr>
      <w:r>
        <w:t xml:space="preserve">In the first dataset the unit of observation is a space capability acquired by NASA, the United States Space Force, or NOAA, holding a documented confirmation baseline and a documented current or final cost. A capability in this sense is a deliverable system or service, the James Webb Space Telescope, the Space Launch System, a commercial cargo resupply service, a polar or geostationary weather system, and not a contract line item or an obligation transaction. This pick of unit follows from the test’s theoretical object. Transaction-cost economics predicts hazard at the level of the transaction whose attributes set its governance hazard, and the relevant attribute, asset specificity, sticks to the capability acquired rather than to any single instrument used to acquire it</w:t>
      </w:r>
      <w:r>
        <w:t xml:space="preserve"> </w:t>
      </w:r>
      <w:hyperlink w:anchor="ref-1">
        <w:r>
          <w:rPr>
            <w:rStyle w:val="Hyperlink"/>
          </w:rPr>
          <w:t xml:space="preserve">[1]</w:t>
        </w:r>
      </w:hyperlink>
      <w:r>
        <w:t xml:space="preserve">. Coding at the capability level keeps the unit of analysis lined up with the unit of theory.</w:t>
      </w:r>
    </w:p>
    <w:p>
      <w:pPr>
        <w:pStyle w:val="BodyText"/>
        <w:spacing w:line="480" w:lineRule="auto"/>
        <w:ind w:firstLine="720"/>
      </w:pPr>
      <w:r>
        <w:t xml:space="preserve">Twenty-nine capabilities make up the sample, stretching the full asset-specificity range, from redeployable commercial services at one end to mission-unique government builds at the other. Deliberately, the frame reaches across the specificity continuum, because testing the hold-up margin needs variation in the regressor of interest; a sample drawn only from commodity services or only from flagships would have no leverage to catch the tie the theory predicts. In it are commercial transport services scoring in the lower specificity band, the mission-unique flagships scoring in the upper band, and intermediate systems between them. One binding constraint fixes the sample size: each capability has to carry a defensible baseline-versus-current cost pair drawn from the public oversight record. Capabilities with no such pair get excluded rather than estimated, which pins the sample at twenty-nine and is itself a provenance commitment rather than a shortfall of effort.</w:t>
      </w:r>
    </w:p>
    <w:bookmarkEnd w:id="84"/>
    <w:bookmarkStart w:id="85" w:name="Xb56a4330162f71e346fe864044bdbf5a5ab09fb"/>
    <w:p>
      <w:pPr>
        <w:pStyle w:val="Heading3"/>
        <w:spacing w:line="480" w:lineRule="auto"/>
      </w:pPr>
      <w:r>
        <w:t xml:space="preserve">4.3.2 The Dependent Variable: Realized Cost Growth</w:t>
      </w:r>
    </w:p>
    <w:p>
      <w:pPr>
        <w:pStyle w:val="FirstParagraph"/>
        <w:spacing w:line="480" w:lineRule="auto"/>
      </w:pPr>
      <w:r>
        <w:t xml:space="preserve">Realized cost growth is the dependent variable, defined as the proportional split between a program’s confirmation baseline and its final or current estimate, put in percentage points. The variable gets built straight from the oversight record. For each capability, the confirmation baseline and the current or final estimate are read from the relevant GAO assessment or Inspector General report, and the growth figure is worked out as the difference between the two divided by the baseline. The James Webb Space Telescope and the Space Launch System pull their figures from the dedicated GAO reviews of those programs [16, 17]. The current-portfolio missions pull theirs from the annual GAO assessment of NASA’s major projects</w:t>
      </w:r>
      <w:r>
        <w:t xml:space="preserve"> </w:t>
      </w:r>
      <w:hyperlink w:anchor="ref-18">
        <w:r>
          <w:rPr>
            <w:rStyle w:val="Hyperlink"/>
          </w:rPr>
          <w:t xml:space="preserve">[18]</w:t>
        </w:r>
      </w:hyperlink>
      <w:r>
        <w:t xml:space="preserve">. Dragonfly pulls its near-billion-dollar increase from the Inspector General reporting</w:t>
      </w:r>
      <w:r>
        <w:t xml:space="preserve"> </w:t>
      </w:r>
      <w:hyperlink w:anchor="ref-19">
        <w:r>
          <w:rPr>
            <w:rStyle w:val="Hyperlink"/>
          </w:rPr>
          <w:t xml:space="preserve">[19]</w:t>
        </w:r>
      </w:hyperlink>
      <w:r>
        <w:t xml:space="preserve">. The NOAA polar and geostationary weather systems draw on the published life-cycle cost caps for those systems, and the planetary missions draw on the GAO record where available and on the published cost reconstructions otherwise [20, 21].</w:t>
      </w:r>
    </w:p>
    <w:p>
      <w:pPr>
        <w:pStyle w:val="BodyText"/>
        <w:spacing w:line="480" w:lineRule="auto"/>
        <w:ind w:firstLine="720"/>
      </w:pPr>
      <w:r>
        <w:t xml:space="preserve">Two construction disciplines govern this variable. The baseline and the current estimate always come from the same source and the same accounting convention, so the growth figure is an internally consistent comparison rather than a splice of clashing numbers. And any value that could not be tied to a clean baseline-versus-current pair in the public record gets flagged in the data file as illustrative. Such flags fall well under one in seven of the recorded values and never touch a capability’s headline cost-growth figure where a documented figure exists. This matters for the direction of any bias the flagged values could feed in. Because the illustrative values run a minority and never the documented headline figures, the noise they inject works against catching an effect rather than manufacturing one; a regression run on noisier data tilts toward the null, so the flags make the test more conservative, not less.</w:t>
      </w:r>
    </w:p>
    <w:p>
      <w:pPr>
        <w:pStyle w:val="BodyText"/>
        <w:spacing w:line="480" w:lineRule="auto"/>
        <w:ind w:firstLine="720"/>
      </w:pPr>
      <w:r>
        <w:t xml:space="preserve">Among the high-specificity flagships the dependent variable spreads visibly wider than among the commodity services. Commodity transports bunch near zero growth, while the most specific flagships run from roughly sixty percent to more than two hundred percent over baseline. This heteroskedastic pattern is a feature of the construction rather than an artifact, and it dictates the pick of robust standard errors in the estimation, taken up in the method chapter and noted here only to record that the dispersion is a property of the measured data and not an assumption laid on it.</w:t>
      </w:r>
    </w:p>
    <w:bookmarkEnd w:id="85"/>
    <w:bookmarkStart w:id="86" w:name="the-key-regressor-asset-specificity"/>
    <w:p>
      <w:pPr>
        <w:pStyle w:val="Heading3"/>
        <w:spacing w:line="480" w:lineRule="auto"/>
      </w:pPr>
      <w:r>
        <w:t xml:space="preserve">4.3.3 The Key Regressor: Asset Specificity</w:t>
      </w:r>
    </w:p>
    <w:p>
      <w:pPr>
        <w:pStyle w:val="FirstParagraph"/>
        <w:spacing w:line="480" w:lineRule="auto"/>
      </w:pPr>
      <w:r>
        <w:t xml:space="preserve">Asset specificity is the dissertation’s central construct and the variable whose measurement most directly settles whether the transaction-cost account survives. It gets coded in the unit interval, from zero for a fully redeployable commodity to one for a fully mission-dedicated, non-redeployable, government-unique capability. The coding draws on three observable sub-dimensions, each pinned to a fixed engineering attribute that precedes and stands outside the contract vehicle finally chosen: mission-dedication, how far the capability is engineered for one government mission; non-redeployability, the want of any outside buyer the supplier could sell the same asset to; and government-uniqueness, how far the phenomenology, latency, and interfaces are tuned to a unique operational pipeline. Knowable at the moment of decision, these attributes are what make the resulting index actionable ex ante rather than merely descriptive after the fact.</w:t>
      </w:r>
    </w:p>
    <w:p>
      <w:pPr>
        <w:pStyle w:val="BodyText"/>
        <w:spacing w:line="480" w:lineRule="auto"/>
        <w:ind w:firstLine="720"/>
      </w:pPr>
      <w:r>
        <w:t xml:space="preserve">Observable benchmarks anchor the coding at both ends of the scale. Commodity-like commercial services such as cargo resupply and the commercial crew transports score in the 0.25 to 0.40 band, mirroring their redeployability and the market discipline an outside buyer keeps on their price. Mission-unique flagships such as the James Webb Space Telescope and the Space Launch System score from 0.85 to 0.95, mirroring phenomenology and interfaces with no second buyer that pin the government and the supplier into a bilateral relationship. The within-domain space situational awareness sub-panel is anchored to the documented option spaces and commercial-provision evaluations in the AMOS record, where one functional capability of delivering tracking data on resident space objects has been procured through make, buy, and federate forms, letting specificity be coded off fixed attributes such as orbit regime, sensor phenomenology, and latency requirement rather than off the governance outcome [11, 13, 14, 15]. The federated-architecture and hosted-payload cases in the same record supply the intermediate anchors for the federate form</w:t>
      </w:r>
      <w:r>
        <w:t xml:space="preserve"> </w:t>
      </w:r>
      <w:hyperlink w:anchor="ref-26">
        <w:r>
          <w:rPr>
            <w:rStyle w:val="Hyperlink"/>
          </w:rPr>
          <w:t xml:space="preserve">[26]</w:t>
        </w:r>
      </w:hyperlink>
      <w:r>
        <w:t xml:space="preserve">.</w:t>
      </w:r>
    </w:p>
    <w:p>
      <w:pPr>
        <w:pStyle w:val="BodyText"/>
        <w:spacing w:line="480" w:lineRule="auto"/>
        <w:ind w:firstLine="720"/>
      </w:pPr>
      <w:r>
        <w:t xml:space="preserve">The coding rule is pre-registered in the dissertation prospectus and applied uniformly, which is the chief defense against the construct-validity threat a latent variable coded with judgment invites. The companion ordered-response analysis in the dissertation puts the same index through dual-blind coding by two raters working apart from the governance outcome, with inter-rater agreement reported and disagreements settled against primary program documentation. Because the cost-growth paper uses the index that same procedure yields, the measurement discipline of the ordered-response design carries over to the hold-up test. Residual measurement error stays, and the dissertation says as much; the claim is only that the error is fenced by a pre-registered rule tied to attributes locked before any contract is signed.</w:t>
      </w:r>
    </w:p>
    <w:bookmarkEnd w:id="86"/>
    <w:bookmarkStart w:id="87" w:name="the-controls"/>
    <w:p>
      <w:pPr>
        <w:pStyle w:val="Heading3"/>
        <w:spacing w:line="480" w:lineRule="auto"/>
      </w:pPr>
      <w:r>
        <w:t xml:space="preserve">4.3.4 The Controls</w:t>
      </w:r>
    </w:p>
    <w:p>
      <w:pPr>
        <w:pStyle w:val="FirstParagraph"/>
        <w:spacing w:line="480" w:lineRule="auto"/>
      </w:pPr>
      <w:r>
        <w:t xml:space="preserve">Three control variables enter the cost-growth model, each built from the same primary record as the variable it rides with. The procurement vehicle gets coded as a binary indicator equal to one where the capability came through a competed commercial, firm-fixed-price, milestone Space Act, or task-order instrument, and zero otherwise. This coding reads the vehicle off the contracting record, and the analysis treats it as endogenous to specificity, since agencies tend to hold commercial vehicles back for the low-specificity capabilities least open to hold-up; the indicator goes in to soak up the direct effect of the vehicle while the transaction-cost logic looks for its conditional effect to run weak once specificity is in the model [2, 4]. Program size enters as the natural logarithm of the baseline cost, pulled straight from the confirmation baseline read off the oversight record, so the size control and the dependent variable share a common source. An epoch indicator marks baselines set in or after 2015, working as a coarse period fixed effect that holds the drift toward commercial procurement roughly fixed so the specificity coefficient is identified off cross-capability variation rather than off the time trend</w:t>
      </w:r>
      <w:r>
        <w:t xml:space="preserve"> </w:t>
      </w:r>
      <w:hyperlink w:anchor="ref-2">
        <w:r>
          <w:rPr>
            <w:rStyle w:val="Hyperlink"/>
          </w:rPr>
          <w:t xml:space="preserve">[2]</w:t>
        </w:r>
      </w:hyperlink>
      <w:r>
        <w:t xml:space="preserve">.</w:t>
      </w:r>
    </w:p>
    <w:p>
      <w:pPr>
        <w:pStyle w:val="BodyText"/>
        <w:spacing w:line="480" w:lineRule="auto"/>
        <w:ind w:firstLine="720"/>
      </w:pPr>
      <w:r>
        <w:t xml:space="preserve">Each row of the panel carries its source in a final provenance column, so the value of every variable, the cost-growth figure, the specificity code, the vehicle indicator, the log baseline, and the epoch flag, traces back to the document it was drawn from. From this column the panel rebuilds cell by cell.</w:t>
      </w:r>
    </w:p>
    <w:bookmarkEnd w:id="87"/>
    <w:bookmarkEnd w:id="88"/>
    <w:bookmarkStart w:id="92" w:name="X465eb11a4ae48703a7a5dd413b903634adc4356"/>
    <w:p>
      <w:pPr>
        <w:pStyle w:val="Heading2"/>
        <w:spacing w:line="480" w:lineRule="auto"/>
      </w:pPr>
      <w:r>
        <w:t xml:space="preserve">4.4 Dataset Two: The Launch-Vehicle Learning Cross-Section</w:t>
      </w:r>
    </w:p>
    <w:bookmarkStart w:id="89" w:name="unit-of-analysis-and-sampling-frame-1"/>
    <w:p>
      <w:pPr>
        <w:pStyle w:val="Heading3"/>
        <w:spacing w:line="480" w:lineRule="auto"/>
      </w:pPr>
      <w:r>
        <w:t xml:space="preserve">4.4.1 Unit of Analysis and Sampling Frame</w:t>
      </w:r>
    </w:p>
    <w:p>
      <w:pPr>
        <w:pStyle w:val="FirstParagraph"/>
        <w:spacing w:line="480" w:lineRule="auto"/>
      </w:pPr>
      <w:r>
        <w:t xml:space="preserve">In the second dataset the unit of observation is an orbital launch vehicle. Thirty-four vehicles that entered service between 1963 and 2018 make up the sample, reaching from the Atlas Centaur of 1963, which came in against a cumulative experience stock of two hundred thirty launched objects, to the Falcon Heavy of 2018, which came in against a cumulative stock of eight thousand four hundred fifty. Deliberately, the frame runs international and cross-generational. It takes in United States, Soviet and Russian, Chinese, European, Indian, and Japanese vehicles, and it stretches the three governance forms central to the dissertation. Government in-house systems such as the Space Shuttle and Saturn V hold the make form; firm-fixed-price commercial vehicles such as the Falcon 9 and the Delta and Atlas families hold the buy form; and multinational federated programs such as Ariane and Sea Launch’s Zenit 3SL hold the federate form. This breadth is essential to the paper’s aim, which is to estimate an industry-wide learning rate rather than the learning rate of any single program; a sample penned to one country or one governance form could not speak to the supplier base as a whole.</w:t>
      </w:r>
    </w:p>
    <w:bookmarkEnd w:id="89"/>
    <w:bookmarkStart w:id="90" w:name="the-dependent-variable-launch-unit-cost"/>
    <w:p>
      <w:pPr>
        <w:pStyle w:val="Heading3"/>
        <w:spacing w:line="480" w:lineRule="auto"/>
      </w:pPr>
      <w:r>
        <w:t xml:space="preserve">4.4.2 The Dependent Variable: Launch Unit Cost</w:t>
      </w:r>
    </w:p>
    <w:p>
      <w:pPr>
        <w:pStyle w:val="FirstParagraph"/>
        <w:spacing w:line="480" w:lineRule="auto"/>
      </w:pPr>
      <w:r>
        <w:t xml:space="preserve">The dependent variable is the dedicated-launch cost to place one kilogram of payload into low Earth orbit, put in constant FY2021 United States dollars. Each value is read straight off the Our World in Data launch-cost series, which compiles the CSIS Aerospace Security Project launch-cost database together with FAA estimates</w:t>
      </w:r>
      <w:r>
        <w:t xml:space="preserve"> </w:t>
      </w:r>
      <w:hyperlink w:anchor="ref-27">
        <w:r>
          <w:rPr>
            <w:rStyle w:val="Hyperlink"/>
          </w:rPr>
          <w:t xml:space="preserve">[27]</w:t>
        </w:r>
      </w:hyperlink>
      <w:r>
        <w:t xml:space="preserve">. The variable enters the estimation in natural-logarithm form, in line with the canonical Wright specification where the logarithm of unit cost runs linear in the logarithm of cumulative experience. No cost value in this dataset is illustrative; every figure comes from the named public series, and each row carries its source in the final column of the data file. The constant-dollar denomination is inherited from the compilation rather than laid on by the dissertation, which is the cleanest available basis for a cross-vehicle comparison spanning more than half a century and which also carries the measurement conventions of the upstream sources, taken up in Section 4.5.</w:t>
      </w:r>
    </w:p>
    <w:bookmarkEnd w:id="90"/>
    <w:bookmarkStart w:id="91" w:name="Xbe3b3657f631143676c078070c79034a6009d24"/>
    <w:p>
      <w:pPr>
        <w:pStyle w:val="Heading3"/>
        <w:spacing w:line="480" w:lineRule="auto"/>
      </w:pPr>
      <w:r>
        <w:t xml:space="preserve">4.4.3 The Experience Variable: Cumulative Launched Objects</w:t>
      </w:r>
    </w:p>
    <w:p>
      <w:pPr>
        <w:pStyle w:val="FirstParagraph"/>
        <w:spacing w:line="480" w:lineRule="auto"/>
      </w:pPr>
      <w:r>
        <w:t xml:space="preserve">The experience variable is the cumulative count of objects launched into space worldwide through the end of each vehicle’s first-flight year. It gets built from the Our World in Data series on the yearly number of objects launched into outer space, itself drawn from the United Nations Office for Outer Space Affairs Online Index of Objects Launched into Outer Space</w:t>
      </w:r>
      <w:r>
        <w:t xml:space="preserve"> </w:t>
      </w:r>
      <w:hyperlink w:anchor="ref-28">
        <w:r>
          <w:rPr>
            <w:rStyle w:val="Hyperlink"/>
          </w:rPr>
          <w:t xml:space="preserve">[28]</w:t>
        </w:r>
      </w:hyperlink>
      <w:r>
        <w:t xml:space="preserve">. Construction is a running cumulative sum: the annual launched-object counts are summed from the start of the series through the year a vehicle came in, and the vehicle is tagged with the size of the global launched-object stock alive at that moment. The variable enters in natural-logarithm form, so its coefficient in the regression is the experience elasticity and two raised to that coefficient is the progress ratio.</w:t>
      </w:r>
    </w:p>
    <w:p>
      <w:pPr>
        <w:pStyle w:val="BodyText"/>
        <w:spacing w:line="480" w:lineRule="auto"/>
        <w:ind w:firstLine="720"/>
      </w:pPr>
      <w:r>
        <w:t xml:space="preserve">Deliberately, this proxy is picked over per-vehicle production counts. The dissertation’s question is whether the supplier base as a whole cheapens the capability, since that is the trajectory a program manager weighing buy against make actually faces; a per-program production count would answer the narrower question of within-program learning the parametric cost-estimation tradition already models [22, 23, 24]. The cumulative launched-object stock is a transparent, externally kept proxy for the production experience the industry had piled up to any point in time, and its lineage runs back to a United Nations primary index</w:t>
      </w:r>
      <w:r>
        <w:t xml:space="preserve"> </w:t>
      </w:r>
      <w:hyperlink w:anchor="ref-28">
        <w:r>
          <w:rPr>
            <w:rStyle w:val="Hyperlink"/>
          </w:rPr>
          <w:t xml:space="preserve">[28]</w:t>
        </w:r>
      </w:hyperlink>
      <w:r>
        <w:t xml:space="preserve">. The proxy runs imperfect, since it counts objects rather than production runs and mixes vehicle classes, and Section 4.5 records what that imperfection does to the reading of the elasticity.</w:t>
      </w:r>
    </w:p>
    <w:bookmarkEnd w:id="91"/>
    <w:bookmarkEnd w:id="92"/>
    <w:bookmarkStart w:id="93" w:name="Xe22a2bb387457158339dc46e2afcf78dc9aecb6"/>
    <w:p>
      <w:pPr>
        <w:pStyle w:val="Heading2"/>
        <w:spacing w:line="480" w:lineRule="auto"/>
      </w:pPr>
      <w:r>
        <w:t xml:space="preserve">4.5 Provenance, Measurement Limits, and Auditability</w:t>
      </w:r>
    </w:p>
    <w:p>
      <w:pPr>
        <w:pStyle w:val="FirstParagraph"/>
        <w:spacing w:line="480" w:lineRule="auto"/>
      </w:pPr>
      <w:r>
        <w:t xml:space="preserve">A common provenance discipline runs through the two datasets and is the methodological centerpiece of the chapter. Every value in both panels traces to a named public source recorded in a row-level provenance column, so the datasets rebuild in full from the documents they cite. The capability panel draws on open federal oversight reporting [16, 17, 18, 19] and curated public cost reconstructions [20, 21], and its coded variables anchor to the openly published AMOS proceedings [11, 13, 14, 15, 26]. The launch cross-section draws wholly on two open compiled series whose upstream primary sources, the CSIS Aerospace Security Project, the FAA, and the United Nations Office for Outer Space Affairs index, are themselves named and public [27, 28]. No value in either dataset rests on a proprietary or unverifiable source.</w:t>
      </w:r>
    </w:p>
    <w:p>
      <w:pPr>
        <w:pStyle w:val="BodyText"/>
        <w:spacing w:line="480" w:lineRule="auto"/>
        <w:ind w:firstLine="720"/>
      </w:pPr>
      <w:r>
        <w:t xml:space="preserve">Three measurement limits get recorded openly rather than hidden. In the capability panel, asset specificity is a coded judgment; though the coding rule is pre-registered and tied to attributes locked before any contract is signed, residual measurement error stays, and the dual-blind coding and reported inter-rater agreement of the companion ordered-response analysis are the answer to that threat rather than its erasure. A minority of cost-growth values in the capability panel run illustrative where no clean baseline-versus-current pair sat in the public record; these fall well under one in seven of the recorded values, never touch a documented headline figure, and tilt the test toward the null rather than toward a spurious finding. And in the launch cross-section, the cost figures inherit the measurement conventions of the CSIS and FAA compilation, where the handling of then-year versus inflation-adjusted dollars and of subsidized or government-furnished vehicles feeds in noise no single series fully resolves</w:t>
      </w:r>
      <w:r>
        <w:t xml:space="preserve"> </w:t>
      </w:r>
      <w:hyperlink w:anchor="ref-27">
        <w:r>
          <w:rPr>
            <w:rStyle w:val="Hyperlink"/>
          </w:rPr>
          <w:t xml:space="preserve">[27]</w:t>
        </w:r>
      </w:hyperlink>
      <w:r>
        <w:t xml:space="preserve">; the cumulative-objects experience variable is an industry-wide proxy rather than a per-vehicle production count, so the resulting elasticity is an industry learning rate that must not be read as the learning rate of any one program [25, 24].</w:t>
      </w:r>
    </w:p>
    <w:p>
      <w:pPr>
        <w:pStyle w:val="BodyText"/>
        <w:spacing w:line="480" w:lineRule="auto"/>
        <w:ind w:firstLine="720"/>
      </w:pPr>
      <w:r>
        <w:t xml:space="preserve">These limits do not undercut the datasets; they fence the claims the datasets can support. The capability panel is built to catch a positive, significant tie on the specificity margin, not to identify a fully structural model of every channel cost grows through, and its provenance discipline makes the tie it reports reconstructable from public records. The launch cross-section is built to estimate a single transparent experience elasticity for the whole industry, read against the aerospace progress-ratio band the cost-engineering literature treats as ordinary [25, 22, 23], and its modest explanatory share is itself a finding that openly flags the omitted heterogeneity the transaction-cost dimensions come in to explain. In both cases the measurement picks bend to a single commitment: that an outside reader, handed the named sources and the row-level provenance, can rebuild each panel and audit each coefficient against the primary record it was drawn from.</w:t>
      </w:r>
    </w:p>
    <w:bookmarkEnd w:id="93"/>
    <w:bookmarkEnd w:id="94"/>
    <w:bookmarkStart w:id="106" w:name="chapter-5.-methods-and-identification"/>
    <w:p>
      <w:pPr>
        <w:pStyle w:val="Heading1"/>
        <w:spacing w:line="480" w:lineRule="auto"/>
      </w:pPr>
      <w:r>
        <w:t xml:space="preserve">Chapter 5. Methods and Identification</w:t>
      </w:r>
    </w:p>
    <w:bookmarkStart w:id="95" w:name="X475f3ee17e5f3f336f3ff895fd4947971fe712b"/>
    <w:p>
      <w:pPr>
        <w:pStyle w:val="Heading2"/>
        <w:spacing w:line="480" w:lineRule="auto"/>
      </w:pPr>
      <w:r>
        <w:t xml:space="preserve">5.1 The estimand and why it dictates the estimator</w:t>
      </w:r>
    </w:p>
    <w:p>
      <w:pPr>
        <w:pStyle w:val="FirstParagraph"/>
        <w:spacing w:line="480" w:lineRule="auto"/>
      </w:pPr>
      <w:r>
        <w:t xml:space="preserve">Everything in this chapter falls out of one estimable claim: that a transaction-cost index built in the Williamsonian line predicts the observed governance form of a space capability over and above what the capability’s unit cost and program size already explain. The shape of that claim dictates the rest. The dependent variable is a governance form that comes intrinsically ordered, running from the most internalized arrangement to the most externalized one: make (1), federate (2), buy (3). This ordering is no ornament. It encodes the theoretical prediction that as the attributes of a transaction turn more market-friendly, lower asset specificity, lower uncertainty, higher contracting frequency, the efficient boundary drifts outward from in-house production toward arm’s-length purchase, with the hybrid federated form holding the intermediate slot where property rights, risk, and revenue get shared rather than fully kept or fully let go [2, 4]. Because the outcome is ordinal and the prediction runs monotone in the index, the natural workhorse estimator is an ordered-response model rather than a linear probability model, a multinomial logit that throws away the ordering, or a binary model that folds two of the three forms together.</w:t>
      </w:r>
    </w:p>
    <w:p>
      <w:pPr>
        <w:pStyle w:val="BodyText"/>
        <w:spacing w:line="480" w:lineRule="auto"/>
        <w:ind w:firstLine="720"/>
      </w:pPr>
      <w:r>
        <w:t xml:space="preserve">One coefficient is the estimand: the marginal effect of the transaction-cost index on the latent propensity to internalize, conditional on price and scale. The null hypothesis holds this coefficient at zero; the alternative holds it signed in the direction transaction-cost economics predicts and statistically distinguishable from zero once controls are in. The whole apparatus of this chapter exists to keep that single coefficient interpretable as evidence about governance choice rather than as an artifact of how the data got assembled, coded, or scaled. So I lay the chapter out as follows: the primary ordered-logit estimator and its latent-variable rationale (5.2); the construction and scaling of the regressors, the index among them (5.3); the identification strategy, resting on a within-domain natural laboratory and on coding from pre-contractual engineering attributes (5.4); the robustness and falsification battery (5.5); and a structured treatment of the threats to validity together with the bound set on each (5.6).</w:t>
      </w:r>
    </w:p>
    <w:bookmarkEnd w:id="95"/>
    <w:bookmarkStart w:id="96" w:name="the-primary-estimator-ordered-logit"/>
    <w:p>
      <w:pPr>
        <w:pStyle w:val="Heading2"/>
        <w:spacing w:line="480" w:lineRule="auto"/>
      </w:pPr>
      <w:r>
        <w:t xml:space="preserve">5.2 The primary estimator: ordered logit</w:t>
      </w:r>
    </w:p>
    <w:p>
      <w:pPr>
        <w:pStyle w:val="FirstParagraph"/>
        <w:spacing w:line="480" w:lineRule="auto"/>
      </w:pPr>
      <w:r>
        <w:t xml:space="preserve">An ordered logistic regression is the primary specification. Let governance form for capability</w:t>
      </w:r>
      <w:r>
        <w:t xml:space="preserve"> </w:t>
      </w:r>
      <w:r>
        <w:rPr>
          <w:i/>
          <w:iCs/>
        </w:rPr>
        <w:t xml:space="preserve">i</w:t>
      </w:r>
      <w:r>
        <w:t xml:space="preserve"> </w:t>
      </w:r>
      <w:r>
        <w:t xml:space="preserve">be the ordinal outcome</w:t>
      </w:r>
      <w:r>
        <w:t xml:space="preserve"> </w:t>
      </w:r>
      <w:r>
        <w:rPr>
          <w:i/>
          <w:iCs/>
        </w:rPr>
        <w:t xml:space="preserve">y_i</w:t>
      </w:r>
      <w:r>
        <w:t xml:space="preserve"> </w:t>
      </w:r>
      <w:r>
        <w:t xml:space="preserve">taking values in {1, 2, 3}. The model posits a continuous latent propensity to internalize, *y*_i*, that is never observed directly and that is mapped to the discrete categories through a set of estimated cut points. The latent index is</w:t>
      </w:r>
    </w:p>
    <w:p>
      <w:pPr>
        <w:pStyle w:val="BodyText"/>
        <w:spacing w:line="480" w:lineRule="auto"/>
        <w:ind w:firstLine="720"/>
      </w:pPr>
      <w:r>
        <w:t xml:space="preserve">*y*_i = β₁ (transaction_cost_index_i) + β₂ log(unit_cost_i) + β₃ log(program_size_i) + γ (agency and epoch fixed effects) + ε_i,*</w:t>
      </w:r>
    </w:p>
    <w:p>
      <w:pPr>
        <w:pStyle w:val="BodyText"/>
        <w:spacing w:line="480" w:lineRule="auto"/>
        <w:ind w:firstLine="720"/>
      </w:pPr>
      <w:r>
        <w:t xml:space="preserve">with the error</w:t>
      </w:r>
      <w:r>
        <w:t xml:space="preserve"> </w:t>
      </w:r>
      <w:r>
        <w:rPr>
          <w:i/>
          <w:iCs/>
        </w:rPr>
        <w:t xml:space="preserve">ε_i</w:t>
      </w:r>
      <w:r>
        <w:t xml:space="preserve"> </w:t>
      </w:r>
      <w:r>
        <w:t xml:space="preserve">assumed to follow the standard logistic distribution. The observation rule is the usual one:</w:t>
      </w:r>
      <w:r>
        <w:t xml:space="preserve"> </w:t>
      </w:r>
      <w:r>
        <w:rPr>
          <w:i/>
          <w:iCs/>
        </w:rPr>
        <w:t xml:space="preserve">y_i = 1</w:t>
      </w:r>
      <w:r>
        <w:t xml:space="preserve"> </w:t>
      </w:r>
      <w:r>
        <w:t xml:space="preserve">(make) when *y*_i* lies below the first cut point,</w:t>
      </w:r>
      <w:r>
        <w:t xml:space="preserve"> </w:t>
      </w:r>
      <w:r>
        <w:rPr>
          <w:i/>
          <w:iCs/>
        </w:rPr>
        <w:t xml:space="preserve">y_i = 2</w:t>
      </w:r>
      <w:r>
        <w:t xml:space="preserve"> </w:t>
      </w:r>
      <w:r>
        <w:t xml:space="preserve">(federate) when it lies between the two cut points, and</w:t>
      </w:r>
      <w:r>
        <w:t xml:space="preserve"> </w:t>
      </w:r>
      <w:r>
        <w:rPr>
          <w:i/>
          <w:iCs/>
        </w:rPr>
        <w:t xml:space="preserve">y_i = 3</w:t>
      </w:r>
      <w:r>
        <w:t xml:space="preserve"> </w:t>
      </w:r>
      <w:r>
        <w:t xml:space="preserve">(buy) when it lies above the second cut point. The cut points are estimated jointly with the slope coefficients and absorb the unconditional base rates of each governance form in the sample.</w:t>
      </w:r>
    </w:p>
    <w:p>
      <w:pPr>
        <w:pStyle w:val="BodyText"/>
        <w:spacing w:line="480" w:lineRule="auto"/>
        <w:ind w:firstLine="720"/>
      </w:pPr>
      <w:r>
        <w:t xml:space="preserve">Two modeling commitments earn a word. Take the proportional-odds assumption first. Ordered logit imposes that the index nudges the entire cumulative-odds schedule by one multiplicative factor shared across both category boundaries, so a single coefficient β₁ governs the make-versus-rest and the make-or-federate-versus-buy margins alike. This is an assumption, not a fact, and it gets tested rather than asserted: 5.5 reports a Brant-style test of parallel regression, and where the assumption breaks for any regressor the chapter drops back to a generalized ordered-logit specification that frees the offending coefficient across the two thresholds. Take the sign convention second. Because the outcome is coded so higher values mean less internalized governance, the transaction-cost prediction is that β₁ runs</w:t>
      </w:r>
      <w:r>
        <w:t xml:space="preserve"> </w:t>
      </w:r>
      <w:r>
        <w:rPr>
          <w:i/>
          <w:iCs/>
        </w:rPr>
        <w:t xml:space="preserve">negative</w:t>
      </w:r>
      <w:r>
        <w:t xml:space="preserve">: a higher index, flagging greater asset specificity and uncertainty and lower contracting frequency, ought to pull the capability toward make and federate and away from buy. The hypothesis is therefore directional, and the test against the null gets reported as a two-sided p-value, the conservative pick, with the predicted sign stated up front so a correctly signed and significant β₁ is the only result that confirms H1.</w:t>
      </w:r>
    </w:p>
    <w:p>
      <w:pPr>
        <w:pStyle w:val="BodyText"/>
        <w:spacing w:line="480" w:lineRule="auto"/>
        <w:ind w:firstLine="720"/>
      </w:pPr>
      <w:r>
        <w:t xml:space="preserve">Standard errors are clustered at the program level. A single program often throws off several award-level observations sharing unmodeled mission characteristics, and treating those as independent would understate sampling variability. Clustering at the program restores honest inference at the price of effective degrees of freedom, a trade the chapter takes because the alternative, spuriously narrow confidence intervals, is the more dangerous error for a claim that hangs on one coefficient. Where the program-level cluster count runs small against conventional asymptotic thresholds, the chapter backs the clustered errors with a wild-cluster bootstrap and reports whether inference on β₁ holds steady across the two.</w:t>
      </w:r>
    </w:p>
    <w:bookmarkEnd w:id="96"/>
    <w:bookmarkStart w:id="99" w:name="constructing-the-regressors"/>
    <w:p>
      <w:pPr>
        <w:pStyle w:val="Heading2"/>
        <w:spacing w:line="480" w:lineRule="auto"/>
      </w:pPr>
      <w:r>
        <w:t xml:space="preserve">5.3 Constructing the regressors</w:t>
      </w:r>
    </w:p>
    <w:bookmarkStart w:id="97" w:name="the-transaction-cost-index"/>
    <w:p>
      <w:pPr>
        <w:pStyle w:val="Heading3"/>
        <w:spacing w:line="480" w:lineRule="auto"/>
      </w:pPr>
      <w:r>
        <w:t xml:space="preserve">5.3.1 The transaction-cost index</w:t>
      </w:r>
    </w:p>
    <w:p>
      <w:pPr>
        <w:pStyle w:val="FirstParagraph"/>
        <w:spacing w:line="480" w:lineRule="auto"/>
      </w:pPr>
      <w:r>
        <w:t xml:space="preserve">Three coded dimensions feed the index, each grounded in a distinct Williamsonian construct. Asset specificity measures how dedicated the capability is to one government mission and how non-redeployable to any other buyer, coded off fixed engineering attributes, orbit regime, sensor phenomenology, latency requirement, and interface uniqueness, that precede the contract vehicle. Uncertainty measures the technical and demand volatility around the capability at the time of acquisition. Contracting frequency measures how often the government has to re-transact for the capability, with high frequency pulling toward standardized market provision and low, lumpy frequency pulling toward internalized governance. Each dimension gets coded onto the unit interval, and the composite index is their equally weighted mean unless a robustness check (5.5) shows the result leans on the weighting.</w:t>
      </w:r>
    </w:p>
    <w:p>
      <w:pPr>
        <w:pStyle w:val="BodyText"/>
        <w:spacing w:line="480" w:lineRule="auto"/>
        <w:ind w:firstLine="720"/>
      </w:pPr>
      <w:r>
        <w:t xml:space="preserve">Weighting the three dimensions equally is a deliberate refusal to launder researcher discretion through a fitted weighting scheme. An index whose weights got estimated to maximize fit with the outcome would mechanically inflate β₁ and taint the very test the chapter is built to run. Equal weighting runs transparent, pre-registered, and theory-driven rather than data-driven, and the principal-component alternative reported in 5.5 exists precisely to show the headline result does not hang on the equal-weight pick.</w:t>
      </w:r>
    </w:p>
    <w:bookmarkEnd w:id="97"/>
    <w:bookmarkStart w:id="98" w:name="controls-and-fixed-effects"/>
    <w:p>
      <w:pPr>
        <w:pStyle w:val="Heading3"/>
        <w:spacing w:line="480" w:lineRule="auto"/>
      </w:pPr>
      <w:r>
        <w:t xml:space="preserve">5.3.2 Controls and fixed effects</w:t>
      </w:r>
    </w:p>
    <w:p>
      <w:pPr>
        <w:pStyle w:val="FirstParagraph"/>
        <w:spacing w:line="480" w:lineRule="auto"/>
      </w:pPr>
      <w:r>
        <w:t xml:space="preserve">Unit cost and program size enter in logarithms, pulled straight from the obligation fields of the award record so no judgment slips between the source data and the regressor. Log unit cost is the variable the rival price account would privilege, and putting it in is what makes β₁ a test of incremental, not gross, explanatory power: the transaction-cost index has to earn its keep after the price story has had its say. Agency fixed effects soak up persistent cross-agency differences in default procurement culture, the leaning of one agency toward in-house FFRDC builds where another leans toward commercial task orders. Epoch fixed effects, splitting the sample into pre-2015, 2015-to-2020, and post-2020 windows, soak up the drift toward commercial buy the descriptive governance literature documents</w:t>
      </w:r>
      <w:r>
        <w:t xml:space="preserve"> </w:t>
      </w:r>
      <w:hyperlink w:anchor="ref-2">
        <w:r>
          <w:rPr>
            <w:rStyle w:val="Hyperlink"/>
          </w:rPr>
          <w:t xml:space="preserve">[2]</w:t>
        </w:r>
      </w:hyperlink>
      <w:r>
        <w:t xml:space="preserve">. Their inclusion matters for identification: with epoch effects in the model, β₁ is identified off cross-capability variation</w:t>
      </w:r>
      <w:r>
        <w:t xml:space="preserve"> </w:t>
      </w:r>
      <w:r>
        <w:rPr>
          <w:i/>
          <w:iCs/>
        </w:rPr>
        <w:t xml:space="preserve">within</w:t>
      </w:r>
      <w:r>
        <w:t xml:space="preserve"> </w:t>
      </w:r>
      <w:r>
        <w:t xml:space="preserve">an agency and period, not off the industry-wide time trend that would otherwise blur a transaction-cost signal with a calendar effect.</w:t>
      </w:r>
    </w:p>
    <w:bookmarkEnd w:id="98"/>
    <w:bookmarkEnd w:id="99"/>
    <w:bookmarkStart w:id="103" w:name="identification-strategy"/>
    <w:p>
      <w:pPr>
        <w:pStyle w:val="Heading2"/>
        <w:spacing w:line="480" w:lineRule="auto"/>
      </w:pPr>
      <w:r>
        <w:t xml:space="preserve">5.4 Identification strategy</w:t>
      </w:r>
    </w:p>
    <w:bookmarkStart w:id="100" w:name="the-threat-that-organizes-the-design"/>
    <w:p>
      <w:pPr>
        <w:pStyle w:val="Heading3"/>
        <w:spacing w:line="480" w:lineRule="auto"/>
      </w:pPr>
      <w:r>
        <w:t xml:space="preserve">5.4.1 The threat that organizes the design</w:t>
      </w:r>
    </w:p>
    <w:p>
      <w:pPr>
        <w:pStyle w:val="FirstParagraph"/>
        <w:spacing w:line="480" w:lineRule="auto"/>
      </w:pPr>
      <w:r>
        <w:t xml:space="preserve">Reverse causation is the central identification threat. Transaction-cost economics predicts that asset specificity drives governance form; but a sceptic can run the arrow backwards and argue the chosen governance form drives what we measure as specificity, because a capability built in-house grows mission-specific interfaces precisely</w:t>
      </w:r>
      <w:r>
        <w:t xml:space="preserve"> </w:t>
      </w:r>
      <w:r>
        <w:rPr>
          <w:i/>
          <w:iCs/>
        </w:rPr>
        <w:t xml:space="preserve">because</w:t>
      </w:r>
      <w:r>
        <w:t xml:space="preserve"> </w:t>
      </w:r>
      <w:r>
        <w:t xml:space="preserve">it was internalized, so any correlation between the index and the outcome is endogenous rather than causal. If specificity is a consequence of the boundary choice rather than a cause of it, β₁ identifies nothing of interest. The entire identification strategy is built to cut this loop.</w:t>
      </w:r>
    </w:p>
    <w:bookmarkEnd w:id="100"/>
    <w:bookmarkStart w:id="101" w:name="the-within-domain-natural-laboratory"/>
    <w:p>
      <w:pPr>
        <w:pStyle w:val="Heading3"/>
        <w:spacing w:line="480" w:lineRule="auto"/>
      </w:pPr>
      <w:r>
        <w:t xml:space="preserve">5.4.2 The within-domain natural laboratory</w:t>
      </w:r>
    </w:p>
    <w:p>
      <w:pPr>
        <w:pStyle w:val="FirstParagraph"/>
        <w:spacing w:line="480" w:lineRule="auto"/>
      </w:pPr>
      <w:r>
        <w:t xml:space="preserve">Answering the threat is a within-domain natural laboratory in space situational awareness. SSA is the rare space capability whose same functional output, tracking and characterization data on resident space objects, has come through all three governance forms over two decades, from government-owned sensor networks, through commercial data buys, to federated and consortium architectures [11, 13, 14, 15]. Because the functional mission holds roughly fixed across the SSA sub-panel, the variation in governance form left over is variation gross differences in what the capability</w:t>
      </w:r>
      <w:r>
        <w:t xml:space="preserve"> </w:t>
      </w:r>
      <w:r>
        <w:rPr>
          <w:i/>
          <w:iCs/>
        </w:rPr>
        <w:t xml:space="preserve">is for</w:t>
      </w:r>
      <w:r>
        <w:t xml:space="preserve"> </w:t>
      </w:r>
      <w:r>
        <w:t xml:space="preserve">cannot explain. The laboratory does for the boundary choice what a within-firm comparison does for a make-or-buy study in industrial organization: it strips off the between-mission heterogeneity that would otherwise pass itself off as a transaction-cost effect, and it leaves the index to compete against a controlled backdrop. The federated BESTA architecture supplies a documented specimen of the intermediate governance form inside this same domain, anchoring the federate category against a real shared-risk arrangement rather than a coding abstraction</w:t>
      </w:r>
      <w:r>
        <w:t xml:space="preserve"> </w:t>
      </w:r>
      <w:hyperlink w:anchor="ref-12">
        <w:r>
          <w:rPr>
            <w:rStyle w:val="Hyperlink"/>
          </w:rPr>
          <w:t xml:space="preserve">[12]</w:t>
        </w:r>
      </w:hyperlink>
      <w:r>
        <w:t xml:space="preserve">.</w:t>
      </w:r>
    </w:p>
    <w:bookmarkEnd w:id="101"/>
    <w:bookmarkStart w:id="102" w:name="coding-from-pre-contractual-attributes"/>
    <w:p>
      <w:pPr>
        <w:pStyle w:val="Heading3"/>
        <w:spacing w:line="480" w:lineRule="auto"/>
      </w:pPr>
      <w:r>
        <w:t xml:space="preserve">5.4.3 Coding from pre-contractual attributes</w:t>
      </w:r>
    </w:p>
    <w:p>
      <w:pPr>
        <w:pStyle w:val="FirstParagraph"/>
        <w:spacing w:line="480" w:lineRule="auto"/>
      </w:pPr>
      <w:r>
        <w:t xml:space="preserve">The laboratory secures the comparison; the coding protocol secures the exogeneity of the regressor. Asset specificity gets coded</w:t>
      </w:r>
      <w:r>
        <w:t xml:space="preserve"> </w:t>
      </w:r>
      <w:r>
        <w:rPr>
          <w:i/>
          <w:iCs/>
        </w:rPr>
        <w:t xml:space="preserve">only</w:t>
      </w:r>
      <w:r>
        <w:t xml:space="preserve"> </w:t>
      </w:r>
      <w:r>
        <w:t xml:space="preserve">off engineering attributes locked by the physics and the mission requirement before any contract vehicle is picked: the orbit regime the capability must watch, the sensor phenomenology it runs, the latency the operational pipeline demands, and the uniqueness of the government interface it must feed. What the capability must do sets these attributes, not how it got bought, so they run temporally and logically prior to the governance choice and cannot be a downstream consequence of it. This is the operational meaning of exogeneity in a hand-coded design: the regressor is built from information that existed before the outcome landed.</w:t>
      </w:r>
    </w:p>
    <w:p>
      <w:pPr>
        <w:pStyle w:val="BodyText"/>
        <w:spacing w:line="480" w:lineRule="auto"/>
        <w:ind w:firstLine="720"/>
      </w:pPr>
      <w:r>
        <w:t xml:space="preserve">To guard the coding against outcome-driven contamination, two independent raters code every capability blind to its governance form. Inter-rater agreement gets reported as a chance-corrected statistic, and disagreements are settled against primary program documentation, the linked statements of work and public program records, rather than resolved by the principal investigator’s preference. Blinding matters because a rater who knew the outcome could, even without meaning to, score an in-house build as more specific just because it was in-house, manufacturing the very correlation the chapter is testing. The coding rules are pre-registered and tied to observable attributes precisely so the index reproduces by a third party from the same source documents.</w:t>
      </w:r>
    </w:p>
    <w:bookmarkEnd w:id="102"/>
    <w:bookmarkEnd w:id="103"/>
    <w:bookmarkStart w:id="104" w:name="robustness-and-falsification-battery"/>
    <w:p>
      <w:pPr>
        <w:pStyle w:val="Heading2"/>
        <w:spacing w:line="480" w:lineRule="auto"/>
      </w:pPr>
      <w:r>
        <w:t xml:space="preserve">5.5 Robustness and falsification battery</w:t>
      </w:r>
    </w:p>
    <w:p>
      <w:pPr>
        <w:pStyle w:val="FirstParagraph"/>
        <w:spacing w:line="480" w:lineRule="auto"/>
      </w:pPr>
      <w:r>
        <w:t xml:space="preserve">A single ordered-logit coefficient is a fragile thing to rest a dissertation on, so the claim gets ringed by a battery of checks each designed to break it if it is breakable.</w:t>
      </w:r>
    </w:p>
    <w:p>
      <w:pPr>
        <w:pStyle w:val="BodyText"/>
        <w:spacing w:line="480" w:lineRule="auto"/>
        <w:ind w:firstLine="720"/>
      </w:pPr>
      <w:r>
        <w:t xml:space="preserve">The first is a rank-ordered alternative specification that re-estimates the relationship treating governance form through its rank rather than through the logistic cut-point structure, testing whether the result is an artifact of the proportional-odds machinery. Second, the make-versus-buy margin gets pried out by dropping the federate category entirely and re-running the model as a binary logit, since the federate category is the muddiest of the three and a result that survives its removal is more credible than one that hangs on it. Third comes a placebo test that re-estimates the model with a randomly permuted index: if a meaningless index shuffled across capabilities throws off a significant β₁, the original significance is an illusion of the sample, and the placebo coefficient should sit a tight null distribution centered on zero the true estimate stands out against. Fourth, the proportional-odds assumption itself gets tested with a parallel-regression test, and a generalized ordered-logit fallback is reported wherever the assumption fails. Fifth, the equal-weighting of the index gets stress-tested against a principal-component aggregation and against weightings that drop each dimension in turn, to confirm no single coded dimension is carrying the whole result. Sixth, the governance coding of ambiguous Space Act Agreement and Other Transaction Authority vehicles, which genuinely blur the make-buy-federate boundary [4, 6], gets put through a reclassification sensitivity analysis in which every ambiguous vehicle is recoded at both adjacent categories and the model re-run under the most adverse assignment. If β₁ loses significance under the most hostile reclassification, the result gets reported as fragile rather than confirmed.</w:t>
      </w:r>
    </w:p>
    <w:p>
      <w:pPr>
        <w:pStyle w:val="BodyText"/>
        <w:spacing w:line="480" w:lineRule="auto"/>
        <w:ind w:firstLine="720"/>
      </w:pPr>
      <w:r>
        <w:t xml:space="preserve">External corroboration comes from the two companion papers in the dissertation, on margins where the transaction-cost prediction is sharpest. The realized-cost-growth study shows the same hand-coded specificity index, put through dual-blind coding, predicts overruns on the hold-up margin once vehicle, size, and epoch are held down, which is the prediction the present chapter’s index makes about where arm’s-length purchase turns dangerous. The learning-curve study fences the rival price account by measuring an industry experience elasticity that leaves roughly nine tenths of cross-vehicle cost variation unexplained, the residual the transaction-cost dimensions are meant to catch. Neither result gets imported into the ordered-logit estimate, and together they make the headline coefficient less likely to be a fluke of one specification.</w:t>
      </w:r>
    </w:p>
    <w:bookmarkEnd w:id="104"/>
    <w:bookmarkStart w:id="105" w:name="X1d189e0776bd0a9225211f020d00b109bd29bed"/>
    <w:p>
      <w:pPr>
        <w:pStyle w:val="Heading2"/>
        <w:spacing w:line="480" w:lineRule="auto"/>
      </w:pPr>
      <w:r>
        <w:t xml:space="preserve">5.6 Threats to validity and how each is bounded</w:t>
      </w:r>
    </w:p>
    <w:p>
      <w:pPr>
        <w:pStyle w:val="FirstParagraph"/>
        <w:spacing w:line="480" w:lineRule="auto"/>
      </w:pPr>
      <w:r>
        <w:t xml:space="preserve">Four threats earn explicit treatment, and the honest posture is to state for each the bound the design sets on it and to grant where the bound runs partial.</w:t>
      </w:r>
    </w:p>
    <w:p>
      <w:pPr>
        <w:pStyle w:val="BodyText"/>
        <w:spacing w:line="480" w:lineRule="auto"/>
        <w:ind w:firstLine="720"/>
      </w:pPr>
      <w:r>
        <w:rPr>
          <w:b/>
          <w:bCs/>
        </w:rPr>
        <w:t xml:space="preserve">Construct validity of the index.</w:t>
      </w:r>
      <w:r>
        <w:t xml:space="preserve"> </w:t>
      </w:r>
      <w:r>
        <w:t xml:space="preserve">Asset specificity, uncertainty, and contracting frequency run latent and coded with judgment, and a sceptic is right that no coding protocol fully wipes out that judgment. The bound is threefold: dual-blind coding with a reported chance-corrected agreement statistic, pre-registered coding rules tied to observable engineering attributes rather than to outcomes, and adjudication of disagreements against primary documentation. These measures cannot prove the index measures the latent constructs perfectly, and they make sure whatever measurement error stays runs non-differential with respect to the outcome, which tilts β₁ toward zero rather than away from it. A finding of significance therefore survives the construct-validity threat</w:t>
      </w:r>
      <w:r>
        <w:t xml:space="preserve"> </w:t>
      </w:r>
      <w:r>
        <w:rPr>
          <w:i/>
          <w:iCs/>
        </w:rPr>
        <w:t xml:space="preserve">a fortiori</w:t>
      </w:r>
      <w:r>
        <w:t xml:space="preserve">; only a null finding would be ambiguous between a true null and an index too noisy to catch a real effect.</w:t>
      </w:r>
    </w:p>
    <w:p>
      <w:pPr>
        <w:pStyle w:val="BodyText"/>
        <w:spacing w:line="480" w:lineRule="auto"/>
        <w:ind w:firstLine="720"/>
      </w:pPr>
      <w:r>
        <w:rPr>
          <w:b/>
          <w:bCs/>
        </w:rPr>
        <w:t xml:space="preserve">Selection on unobservables.</w:t>
      </w:r>
      <w:r>
        <w:t xml:space="preserve"> </w:t>
      </w:r>
      <w:r>
        <w:t xml:space="preserve">Agencies may pick governance forms on mission-criticality dimensions that correlate with the index but sit outside the model, so β₁ soaks up an omitted determinant rather than the transaction-cost mechanism. The bound has two parts. Agency and epoch fixed effects soak up the systematic, between-agency and between-period part of any such selection, and the within-SSA laboratory holds the functional mission roughly fixed, pulling out the largest single source of mission-criticality variation. What the design cannot do is soak up idiosyncratic, within-cell selection on a criticality dimension uncorrelated with anything observed, and the chapter grants this residual omitted-variable bias openly rather than claiming a clean causal identification it has not earned. The estimate reads best as a strongly conditioned association, not as the output of a fully exogenous experiment.</w:t>
      </w:r>
    </w:p>
    <w:p>
      <w:pPr>
        <w:pStyle w:val="BodyText"/>
        <w:spacing w:line="480" w:lineRule="auto"/>
        <w:ind w:firstLine="720"/>
      </w:pPr>
      <w:r>
        <w:rPr>
          <w:b/>
          <w:bCs/>
        </w:rPr>
        <w:t xml:space="preserve">External validity beyond SSA.</w:t>
      </w:r>
      <w:r>
        <w:t xml:space="preserve"> </w:t>
      </w:r>
      <w:r>
        <w:t xml:space="preserve">The within-domain laboratory that secures identification at the same time narrows generalization. SSA data is a relatively low-specificity capability, and the coefficient estimated where the same functional output gets procured three ways may not carry over to a crewed transportation system or a unique science instrument whose specificity sits near the ceiling of the scale [4, 7]. The bound is the full multi-agency panel, reaching across NASA, the Space Force and its predecessor, and NOAA and spanning the specificity range; it serves as the bridge from the identified SSA estimate to the broader population. Any extrapolation of β₁ to high-specificity human-spaceflight or flagship-science capabilities gets flagged explicitly as out-of-sample, and the chapter declines to claim a coefficient identified on tracking data governs the boundary choice for a one-of-a-kind observatory.</w:t>
      </w:r>
    </w:p>
    <w:p>
      <w:pPr>
        <w:pStyle w:val="BodyText"/>
        <w:spacing w:line="480" w:lineRule="auto"/>
        <w:ind w:firstLine="720"/>
      </w:pPr>
      <w:r>
        <w:rPr>
          <w:b/>
          <w:bCs/>
        </w:rPr>
        <w:t xml:space="preserve">Measurement error in governance coding.</w:t>
      </w:r>
      <w:r>
        <w:t xml:space="preserve"> </w:t>
      </w:r>
      <w:r>
        <w:t xml:space="preserve">Space Act Agreements and Other Transaction Authority instruments do not map cleanly onto the make-buy-federate trichotomy; a milestone Space Act partnership can read as either a federated arrangement or a structured commercial buy depending on the data rights and risk allocation negotiated [4, 6]. The bound is the reclassification sensitivity analysis set out in 5.5: ambiguous vehicles get recoded at both adjacent categories and the model re-run under the most adverse assignment, and the result gets reported as confirmed only if β₁ survives the most hostile reclassification. This turns a coding ambiguity from a hidden source of bias into a stated stress test with a transparent pass-fail criterion, and it commits the chapter up front to reporting fragility rather than burying it.</w:t>
      </w:r>
    </w:p>
    <w:p>
      <w:pPr>
        <w:pStyle w:val="BodyText"/>
        <w:spacing w:line="480" w:lineRule="auto"/>
        <w:ind w:firstLine="720"/>
      </w:pPr>
      <w:r>
        <w:t xml:space="preserve">Taken together, the design bends every element, the ordinal estimator, the logarithmic controls, the agency and epoch fixed effects, the within-domain laboratory, the blind pre-contractual coding, and the falsification battery, to a single purpose: rendering one coefficient, β₁, interpretable as evidence about the make-buy-federate choice rather than as an artifact of assembly or coding. The threats run real and several stay only partially bounded, and the chapter says as much. What the design buys is not certainty but auditability: a reader who doubts the result can rebuild the index from the source documents, re-run the placebo, force the adverse reclassification, and watch whether the coefficient holds.</w:t>
      </w:r>
    </w:p>
    <w:bookmarkEnd w:id="105"/>
    <w:bookmarkEnd w:id="106"/>
    <w:bookmarkStart w:id="117" w:name="chapter-6.-results"/>
    <w:p>
      <w:pPr>
        <w:pStyle w:val="Heading1"/>
        <w:spacing w:line="480" w:lineRule="auto"/>
      </w:pPr>
      <w:r>
        <w:t xml:space="preserve">Chapter 6. Results</w:t>
      </w:r>
    </w:p>
    <w:p>
      <w:pPr>
        <w:pStyle w:val="FirstParagraph"/>
        <w:spacing w:line="480" w:lineRule="auto"/>
      </w:pPr>
      <w:r>
        <w:t xml:space="preserve">This chapter lays out the empirical findings of the two estimable tests that carry the dissertation’s argument from theory into evidence. My study contends that the make, buy, or federate choice in space is a transaction-cost problem rather than a contest of quoted prices, and it presses that contention along two separate margins. On the first, worked in the realized-cost-growth study of Section 6.1, the question is whether asset specificity, the central construct of the Williamsonian framework, forecasts where a space acquisition overruns its confirmation baseline once the procurement vehicle, the program’s dollar size, and the procurement epoch are held fixed. On the second, worked in the learning-curve study of Section 6.2, the question is whether the unit cost a program manager reads is a fixed property of a capability or a moving point on an industry trajectory, and if the latter, how fast that trajectory drops. Deliberately, the two tests run complementary. One fixes that the transaction-cost dimension carries weight on the margin where its prediction is sharpest; the other fences the price dynamic that weight has to be judged against. Taken together they rule on whether the price account of the boundary choice, dominant in the prevailing literature [1, 8], is complete or has to be supplemented by the attributes of the transaction itself.</w:t>
      </w:r>
    </w:p>
    <w:p>
      <w:pPr>
        <w:pStyle w:val="BodyText"/>
        <w:spacing w:line="480" w:lineRule="auto"/>
        <w:ind w:firstLine="720"/>
      </w:pPr>
      <w:r>
        <w:t xml:space="preserve">Throughout, the discussion holds itself to the coefficients, standard errors, p-values, and fit statistics the estimators actually returned. The underlying tables, the full coding scheme, the data series, and the diagnostic plots sit in Appendix A and go unreproduced here; this chapter reads the numbers rather than tabulating them. Both estimators run heteroskedasticity-robust standard errors of the HC1 form, a pick driven in each case by visibly unequal dispersion of the dependent variable across the regressor range, and that pick gets treated as part of the result rather than an incidental nicety.</w:t>
      </w:r>
    </w:p>
    <w:bookmarkStart w:id="111" w:name="Xb4e70e13c24dbda6be04745c26834aec7196c7c"/>
    <w:p>
      <w:pPr>
        <w:pStyle w:val="Heading2"/>
        <w:spacing w:line="480" w:lineRule="auto"/>
      </w:pPr>
      <w:r>
        <w:t xml:space="preserve">6.1 The hold-up margin: asset specificity and realized cost growth</w:t>
      </w:r>
    </w:p>
    <w:bookmarkStart w:id="107" w:name="the-central-coefficient"/>
    <w:p>
      <w:pPr>
        <w:pStyle w:val="Heading3"/>
        <w:spacing w:line="480" w:lineRule="auto"/>
      </w:pPr>
      <w:r>
        <w:t xml:space="preserve">6.1.1 The central coefficient</w:t>
      </w:r>
    </w:p>
    <w:p>
      <w:pPr>
        <w:pStyle w:val="FirstParagraph"/>
        <w:spacing w:line="480" w:lineRule="auto"/>
      </w:pPr>
      <w:r>
        <w:t xml:space="preserve">The first study regresses realized cost growth, defined as the percentage gap between a program’s confirmation baseline and its current or final estimate, on four regressors: the hand-coded asset-specificity score, a binary indicator for whether the capability came through a commercial vehicle, the natural logarithm of the baseline cost as a measure of program size, and a post-2015 epoch indicator soaking up the drift toward commercial procurement the descriptive governance literature reports</w:t>
      </w:r>
      <w:r>
        <w:t xml:space="preserve"> </w:t>
      </w:r>
      <w:hyperlink w:anchor="ref-2">
        <w:r>
          <w:rPr>
            <w:rStyle w:val="Hyperlink"/>
          </w:rPr>
          <w:t xml:space="preserve">[2]</w:t>
        </w:r>
      </w:hyperlink>
      <w:r>
        <w:t xml:space="preserve">. The estimator is ordinary least squares with HC1 robust standard errors on a cross-section of twenty-nine space capabilities spanning the full specificity range, from redeployable commercial services at one extreme to mission-unique government flagships at the other.</w:t>
      </w:r>
    </w:p>
    <w:p>
      <w:pPr>
        <w:pStyle w:val="BodyText"/>
        <w:spacing w:line="480" w:lineRule="auto"/>
        <w:ind w:firstLine="720"/>
      </w:pPr>
      <w:r>
        <w:t xml:space="preserve">Ruling on the hypothesis is the coefficient on asset specificity, estimated at 141.69 with a robust standard error of 57.45 and a p-value of 0.0137. The estimate runs positive, as the hold-up account requires, and it stands statistically distinguishable from zero at the five percent level. So the null of this study, that conditional on vehicle, size, and epoch the specificity index has no tie to realized cost growth, falls on its own margin. The sign is the sign transaction-cost economics predicts: capabilities more dedicated to one mission and less redeployable to any other buyer take the larger overruns.</w:t>
      </w:r>
    </w:p>
    <w:p>
      <w:pPr>
        <w:pStyle w:val="BodyText"/>
        <w:spacing w:line="480" w:lineRule="auto"/>
        <w:ind w:firstLine="720"/>
      </w:pPr>
      <w:r>
        <w:t xml:space="preserve">That magnitude wants careful reading, since the dependent variable comes in percentage points of cost growth and the asset-specificity regressor is coded on the unit interval. The point estimate of 141.69 is the change in expected cost growth, in percentage points, that goes with a one-unit move across the whole coded specificity scale. Because the empirical coding drops commodity-like commercial services into roughly the 0.25 to 0.40 band and mission-unique flagships into roughly the 0.85 to 0.95 band, the within-sample contrast that matters spans something around six-tenths of the scale rather than the full unit. Laid against that realized span, the coefficient implies a difference around eighty to ninety percentage points of expected cost growth between the most commodity-like and the most mission-unique capabilities in the panel, with the full-scale figure of roughly one hundred and forty percentage points standing as the extrapolated endpoint-to-endpoint reading. Either way the effect runs large against the spread of the dependent variable, in which commodity services bunch near zero growth while the most specific flagships run from the tens of percent into the low hundreds over baseline. This is no marginal statistical artifact you need a microscope to recover; it is the dominant axis of variation in the realized-cost record.</w:t>
      </w:r>
    </w:p>
    <w:p>
      <w:pPr>
        <w:pStyle w:val="BodyText"/>
        <w:spacing w:line="480" w:lineRule="auto"/>
        <w:ind w:firstLine="720"/>
      </w:pPr>
      <w:r>
        <w:t xml:space="preserve">The robust standard error of 57.45 earns comment on its own. It runs large in absolute terms, roughly forty percent of the point estimate, which yields a t-ratio of about 2.47 and its associated p-value of 0.0137. The implied ninety-five percent confidence interval runs wide, from roughly twenty-nine to roughly two hundred and fifty-four percentage points of cost growth across the full specificity scale. Even that interval’s lower bound is a substantively large effect, so the imprecision leaves the qualitative conclusion untouched even as it warns against treating the central point estimate as a sharply identified structural parameter. The interval clears zero comfortably; it does not pin the magnitude to a narrow band. This is the honest posture for a coefficient estimated on twenty-nine heterogeneous observations with robust errors that openly make room for the wider dispersion of overruns among the high-specificity flagships.</w:t>
      </w:r>
    </w:p>
    <w:bookmarkEnd w:id="107"/>
    <w:bookmarkStart w:id="108" w:name="X9886bd3a0894d6b0425a248f389228910ef035d"/>
    <w:p>
      <w:pPr>
        <w:pStyle w:val="Heading3"/>
        <w:spacing w:line="480" w:lineRule="auto"/>
      </w:pPr>
      <w:r>
        <w:t xml:space="preserve">6.1.2 The controls and what their behavior reveals</w:t>
      </w:r>
    </w:p>
    <w:p>
      <w:pPr>
        <w:pStyle w:val="FirstParagraph"/>
        <w:spacing w:line="480" w:lineRule="auto"/>
      </w:pPr>
      <w:r>
        <w:t xml:space="preserve">The three control regressors behave in ways that carry information themselves, and in each case the pattern lines up with the transaction-cost reading rather than running incidental to it.</w:t>
      </w:r>
    </w:p>
    <w:p>
      <w:pPr>
        <w:pStyle w:val="BodyText"/>
        <w:spacing w:line="480" w:lineRule="auto"/>
        <w:ind w:firstLine="720"/>
      </w:pPr>
      <w:r>
        <w:t xml:space="preserve">Take the commercial-vehicle indicator. It enters with a coefficient of 8.66, a robust standard error of 12.56, and a p-value of 0.4905. So it stands not statistically distinguishable from zero once asset specificity is held fixed. The point estimate runs positive but its standard error tops the coefficient itself, so no directional claim survives. This null is no disappointment for the theory; it is a prediction the theory makes. The prospectus argues that vehicle choice is endogenous to specificity, since agencies hold commercial vehicles back for the low-specificity capabilities least open to hold-up in the first place [2, 4]. Grant that, and once specificity is in the model the vehicle indicator should carry little independent information, since the vehicle is largely a downstream consequence of the specificity it is trying to proxy. The estimated near-zero, statistically insignificant coefficient on the vehicle indicator is exactly the footprint of that endogeneity. The price-and-vehicle account, which would look to the contracting instrument to drive overruns, finds no purchase here; the specificity of the underlying transaction does the explanatory work the instrument cannot.</w:t>
      </w:r>
    </w:p>
    <w:p>
      <w:pPr>
        <w:pStyle w:val="BodyText"/>
        <w:spacing w:line="480" w:lineRule="auto"/>
        <w:ind w:firstLine="720"/>
      </w:pPr>
      <w:r>
        <w:t xml:space="preserve">Log baseline cost takes a coefficient of minus 11.20 with a robust standard error of 9.06 and a p-value of 0.2166. The direction runs negative, hinting that the largest programs in absolute dollar terms are not the ones taking the worst proportional cost growth, a plausible pattern in which the very largest flagships draw the most management scrutiny and the most carefully negotiated baselines. But the estimate runs imprecise. Its standard error eats most of its magnitude, the t-ratio sits below 1.3, and the coefficient cannot be told from zero. So the study makes no claim that program size guards against or worsens overruns; it reports only that, conditional on specificity and vehicle, dollar size carries no reliably signed marginal tie to proportional cost growth in this sample.</w:t>
      </w:r>
    </w:p>
    <w:p>
      <w:pPr>
        <w:pStyle w:val="BodyText"/>
        <w:spacing w:line="480" w:lineRule="auto"/>
        <w:ind w:firstLine="720"/>
      </w:pPr>
      <w:r>
        <w:t xml:space="preserve">The post-2015 epoch indicator runs essentially nil, estimated at minus 0.09 with a robust standard error of 11.97 and a p-value of 0.9941. This coefficient sits as close to a clean zero as the data yield: the point estimate is a fraction of a single percentage point and the p-value rests a hair under unity. The reading is that, conditional on the other regressors, the post-2015 period carries no separate cost-growth penalty or dividend. The shift toward commercial procurement the descriptive literature documents</w:t>
      </w:r>
      <w:r>
        <w:t xml:space="preserve"> </w:t>
      </w:r>
      <w:hyperlink w:anchor="ref-2">
        <w:r>
          <w:rPr>
            <w:rStyle w:val="Hyperlink"/>
          </w:rPr>
          <w:t xml:space="preserve">[2]</w:t>
        </w:r>
      </w:hyperlink>
      <w:r>
        <w:t xml:space="preserve"> </w:t>
      </w:r>
      <w:r>
        <w:t xml:space="preserve">does not run, in this panel, as a uniform period effect lifting or lowering everyone’s overruns. It runs instead through the changing mix of capabilities procured, that is, through the specificity composition of the portfolio, which is exactly the channel the transaction-cost account foregrounds. The epoch indicator went in to soak up the time trend so the specificity coefficient would be identified off cross-capability variation rather than off drift; its near-perfect insignificance confirms there was little uniform drift to soak up and that the specificity estimate is no repackaged time trend.</w:t>
      </w:r>
    </w:p>
    <w:p>
      <w:pPr>
        <w:pStyle w:val="BodyText"/>
        <w:spacing w:line="480" w:lineRule="auto"/>
        <w:ind w:firstLine="720"/>
      </w:pPr>
      <w:r>
        <w:t xml:space="preserve">The constant is estimated at 24.36 with a robust standard error of 40.36 and a p-value of 0.5461. As an intercept conditioned on a specificity score of zero, a non-commercial vehicle, a log baseline cost of zero, and the pre-2015 epoch, it carries no clean substantive reading in isolation and cannot be told from zero; it is reported for completeness rather than for inference.</w:t>
      </w:r>
    </w:p>
    <w:bookmarkEnd w:id="108"/>
    <w:bookmarkStart w:id="109" w:name="fit-and-the-joint-test"/>
    <w:p>
      <w:pPr>
        <w:pStyle w:val="Heading3"/>
        <w:spacing w:line="480" w:lineRule="auto"/>
      </w:pPr>
      <w:r>
        <w:t xml:space="preserve">6.1.3 Fit and the joint test</w:t>
      </w:r>
    </w:p>
    <w:p>
      <w:pPr>
        <w:pStyle w:val="FirstParagraph"/>
        <w:spacing w:line="480" w:lineRule="auto"/>
      </w:pPr>
      <w:r>
        <w:t xml:space="preserve">The model catches a meaningful share of the variation in realized cost growth given the portfolio’s heterogeneity. The R-squared is 0.225 and the adjusted R-squared is 0.096 on twenty-nine observations with four regressors and a constant. The gap between the raw and adjusted figures is the expected penalty for fitting four regressors on a small sample, and the adjusted value of roughly one-tenth is the more honest summary of out-of-sample explanatory power. The joint F-statistic is 3.66 with a p-value of 0.0183, so the regressors clear joint significance at the five percent level despite the modest adjusted fit. The combination runs diagnostic: the joint test clears significance, yet only one regressor, asset specificity, comes in individually significant, while the vehicle, size, and epoch controls each cannot be told from zero. So the joint significance rides almost wholly on the specificity coefficient. This is the exact signature the hold-up account predicts and the price account does not. Were realized cost growth run by the contracting instrument and the program’s dollar scale, the vehicle and size coefficients would carry the joint test; instead it is the attribute of the transaction, coded off engineering features locked before any contract is signed, that explains where the overruns land.</w:t>
      </w:r>
    </w:p>
    <w:bookmarkEnd w:id="109"/>
    <w:bookmarkStart w:id="110" w:name="Xd9f9d9c189e0a56c7c1e971288e456b5430e172"/>
    <w:p>
      <w:pPr>
        <w:pStyle w:val="Heading3"/>
        <w:spacing w:line="480" w:lineRule="auto"/>
      </w:pPr>
      <w:r>
        <w:t xml:space="preserve">6.1.4 What the first result establishes and what it does not</w:t>
      </w:r>
    </w:p>
    <w:p>
      <w:pPr>
        <w:pStyle w:val="FirstParagraph"/>
        <w:spacing w:line="480" w:lineRule="auto"/>
      </w:pPr>
      <w:r>
        <w:t xml:space="preserve">Bounded and specific is the substantive conclusion reached in Section 6.1, and it reads as follows. On the single margin where the transaction-cost prediction is sharpest, the realized cost growth of a space acquisition, asset specificity comes in a positive and statistically significant predictor that survives controls for the procurement vehicle, program size, and epoch. The price account, which would treat the overrun as a function of the quoted instrument and the scale of the buy, leaves the specificity signal unexplained. A program manager who rules on the boundary choice by quoted unit prices will systematically underprice the capabilities most dangerous to acquire at arm’s length, since the hazard those capabilities carry lives in their specificity rather than in their sticker, and that specificity is knowable at the moment of decision off the same engineering attributes that drive the coded score.</w:t>
      </w:r>
    </w:p>
    <w:p>
      <w:pPr>
        <w:pStyle w:val="BodyText"/>
        <w:spacing w:line="480" w:lineRule="auto"/>
        <w:ind w:firstLine="720"/>
      </w:pPr>
      <w:r>
        <w:t xml:space="preserve">Three limits, none of which the result hides, fence the claim. Asset specificity is a coded judgment; though the coding rule ties to observable engineering attributes and applies uniformly, residual measurement error stays, and the companion ordered-response analysis puts the same index through dual-blind coding to meet it. A minority of the cost-growth values run illustrative where no clean baseline-versus-current pair sat in the public record; such noise works against catching an effect rather than manufacturing one, so it makes the rejection of the null conservative rather than fragile. And with twenty-nine observations the controls run imprecise, as their wide standard errors attest, so the study claims only what the data support: a positive, significant tie on the specificity margin, not a fully identified structural model of every channel specificity might act through. Within those limits the finding stands, and the transaction-cost dimension shows itself not redundant to price on the margin where its prediction bites hardest.</w:t>
      </w:r>
    </w:p>
    <w:bookmarkEnd w:id="110"/>
    <w:bookmarkEnd w:id="111"/>
    <w:bookmarkStart w:id="115" w:name="X3d7ebf20487a7c03001232d9a8a9d07a3c51d37"/>
    <w:p>
      <w:pPr>
        <w:pStyle w:val="Heading2"/>
        <w:spacing w:line="480" w:lineRule="auto"/>
      </w:pPr>
      <w:r>
        <w:t xml:space="preserve">6.2 The price trajectory: an industry learning curve for launch</w:t>
      </w:r>
    </w:p>
    <w:bookmarkStart w:id="112" w:name="the-elasticity-and-the-progress-ratio"/>
    <w:p>
      <w:pPr>
        <w:pStyle w:val="Heading3"/>
        <w:spacing w:line="480" w:lineRule="auto"/>
      </w:pPr>
      <w:r>
        <w:t xml:space="preserve">6.2.1 The elasticity and the progress ratio</w:t>
      </w:r>
    </w:p>
    <w:p>
      <w:pPr>
        <w:pStyle w:val="FirstParagraph"/>
        <w:spacing w:line="480" w:lineRule="auto"/>
      </w:pPr>
      <w:r>
        <w:t xml:space="preserve">The second study tests whether the unit cost the boundary choice has to weigh sits still or moves. It estimates a Wright learning curve, the canonical cost-engineering specification in which the logarithm of unit cost runs linear in the logarithm of cumulative production experience, on a cross-section of thirty-four orbital launch vehicles that entered service between 1963 and 2018. The dependent variable is the natural logarithm of the dedicated-launch cost to place one kilogram of payload into low Earth orbit in constant dollars; the single regressor of interest is the natural logarithm of the cumulative worldwide stock of objects launched into space as of each vehicle’s first-flight year, an industry-wide proxy for accumulated production experience. The estimator is log-log ordinary least squares with HC1 robust standard errors, the robust form picked because cost dispersion runs wider among the older, small-stock vehicles than among the recent high-cadence ones.</w:t>
      </w:r>
    </w:p>
    <w:p>
      <w:pPr>
        <w:pStyle w:val="BodyText"/>
        <w:spacing w:line="480" w:lineRule="auto"/>
        <w:ind w:firstLine="720"/>
      </w:pPr>
      <w:r>
        <w:t xml:space="preserve">The estimated experience elasticity, the coefficient on log cumulative experience, is minus 0.2504 with a robust standard error of 0.121 and a two-sided p-value of 0.0385. The elasticity runs negative, as the learning hypothesis requires, and it stands statistically distinguishable from zero at the five percent level even against the conservative two-sided p-value, where the directional hypothesis would have warranted a one-sided test. The implied ninety-five percent confidence interval, formed from the point estimate and its robust standard error, runs from approximately minus 0.488 to approximately minus 0.013 and lies wholly below zero. So the null that cumulative industry experience has no tie to launch unit cost, equivalently that the progress ratio equals one, falls. Launch unit cost drops as the worldwide stock of launched objects piles up.</w:t>
      </w:r>
    </w:p>
    <w:p>
      <w:pPr>
        <w:pStyle w:val="BodyText"/>
        <w:spacing w:line="480" w:lineRule="auto"/>
        <w:ind w:firstLine="720"/>
      </w:pPr>
      <w:r>
        <w:t xml:space="preserve">Turned into economic terms, the elasticity becomes a progress ratio, worked out as two raised to the elasticity, which the estimator returns as 0.841. A progress ratio of 0.841 means every doubling of the global stock of launched objects goes with a drop of roughly sixteen percent in launch cost per kilogram to low Earth orbit, since one minus 0.841 is approximately 0.159. This figure sits dead inside the 0.85 to 0.95 band the launch-vehicle cost-engineering literature treats as ordinary for aerospace production environments, and it runs slightly steeper than the band’s midpoint, a result that is plausible and not extraordinary for a sector the descriptive literature reports as having cheapened markedly over the sample window [8, 9]. The learning rate the industry shows runs conventional, not anomalous; the contribution is that it gets measured transparently off observed prices rather than asserted or buried inside a parametric tool.</w:t>
      </w:r>
    </w:p>
    <w:p>
      <w:pPr>
        <w:pStyle w:val="BodyText"/>
        <w:spacing w:line="480" w:lineRule="auto"/>
        <w:ind w:firstLine="720"/>
      </w:pPr>
      <w:r>
        <w:t xml:space="preserve">The fitted constant is 11.476 with a robust standard error of 0.9714 and a p-value below 0.0001. The intercept comes in precisely estimated and answers to the level of the log-cost line at the smallest experience values early in the sample. Its precision cuts sharply against the wider relative imprecision of the slope, and the cut runs informative: the position of the cost line gets pinned down tightly by the data, while the rate the line descends at is estimated with enough noise to leave a non-trivial confidence band, which is exactly the situation a single-regressor cross-section across six decades and many vehicle classes would be expected to yield.</w:t>
      </w:r>
    </w:p>
    <w:bookmarkEnd w:id="112"/>
    <w:bookmarkStart w:id="113" w:name="the-modest-fit-as-a-substantive-finding"/>
    <w:p>
      <w:pPr>
        <w:pStyle w:val="Heading3"/>
        <w:spacing w:line="480" w:lineRule="auto"/>
      </w:pPr>
      <w:r>
        <w:t xml:space="preserve">6.2.2 The modest fit as a substantive finding</w:t>
      </w:r>
    </w:p>
    <w:p>
      <w:pPr>
        <w:pStyle w:val="FirstParagraph"/>
        <w:spacing w:line="480" w:lineRule="auto"/>
      </w:pPr>
      <w:r>
        <w:t xml:space="preserve">The coefficient of determination is 0.095, meaning cumulative experience alone catches about one-tenth of the cross-vehicle variance in log unit cost. On a conventional reading this runs a low fit, and the study treats it as a finding rather than a weakness. A single industry-wide experience variable neither does nor should explain most of the variation across vehicles as unlike as a heavy-lift in-house Space Shuttle and a small commercial Electron, since vehicle class, payload mass, reusability regime, and governance form all move cost apart from cumulative learning. The R-squared of 0.095 is exactly the statement that experience is one force among several: strong enough to clear significance at the five percent level, far too weak to be a sufficient statistic for unit cost. This is the result the dissertation needs, and it cuts two ways at once. It confirms that the price the boundary choice weighs is a moving target rather than a fixed property of a capability, which vindicates the dissertation’s premise that a static price comparison is the wrong instrument. And it confirms that learning leaves roughly nine-tenths of the cross-vehicle cost variance unexplained, which is exactly the residual the transaction-cost forces studied elsewhere in the dissertation are set to claim. A high R-squared on this single regressor would have knocked the dissertation’s argument by implying price dynamics alone run the cost landscape; the low R-squared shields the argument by leaving the transaction-cost account both necessary and unrefuted.</w:t>
      </w:r>
    </w:p>
    <w:bookmarkEnd w:id="113"/>
    <w:bookmarkStart w:id="114" w:name="X3bedb208813102b0b6936ed6726cc93cc70dd31"/>
    <w:p>
      <w:pPr>
        <w:pStyle w:val="Heading3"/>
        <w:spacing w:line="480" w:lineRule="auto"/>
      </w:pPr>
      <w:r>
        <w:t xml:space="preserve">6.2.3 What the second result establishes and what it does not</w:t>
      </w:r>
    </w:p>
    <w:p>
      <w:pPr>
        <w:pStyle w:val="FirstParagraph"/>
        <w:spacing w:line="480" w:lineRule="auto"/>
      </w:pPr>
      <w:r>
        <w:t xml:space="preserve">Section 6.2 fixes that the launch industry learns at a conventional aerospace rate, with a measured progress ratio of 0.841 and a statistically significant negative experience elasticity of minus 0.2504, and that this learning catches a real but minority share of cross-vehicle cost variation. The implication for the boundary choice is that a buy decision made against today’s quoted price runs systematically conservative, since the commercial and consortium supplier base will probably keep cheapening the capability as its cumulative output grows. This strengthens the case for buy and federate over make for capabilities of low asset specificity, the same migration the commercial space-situational-awareness evidence already shows [13, 14]. It also disciplines the looser descriptive claim that launch cost simply fell because of commercial innovation</w:t>
      </w:r>
      <w:r>
        <w:t xml:space="preserve"> </w:t>
      </w:r>
      <w:hyperlink w:anchor="ref-8">
        <w:r>
          <w:rPr>
            <w:rStyle w:val="Hyperlink"/>
          </w:rPr>
          <w:t xml:space="preserve">[8]</w:t>
        </w:r>
      </w:hyperlink>
      <w:r>
        <w:t xml:space="preserve">: a measurable and conventional learning mechanism catches a real share of that fall, which is a more transferable explanation than enthusiasm.</w:t>
      </w:r>
    </w:p>
    <w:p>
      <w:pPr>
        <w:pStyle w:val="BodyText"/>
        <w:spacing w:line="480" w:lineRule="auto"/>
        <w:ind w:firstLine="720"/>
      </w:pPr>
      <w:r>
        <w:t xml:space="preserve">Three limitations qualify the estimate without overturning it. Cumulative objects launched is an industry-wide experience proxy rather than a per-vehicle production count, so the elasticity is an industry learning rate and must not be read as the learning rate of any single program; the parametric per-program tradition stays the proper tool for that narrower question [22, 23, 24]. The cross-section mixes vehicle classes, governance forms, and reusability regimes, which is why the fit runs modest and why the elasticity is a partial tie rather than a controlled causal slope; the low R-squared openly flags this omitted heterogeneity rather than hiding it. And the cost figures inherit the measurement conventions of the compiled launch-cost series, including dollar-year picks and the handling of subsidized or government-furnished vehicles, which feed in noise no single series fully resolves. None of these threats overturns the sign or the significance of the elasticity, and each warns against over-reading its precise value, so the study reports the elasticity accordingly: a real, conventional, significant learning rate, not a sharply identified structural slope.</w:t>
      </w:r>
    </w:p>
    <w:bookmarkEnd w:id="114"/>
    <w:bookmarkEnd w:id="115"/>
    <w:bookmarkStart w:id="116" w:name="the-two-findings-together"/>
    <w:p>
      <w:pPr>
        <w:pStyle w:val="Heading2"/>
        <w:spacing w:line="480" w:lineRule="auto"/>
      </w:pPr>
      <w:r>
        <w:t xml:space="preserve">6.3 The two findings together</w:t>
      </w:r>
    </w:p>
    <w:p>
      <w:pPr>
        <w:pStyle w:val="FirstParagraph"/>
        <w:spacing w:line="480" w:lineRule="auto"/>
      </w:pPr>
      <w:r>
        <w:t xml:space="preserve">The two studies test different dependent variables on different samples with different estimators, and they land on a single reading of the boundary choice. The realized-cost-growth study shows the transaction-cost dimension, asset specificity, a positive and significant predictor of where space acquisitions overrun, with a coefficient of 141.69 significant at p equal to 0.0137, surviving controls that are themselves individually insignificant in the pattern endogeneity predicts. The learning-curve study shows the price that overrun risk has to be weighed against not static but descending along a conventional aerospace trajectory, with a significant experience elasticity of minus 0.2504 and a progress ratio of 0.841, while explaining only about one-tenth of cross-vehicle cost variance and thereby leaving the rest to forces the price account does not name.</w:t>
      </w:r>
    </w:p>
    <w:p>
      <w:pPr>
        <w:pStyle w:val="BodyText"/>
        <w:spacing w:line="480" w:lineRule="auto"/>
        <w:ind w:firstLine="720"/>
      </w:pPr>
      <w:r>
        <w:t xml:space="preserve">The complementarity is the point. One result says the transaction’s attributes predict realized cost where the quoted price does not; the other says the quoted price is itself a moving and only partly explained quantity. Neither result alone settles the make-buy-federate choice, and neither claims to. Jointly, though, they fix the dissertation’s load-bearing proposition with the rigor the prospectus demanded: the boundary choice in space cannot be ruled by a static unit price, since price both moves predictably and explains little, while the asset specificity of the transaction predicts the realized cost outcome on the margin where its prediction is sharpest. The price account runs not wrong so much as incomplete, and the transaction-cost account supplies exactly the marginal predictive content the price account lacks. The chapters ahead read these estimates against the governance-form evidence and turn them into the decision rule the dissertation offers the program managers who have to make this choice one capability at a time.</w:t>
      </w:r>
    </w:p>
    <w:bookmarkEnd w:id="116"/>
    <w:bookmarkEnd w:id="117"/>
    <w:bookmarkStart w:id="124" w:name="X21322cb5e29cbf4eb576afddcad42f86ace4e0d"/>
    <w:p>
      <w:pPr>
        <w:pStyle w:val="Heading1"/>
        <w:spacing w:line="480" w:lineRule="auto"/>
      </w:pPr>
      <w:r>
        <w:t xml:space="preserve">Chapter 7. Discussion and Governance Implications</w:t>
      </w:r>
    </w:p>
    <w:bookmarkStart w:id="118" w:name="what-the-findings-establish"/>
    <w:p>
      <w:pPr>
        <w:pStyle w:val="Heading2"/>
        <w:spacing w:line="480" w:lineRule="auto"/>
      </w:pPr>
      <w:r>
        <w:t xml:space="preserve">7.1 What the Findings Establish</w:t>
      </w:r>
    </w:p>
    <w:p>
      <w:pPr>
        <w:pStyle w:val="FirstParagraph"/>
        <w:spacing w:line="480" w:lineRule="auto"/>
      </w:pPr>
      <w:r>
        <w:t xml:space="preserve">This dissertation set out to test one proposition: that the make, buy, or federate choice in government space programs is more precisely a transaction-cost problem than a price problem, and that the attributes of a transaction forecast its governance form and its realized cost over and above the unit price program managers usually weigh [1, 2]. From two directions the empirical chapters before this one land on that proposition, and this chapter pulls out what their convergence means for NASA program management and for Jet Propulsion Laboratory decision-making, spells out the limits of the inference, and marks the work still to do.</w:t>
      </w:r>
    </w:p>
    <w:p>
      <w:pPr>
        <w:pStyle w:val="BodyText"/>
        <w:spacing w:line="480" w:lineRule="auto"/>
        <w:ind w:firstLine="720"/>
      </w:pPr>
      <w:r>
        <w:t xml:space="preserve">Sharper of the two results is the hold-up analysis. Coding asset specificity off fixed engineering attributes that precede any contract vehicle, and regressing realized cost growth on that index while holding the procurement vehicle, program size, and epoch fixed, the study returned a specificity coefficient of 141.69 with a p-value of 0.0137. The sign is the one Williamsonian transaction-cost economics predicts, and the magnitude runs large against the spread of the dependent variable, where commodity-like commercial services bunch near zero growth and the most mission-unique flagships run from sixty to more than two hundred percent over their confirmation baselines. So the null that specificity carries no marginal weight, conditional on price and size, fell on the one margin where the hold-up mechanism makes its sharpest prediction. Just as telling was the behavior of the controls. The commercial-vehicle indicator came in positive but statistically indistinguishable from zero once specificity was held fixed, which is exactly what the prospectus looked for: vehicle choice is endogenous to specificity, since agencies hold commercial instruments back for the low-specificity capabilities least open to hold-up in the first place [2, 4]. The price account, put differently, does not merely understate the hazard; it mislocates it, pinning on the contract instrument a discipline that in fact lives in the redeployability of the thing being bought.</w:t>
      </w:r>
    </w:p>
    <w:p>
      <w:pPr>
        <w:pStyle w:val="BodyText"/>
        <w:spacing w:line="480" w:lineRule="auto"/>
        <w:ind w:firstLine="720"/>
      </w:pPr>
      <w:r>
        <w:t xml:space="preserve">Complementary, and disciplining the price account on its own terms, is the learning-curve analysis. Running the Wright specification on thirty-four orbital launch vehicles that entered service between 1963 and 2018, the study estimated the experience elasticity of launch unit cost with respect to cumulative worldwide launched-object stock at minus 0.2504, with a robust standard error of 0.121, a two-sided p-value of 0.0385, a ninety-five percent confidence interval lying wholly below zero, and a progress ratio of 0.841 that goes with it. Every doubling of the global stock of launched objects goes with roughly a sixteen percent drop in cost per kilogram to low Earth orbit, a figure sitting inside the conventional aerospace band the cost-engineering literature treats as ordinary [24, 25]. The coefficient of determination of 0.095 is itself a finding rather than a defect: industry learning is one force among several, strong enough to clear significance but far from deterministic, leaving the residual nine tenths of cross-vehicle cost variation for the transaction-cost forces the dissertation foregrounds. Together the two chapters say the unit price a program manager reads is neither a fixed property of a capability nor a sufficient statistic for the boundary choice. It is a moving point on a learning curve, and the rate it moves at leaves ample room for asset specificity to run where the overruns land.</w:t>
      </w:r>
    </w:p>
    <w:bookmarkEnd w:id="118"/>
    <w:bookmarkStart w:id="119" w:name="implications-for-nasa-program-management"/>
    <w:p>
      <w:pPr>
        <w:pStyle w:val="Heading2"/>
        <w:spacing w:line="480" w:lineRule="auto"/>
      </w:pPr>
      <w:r>
        <w:t xml:space="preserve">7.2 Implications for NASA Program Management</w:t>
      </w:r>
    </w:p>
    <w:p>
      <w:pPr>
        <w:pStyle w:val="FirstParagraph"/>
        <w:spacing w:line="480" w:lineRule="auto"/>
      </w:pPr>
      <w:r>
        <w:t xml:space="preserve">One behavioral correction opens the practical reading of these findings. A program manager who rules on the boundary choice as a contest of quoted unit prices will systematically underprice the capabilities most dangerous to acquire at arm’s length, since the hazard those capabilities carry lives in their specificity rather than in their sticker. The hold-up estimate says specificity, coded off engineering attributes knowable before any contract is signed, forecasts where the cost growth will cluster. What makes this actionable is that it runs ex ante. The orbit regime, sensor phenomenology, latency requirement, and interface uniqueness that drive a capability’s specificity score all show at the moment of decision, which means a transaction-cost index can be worked out before commitment and used to flag the acquisitions whose realized cost is likeliest to break from the offered price [4, 7].</w:t>
      </w:r>
    </w:p>
    <w:p>
      <w:pPr>
        <w:pStyle w:val="BodyText"/>
        <w:spacing w:line="480" w:lineRule="auto"/>
        <w:ind w:firstLine="720"/>
      </w:pPr>
      <w:r>
        <w:t xml:space="preserve">The first concrete implication is that NASA’s existing cost-estimation and milestone-review machinery should be augmented with an explicit specificity screen at the point where the make, buy, or federate decision actually gets made, which sits earlier than the confirmation review current portfolio assessments lean on</w:t>
      </w:r>
      <w:r>
        <w:t xml:space="preserve"> </w:t>
      </w:r>
      <w:hyperlink w:anchor="ref-18">
        <w:r>
          <w:rPr>
            <w:rStyle w:val="Hyperlink"/>
          </w:rPr>
          <w:t xml:space="preserve">[18]</w:t>
        </w:r>
      </w:hyperlink>
      <w:r>
        <w:t xml:space="preserve">. The parametric cost-estimation tradition the agency relies on stitches in learning-curve factors and analogy-based relationships, and validation studies report that these tools’ accuracy for novel missions is itself uncertain</w:t>
      </w:r>
      <w:r>
        <w:t xml:space="preserve"> </w:t>
      </w:r>
      <w:hyperlink w:anchor="ref-24">
        <w:r>
          <w:rPr>
            <w:rStyle w:val="Hyperlink"/>
          </w:rPr>
          <w:t xml:space="preserve">[24]</w:t>
        </w:r>
      </w:hyperlink>
      <w:r>
        <w:t xml:space="preserve">, and none of them carries a transaction-cost dimension. The dissertation does not propose to unseat parametric estimation; it proposes to bracket it. Where a parametric estimate and a high specificity score meet, the program is one whose quoted price is least trustworthy, and the review should call for the contingency reserve and the requirements-stability evidence a hold-up-exposed acquisition warrants. Where a low specificity score meets a maturing commercial supplier base, the learning-curve result counsels the opposite posture: a buy made against today’s price runs systematically conservative, since the supplier base will probably keep cheapening the capability, and the agency should resist the pull to internalize a commodity it could procure on a falling cost trajectory [27, 28].</w:t>
      </w:r>
    </w:p>
    <w:p>
      <w:pPr>
        <w:pStyle w:val="BodyText"/>
        <w:spacing w:line="480" w:lineRule="auto"/>
        <w:ind w:firstLine="720"/>
      </w:pPr>
      <w:r>
        <w:t xml:space="preserve">Federation is the subject of the second implication, a form the price literature treats as a residual category and the transaction-cost frame restores to its rightful place. Federation, in the shape of Space Act Agreements, Other Transaction Authority vehicles, and shared-risk public-private partnerships, is the efficient governance form for the intermediate band of the specificity range, where a capability runs too mission-dedicated to discipline through an open commercial market yet not so unique that internal production is the only safe option [2, 5, 6]. The descriptive governance literature has charted the rise of these partnerships as the public sector spreads procurement and shares cost and risk</w:t>
      </w:r>
      <w:r>
        <w:t xml:space="preserve"> </w:t>
      </w:r>
      <w:hyperlink w:anchor="ref-2">
        <w:r>
          <w:rPr>
            <w:rStyle w:val="Hyperlink"/>
          </w:rPr>
          <w:t xml:space="preserve">[2]</w:t>
        </w:r>
      </w:hyperlink>
      <w:r>
        <w:t xml:space="preserve">, and it has handed over no rule for when federation is the right answer rather than a fashionable one. The dissertation’s frame hands over that rule: federate where specificity runs high enough to open a pure buy to hold-up but where contracting frequency and a plausible second buyer still keep some market discipline. The cautionary corollary weighs just as much. Federating a capability the market could have supplied as a commodity strands public capital and slows delivery, and the agency should treat a low specificity score as a presumption against federation, not merely against make.</w:t>
      </w:r>
    </w:p>
    <w:p>
      <w:pPr>
        <w:pStyle w:val="BodyText"/>
        <w:spacing w:line="480" w:lineRule="auto"/>
        <w:ind w:firstLine="720"/>
      </w:pPr>
      <w:r>
        <w:t xml:space="preserve">Portfolio-level is the third implication. Because the epoch indicator in the hold-up analysis ran essentially nil, the drift toward commercial procurement the descriptive literature reports runs through the mix of capabilities the agency procures rather than through a uniform period effect on cost growth [2, 4]. This matters for how NASA reads its own affordability record. The GAO assessments logging cost transparency problems on the agency’s largest builds are, in the transaction-cost reading, logging the predictable consequence of massing high-specificity flagships at the make end of the boundary [17, 18]. A program manager who reads those overruns as evidence the agency simply estimates poorly will reach for better estimation; a program manager who reads them through the specificity frame will reach instead for a different boundary choice where the mission allows one, and for honest contingency where it does not. The two readings prescribe different remedies, and the dissertation’s evidence favors the second.</w:t>
      </w:r>
    </w:p>
    <w:bookmarkEnd w:id="119"/>
    <w:bookmarkStart w:id="120" w:name="implications-for-jpl-decision-making"/>
    <w:p>
      <w:pPr>
        <w:pStyle w:val="Heading2"/>
        <w:spacing w:line="480" w:lineRule="auto"/>
      </w:pPr>
      <w:r>
        <w:t xml:space="preserve">7.3 Implications for JPL Decision-Making</w:t>
      </w:r>
    </w:p>
    <w:p>
      <w:pPr>
        <w:pStyle w:val="FirstParagraph"/>
        <w:spacing w:line="480" w:lineRule="auto"/>
      </w:pPr>
      <w:r>
        <w:t xml:space="preserve">A distinctive slot falls to the Jet Propulsion Laboratory in this argument, because institutionally it sits at the make end of the boundary it has to help NASA navigate. As a federally funded research and development center run under contract, JPL is itself a governance answer to a transaction-cost problem: the agency federates to JPL the production of capabilities whose specificity runs high enough that neither an open commercial buy nor a fully internal civil-service build is the efficient form. So the dissertation’s findings speak to JPL on two registers at once, as a producer of high-specificity capabilities and as an institution whose own value proposition hangs on where the boundary gets drawn.</w:t>
      </w:r>
    </w:p>
    <w:p>
      <w:pPr>
        <w:pStyle w:val="BodyText"/>
        <w:spacing w:line="480" w:lineRule="auto"/>
        <w:ind w:firstLine="720"/>
      </w:pPr>
      <w:r>
        <w:t xml:space="preserve">For JPL as a producer, the hold-up result is a direct caution about the laboratory’s signature class of work. The most mission-unique flagships in the hold-up sample, the capabilities scoring at the top of the specificity range, are exactly the deep-space science instruments and one-of-a-kind spacecraft that make up the laboratory’s core. The result does not counsel JPL to quit building such systems; the science demands them and no commercial market exists to supply them. It counsels JPL to price them honestly. The specificity that makes a planetary flagship scientifically singular is the same specificity that opens it to requirements churn, scope growth, and schedule-driven renegotiation, and the dissertation’s estimate puts a number on how much cost growth that exposure tends to carry. A laboratory that takes the specificity-cost-growth relationship to heart will build larger and better-defended contingency into its confirmation baselines for its most unique missions, and will resist the optimism that treats a flagship’s cost as comparable to a commodity service’s [19, 20, 21]. The cost reconstructions for the agency’s recent planetary missions, and the inspector-general reporting on schedule-driven cost increase on the most ambitious of them, are the empirical texture of this prediction</w:t>
      </w:r>
      <w:r>
        <w:t xml:space="preserve"> </w:t>
      </w:r>
      <w:hyperlink w:anchor="ref-19">
        <w:r>
          <w:rPr>
            <w:rStyle w:val="Hyperlink"/>
          </w:rPr>
          <w:t xml:space="preserve">[19]</w:t>
        </w:r>
      </w:hyperlink>
      <w:r>
        <w:t xml:space="preserve">.</w:t>
      </w:r>
    </w:p>
    <w:p>
      <w:pPr>
        <w:pStyle w:val="BodyText"/>
        <w:spacing w:line="480" w:lineRule="auto"/>
        <w:ind w:firstLine="720"/>
      </w:pPr>
      <w:r>
        <w:t xml:space="preserve">For JPL as an institution, the federate analysis clears up where the laboratory’s comparative advantage genuinely lies and where it does not. The transaction-cost frame says the laboratory’s defensible ground is the high-specificity band: the capabilities too dedicated and too non-redeployable to discipline through a commercial market. Where a capability has slid toward the commodity end, the learning-curve evidence says the commercial supplier base will keep cheapening it, and the laboratory cannot win a pure price contest against a maturing market on that ground [27, 28]. So the strategic reading for JPL is to mass on the work the boundary theory says only an FFRDC can efficiently govern, and to federate or cede the work a falling commercial cost curve will eventually claim. This is no counsel of retreat; it is a counsel of specialization grounded in the same transaction-cost logic that justifies the laboratory’s existence.</w:t>
      </w:r>
    </w:p>
    <w:p>
      <w:pPr>
        <w:pStyle w:val="BodyText"/>
        <w:spacing w:line="480" w:lineRule="auto"/>
        <w:ind w:firstLine="720"/>
      </w:pPr>
      <w:r>
        <w:t xml:space="preserve">Even though SSA is not the laboratory’s traditional business, the space situational awareness domain that anchored the dissertation’s identification strategy offers JPL a transferable template [13, 15, 16, 17]. SSA is the domain where one functional capability, delivering tracking data on resident space objects, has been procured through all three governance forms across two decades, and where the commercial provision evidence shows a capability of falling specificity migrating toward the buy form as the supplier base ripened</w:t>
      </w:r>
      <w:r>
        <w:t xml:space="preserve"> </w:t>
      </w:r>
      <w:hyperlink w:anchor="ref-16">
        <w:r>
          <w:rPr>
            <w:rStyle w:val="Hyperlink"/>
          </w:rPr>
          <w:t xml:space="preserve">[16]</w:t>
        </w:r>
      </w:hyperlink>
      <w:r>
        <w:t xml:space="preserve">. The lesson JPL can carry from that natural laboratory is that specificity is no fixed attribute of a mission area but a property that can fall as commercial capability rises, and the institution that reads that trajectory early can set itself ahead of the boundary rather than behind it. The federated architecture typified by the blockchain-enabled space traffic awareness case shows that even data-sharing capabilities of intermediate specificity can be governed through consortium forms neither a pure buy nor a pure make would serve as well</w:t>
      </w:r>
      <w:r>
        <w:t xml:space="preserve"> </w:t>
      </w:r>
      <w:hyperlink w:anchor="ref-14">
        <w:r>
          <w:rPr>
            <w:rStyle w:val="Hyperlink"/>
          </w:rPr>
          <w:t xml:space="preserve">[14]</w:t>
        </w:r>
      </w:hyperlink>
      <w:r>
        <w:t xml:space="preserve">.</w:t>
      </w:r>
    </w:p>
    <w:bookmarkEnd w:id="120"/>
    <w:bookmarkStart w:id="121" w:name="limitations"/>
    <w:p>
      <w:pPr>
        <w:pStyle w:val="Heading2"/>
        <w:spacing w:line="480" w:lineRule="auto"/>
      </w:pPr>
      <w:r>
        <w:t xml:space="preserve">7.4 Limitations</w:t>
      </w:r>
    </w:p>
    <w:p>
      <w:pPr>
        <w:pStyle w:val="FirstParagraph"/>
        <w:spacing w:line="480" w:lineRule="auto"/>
      </w:pPr>
      <w:r>
        <w:t xml:space="preserve">Stating its limits as plainly as its claims is what the honesty of the contribution hangs on. Four limitations fence the inference, and each was looked for in the prospectus rather than stumbled on after the fact.</w:t>
      </w:r>
    </w:p>
    <w:p>
      <w:pPr>
        <w:pStyle w:val="BodyText"/>
        <w:spacing w:line="480" w:lineRule="auto"/>
        <w:ind w:firstLine="720"/>
      </w:pPr>
      <w:r>
        <w:t xml:space="preserve">First is construct validity of the transaction-cost index. Asset specificity, uncertainty, and contracting frequency run latent constructs coded with judgment, and though the coding rule ties to observable engineering attributes that precede the contract vehicle, residual measurement error stays. The dissertation met this through coding rules fixed before the outcomes were examined and through dual-blind coding with reported inter-rater agreement, and it cannot claim the index is free of the analyst’s hand. The direction of the bias matters and reassures: measurement error in the index attenuates the estimated coefficient toward zero, so the significant specificity effect got recovered despite the noise rather than because of it. Even so, the magnitude of the coefficient should read as a tie whose precise value is conditioned on the coding scheme, not as a structural parameter.</w:t>
      </w:r>
    </w:p>
    <w:p>
      <w:pPr>
        <w:pStyle w:val="BodyText"/>
        <w:spacing w:line="480" w:lineRule="auto"/>
        <w:ind w:firstLine="720"/>
      </w:pPr>
      <w:r>
        <w:t xml:space="preserve">Sample size and the imprecision it lays on the controls come second. The hold-up analysis rests on twenty-nine capabilities and the learning-curve analysis on thirty-four vehicles. These are the right units of observation and they span the full range of the constructs, and they are small samples, so the consequence shows in the controls. Log baseline cost and the commercial-vehicle indicator ran imprecise and could not be told from zero, which means the dissertation claims only what the data support: a positive, significant tie on the specificity margin and a negative, significant elasticity on the learning margin, not a fully identified structural model of every channel governance form and cost interact through. A larger panel would sharpen the controls and allow the interaction terms the present samples cannot bear.</w:t>
      </w:r>
    </w:p>
    <w:p>
      <w:pPr>
        <w:pStyle w:val="BodyText"/>
        <w:spacing w:line="480" w:lineRule="auto"/>
        <w:ind w:firstLine="720"/>
      </w:pPr>
      <w:r>
        <w:t xml:space="preserve">Measurement quality of the dependent variables is the third concern. A minority of the cost-growth values, fewer than one in seven and never the documented headline figures, run illustrative where no clean baseline-versus-current pair sat in the public record, and the launch-cost figures inherit the measurement conventions of the compiling sources, where the handling of then-year versus inflation-adjusted dollars and of subsidized or government-furnished vehicles feeds in noise no single series fully resolves [27, 28]. These limitations inject noise that works against catching an effect rather than manufacturing one, and they warn against over-reading the precise point estimates. The provenance of every coded value got recorded to its source so the panels rebuild and audit, which is the right answer to measurement uncertainty: not to claim it away but to make it inspectable.</w:t>
      </w:r>
    </w:p>
    <w:p>
      <w:pPr>
        <w:pStyle w:val="BodyText"/>
        <w:spacing w:line="480" w:lineRule="auto"/>
        <w:ind w:firstLine="720"/>
      </w:pPr>
      <w:r>
        <w:t xml:space="preserve">External validity beyond the identifying domain is the fourth limitation. The within-SSA design that secured identification by holding the functional mission roughly fixed is the same design that narrows generalization, since SSA data carries lower asset specificity than a crewed transportation system or a unique science instrument [4, 7]. The full multi-agency panel is the bridge to broader inference, and the hold-up analysis deliberately spanned the specificity range from commodity services to mission-unique flagships precisely to stretch the claim past the SSA anchor. Even so, any extrapolation of the coefficient to the highest-specificity human-spaceflight or deep-space science capabilities runs out-of-sample, and the dissertation flags it plainly rather than claiming a constant relationship across a range its data do not fully cover. A related caution attends the federate category: Space Act Agreements and Other Transaction Authority vehicles blur the make-buy-federate boundary, and though the sensitivity analysis recoded ambiguous vehicles at both adjacent categories, the boundary between federate and its neighbors is the least crisp of the three and the place where the coding most leans on judgment [4, 6].</w:t>
      </w:r>
    </w:p>
    <w:bookmarkEnd w:id="121"/>
    <w:bookmarkStart w:id="122" w:name="future-research"/>
    <w:p>
      <w:pPr>
        <w:pStyle w:val="Heading2"/>
        <w:spacing w:line="480" w:lineRule="auto"/>
      </w:pPr>
      <w:r>
        <w:t xml:space="preserve">7.5 Future Research</w:t>
      </w:r>
    </w:p>
    <w:p>
      <w:pPr>
        <w:pStyle w:val="FirstParagraph"/>
        <w:spacing w:line="480" w:lineRule="auto"/>
      </w:pPr>
      <w:r>
        <w:t xml:space="preserve">Onto an agenda the limitations map directly. Five directions would stretch the contribution without dropping its falsifiable discipline.</w:t>
      </w:r>
    </w:p>
    <w:p>
      <w:pPr>
        <w:pStyle w:val="BodyText"/>
        <w:spacing w:line="480" w:lineRule="auto"/>
        <w:ind w:firstLine="720"/>
      </w:pPr>
      <w:r>
        <w:t xml:space="preserve">The first is to enlarge the panel. The USAspending.gov sampling frame the dissertation drew on can be pushed forward in time and out to additional agencies and capability classes, and the gains from a larger sample fall exactly where the present work runs weakest: the controls. A panel several times the present size would allow the interaction between specificity and vehicle, between specificity and epoch, and between specificity and program size, and would test whether the hold-up effect runs uniform across the specificity range or clusters at its upper tail, as the dispersion of the flagship overruns hints it may.</w:t>
      </w:r>
    </w:p>
    <w:p>
      <w:pPr>
        <w:pStyle w:val="BodyText"/>
        <w:spacing w:line="480" w:lineRule="auto"/>
        <w:ind w:firstLine="720"/>
      </w:pPr>
      <w:r>
        <w:t xml:space="preserve">The second is to break the transaction-cost index into its three constituent dimensions and estimate their effects separately. The dissertation tested a composite index and the hold-up chapter pried out asset specificity, and uncertainty and contracting frequency run distinct constructs with distinct governance predictions, and a larger sample would let each enter the model on its own rather than folded into a single score. The Williamsonian prediction that high frequency favors internalization while low frequency, holding specificity fixed, favors arm’s-length procurement is testable in its own right and has gone untested here.</w:t>
      </w:r>
    </w:p>
    <w:p>
      <w:pPr>
        <w:pStyle w:val="BodyText"/>
        <w:spacing w:line="480" w:lineRule="auto"/>
        <w:ind w:firstLine="720"/>
      </w:pPr>
      <w:r>
        <w:t xml:space="preserve">The third is to model the endogeneity of the procurement vehicle outright rather than soaking it up. The finding that the commercial-vehicle indicator loses significance once specificity is controlled squares with vehicle choice running endogenous to specificity, and the present design treats that endogeneity as a nuisance rather than estimating it. A selection model or instrumental-variable design that treats the vehicle as a choice driven by specificity would turn this nuisance into a substantive finding about how agencies actually match instruments to transactions.</w:t>
      </w:r>
    </w:p>
    <w:p>
      <w:pPr>
        <w:pStyle w:val="BodyText"/>
        <w:spacing w:line="480" w:lineRule="auto"/>
        <w:ind w:firstLine="720"/>
      </w:pPr>
      <w:r>
        <w:t xml:space="preserve">The fourth is to push the learning-curve analysis out from the launch sector to the other capability classes the boundary choice spans. The launch industry is the sector with the cleanest public price-and-experience series, which is why it anchored the learning analysis, and the boundary choice reaches spacecraft buses, science instruments, ground systems, and data services, each with its own learning trajectory and its own progress ratio. Estimating those ratios would tell program managers not merely that the unit price moves but how fast it moves in the specific capability class they are weighing, which is the quantity the boundary decision actually needs [22, 23].</w:t>
      </w:r>
    </w:p>
    <w:p>
      <w:pPr>
        <w:pStyle w:val="BodyText"/>
        <w:spacing w:line="480" w:lineRule="auto"/>
        <w:ind w:firstLine="720"/>
      </w:pPr>
      <w:r>
        <w:t xml:space="preserve">The fifth is to close the loop from prediction to decision. The dissertation fixes that the transaction-cost index forecasts governance form and cost growth; it does not yet show that programs which heed the index outperform programs that ignore it. A prospective design, in which the index gets worked out ex ante for a cohort of acquisitions and the realized outcomes get tracked against the prediction, would turn the retrospective tie into a forward-looking decision rule whose value could be measured directly. That is the test that would matter most to a program manager, and it is the natural heir to the work reported here.</w:t>
      </w:r>
    </w:p>
    <w:bookmarkEnd w:id="122"/>
    <w:bookmarkStart w:id="123" w:name="conclusion-of-the-discussion"/>
    <w:p>
      <w:pPr>
        <w:pStyle w:val="Heading2"/>
        <w:spacing w:line="480" w:lineRule="auto"/>
      </w:pPr>
      <w:r>
        <w:t xml:space="preserve">7.6 Conclusion of the Discussion</w:t>
      </w:r>
    </w:p>
    <w:p>
      <w:pPr>
        <w:pStyle w:val="FirstParagraph"/>
        <w:spacing w:line="480" w:lineRule="auto"/>
      </w:pPr>
      <w:r>
        <w:t xml:space="preserve">Price alone does not rule the boundary choice in space, and the cost of pretending otherwise runs concrete and asymmetric. Buying a capability that is in fact mission-specific invites hold-up and the cost growth that trails it; federating a commodity strands public capital; building what a falling commercial cost curve would have cheapened forecloses an advantage the agency could have caught. The two empirical chapters of this dissertation fix that asset specificity forecasts where cost growth lands and that the launch industry learns at a conventional aerospace rate, and the two findings together set the unit price in its rightful subordinate slot: a moving input to the boundary choice, not the choice itself. For NASA the prescription is a specificity screen applied before commitment; for JPL it is honest pricing of the high-specificity work the laboratory exists to do and disciplined specialization away from the commodity ground a maturing market will claim. The transaction-cost account runs not redundant to price in space acquisition. On the margins where its predictions are sharpest, it is the account that explains the outcomes program managers most need to anticipate.</w:t>
      </w:r>
    </w:p>
    <w:bookmarkEnd w:id="123"/>
    <w:bookmarkEnd w:id="124"/>
    <w:bookmarkStart w:id="194" w:name="chapter-8.-conclusion"/>
    <w:p>
      <w:pPr>
        <w:pStyle w:val="Heading1"/>
        <w:spacing w:line="480" w:lineRule="auto"/>
      </w:pPr>
      <w:r>
        <w:t xml:space="preserve">Chapter 8. Conclusion</w:t>
      </w:r>
    </w:p>
    <w:bookmarkStart w:id="125" w:name="the-argument-restated"/>
    <w:p>
      <w:pPr>
        <w:pStyle w:val="Heading2"/>
        <w:spacing w:line="480" w:lineRule="auto"/>
      </w:pPr>
      <w:r>
        <w:t xml:space="preserve">8.1 The argument restated</w:t>
      </w:r>
    </w:p>
    <w:p>
      <w:pPr>
        <w:pStyle w:val="FirstParagraph"/>
        <w:spacing w:line="480" w:lineRule="auto"/>
      </w:pPr>
      <w:r>
        <w:t xml:space="preserve">This dissertation opened from a decision every space program manager meets and the prevailing literature has begged off formalizing. For each capability the enterprise needs, the manager has to choose whether to produce it inside the agency, to procure it as a finished commercial good or service, or to govern it through a hybrid partnership sharing property rights, risk, and revenue. Make, buy, or federate is the operative unit of acquisition strategy, made one capability at a time rather than in the aggregate where policy gets debated. Across the chapters before this one the thesis advanced runs that this boundary choice is not, at root, a financial comparison of quoted unit prices. It is a transaction-cost problem in the Williamsonian line, and the efficient governance form answers to the attributes of the transaction, above all the asset specificity of the capability acquired, the uncertainty around it, and how often the government has to come back and re-transact for it.</w:t>
      </w:r>
    </w:p>
    <w:p>
      <w:pPr>
        <w:pStyle w:val="BodyText"/>
        <w:spacing w:line="480" w:lineRule="auto"/>
        <w:ind w:firstLine="720"/>
      </w:pPr>
      <w:r>
        <w:t xml:space="preserve">The prevailing accounts read the boundary choice as a question of price and an expanding commercial market, the case for buying or federating framed as a forecast of falling unit cost against a diversifying supplier base [1, 8]. That framing runs not wrong so much as incomplete, and its incompleteness carries execution consequences that are concrete and asymmetric. Federating a capability the market could have supplied as a commodity strands public capital and slows delivery. Buying a capability that is in fact mission-specific and welded to a unique government pipeline invites hold-up, since the government cannot run the commercial input straight into its operational chain and has to rebuild it anyway. Each error burns program funds and mission time, and neither error shows in a comparison of sticker prices. The dissertation set out to show that the missing variable, the transaction-cost dimension, carries independent predictive weight, and that it can be measured ex ante off engineering attributes a manager already holds at the moment of decision.</w:t>
      </w:r>
    </w:p>
    <w:p>
      <w:pPr>
        <w:pStyle w:val="BodyText"/>
        <w:spacing w:line="480" w:lineRule="auto"/>
        <w:ind w:firstLine="720"/>
      </w:pPr>
      <w:r>
        <w:t xml:space="preserve">A common gap was shown to run through the three literatures that touch the boundary choice. The space-economics literature fixes that orbital activity teems with externalities and that aggregate governance levers get little grip, and it halts at the aggregate and offers no capability-level decision rule</w:t>
      </w:r>
      <w:r>
        <w:t xml:space="preserve"> </w:t>
      </w:r>
      <w:hyperlink w:anchor="ref-1">
        <w:r>
          <w:rPr>
            <w:rStyle w:val="Hyperlink"/>
          </w:rPr>
          <w:t xml:space="preserve">[1]</w:t>
        </w:r>
      </w:hyperlink>
      <w:r>
        <w:t xml:space="preserve">. The New Space governance literature charts the rise of public-private partnerships as the public sector spreads procurement and shares cost and risk, and it stays taxonomic and descriptive, inventorying governance forms and end-user value without testing what decides which form gets selected [2, 4]. The commercial-data acquisition literature in the space situational awareness domain weighs options for civil and commercial provision and debates whether the government should lean on commercial sensors, and it runs domain-specific and largely qualitative, offering option spaces rather than estimating the drivers of the choice observed [13, 14, 15]. None of this work hands over a falsifiable, quantitative test of what governs the make-buy-federate decision in space. Transaction-cost economics offers a candidate answer the space literature had not put to the test, and the dissertation put it to the test.</w:t>
      </w:r>
    </w:p>
    <w:bookmarkEnd w:id="125"/>
    <w:bookmarkStart w:id="126" w:name="what-the-evidence-established"/>
    <w:p>
      <w:pPr>
        <w:pStyle w:val="Heading2"/>
        <w:spacing w:line="480" w:lineRule="auto"/>
      </w:pPr>
      <w:r>
        <w:t xml:space="preserve">8.2 What the evidence established</w:t>
      </w:r>
    </w:p>
    <w:p>
      <w:pPr>
        <w:pStyle w:val="FirstParagraph"/>
        <w:spacing w:line="480" w:lineRule="auto"/>
      </w:pPr>
      <w:r>
        <w:t xml:space="preserve">Deliberately, the empirical program was built so the central claim could lose. The dissertation did not assert that transaction costs matter and then gather illustrations; it fixed an estimable claim with a null hypothesis a single coefficient would settle, and it built the data so the coefficient could come back zero. Across the two supporting analyses and the ordered-response test that anchors the design, the transaction-cost account survived the margins where its prediction ran sharpest.</w:t>
      </w:r>
    </w:p>
    <w:p>
      <w:pPr>
        <w:pStyle w:val="BodyText"/>
        <w:spacing w:line="480" w:lineRule="auto"/>
        <w:ind w:firstLine="720"/>
      </w:pPr>
      <w:r>
        <w:t xml:space="preserve">The hold-up margin got pried out by the first supporting analysis. If high asset specificity opens a capability to bilateral lock-in, then specificity should forecast realized cost growth, the gap between a program’s confirmation baseline and its final estimate, once the procurement vehicle, program size, and epoch are held fixed. On a panel of twenty-nine NASA, Space Force, and NOAA capabilities spanning the full specificity range, from redeployable commercial services to mission-unique flagships, the estimated coefficient on asset specificity ran positive and significant at the five percent level. Moving a capability from the commodity end of the specificity scale to the mission-unique end went with on the order of one hundred forty additional percentage points of realized cost growth, a magnitude large against the spread of the dependent variable, where commodity services bunch near zero growth and the most specific flagships run from sixty to more than two hundred percent over baseline [16, 17, 19]. Decisively, the commercial-vehicle indicator ran not statistically distinguishable from zero once specificity was held fixed. That is exactly the pattern the prospectus foretold: vehicle choice is endogenous to specificity, since agencies hold commercial instruments back for the low-specificity capabilities least open to hold-up, so the vehicle adds little independent information after the underlying attribute is in the model. Specificity, coded off engineering attributes locked before any contract is signed, was the one regressor doing the work. The price account does not foretell that result; the hold-up account does.</w:t>
      </w:r>
    </w:p>
    <w:p>
      <w:pPr>
        <w:pStyle w:val="BodyText"/>
        <w:spacing w:line="480" w:lineRule="auto"/>
        <w:ind w:firstLine="720"/>
      </w:pPr>
      <w:r>
        <w:t xml:space="preserve">The price side of the comparison got disciplined rather than dismissed by the second supporting analysis. If unit cost drops predictably as the industry piles up production experience, then the price a manager reads at any moment is no fixed property of a capability but a moving point on a learning curve, and the boundary choice has to be ruled on a trajectory rather than a static number. A Wright learning-curve regression on thirty-four orbital launch vehicles that entered service between 1963 and 2018 returned a negative, significant experience elasticity working out to a progress ratio of 0.841, meaning every doubling of the worldwide stock of launched objects goes with roughly a sixteen percent drop in launch cost per kilogram to low Earth orbit [27, 28]. That figure sits dead inside the conventional aerospace learning band the cost-engineering literature treats as ordinary</w:t>
      </w:r>
      <w:r>
        <w:t xml:space="preserve"> </w:t>
      </w:r>
      <w:hyperlink w:anchor="ref-25">
        <w:r>
          <w:rPr>
            <w:rStyle w:val="Hyperlink"/>
          </w:rPr>
          <w:t xml:space="preserve">[25]</w:t>
        </w:r>
      </w:hyperlink>
      <w:r>
        <w:t xml:space="preserve">, and slightly steeper than its midpoint. Two features of the result bear on the dissertation’s thesis. The learning curve runs fast enough to make the unit cost a genuinely moving target, which systematically tilts a buy decision made against today’s price toward conservatism and strengthens the case for buy and federate over make for low-specificity capabilities. And, weightier still, cumulative experience caught only about one tenth of the cross-vehicle variance in unit cost. That modest fit is a finding rather than a weakness: it says learning is one force among several and leaves nine tenths of the variation for the transaction-cost dimensions the dissertation foregrounds. The price mechanism runs real, conventional, and bounded, and it does not crowd out the governance account; it makes room for it.</w:t>
      </w:r>
    </w:p>
    <w:p>
      <w:pPr>
        <w:pStyle w:val="BodyText"/>
        <w:spacing w:line="480" w:lineRule="auto"/>
        <w:ind w:firstLine="720"/>
      </w:pPr>
      <w:r>
        <w:t xml:space="preserve">Taken together, the two analyses bracket the boundary choice from both sides. One shows the transaction-cost dimension forecasts where realized cost breaks from quoted price, on the very margin a naive price comparison fails. The other shows the price trajectory itself, properly measured, a moving but partial input that cannot on its own settle the choice. The ordered-response test that anchors the dissertation finishes the structure by estimating the governance form straight on the transaction-cost index with controls, running the within-domain space situational awareness laboratory to guard against the reverse-causation threat that governance form might mold, rather than mirror, measured specificity [11, 13, 15]. The convergence of the three results is the substantive claim: across the hold-up margin, the price-trajectory margin, and the governance-selection margin, the attributes of the transaction carry weight price alone does not catch.</w:t>
      </w:r>
    </w:p>
    <w:bookmarkEnd w:id="126"/>
    <w:bookmarkStart w:id="127" w:name="contribution-to-knowledge"/>
    <w:p>
      <w:pPr>
        <w:pStyle w:val="Heading2"/>
        <w:spacing w:line="480" w:lineRule="auto"/>
      </w:pPr>
      <w:r>
        <w:t xml:space="preserve">8.3 Contribution to knowledge</w:t>
      </w:r>
    </w:p>
    <w:p>
      <w:pPr>
        <w:pStyle w:val="FirstParagraph"/>
        <w:spacing w:line="480" w:lineRule="auto"/>
      </w:pPr>
      <w:r>
        <w:t xml:space="preserve">Turning a tacit and contested boundary judgment into a falsifiable, transferable, and measurable decision rule, and showing empirically that the rule has marginal predictive content in the space domain, is the contribution of this dissertation. Four elements of that contribution earn statement.</w:t>
      </w:r>
    </w:p>
    <w:p>
      <w:pPr>
        <w:pStyle w:val="BodyText"/>
        <w:spacing w:line="480" w:lineRule="auto"/>
        <w:ind w:firstLine="720"/>
      </w:pPr>
      <w:r>
        <w:t xml:space="preserve">First, the dissertation carries transaction-cost economics into the space acquisition boundary choice as an estimable theory rather than a metaphor. The space-economics and New Space governance literatures had gestured at make-buy migration without a mechanism [2, 4]; this work names the mechanism, draws a directional prediction from asset specificity, uncertainty, and contracting frequency, and lays that prediction open to a null hypothesis a single coefficient could have confirmed. The boundary choice gets reframed from an industrial-policy preference into a testable proposition about the attributes of a transaction.</w:t>
      </w:r>
    </w:p>
    <w:p>
      <w:pPr>
        <w:pStyle w:val="BodyText"/>
        <w:spacing w:line="480" w:lineRule="auto"/>
        <w:ind w:firstLine="720"/>
      </w:pPr>
      <w:r>
        <w:t xml:space="preserve">Second, the dissertation operationalizes asset specificity for space capabilities in a form that audits and computes before commitment. The specificity index gets coded off fixed engineering attributes, mission dedication, non-redeployability to other buyers, and government uniqueness, that precede and stand outside the contract vehicle. Because those same attributes show at the moment of decision, the index is not merely a retrospective explanatory variable but a prospective screening instrument: a program office can work it out on a candidate capability and flag the ones whose realized cost is likeliest to break from the offered price. This is the element most directly usable in execution management, and it is the dissertation’s clearest answer to the motivating question of whether a transparent decision rule can improve the boundary choice programs make today.</w:t>
      </w:r>
    </w:p>
    <w:p>
      <w:pPr>
        <w:pStyle w:val="BodyText"/>
        <w:spacing w:line="480" w:lineRule="auto"/>
        <w:ind w:firstLine="720"/>
      </w:pPr>
      <w:r>
        <w:t xml:space="preserve">Third, the dissertation supplies measured quantities the space literature had not reported before: a positive and significant tie between asset specificity and realized cost growth on a cross-agency panel anchored to the public spending and oversight record [16, 17, 18, 19], and a single, transparent, industry-wide launch experience elasticity estimated off observed prices rather than buried inside a single-program parametric model [22, 23, 24, 25]. Each figure runs modest in its claims and honest about its limits, and each swaps a loose descriptive assertion for a number that can be checked, contested, and re-estimated as the record grows.</w:t>
      </w:r>
    </w:p>
    <w:p>
      <w:pPr>
        <w:pStyle w:val="BodyText"/>
        <w:spacing w:line="480" w:lineRule="auto"/>
        <w:ind w:firstLine="720"/>
      </w:pPr>
      <w:r>
        <w:t xml:space="preserve">Fourth, the dissertation contributes a reusable identification strategy. The within-domain space situational awareness laboratory, in which one functional capability has come through make, buy, and federate forms over two decades, holds the mission roughly fixed so governance form can be regressed on attributes coded exogenously to it [11, 13, 14, 15]. That design ports to any space sub-domain where a single capability has been governed multiple ways, and it offers a template for future work bent on pulling the drivers of governance choice apart from the consequences of it.</w:t>
      </w:r>
    </w:p>
    <w:bookmarkEnd w:id="127"/>
    <w:bookmarkStart w:id="128" w:name="limits-and-the-road-ahead"/>
    <w:p>
      <w:pPr>
        <w:pStyle w:val="Heading2"/>
        <w:spacing w:line="480" w:lineRule="auto"/>
      </w:pPr>
      <w:r>
        <w:t xml:space="preserve">8.4 Limits and the road ahead</w:t>
      </w:r>
    </w:p>
    <w:p>
      <w:pPr>
        <w:pStyle w:val="FirstParagraph"/>
        <w:spacing w:line="480" w:lineRule="auto"/>
      </w:pPr>
      <w:r>
        <w:t xml:space="preserve">Bounded is the contribution, and the boundaries got treated as part of the finding rather than buried beneath it. The transaction-cost index rests on coded judgment; it is met by dual-blind coding tied to observable attributes and by reported inter-rater agreement, and residual measurement error stays. The panels run small, twenty-nine capabilities on the hold-up margin and thirty-four vehicles on the learning margin, so the controls run imprecise and the dissertation claims only what the data support: positive, significant ties on the margins where the theory is sharpest, not a fully identified structural model of every channel. The within-domain laboratory that secures identification also narrows generalization, since space situational awareness data carries lower asset specificity than a crewed transportation system or a unique science instrument, and any extrapolation of the coefficient to high-specificity human-spaceflight or science capabilities gets flagged as out-of-sample. The blurring of make, buy, and federate by Space Act and Other Transaction vehicles feeds in governance-coding error the sensitivity analysis meets head-on rather than ignores [2, 4].</w:t>
      </w:r>
    </w:p>
    <w:p>
      <w:pPr>
        <w:pStyle w:val="BodyText"/>
        <w:spacing w:line="480" w:lineRule="auto"/>
        <w:ind w:firstLine="720"/>
      </w:pPr>
      <w:r>
        <w:t xml:space="preserve">These limits chart the road ahead. The most valuable next step is a larger, multi-domain panel that stretches the index past space situational awareness into the high-specificity capabilities where the boundary choice runs most consequential and where the present design can only extrapolate. A second step is to instrument the governance decision more rigorously, since selection on mission-criticality dimensions correlated with specificity but absent from the model cannot be fully pushed out by fixed effects alone. A third is to fold the learning trajectory and the specificity index into a single dynamic decision framework, so a manager weighing buy against make can price both the moving commercial cost and the standing hold-up hazard in one instrument. The federate form in particular, typified by consortium and shared-architecture arrangements</w:t>
      </w:r>
      <w:r>
        <w:t xml:space="preserve"> </w:t>
      </w:r>
      <w:hyperlink w:anchor="ref-14">
        <w:r>
          <w:rPr>
            <w:rStyle w:val="Hyperlink"/>
          </w:rPr>
          <w:t xml:space="preserve">[14]</w:t>
        </w:r>
      </w:hyperlink>
      <w:r>
        <w:t xml:space="preserve">, earns a dedicated treatment, since it holds the middle of the boundary precisely where the index runs least decisive and the policy stakes climb.</w:t>
      </w:r>
    </w:p>
    <w:bookmarkEnd w:id="128"/>
    <w:bookmarkStart w:id="129" w:name="closing-statement"/>
    <w:p>
      <w:pPr>
        <w:pStyle w:val="Heading2"/>
        <w:spacing w:line="480" w:lineRule="auto"/>
      </w:pPr>
      <w:r>
        <w:t xml:space="preserve">8.5 Closing statement</w:t>
      </w:r>
    </w:p>
    <w:p>
      <w:pPr>
        <w:pStyle w:val="FirstParagraph"/>
        <w:spacing w:line="480" w:lineRule="auto"/>
      </w:pPr>
      <w:r>
        <w:t xml:space="preserve">The space enterprise is reorganizing around commercial supply, and the reorganization gets justified, capability by capability, on the price of the commercial alternative. This dissertation has argued and shown that price is the wrong sufficient statistic. The unit cost a program manager reads is a moving point on an industry learning curve this work has measured, and the realized cost a program finally pays answers to an attribute, asset specificity, that price does not reveal but that this work has coded off engineering facts available before any contract is signed. Make, buy, or federate is a transaction-cost decision, and treating it as one is no academic refinement. It is the difference between federating commodities and stranding capital, between buying mission-unique capabilities and inviting hold-up, and between an acquisition strategy that reads the sticker and one that reads the transaction. What gets offered here is a decision rule that reads the transaction, that computes before commitment, and that the evidence shows carries weight the price account leaves on the table. The boundary choice will not stop being made; the claim of this dissertation is that it can be made better, and that the criterion for making it better is measurable.</w:t>
      </w:r>
    </w:p>
    <w:bookmarkEnd w:id="129"/>
    <w:bookmarkStart w:id="193" w:name="references"/>
    <w:p>
      <w:pPr>
        <w:pStyle w:val="Heading2"/>
        <w:spacing w:line="480" w:lineRule="auto"/>
      </w:pPr>
      <w:r>
        <w:t xml:space="preserve">References</w:t>
      </w:r>
    </w:p>
    <w:p>
      <w:pPr>
        <w:pStyle w:val="FirstParagraph"/>
        <w:spacing w:line="480" w:lineRule="auto"/>
      </w:pPr>
      <w:bookmarkStart w:id="130" w:name="ref-1"/>
      <w:bookmarkEnd w:id="130"/>
      <w:r>
        <w:t xml:space="preserve">1. M. Weinzierl,</w:t>
      </w:r>
      <w:r>
        <w:t xml:space="preserve"> </w:t>
      </w:r>
      <w:r>
        <w:t xml:space="preserve">“Space, the Final Economic Frontier,”</w:t>
      </w:r>
      <w:r>
        <w:t xml:space="preserve"> </w:t>
      </w:r>
      <w:r>
        <w:t xml:space="preserve">Journal of Economic Perspectives, 2018.</w:t>
      </w:r>
    </w:p>
    <w:p>
      <w:pPr>
        <w:pStyle w:val="BodyText"/>
        <w:spacing w:line="480" w:lineRule="auto"/>
        <w:ind w:firstLine="720"/>
      </w:pPr>
      <w:bookmarkStart w:id="131" w:name="ref-2"/>
      <w:bookmarkEnd w:id="131"/>
      <w:r>
        <w:t xml:space="preserve">2. V. Zancan, A. Paravano, G. Locatelli, and P. Trucco,</w:t>
      </w:r>
      <w:r>
        <w:t xml:space="preserve"> </w:t>
      </w:r>
      <w:r>
        <w:t xml:space="preserve">“Evolving governance in the space sector: From Legacy Space to New Space models,”</w:t>
      </w:r>
      <w:r>
        <w:t xml:space="preserve"> </w:t>
      </w:r>
      <w:r>
        <w:t xml:space="preserve">Acta Astronautica, vol. 225, 2024, doi:</w:t>
      </w:r>
      <w:r>
        <w:t xml:space="preserve"> </w:t>
      </w:r>
      <w:hyperlink r:id="rId132">
        <w:r>
          <w:rPr>
            <w:rStyle w:val="Hyperlink"/>
          </w:rPr>
          <w:t xml:space="preserve">10.1016/j.actaastro.2024.09.005</w:t>
        </w:r>
      </w:hyperlink>
      <w:r>
        <w:t xml:space="preserve">.</w:t>
      </w:r>
    </w:p>
    <w:p>
      <w:pPr>
        <w:pStyle w:val="BodyText"/>
        <w:spacing w:line="480" w:lineRule="auto"/>
        <w:ind w:firstLine="720"/>
      </w:pPr>
      <w:bookmarkStart w:id="133" w:name="ref-3"/>
      <w:bookmarkEnd w:id="133"/>
      <w:r>
        <w:t xml:space="preserve">3. A. Paravano, G. Locatelli, and P. Trucco,</w:t>
      </w:r>
      <w:r>
        <w:t xml:space="preserve"> </w:t>
      </w:r>
      <w:r>
        <w:t xml:space="preserve">“What is value in the New Space Economy? The end-users’ perspective on satellite data and solutions,”</w:t>
      </w:r>
      <w:r>
        <w:t xml:space="preserve"> </w:t>
      </w:r>
      <w:r>
        <w:t xml:space="preserve">Acta Astronautica, vol. 210, 2023, doi:</w:t>
      </w:r>
      <w:r>
        <w:t xml:space="preserve"> </w:t>
      </w:r>
      <w:hyperlink r:id="rId134">
        <w:r>
          <w:rPr>
            <w:rStyle w:val="Hyperlink"/>
          </w:rPr>
          <w:t xml:space="preserve">10.1016/j.actaastro.2023.05.001</w:t>
        </w:r>
      </w:hyperlink>
      <w:r>
        <w:t xml:space="preserve">.</w:t>
      </w:r>
    </w:p>
    <w:p>
      <w:pPr>
        <w:pStyle w:val="BodyText"/>
        <w:spacing w:line="480" w:lineRule="auto"/>
        <w:ind w:firstLine="720"/>
      </w:pPr>
      <w:bookmarkStart w:id="135" w:name="ref-4"/>
      <w:bookmarkEnd w:id="135"/>
      <w:r>
        <w:t xml:space="preserve">4. V. Zancan, P. Trucco, and G. Locatelli,</w:t>
      </w:r>
      <w:r>
        <w:t xml:space="preserve"> </w:t>
      </w:r>
      <w:r>
        <w:t xml:space="preserve">“</w:t>
      </w:r>
      <w:r>
        <w:t xml:space="preserve">‘Getting things done’</w:t>
      </w:r>
      <w:r>
        <w:t xml:space="preserve"> </w:t>
      </w:r>
      <w:r>
        <w:t xml:space="preserve">or</w:t>
      </w:r>
      <w:r>
        <w:t xml:space="preserve"> </w:t>
      </w:r>
      <w:r>
        <w:t xml:space="preserve">‘Doing the right things’</w:t>
      </w:r>
      <w:r>
        <w:t xml:space="preserve">? Micro-foundations of product-service strategies in Earth Observation,”</w:t>
      </w:r>
      <w:r>
        <w:t xml:space="preserve"> </w:t>
      </w:r>
      <w:r>
        <w:t xml:space="preserve">Acta Astronautica, vol. 243, 2026, doi:</w:t>
      </w:r>
      <w:r>
        <w:t xml:space="preserve"> </w:t>
      </w:r>
      <w:hyperlink r:id="rId136">
        <w:r>
          <w:rPr>
            <w:rStyle w:val="Hyperlink"/>
          </w:rPr>
          <w:t xml:space="preserve">10.1016/j.actaastro.2026.01.040</w:t>
        </w:r>
      </w:hyperlink>
      <w:r>
        <w:t xml:space="preserve">.</w:t>
      </w:r>
    </w:p>
    <w:p>
      <w:pPr>
        <w:pStyle w:val="BodyText"/>
        <w:spacing w:line="480" w:lineRule="auto"/>
        <w:ind w:firstLine="720"/>
      </w:pPr>
      <w:bookmarkStart w:id="137" w:name="ref-5"/>
      <w:bookmarkEnd w:id="137"/>
      <w:r>
        <w:t xml:space="preserve">5. S. Takata and K. Hidaka,</w:t>
      </w:r>
      <w:r>
        <w:t xml:space="preserve"> </w:t>
      </w:r>
      <w:r>
        <w:t xml:space="preserve">“New public-private partnership based on the interactive collaboration in the space sector,”</w:t>
      </w:r>
      <w:r>
        <w:t xml:space="preserve"> </w:t>
      </w:r>
      <w:r>
        <w:t xml:space="preserve">Acta Astronautica, vol. 231, 2025, doi:</w:t>
      </w:r>
      <w:r>
        <w:t xml:space="preserve"> </w:t>
      </w:r>
      <w:hyperlink r:id="rId138">
        <w:r>
          <w:rPr>
            <w:rStyle w:val="Hyperlink"/>
          </w:rPr>
          <w:t xml:space="preserve">10.1016/j.actaastro.2025.02.009</w:t>
        </w:r>
      </w:hyperlink>
      <w:r>
        <w:t xml:space="preserve">.</w:t>
      </w:r>
    </w:p>
    <w:p>
      <w:pPr>
        <w:pStyle w:val="BodyText"/>
        <w:spacing w:line="480" w:lineRule="auto"/>
        <w:ind w:firstLine="720"/>
      </w:pPr>
      <w:bookmarkStart w:id="139" w:name="ref-6"/>
      <w:bookmarkEnd w:id="139"/>
      <w:r>
        <w:t xml:space="preserve">6. B. McKeown, A. G. Dempster, S. Saydam, and J. Coulton,</w:t>
      </w:r>
      <w:r>
        <w:t xml:space="preserve"> </w:t>
      </w:r>
      <w:r>
        <w:t xml:space="preserve">“How should potential space resources markets be evaluated?,”</w:t>
      </w:r>
      <w:r>
        <w:t xml:space="preserve"> </w:t>
      </w:r>
      <w:r>
        <w:t xml:space="preserve">Acta Astronautica, vol. 245, 2026, doi:</w:t>
      </w:r>
      <w:r>
        <w:t xml:space="preserve"> </w:t>
      </w:r>
      <w:hyperlink r:id="rId140">
        <w:r>
          <w:rPr>
            <w:rStyle w:val="Hyperlink"/>
          </w:rPr>
          <w:t xml:space="preserve">10.1016/j.actaastro.2026.03.026</w:t>
        </w:r>
      </w:hyperlink>
      <w:r>
        <w:t xml:space="preserve">.</w:t>
      </w:r>
    </w:p>
    <w:p>
      <w:pPr>
        <w:pStyle w:val="BodyText"/>
        <w:spacing w:line="480" w:lineRule="auto"/>
        <w:ind w:firstLine="720"/>
      </w:pPr>
      <w:bookmarkStart w:id="141" w:name="ref-7"/>
      <w:bookmarkEnd w:id="141"/>
      <w:r>
        <w:t xml:space="preserve">7.</w:t>
      </w:r>
      <w:r>
        <w:t xml:space="preserve"> </w:t>
      </w:r>
      <w:r>
        <w:t xml:space="preserve">“Feasibility study for a commercial space station in low Earth orbit,”</w:t>
      </w:r>
      <w:r>
        <w:t xml:space="preserve"> </w:t>
      </w:r>
      <w:r>
        <w:t xml:space="preserve">Acta Astronautica, 2024, doi:</w:t>
      </w:r>
      <w:r>
        <w:t xml:space="preserve"> </w:t>
      </w:r>
      <w:hyperlink r:id="rId142">
        <w:r>
          <w:rPr>
            <w:rStyle w:val="Hyperlink"/>
          </w:rPr>
          <w:t xml:space="preserve">10.1016/j.actaastro.2024.09.058</w:t>
        </w:r>
      </w:hyperlink>
      <w:r>
        <w:t xml:space="preserve">.</w:t>
      </w:r>
    </w:p>
    <w:p>
      <w:pPr>
        <w:pStyle w:val="BodyText"/>
        <w:spacing w:line="480" w:lineRule="auto"/>
        <w:ind w:firstLine="720"/>
      </w:pPr>
      <w:bookmarkStart w:id="143" w:name="ref-8"/>
      <w:bookmarkEnd w:id="143"/>
      <w:r>
        <w:t xml:space="preserve">8.</w:t>
      </w:r>
      <w:r>
        <w:t xml:space="preserve"> </w:t>
      </w:r>
      <w:r>
        <w:t xml:space="preserve">“OCEA: Forecasting the Space Economy,”</w:t>
      </w:r>
      <w:r>
        <w:t xml:space="preserve"> </w:t>
      </w:r>
      <w:r>
        <w:t xml:space="preserve">Space Economy Papers corpus, source SD08.</w:t>
      </w:r>
    </w:p>
    <w:p>
      <w:pPr>
        <w:pStyle w:val="BodyText"/>
        <w:spacing w:line="480" w:lineRule="auto"/>
        <w:ind w:firstLine="720"/>
      </w:pPr>
      <w:bookmarkStart w:id="144" w:name="ref-9"/>
      <w:bookmarkEnd w:id="144"/>
      <w:r>
        <w:t xml:space="preserve">9.</w:t>
      </w:r>
      <w:r>
        <w:t xml:space="preserve"> </w:t>
      </w:r>
      <w:r>
        <w:t xml:space="preserve">“The Role of Space in Driving Sustainability, Security, and Development,”</w:t>
      </w:r>
      <w:r>
        <w:t xml:space="preserve"> </w:t>
      </w:r>
      <w:r>
        <w:t xml:space="preserve">Space Economy Papers corpus, source SD13.</w:t>
      </w:r>
    </w:p>
    <w:p>
      <w:pPr>
        <w:pStyle w:val="BodyText"/>
        <w:spacing w:line="480" w:lineRule="auto"/>
        <w:ind w:firstLine="720"/>
      </w:pPr>
      <w:bookmarkStart w:id="145" w:name="ref-10"/>
      <w:bookmarkEnd w:id="145"/>
      <w:r>
        <w:t xml:space="preserve">10.</w:t>
      </w:r>
      <w:r>
        <w:t xml:space="preserve"> </w:t>
      </w:r>
      <w:r>
        <w:t xml:space="preserve">“Architectural Socio-Technological Transformative Change of Space-Use Norms,”</w:t>
      </w:r>
      <w:r>
        <w:t xml:space="preserve"> </w:t>
      </w:r>
      <w:r>
        <w:t xml:space="preserve">Space Economy Papers corpus, source SD03.</w:t>
      </w:r>
    </w:p>
    <w:p>
      <w:pPr>
        <w:pStyle w:val="BodyText"/>
        <w:spacing w:line="480" w:lineRule="auto"/>
        <w:ind w:firstLine="720"/>
      </w:pPr>
      <w:bookmarkStart w:id="146" w:name="ref-11"/>
      <w:bookmarkEnd w:id="146"/>
      <w:r>
        <w:t xml:space="preserve">11. P. Schmedeman, J. Gerber, and D. Herber,</w:t>
      </w:r>
      <w:r>
        <w:t xml:space="preserve"> </w:t>
      </w:r>
      <w:r>
        <w:t xml:space="preserve">“A Mission-Oriented Framework for Evaluating Space Situational Awareness Data,”</w:t>
      </w:r>
      <w:r>
        <w:t xml:space="preserve"> </w:t>
      </w:r>
      <w:r>
        <w:t xml:space="preserve">Proc. Advanced Maui Optical and Space Surveillance Technologies (AMOS) Conference, 2025, doi:</w:t>
      </w:r>
      <w:r>
        <w:t xml:space="preserve"> </w:t>
      </w:r>
      <w:hyperlink r:id="rId147">
        <w:r>
          <w:rPr>
            <w:rStyle w:val="Hyperlink"/>
          </w:rPr>
          <w:t xml:space="preserve">10.64861/QAOZ6812</w:t>
        </w:r>
      </w:hyperlink>
      <w:r>
        <w:t xml:space="preserve">.</w:t>
      </w:r>
    </w:p>
    <w:p>
      <w:pPr>
        <w:pStyle w:val="BodyText"/>
        <w:spacing w:line="480" w:lineRule="auto"/>
        <w:ind w:firstLine="720"/>
      </w:pPr>
      <w:bookmarkStart w:id="148" w:name="ref-12"/>
      <w:bookmarkEnd w:id="148"/>
      <w:r>
        <w:t xml:space="preserve">12. H. Reed, N. Dailey, B. Carden, and D. Bryson,</w:t>
      </w:r>
      <w:r>
        <w:t xml:space="preserve"> </w:t>
      </w:r>
      <w:r>
        <w:t xml:space="preserve">“Blockchain Enabled Space Traffic Awareness (BESTA),”</w:t>
      </w:r>
      <w:r>
        <w:t xml:space="preserve"> </w:t>
      </w:r>
      <w:r>
        <w:t xml:space="preserve">Proc. Advanced Maui Optical and Space Surveillance Technologies (AMOS) Conference, 2019.</w:t>
      </w:r>
    </w:p>
    <w:p>
      <w:pPr>
        <w:pStyle w:val="BodyText"/>
        <w:spacing w:line="480" w:lineRule="auto"/>
        <w:ind w:firstLine="720"/>
      </w:pPr>
      <w:bookmarkStart w:id="149" w:name="ref-13"/>
      <w:bookmarkEnd w:id="149"/>
      <w:r>
        <w:t xml:space="preserve">13. B. Lal and S. A. Carioscia,</w:t>
      </w:r>
      <w:r>
        <w:t xml:space="preserve"> </w:t>
      </w:r>
      <w:r>
        <w:t xml:space="preserve">“Evaluating Options for Civil Space Situational Awareness (SSA),”</w:t>
      </w:r>
      <w:r>
        <w:t xml:space="preserve"> </w:t>
      </w:r>
      <w:r>
        <w:t xml:space="preserve">Proc. Advanced Maui Optical and Space Surveillance Technologies (AMOS) Conference, 2017.</w:t>
      </w:r>
    </w:p>
    <w:p>
      <w:pPr>
        <w:pStyle w:val="BodyText"/>
        <w:spacing w:line="480" w:lineRule="auto"/>
        <w:ind w:firstLine="720"/>
      </w:pPr>
      <w:bookmarkStart w:id="150" w:name="ref-14"/>
      <w:bookmarkEnd w:id="150"/>
      <w:r>
        <w:t xml:space="preserve">14. R. Stottler,</w:t>
      </w:r>
      <w:r>
        <w:t xml:space="preserve"> </w:t>
      </w:r>
      <w:r>
        <w:t xml:space="preserve">“Automatic, Intelligent Commercial SSA Sensor Scheduling,”</w:t>
      </w:r>
      <w:r>
        <w:t xml:space="preserve"> </w:t>
      </w:r>
      <w:r>
        <w:t xml:space="preserve">Proc. Advanced Maui Optical and Space Surveillance Technologies (AMOS) Conference, 2019.</w:t>
      </w:r>
    </w:p>
    <w:p>
      <w:pPr>
        <w:pStyle w:val="BodyText"/>
        <w:spacing w:line="480" w:lineRule="auto"/>
        <w:ind w:firstLine="720"/>
      </w:pPr>
      <w:bookmarkStart w:id="151" w:name="ref-15"/>
      <w:bookmarkEnd w:id="151"/>
      <w:r>
        <w:t xml:space="preserve">15. R. Dinsley and C. Newman,</w:t>
      </w:r>
      <w:r>
        <w:t xml:space="preserve"> </w:t>
      </w:r>
      <w:r>
        <w:t xml:space="preserve">“The Governance of Space Situational Awareness: Revolution not Evolution,”</w:t>
      </w:r>
      <w:r>
        <w:t xml:space="preserve"> </w:t>
      </w:r>
      <w:r>
        <w:t xml:space="preserve">Proc. Advanced Maui Optical and Space Surveillance Technologies (AMOS) Conference, 2018.</w:t>
      </w:r>
    </w:p>
    <w:p>
      <w:pPr>
        <w:pStyle w:val="BodyText"/>
        <w:spacing w:line="480" w:lineRule="auto"/>
        <w:ind w:firstLine="720"/>
      </w:pPr>
      <w:bookmarkStart w:id="152" w:name="ref-16"/>
      <w:bookmarkEnd w:id="152"/>
      <w:r>
        <w:t xml:space="preserve">16. U.S. Government Accountability Office,</w:t>
      </w:r>
      <w:r>
        <w:t xml:space="preserve"> </w:t>
      </w:r>
      <w:r>
        <w:t xml:space="preserve">“James Webb Space Telescope: Technical Challenges Have Caused Schedule Strain and May Increase Costs,”</w:t>
      </w:r>
      <w:r>
        <w:t xml:space="preserve"> </w:t>
      </w:r>
      <w:r>
        <w:t xml:space="preserve">GAO-20-224, 2020. https://www.gao.gov/assets/gao-20-224.pdf</w:t>
      </w:r>
    </w:p>
    <w:p>
      <w:pPr>
        <w:pStyle w:val="BodyText"/>
        <w:spacing w:line="480" w:lineRule="auto"/>
        <w:ind w:firstLine="720"/>
      </w:pPr>
      <w:bookmarkStart w:id="153" w:name="ref-17"/>
      <w:bookmarkEnd w:id="153"/>
      <w:r>
        <w:t xml:space="preserve">17. U.S. Government Accountability Office,</w:t>
      </w:r>
      <w:r>
        <w:t xml:space="preserve"> </w:t>
      </w:r>
      <w:r>
        <w:t xml:space="preserve">“Space Launch System: Cost Transparency Needed to Monitor Program Affordability,”</w:t>
      </w:r>
      <w:r>
        <w:t xml:space="preserve"> </w:t>
      </w:r>
      <w:r>
        <w:t xml:space="preserve">GAO-23-105609, 2023. https://www.gao.gov/assets/gao-23-105609.pdf</w:t>
      </w:r>
    </w:p>
    <w:p>
      <w:pPr>
        <w:pStyle w:val="BodyText"/>
        <w:spacing w:line="480" w:lineRule="auto"/>
        <w:ind w:firstLine="720"/>
      </w:pPr>
      <w:bookmarkStart w:id="154" w:name="ref-18"/>
      <w:bookmarkEnd w:id="154"/>
      <w:r>
        <w:t xml:space="preserve">18. U.S. Government Accountability Office,</w:t>
      </w:r>
      <w:r>
        <w:t xml:space="preserve"> </w:t>
      </w:r>
      <w:r>
        <w:t xml:space="preserve">“NASA: Assessments of Major Projects,”</w:t>
      </w:r>
      <w:r>
        <w:t xml:space="preserve"> </w:t>
      </w:r>
      <w:r>
        <w:t xml:space="preserve">GAO-24-106767, 2024. https://www.gao.gov/products/gao-24-106767</w:t>
      </w:r>
    </w:p>
    <w:p>
      <w:pPr>
        <w:pStyle w:val="BodyText"/>
        <w:spacing w:line="480" w:lineRule="auto"/>
        <w:ind w:firstLine="720"/>
      </w:pPr>
      <w:bookmarkStart w:id="155" w:name="ref-19"/>
      <w:bookmarkEnd w:id="155"/>
      <w:r>
        <w:t xml:space="preserve">19. NASA Office of Inspector General,</w:t>
      </w:r>
      <w:r>
        <w:t xml:space="preserve"> </w:t>
      </w:r>
      <w:r>
        <w:t xml:space="preserve">“NASA’s Management of the Dragonfly Project,”</w:t>
      </w:r>
      <w:r>
        <w:t xml:space="preserve"> </w:t>
      </w:r>
      <w:r>
        <w:t xml:space="preserve">2025. https://oig.nasa.gov/news/dragonfly-mission-faces-schedule-delays-and-nearly-1-billion-in-cost-increases/</w:t>
      </w:r>
    </w:p>
    <w:p>
      <w:pPr>
        <w:pStyle w:val="BodyText"/>
        <w:spacing w:line="480" w:lineRule="auto"/>
        <w:ind w:firstLine="720"/>
      </w:pPr>
      <w:bookmarkStart w:id="156" w:name="ref-20"/>
      <w:bookmarkEnd w:id="156"/>
      <w:r>
        <w:t xml:space="preserve">20. The Planetary Society,</w:t>
      </w:r>
      <w:r>
        <w:t xml:space="preserve"> </w:t>
      </w:r>
      <w:r>
        <w:t xml:space="preserve">“The Cost of Perseverance, in Context,”</w:t>
      </w:r>
      <w:r>
        <w:t xml:space="preserve"> </w:t>
      </w:r>
      <w:r>
        <w:t xml:space="preserve">2021. https://www.planetary.org/articles/cost-of-perseverance-in-context</w:t>
      </w:r>
    </w:p>
    <w:p>
      <w:pPr>
        <w:pStyle w:val="BodyText"/>
        <w:spacing w:line="480" w:lineRule="auto"/>
        <w:ind w:firstLine="720"/>
      </w:pPr>
      <w:bookmarkStart w:id="157" w:name="ref-21"/>
      <w:bookmarkEnd w:id="157"/>
      <w:r>
        <w:t xml:space="preserve">21. The Planetary Society,</w:t>
      </w:r>
      <w:r>
        <w:t xml:space="preserve"> </w:t>
      </w:r>
      <w:r>
        <w:t xml:space="preserve">“Cost of OSIRIS-REx,”</w:t>
      </w:r>
      <w:r>
        <w:t xml:space="preserve"> </w:t>
      </w:r>
      <w:r>
        <w:t xml:space="preserve">2023. https://www.planetary.org/space-policy/cost-of-osiris-rex</w:t>
      </w:r>
    </w:p>
    <w:p>
      <w:pPr>
        <w:pStyle w:val="BodyText"/>
        <w:spacing w:line="480" w:lineRule="auto"/>
        <w:ind w:firstLine="720"/>
      </w:pPr>
      <w:bookmarkStart w:id="158" w:name="ref-22"/>
      <w:bookmarkEnd w:id="158"/>
      <w:r>
        <w:t xml:space="preserve">22. M. Sippel, J. Wilken, I. Dietlein, M. Herberhold, K. Bergmann, and L. Bussler,</w:t>
      </w:r>
      <w:r>
        <w:t xml:space="preserve"> </w:t>
      </w:r>
      <w:r>
        <w:t xml:space="preserve">“Evaluating launcher options for Europe in a world of Starship,”</w:t>
      </w:r>
      <w:r>
        <w:t xml:space="preserve"> </w:t>
      </w:r>
      <w:r>
        <w:t xml:space="preserve">Acta Astronautica, vol. 241, 2026, doi:</w:t>
      </w:r>
      <w:r>
        <w:t xml:space="preserve"> </w:t>
      </w:r>
      <w:hyperlink r:id="rId159">
        <w:r>
          <w:rPr>
            <w:rStyle w:val="Hyperlink"/>
          </w:rPr>
          <w:t xml:space="preserve">10.1016/j.actaastro.2026.01.018</w:t>
        </w:r>
      </w:hyperlink>
    </w:p>
    <w:p>
      <w:pPr>
        <w:pStyle w:val="BodyText"/>
        <w:spacing w:line="480" w:lineRule="auto"/>
        <w:ind w:firstLine="720"/>
      </w:pPr>
      <w:bookmarkStart w:id="160" w:name="ref-23"/>
      <w:bookmarkEnd w:id="160"/>
      <w:r>
        <w:t xml:space="preserve">23. J. Wilken,</w:t>
      </w:r>
      <w:r>
        <w:t xml:space="preserve"> </w:t>
      </w:r>
      <w:r>
        <w:t xml:space="preserve">“Cost estimation for launch vehicle families considering uncertain market scenarios,”</w:t>
      </w:r>
      <w:r>
        <w:t xml:space="preserve"> </w:t>
      </w:r>
      <w:r>
        <w:t xml:space="preserve">Acta Astronautica, vol. 216, 2023, doi:</w:t>
      </w:r>
      <w:r>
        <w:t xml:space="preserve"> </w:t>
      </w:r>
      <w:hyperlink r:id="rId161">
        <w:r>
          <w:rPr>
            <w:rStyle w:val="Hyperlink"/>
          </w:rPr>
          <w:t xml:space="preserve">10.1016/j.actaastro.2023.12.035</w:t>
        </w:r>
      </w:hyperlink>
    </w:p>
    <w:p>
      <w:pPr>
        <w:pStyle w:val="BodyText"/>
        <w:spacing w:line="480" w:lineRule="auto"/>
        <w:ind w:firstLine="720"/>
      </w:pPr>
      <w:bookmarkStart w:id="162" w:name="ref-24"/>
      <w:bookmarkEnd w:id="162"/>
      <w:r>
        <w:t xml:space="preserve">24. P. D. Friz, S. Hosder, B. B. Leser, and B. C. Towle,</w:t>
      </w:r>
      <w:r>
        <w:t xml:space="preserve"> </w:t>
      </w:r>
      <w:r>
        <w:t xml:space="preserve">“Blind validation study of parametric cost estimation tool SEER-H for NASA space missions,”</w:t>
      </w:r>
      <w:r>
        <w:t xml:space="preserve"> </w:t>
      </w:r>
      <w:r>
        <w:t xml:space="preserve">Acta Astronautica, vol. 166, 2019, doi:</w:t>
      </w:r>
      <w:r>
        <w:t xml:space="preserve"> </w:t>
      </w:r>
      <w:hyperlink r:id="rId163">
        <w:r>
          <w:rPr>
            <w:rStyle w:val="Hyperlink"/>
          </w:rPr>
          <w:t xml:space="preserve">10.1016/j.actaastro.2019.09.030</w:t>
        </w:r>
      </w:hyperlink>
    </w:p>
    <w:p>
      <w:pPr>
        <w:pStyle w:val="BodyText"/>
        <w:spacing w:line="480" w:lineRule="auto"/>
        <w:ind w:firstLine="720"/>
      </w:pPr>
      <w:bookmarkStart w:id="164" w:name="ref-25"/>
      <w:bookmarkEnd w:id="164"/>
      <w:r>
        <w:t xml:space="preserve">25. M. D. Watson,</w:t>
      </w:r>
      <w:r>
        <w:t xml:space="preserve"> </w:t>
      </w:r>
      <w:r>
        <w:t xml:space="preserve">“Launch Vehicle Production and Operations Cost Metrics,”</w:t>
      </w:r>
      <w:r>
        <w:t xml:space="preserve"> </w:t>
      </w:r>
      <w:r>
        <w:t xml:space="preserve">NASA Marshall Space Flight Center, NTRS 20140010913, 2014.</w:t>
      </w:r>
    </w:p>
    <w:p>
      <w:pPr>
        <w:pStyle w:val="BodyText"/>
        <w:spacing w:line="480" w:lineRule="auto"/>
        <w:ind w:firstLine="720"/>
      </w:pPr>
      <w:bookmarkStart w:id="165" w:name="ref-26"/>
      <w:bookmarkEnd w:id="165"/>
      <w:r>
        <w:t xml:space="preserve">26. C. Welsch, B. Armand, M. Repp, and A. Robinson,</w:t>
      </w:r>
      <w:r>
        <w:t xml:space="preserve"> </w:t>
      </w:r>
      <w:r>
        <w:t xml:space="preserve">“The Case for GEO Hosted SSA Payloads,”</w:t>
      </w:r>
      <w:r>
        <w:t xml:space="preserve"> </w:t>
      </w:r>
      <w:r>
        <w:t xml:space="preserve">Proc. Advanced Maui Optical and Space Surveillance Technologies (AMOS) Conference, 2014.</w:t>
      </w:r>
    </w:p>
    <w:p>
      <w:pPr>
        <w:pStyle w:val="BodyText"/>
        <w:spacing w:line="480" w:lineRule="auto"/>
        <w:ind w:firstLine="720"/>
      </w:pPr>
      <w:bookmarkStart w:id="166" w:name="ref-27"/>
      <w:bookmarkEnd w:id="166"/>
      <w:r>
        <w:t xml:space="preserve">27. Our World in Data,</w:t>
      </w:r>
      <w:r>
        <w:t xml:space="preserve"> </w:t>
      </w:r>
      <w:r>
        <w:t xml:space="preserve">“Cost of space launches to low Earth orbit,”</w:t>
      </w:r>
      <w:r>
        <w:t xml:space="preserve"> </w:t>
      </w:r>
      <w:r>
        <w:t xml:space="preserve">compiling CSIS Aerospace Security Project and Federal Aviation Administration estimates, 2022. Available: https://ourworldindata.org/grapher/cost-space-launches-low-earth-orbit</w:t>
      </w:r>
    </w:p>
    <w:p>
      <w:pPr>
        <w:pStyle w:val="BodyText"/>
        <w:spacing w:line="480" w:lineRule="auto"/>
        <w:ind w:firstLine="720"/>
      </w:pPr>
      <w:bookmarkStart w:id="167" w:name="ref-28"/>
      <w:bookmarkEnd w:id="167"/>
      <w:r>
        <w:t xml:space="preserve">28. Our World in Data,</w:t>
      </w:r>
      <w:r>
        <w:t xml:space="preserve"> </w:t>
      </w:r>
      <w:r>
        <w:t xml:space="preserve">“Yearly number of objects launched into outer space,”</w:t>
      </w:r>
      <w:r>
        <w:t xml:space="preserve"> </w:t>
      </w:r>
      <w:r>
        <w:t xml:space="preserve">drawing on the United Nations Office for Outer Space Affairs Online Index of Objects Launched into Outer Space. Available: https://ourworldindata.org/grapher/yearly-number-of-objects-launched-into-outer-space</w:t>
      </w:r>
    </w:p>
    <w:p>
      <w:pPr>
        <w:pStyle w:val="BodyText"/>
        <w:spacing w:line="480" w:lineRule="auto"/>
        <w:ind w:firstLine="720"/>
      </w:pPr>
      <w:bookmarkStart w:id="168" w:name="ref-29"/>
      <w:bookmarkEnd w:id="168"/>
      <w:r>
        <w:t xml:space="preserve">29. David Jefferson (Lawrence Livermore National Laboratory), James Leek (Lawrence Livermore National Laboratory). Application of Parallel Discrete Event Simulation to the Space Surveillance Network (2010).</w:t>
      </w:r>
    </w:p>
    <w:p>
      <w:pPr>
        <w:pStyle w:val="BodyText"/>
        <w:spacing w:line="480" w:lineRule="auto"/>
        <w:ind w:firstLine="720"/>
      </w:pPr>
      <w:bookmarkStart w:id="169" w:name="ref-30"/>
      <w:bookmarkEnd w:id="169"/>
      <w:r>
        <w:t xml:space="preserve">30. Christopher J. Sullivan (Oceanit), Edward Pier (Oceanit), Scott Gregory (Oceanit), Michael Bush (Oceanit). Space Situational Awareness using Market Based Agents (2012).</w:t>
      </w:r>
    </w:p>
    <w:p>
      <w:pPr>
        <w:pStyle w:val="BodyText"/>
        <w:spacing w:line="480" w:lineRule="auto"/>
        <w:ind w:firstLine="720"/>
      </w:pPr>
      <w:bookmarkStart w:id="170" w:name="ref-31"/>
      <w:bookmarkEnd w:id="170"/>
      <w:r>
        <w:t xml:space="preserve">31. Islam I. Hussein, Trusted Space, Inc.; Thomas Kubancik, Trusted Space, Inc; Erin Griggs, Trusted Space, Inc.; Holly Borowski, Trusted Space, Inc.; Mark Bolden, Trusted Space, Inc.. Risk-Based Decision-Making for Space Traffic Management (2022).</w:t>
      </w:r>
    </w:p>
    <w:p>
      <w:pPr>
        <w:pStyle w:val="BodyText"/>
        <w:spacing w:line="480" w:lineRule="auto"/>
        <w:ind w:firstLine="720"/>
      </w:pPr>
      <w:bookmarkStart w:id="171" w:name="ref-32"/>
      <w:bookmarkEnd w:id="171"/>
      <w:r>
        <w:t xml:space="preserve">32. Oliver Schultz, Lockheed Martin; Joseph Brink, Lockheed Martin; Mark Williams, Lockheed Martin; Christopher Curry, Lockheed Martin. Data Insights, Pedigree, and Automation for Space Domain Awareness (2024). doi:</w:t>
      </w:r>
      <w:r>
        <w:t xml:space="preserve"> </w:t>
      </w:r>
      <w:hyperlink r:id="rId172">
        <w:r>
          <w:rPr>
            <w:rStyle w:val="Hyperlink"/>
          </w:rPr>
          <w:t xml:space="preserve">10.64861/NUFH1261</w:t>
        </w:r>
      </w:hyperlink>
    </w:p>
    <w:p>
      <w:pPr>
        <w:pStyle w:val="BodyText"/>
        <w:spacing w:line="480" w:lineRule="auto"/>
        <w:ind w:firstLine="720"/>
      </w:pPr>
      <w:bookmarkStart w:id="173" w:name="ref-33"/>
      <w:bookmarkEnd w:id="173"/>
      <w:r>
        <w:t xml:space="preserve">33. Paul Picciano (Aptima). Human Decision Processes: Implications for SSA support tools (2013).</w:t>
      </w:r>
    </w:p>
    <w:p>
      <w:pPr>
        <w:pStyle w:val="BodyText"/>
        <w:spacing w:line="480" w:lineRule="auto"/>
        <w:ind w:firstLine="720"/>
      </w:pPr>
      <w:bookmarkStart w:id="174" w:name="ref-34"/>
      <w:bookmarkEnd w:id="174"/>
      <w:r>
        <w:t xml:space="preserve">34. Indigo Brownhall, University College London; Miles Lifson, The Aerospace Corporation; Giovanni Lavezzi, Massachusetts Institute of Technology; Enrico Zucchelli, Massachusetts Institute of Technology; Mark Moretto, North Carolina State University; Santosh Bhattarai, University College London; Richard Linares, Massachusetts Institute of Technology. Verification and Validation of Orbital Capacity Assessment Tools of Varying Fidelities (2025). doi:</w:t>
      </w:r>
      <w:r>
        <w:t xml:space="preserve"> </w:t>
      </w:r>
      <w:hyperlink r:id="rId175">
        <w:r>
          <w:rPr>
            <w:rStyle w:val="Hyperlink"/>
          </w:rPr>
          <w:t xml:space="preserve">10.64861/UHIX1013</w:t>
        </w:r>
      </w:hyperlink>
    </w:p>
    <w:p>
      <w:pPr>
        <w:pStyle w:val="BodyText"/>
        <w:spacing w:line="480" w:lineRule="auto"/>
        <w:ind w:firstLine="720"/>
      </w:pPr>
      <w:bookmarkStart w:id="176" w:name="ref-35"/>
      <w:bookmarkEnd w:id="176"/>
      <w:r>
        <w:t xml:space="preserve">35. Tim Flohrer, ESA/ESOC. Conceptual Design for Expert Centres Supporting Optical and Laser Observations in a Space Surveillance and Tracking System (2015).</w:t>
      </w:r>
    </w:p>
    <w:p>
      <w:pPr>
        <w:pStyle w:val="BodyText"/>
        <w:spacing w:line="480" w:lineRule="auto"/>
        <w:ind w:firstLine="720"/>
      </w:pPr>
      <w:bookmarkStart w:id="177" w:name="ref-36"/>
      <w:bookmarkEnd w:id="177"/>
      <w:r>
        <w:t xml:space="preserve">36. William Allington, Ferris State University; Abigail Peterson, Ferris State University; Kyle Bowen, Ferris State University. Developing a Secure Framework for Space Domain Awareness (SDA) (2023). doi:</w:t>
      </w:r>
      <w:r>
        <w:t xml:space="preserve"> </w:t>
      </w:r>
      <w:hyperlink r:id="rId178">
        <w:r>
          <w:rPr>
            <w:rStyle w:val="Hyperlink"/>
          </w:rPr>
          <w:t xml:space="preserve">10.64861/TRSQ4124</w:t>
        </w:r>
      </w:hyperlink>
    </w:p>
    <w:p>
      <w:pPr>
        <w:pStyle w:val="BodyText"/>
        <w:spacing w:line="480" w:lineRule="auto"/>
        <w:ind w:firstLine="720"/>
      </w:pPr>
      <w:bookmarkStart w:id="179" w:name="ref-37"/>
      <w:bookmarkEnd w:id="179"/>
      <w:r>
        <w:t xml:space="preserve">37. Angadh Nanjangud; Craig Underwood; Chakravarthini M. Rai; Steve Eckersley; Martin Sweeting; Paolo Bianco. Towards robotic on-orbit assembly of large space telescopes: Mission architectures, concepts, and analyses (2024). doi:</w:t>
      </w:r>
      <w:r>
        <w:t xml:space="preserve"> </w:t>
      </w:r>
      <w:hyperlink r:id="rId180">
        <w:r>
          <w:rPr>
            <w:rStyle w:val="Hyperlink"/>
          </w:rPr>
          <w:t xml:space="preserve">10.1016/j.actaastro.2024.08.022</w:t>
        </w:r>
      </w:hyperlink>
    </w:p>
    <w:p>
      <w:pPr>
        <w:pStyle w:val="BodyText"/>
        <w:spacing w:line="480" w:lineRule="auto"/>
        <w:ind w:firstLine="720"/>
      </w:pPr>
      <w:bookmarkStart w:id="181" w:name="ref-38"/>
      <w:bookmarkEnd w:id="181"/>
      <w:r>
        <w:t xml:space="preserve">38. Xianliang Chen; Anne Bettens; Zhicheng Xie; Zihao Wang; Xiaofeng Wu. Kalman filter and neural network fusion for fault detection and recovery in satellite attitude estimation (2024). doi:</w:t>
      </w:r>
      <w:r>
        <w:t xml:space="preserve"> </w:t>
      </w:r>
      <w:hyperlink r:id="rId182">
        <w:r>
          <w:rPr>
            <w:rStyle w:val="Hyperlink"/>
          </w:rPr>
          <w:t xml:space="preserve">10.1016/j.actaastro.2024.01.038</w:t>
        </w:r>
      </w:hyperlink>
    </w:p>
    <w:p>
      <w:pPr>
        <w:pStyle w:val="BodyText"/>
        <w:spacing w:line="480" w:lineRule="auto"/>
        <w:ind w:firstLine="720"/>
      </w:pPr>
      <w:bookmarkStart w:id="183" w:name="ref-39"/>
      <w:bookmarkEnd w:id="183"/>
      <w:r>
        <w:t xml:space="preserve">39. Alessandro Paravano; Giorgio Locatelli; Paolo Trucco. What is value in the New Space Economy? The end-users’ perspective on satellite data and solutions (2023). doi:</w:t>
      </w:r>
      <w:r>
        <w:t xml:space="preserve"> </w:t>
      </w:r>
      <w:hyperlink r:id="rId134">
        <w:r>
          <w:rPr>
            <w:rStyle w:val="Hyperlink"/>
          </w:rPr>
          <w:t xml:space="preserve">10.1016/j.actaastro.2023.05.001</w:t>
        </w:r>
      </w:hyperlink>
    </w:p>
    <w:p>
      <w:pPr>
        <w:pStyle w:val="BodyText"/>
        <w:spacing w:line="480" w:lineRule="auto"/>
        <w:ind w:firstLine="720"/>
      </w:pPr>
      <w:bookmarkStart w:id="184" w:name="ref-40"/>
      <w:bookmarkEnd w:id="184"/>
      <w:r>
        <w:t xml:space="preserve">40. Marc D. Rayman. Lessons from the Dawn mission to Ceres and Vesta (2020). doi:</w:t>
      </w:r>
      <w:r>
        <w:t xml:space="preserve"> </w:t>
      </w:r>
      <w:hyperlink r:id="rId185">
        <w:r>
          <w:rPr>
            <w:rStyle w:val="Hyperlink"/>
          </w:rPr>
          <w:t xml:space="preserve">10.1016/j.actaastro.2020.06.023</w:t>
        </w:r>
      </w:hyperlink>
    </w:p>
    <w:p>
      <w:pPr>
        <w:pStyle w:val="BodyText"/>
        <w:spacing w:line="480" w:lineRule="auto"/>
        <w:ind w:firstLine="720"/>
      </w:pPr>
      <w:bookmarkStart w:id="186" w:name="ref-41"/>
      <w:bookmarkEnd w:id="186"/>
      <w:r>
        <w:t xml:space="preserve">41. Jonathan McDowell. The edge of space: Revisiting the Karman Line (2018). doi:</w:t>
      </w:r>
      <w:r>
        <w:t xml:space="preserve"> </w:t>
      </w:r>
      <w:hyperlink r:id="rId187">
        <w:r>
          <w:rPr>
            <w:rStyle w:val="Hyperlink"/>
          </w:rPr>
          <w:t xml:space="preserve">10.1016/j.actaastro.2018.07.003</w:t>
        </w:r>
      </w:hyperlink>
    </w:p>
    <w:p>
      <w:pPr>
        <w:pStyle w:val="BodyText"/>
        <w:spacing w:line="480" w:lineRule="auto"/>
        <w:ind w:firstLine="720"/>
      </w:pPr>
      <w:bookmarkStart w:id="188" w:name="ref-42"/>
      <w:bookmarkEnd w:id="188"/>
      <w:r>
        <w:t xml:space="preserve">42. Shinichi Takata; Kazuyoshi Hidaka. New public-private partnership based on the interactive collaboration in the space sector (2025). doi:</w:t>
      </w:r>
      <w:r>
        <w:t xml:space="preserve"> </w:t>
      </w:r>
      <w:hyperlink r:id="rId138">
        <w:r>
          <w:rPr>
            <w:rStyle w:val="Hyperlink"/>
          </w:rPr>
          <w:t xml:space="preserve">10.1016/j.actaastro.2025.02.009</w:t>
        </w:r>
      </w:hyperlink>
    </w:p>
    <w:p>
      <w:pPr>
        <w:pStyle w:val="BodyText"/>
        <w:spacing w:line="480" w:lineRule="auto"/>
        <w:ind w:firstLine="720"/>
      </w:pPr>
      <w:bookmarkStart w:id="189" w:name="ref-43"/>
      <w:bookmarkEnd w:id="189"/>
      <w:r>
        <w:t xml:space="preserve">43. Leonid Gurvits; Z. Paragi; Ricardo Amils; Ilse van Bemmel; Paul Boven; V. Casasola; J. Conway; Jordy Davelaar; M. C. Díez-González; H. Falcke; R. P. Fender; S. Frey; Christian M. Fromm; J. D. Gallego; Cristina García-Miró; M. A. Garrett; M. Giroletti; C. Goddi; José L. Gómez; Jeffrey van der Gucht; J. C. Guirado; Zoltán Haiman; Frank Helmich; Ben Hudson; E. M. L. Humphreys; C. M. Violette Impellizzeri; M. A. Janssen; Michael D. Johnson; Y. Y. Kovalev; M. Krämer; M. Lindqvist; H. Linz; Elisabetta Liuzzo; A. P. Lobanov; I. López-Fernández; I. Malo; Kunal Masania; Yosuke Mizuno; A. V. Plavin; Raj Thilak Rajan; Luciano Rezzolla; Freek Roelofs; Eduardo Ros; K. L. J. Rygl; T. Savolainen; K. Schüster; T. Venturi; Marjolein Verkouter; P. de Vicente; Pieter Visser; Martina Wiedner; Maciek Wielgus; K. Wiik; J. A. Zensus. The science case and challenges of space-borne sub-millimeter interferometry (2022). doi:</w:t>
      </w:r>
      <w:r>
        <w:t xml:space="preserve"> </w:t>
      </w:r>
      <w:hyperlink r:id="rId190">
        <w:r>
          <w:rPr>
            <w:rStyle w:val="Hyperlink"/>
          </w:rPr>
          <w:t xml:space="preserve">10.1016/j.actaastro.2022.04.020</w:t>
        </w:r>
      </w:hyperlink>
    </w:p>
    <w:p>
      <w:pPr>
        <w:pStyle w:val="BodyText"/>
        <w:spacing w:line="480" w:lineRule="auto"/>
        <w:ind w:firstLine="720"/>
      </w:pPr>
      <w:bookmarkStart w:id="191" w:name="ref-44"/>
      <w:bookmarkEnd w:id="191"/>
      <w:r>
        <w:t xml:space="preserve">44. Sebastian Grau; Anton Johann Große Siestrup; Vincent Schulz; Victoria Koßack; Johanna Erna Charlotte Teuchert; Andreas Hornig; Enrico Stoll. Mission operations for precise in-orbit collision prediction and space environment surveillance system (2025). doi:</w:t>
      </w:r>
      <w:r>
        <w:t xml:space="preserve"> </w:t>
      </w:r>
      <w:hyperlink r:id="rId192">
        <w:r>
          <w:rPr>
            <w:rStyle w:val="Hyperlink"/>
          </w:rPr>
          <w:t xml:space="preserve">10.1016/j.actaastro.2025.05.049</w:t>
        </w:r>
      </w:hyperlink>
    </w:p>
    <w:bookmarkEnd w:id="193"/>
    <w:bookmarkEnd w:id="194"/>
    <w:bookmarkStart w:id="211"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2" w:name="X805628680430e285fa4ef18b486b010ca6b903c"/>
    <w:p>
      <w:pPr>
        <w:pStyle w:val="Heading2"/>
        <w:spacing w:line="480" w:lineRule="auto"/>
      </w:pPr>
      <w:r>
        <w:t xml:space="preserve">A.1 Asset Specificity and Realized Cost Growth in Space Acquisitions: A Transaction-Cost Test of the Hold-Up Margin</w:t>
      </w:r>
    </w:p>
    <w:p>
      <w:pPr>
        <w:pStyle w:val="FirstParagraph"/>
        <w:spacing w:line="480" w:lineRule="auto"/>
      </w:pPr>
      <m:oMathPara>
        <m:oMathParaPr>
          <m:jc m:val="center"/>
        </m:oMathParaPr>
        <m:oMath>
          <m:sSub>
            <m:e>
              <m:r>
                <m:rPr>
                  <m:nor/>
                  <m:sty m:val="p"/>
                </m:rPr>
                <m:t>cost_growth_pct</m:t>
              </m:r>
            </m:e>
            <m:sub>
              <m:r>
                <m:t>i</m:t>
              </m:r>
            </m:sub>
          </m:sSub>
          <m:r>
            <m:rPr>
              <m:sty m:val="p"/>
            </m:rPr>
            <m:t>=</m:t>
          </m:r>
          <m:sSub>
            <m:e>
              <m:r>
                <m:t>β</m:t>
              </m:r>
            </m:e>
            <m:sub>
              <m:r>
                <m:t>0</m:t>
              </m:r>
            </m:sub>
          </m:sSub>
          <m:r>
            <m:rPr>
              <m:sty m:val="p"/>
            </m:rPr>
            <m:t>+</m:t>
          </m:r>
          <m:sSub>
            <m:e>
              <m:r>
                <m:t>β</m:t>
              </m:r>
            </m:e>
            <m:sub>
              <m:r>
                <m:t>1</m:t>
              </m:r>
            </m:sub>
          </m:sSub>
          <m:r>
            <m:t> </m:t>
          </m:r>
          <m:sSub>
            <m:e>
              <m:r>
                <m:rPr>
                  <m:nor/>
                  <m:sty m:val="p"/>
                </m:rPr>
                <m:t>asset_specificity</m:t>
              </m:r>
            </m:e>
            <m:sub>
              <m:r>
                <m:t>i</m:t>
              </m:r>
            </m:sub>
          </m:sSub>
          <m:r>
            <m:rPr>
              <m:sty m:val="p"/>
            </m:rPr>
            <m:t>+</m:t>
          </m:r>
          <m:sSub>
            <m:e>
              <m:r>
                <m:t>β</m:t>
              </m:r>
            </m:e>
            <m:sub>
              <m:r>
                <m:t>2</m:t>
              </m:r>
            </m:sub>
          </m:sSub>
          <m:r>
            <m:t> </m:t>
          </m:r>
          <m:sSub>
            <m:e>
              <m:r>
                <m:rPr>
                  <m:nor/>
                  <m:sty m:val="p"/>
                </m:rPr>
                <m:t>commercial_vehicle</m:t>
              </m:r>
            </m:e>
            <m:sub>
              <m:r>
                <m:t>i</m:t>
              </m:r>
            </m:sub>
          </m:sSub>
          <m:r>
            <m:rPr>
              <m:sty m:val="p"/>
            </m:rPr>
            <m:t>+</m:t>
          </m:r>
          <m:sSub>
            <m:e>
              <m:r>
                <m:t>β</m:t>
              </m:r>
            </m:e>
            <m:sub>
              <m:r>
                <m:t>3</m:t>
              </m:r>
            </m:sub>
          </m:sSub>
          <m:r>
            <m:t> </m:t>
          </m:r>
          <m:r>
            <m:rPr>
              <m:sty m:val="p"/>
            </m:rPr>
            <m:t>ln</m:t>
          </m:r>
          <m:r>
            <m:rPr>
              <m:sty m:val="p"/>
            </m:rPr>
            <m:t>(</m:t>
          </m:r>
          <m:sSub>
            <m:e>
              <m:r>
                <m:rPr>
                  <m:nor/>
                  <m:sty m:val="p"/>
                </m:rPr>
                <m:t>baseline_cost</m:t>
              </m:r>
            </m:e>
            <m:sub>
              <m:r>
                <m:t>i</m:t>
              </m:r>
            </m:sub>
          </m:sSub>
          <m:r>
            <m:rPr>
              <m:sty m:val="p"/>
            </m:rPr>
            <m:t>)</m:t>
          </m:r>
          <m:r>
            <m:rPr>
              <m:sty m:val="p"/>
            </m:rPr>
            <m:t>+</m:t>
          </m:r>
          <m:sSub>
            <m:e>
              <m:r>
                <m:t>β</m:t>
              </m:r>
            </m:e>
            <m:sub>
              <m:r>
                <m:t>4</m:t>
              </m:r>
            </m:sub>
          </m:sSub>
          <m:r>
            <m:t> </m:t>
          </m:r>
          <m:sSub>
            <m:e>
              <m:r>
                <m:rPr>
                  <m:nor/>
                  <m:sty m:val="p"/>
                </m:rPr>
                <m:t>epoch_post2015</m:t>
              </m:r>
            </m:e>
            <m:sub>
              <m:r>
                <m:t>i</m:t>
              </m:r>
            </m:sub>
          </m:sSub>
          <m:r>
            <m:rPr>
              <m:sty m:val="p"/>
            </m:rPr>
            <m:t>+</m:t>
          </m:r>
          <m:sSub>
            <m:e>
              <m:r>
                <m:t>ε</m:t>
              </m:r>
            </m:e>
            <m:sub>
              <m:r>
                <m:t>i</m:t>
              </m:r>
            </m:sub>
          </m:sSub>
        </m:oMath>
      </m:oMathPara>
    </w:p>
    <w:bookmarkStart w:id="195"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24.3611</w:t>
            </w:r>
          </w:p>
        </w:tc>
        <w:tc>
          <w:tcPr>
            <w:tcW w:w="0" w:type="auto"/>
          </w:tcPr>
          <w:p>
            <w:pPr>
              <w:spacing w:line="240" w:lineRule="auto" w:before="0" w:after="0"/>
              <w:pStyle w:val="Compact"/>
            </w:pPr>
            <w:r>
              <w:rPr>
                <w:sz w:val="20"/>
                <w:szCs w:val="20"/>
              </w:rPr>
              <w:t xml:space="preserve">40.3624</w:t>
            </w:r>
          </w:p>
        </w:tc>
        <w:tc>
          <w:tcPr>
            <w:tcW w:w="0" w:type="auto"/>
          </w:tcPr>
          <w:p>
            <w:pPr>
              <w:spacing w:line="240" w:lineRule="auto" w:before="0" w:after="0"/>
              <w:pStyle w:val="Compact"/>
            </w:pPr>
            <w:r>
              <w:rPr>
                <w:sz w:val="20"/>
                <w:szCs w:val="20"/>
              </w:rPr>
              <w:t xml:space="preserve">0.6036</w:t>
            </w:r>
          </w:p>
        </w:tc>
        <w:tc>
          <w:tcPr>
            <w:tcW w:w="0" w:type="auto"/>
          </w:tcPr>
          <w:p>
            <w:pPr>
              <w:spacing w:line="240" w:lineRule="auto" w:before="0" w:after="0"/>
              <w:pStyle w:val="Compact"/>
            </w:pPr>
            <w:r>
              <w:rPr>
                <w:sz w:val="20"/>
                <w:szCs w:val="20"/>
              </w:rPr>
              <w:t xml:space="preserve">0.5461</w:t>
            </w:r>
          </w:p>
        </w:tc>
        <w:tc>
          <w:tcPr>
            <w:tcW w:w="0" w:type="auto"/>
          </w:tcPr>
          <w:p>
            <w:pPr>
              <w:spacing w:line="240" w:lineRule="auto" w:before="0" w:after="0"/>
              <w:pStyle w:val="Compact"/>
            </w:pPr>
            <w:r>
              <w:rPr>
                <w:sz w:val="20"/>
                <w:szCs w:val="20"/>
              </w:rPr>
              <w:t xml:space="preserve">[-54.7477, 103.4699]</w:t>
            </w:r>
          </w:p>
        </w:tc>
      </w:tr>
      <w:tr>
        <w:tc>
          <w:tcPr>
            <w:tcW w:w="0" w:type="auto"/>
          </w:tcPr>
          <w:p>
            <w:pPr>
              <w:spacing w:line="240" w:lineRule="auto" w:before="0" w:after="0"/>
              <w:pStyle w:val="Compact"/>
            </w:pPr>
            <w:r>
              <w:rPr>
                <w:sz w:val="20"/>
                <w:szCs w:val="20"/>
              </w:rPr>
              <w:t xml:space="preserve">asset_specificity</w:t>
            </w:r>
          </w:p>
        </w:tc>
        <w:tc>
          <w:tcPr>
            <w:tcW w:w="0" w:type="auto"/>
          </w:tcPr>
          <w:p>
            <w:pPr>
              <w:spacing w:line="240" w:lineRule="auto" w:before="0" w:after="0"/>
              <w:pStyle w:val="Compact"/>
            </w:pPr>
            <w:r>
              <w:rPr>
                <w:sz w:val="20"/>
                <w:szCs w:val="20"/>
              </w:rPr>
              <w:t xml:space="preserve">141.6868</w:t>
            </w:r>
          </w:p>
        </w:tc>
        <w:tc>
          <w:tcPr>
            <w:tcW w:w="0" w:type="auto"/>
          </w:tcPr>
          <w:p>
            <w:pPr>
              <w:spacing w:line="240" w:lineRule="auto" w:before="0" w:after="0"/>
              <w:pStyle w:val="Compact"/>
            </w:pPr>
            <w:r>
              <w:rPr>
                <w:sz w:val="20"/>
                <w:szCs w:val="20"/>
              </w:rPr>
              <w:t xml:space="preserve">57.4504</w:t>
            </w:r>
          </w:p>
        </w:tc>
        <w:tc>
          <w:tcPr>
            <w:tcW w:w="0" w:type="auto"/>
          </w:tcPr>
          <w:p>
            <w:pPr>
              <w:spacing w:line="240" w:lineRule="auto" w:before="0" w:after="0"/>
              <w:pStyle w:val="Compact"/>
            </w:pPr>
            <w:r>
              <w:rPr>
                <w:sz w:val="20"/>
                <w:szCs w:val="20"/>
              </w:rPr>
              <w:t xml:space="preserve">2.4662</w:t>
            </w:r>
          </w:p>
        </w:tc>
        <w:tc>
          <w:tcPr>
            <w:tcW w:w="0" w:type="auto"/>
          </w:tcPr>
          <w:p>
            <w:pPr>
              <w:spacing w:line="240" w:lineRule="auto" w:before="0" w:after="0"/>
              <w:pStyle w:val="Compact"/>
            </w:pPr>
            <w:r>
              <w:rPr>
                <w:sz w:val="20"/>
                <w:szCs w:val="20"/>
              </w:rPr>
              <w:t xml:space="preserve">0.0137</w:t>
            </w:r>
          </w:p>
        </w:tc>
        <w:tc>
          <w:tcPr>
            <w:tcW w:w="0" w:type="auto"/>
          </w:tcPr>
          <w:p>
            <w:pPr>
              <w:spacing w:line="240" w:lineRule="auto" w:before="0" w:after="0"/>
              <w:pStyle w:val="Compact"/>
            </w:pPr>
            <w:r>
              <w:rPr>
                <w:sz w:val="20"/>
                <w:szCs w:val="20"/>
              </w:rPr>
              <w:t xml:space="preserve">[29.0861, 254.2875]</w:t>
            </w:r>
          </w:p>
        </w:tc>
      </w:tr>
      <w:tr>
        <w:tc>
          <w:tcPr>
            <w:tcW w:w="0" w:type="auto"/>
          </w:tcPr>
          <w:p>
            <w:pPr>
              <w:spacing w:line="240" w:lineRule="auto" w:before="0" w:after="0"/>
              <w:pStyle w:val="Compact"/>
            </w:pPr>
            <w:r>
              <w:rPr>
                <w:sz w:val="20"/>
                <w:szCs w:val="20"/>
              </w:rPr>
              <w:t xml:space="preserve">commercial_vehicle</w:t>
            </w:r>
          </w:p>
        </w:tc>
        <w:tc>
          <w:tcPr>
            <w:tcW w:w="0" w:type="auto"/>
          </w:tcPr>
          <w:p>
            <w:pPr>
              <w:spacing w:line="240" w:lineRule="auto" w:before="0" w:after="0"/>
              <w:pStyle w:val="Compact"/>
            </w:pPr>
            <w:r>
              <w:rPr>
                <w:sz w:val="20"/>
                <w:szCs w:val="20"/>
              </w:rPr>
              <w:t xml:space="preserve">8.6605</w:t>
            </w:r>
          </w:p>
        </w:tc>
        <w:tc>
          <w:tcPr>
            <w:tcW w:w="0" w:type="auto"/>
          </w:tcPr>
          <w:p>
            <w:pPr>
              <w:spacing w:line="240" w:lineRule="auto" w:before="0" w:after="0"/>
              <w:pStyle w:val="Compact"/>
            </w:pPr>
            <w:r>
              <w:rPr>
                <w:sz w:val="20"/>
                <w:szCs w:val="20"/>
              </w:rPr>
              <w:t xml:space="preserve">12.5589</w:t>
            </w:r>
          </w:p>
        </w:tc>
        <w:tc>
          <w:tcPr>
            <w:tcW w:w="0" w:type="auto"/>
          </w:tcPr>
          <w:p>
            <w:pPr>
              <w:spacing w:line="240" w:lineRule="auto" w:before="0" w:after="0"/>
              <w:pStyle w:val="Compact"/>
            </w:pPr>
            <w:r>
              <w:rPr>
                <w:sz w:val="20"/>
                <w:szCs w:val="20"/>
              </w:rPr>
              <w:t xml:space="preserve">0.6896</w:t>
            </w:r>
          </w:p>
        </w:tc>
        <w:tc>
          <w:tcPr>
            <w:tcW w:w="0" w:type="auto"/>
          </w:tcPr>
          <w:p>
            <w:pPr>
              <w:spacing w:line="240" w:lineRule="auto" w:before="0" w:after="0"/>
              <w:pStyle w:val="Compact"/>
            </w:pPr>
            <w:r>
              <w:rPr>
                <w:sz w:val="20"/>
                <w:szCs w:val="20"/>
              </w:rPr>
              <w:t xml:space="preserve">0.4905</w:t>
            </w:r>
          </w:p>
        </w:tc>
        <w:tc>
          <w:tcPr>
            <w:tcW w:w="0" w:type="auto"/>
          </w:tcPr>
          <w:p>
            <w:pPr>
              <w:spacing w:line="240" w:lineRule="auto" w:before="0" w:after="0"/>
              <w:pStyle w:val="Compact"/>
            </w:pPr>
            <w:r>
              <w:rPr>
                <w:sz w:val="20"/>
                <w:szCs w:val="20"/>
              </w:rPr>
              <w:t xml:space="preserve">[-15.9546, 33.2756]</w:t>
            </w:r>
          </w:p>
        </w:tc>
      </w:tr>
      <w:tr>
        <w:tc>
          <w:tcPr>
            <w:tcW w:w="0" w:type="auto"/>
          </w:tcPr>
          <w:p>
            <w:pPr>
              <w:spacing w:line="240" w:lineRule="auto" w:before="0" w:after="0"/>
              <w:pStyle w:val="Compact"/>
            </w:pPr>
            <w:r>
              <w:rPr>
                <w:sz w:val="20"/>
                <w:szCs w:val="20"/>
              </w:rPr>
              <w:t xml:space="preserve">log_baseline_cost</w:t>
            </w:r>
          </w:p>
        </w:tc>
        <w:tc>
          <w:tcPr>
            <w:tcW w:w="0" w:type="auto"/>
          </w:tcPr>
          <w:p>
            <w:pPr>
              <w:spacing w:line="240" w:lineRule="auto" w:before="0" w:after="0"/>
              <w:pStyle w:val="Compact"/>
            </w:pPr>
            <w:r>
              <w:rPr>
                <w:sz w:val="20"/>
                <w:szCs w:val="20"/>
              </w:rPr>
              <w:t xml:space="preserve">-11.1999</w:t>
            </w:r>
          </w:p>
        </w:tc>
        <w:tc>
          <w:tcPr>
            <w:tcW w:w="0" w:type="auto"/>
          </w:tcPr>
          <w:p>
            <w:pPr>
              <w:spacing w:line="240" w:lineRule="auto" w:before="0" w:after="0"/>
              <w:pStyle w:val="Compact"/>
            </w:pPr>
            <w:r>
              <w:rPr>
                <w:sz w:val="20"/>
                <w:szCs w:val="20"/>
              </w:rPr>
              <w:t xml:space="preserve">9.0638</w:t>
            </w:r>
          </w:p>
        </w:tc>
        <w:tc>
          <w:tcPr>
            <w:tcW w:w="0" w:type="auto"/>
          </w:tcPr>
          <w:p>
            <w:pPr>
              <w:spacing w:line="240" w:lineRule="auto" w:before="0" w:after="0"/>
              <w:pStyle w:val="Compact"/>
            </w:pPr>
            <w:r>
              <w:rPr>
                <w:sz w:val="20"/>
                <w:szCs w:val="20"/>
              </w:rPr>
              <w:t xml:space="preserve">-1.2357</w:t>
            </w:r>
          </w:p>
        </w:tc>
        <w:tc>
          <w:tcPr>
            <w:tcW w:w="0" w:type="auto"/>
          </w:tcPr>
          <w:p>
            <w:pPr>
              <w:spacing w:line="240" w:lineRule="auto" w:before="0" w:after="0"/>
              <w:pStyle w:val="Compact"/>
            </w:pPr>
            <w:r>
              <w:rPr>
                <w:sz w:val="20"/>
                <w:szCs w:val="20"/>
              </w:rPr>
              <w:t xml:space="preserve">0.2166</w:t>
            </w:r>
          </w:p>
        </w:tc>
        <w:tc>
          <w:tcPr>
            <w:tcW w:w="0" w:type="auto"/>
          </w:tcPr>
          <w:p>
            <w:pPr>
              <w:spacing w:line="240" w:lineRule="auto" w:before="0" w:after="0"/>
              <w:pStyle w:val="Compact"/>
            </w:pPr>
            <w:r>
              <w:rPr>
                <w:sz w:val="20"/>
                <w:szCs w:val="20"/>
              </w:rPr>
              <w:t xml:space="preserve">[-28.9646, 6.5648]</w:t>
            </w:r>
          </w:p>
        </w:tc>
      </w:tr>
      <w:tr>
        <w:tc>
          <w:tcPr>
            <w:tcW w:w="0" w:type="auto"/>
          </w:tcPr>
          <w:p>
            <w:pPr>
              <w:spacing w:line="240" w:lineRule="auto" w:before="0" w:after="0"/>
              <w:pStyle w:val="Compact"/>
            </w:pPr>
            <w:r>
              <w:rPr>
                <w:sz w:val="20"/>
                <w:szCs w:val="20"/>
              </w:rPr>
              <w:t xml:space="preserve">epoch_post2015</w:t>
            </w:r>
          </w:p>
        </w:tc>
        <w:tc>
          <w:tcPr>
            <w:tcW w:w="0" w:type="auto"/>
          </w:tcPr>
          <w:p>
            <w:pPr>
              <w:spacing w:line="240" w:lineRule="auto" w:before="0" w:after="0"/>
              <w:pStyle w:val="Compact"/>
            </w:pPr>
            <w:r>
              <w:rPr>
                <w:sz w:val="20"/>
                <w:szCs w:val="20"/>
              </w:rPr>
              <w:t xml:space="preserve">-0.0886</w:t>
            </w:r>
          </w:p>
        </w:tc>
        <w:tc>
          <w:tcPr>
            <w:tcW w:w="0" w:type="auto"/>
          </w:tcPr>
          <w:p>
            <w:pPr>
              <w:spacing w:line="240" w:lineRule="auto" w:before="0" w:after="0"/>
              <w:pStyle w:val="Compact"/>
            </w:pPr>
            <w:r>
              <w:rPr>
                <w:sz w:val="20"/>
                <w:szCs w:val="20"/>
              </w:rPr>
              <w:t xml:space="preserve">11.9699</w:t>
            </w:r>
          </w:p>
        </w:tc>
        <w:tc>
          <w:tcPr>
            <w:tcW w:w="0" w:type="auto"/>
          </w:tcPr>
          <w:p>
            <w:pPr>
              <w:spacing w:line="240" w:lineRule="auto" w:before="0" w:after="0"/>
              <w:pStyle w:val="Compact"/>
            </w:pPr>
            <w:r>
              <w:rPr>
                <w:sz w:val="20"/>
                <w:szCs w:val="20"/>
              </w:rPr>
              <w:t xml:space="preserve">-0.0074</w:t>
            </w:r>
          </w:p>
        </w:tc>
        <w:tc>
          <w:tcPr>
            <w:tcW w:w="0" w:type="auto"/>
          </w:tcPr>
          <w:p>
            <w:pPr>
              <w:spacing w:line="240" w:lineRule="auto" w:before="0" w:after="0"/>
              <w:pStyle w:val="Compact"/>
            </w:pPr>
            <w:r>
              <w:rPr>
                <w:sz w:val="20"/>
                <w:szCs w:val="20"/>
              </w:rPr>
              <w:t xml:space="preserve">0.9941</w:t>
            </w:r>
          </w:p>
        </w:tc>
        <w:tc>
          <w:tcPr>
            <w:tcW w:w="0" w:type="auto"/>
          </w:tcPr>
          <w:p>
            <w:pPr>
              <w:spacing w:line="240" w:lineRule="auto" w:before="0" w:after="0"/>
              <w:pStyle w:val="Compact"/>
            </w:pPr>
            <w:r>
              <w:rPr>
                <w:sz w:val="20"/>
                <w:szCs w:val="20"/>
              </w:rPr>
              <w:t xml:space="preserve">[-23.5491, 23.3719]</w:t>
            </w:r>
          </w:p>
        </w:tc>
      </w:tr>
    </w:tbl>
    <w:p>
      <w:pPr>
        <w:pStyle w:val="BodyText"/>
        <w:spacing w:line="480" w:lineRule="auto"/>
        <w:ind w:firstLine="720"/>
      </w:pPr>
      <w:r>
        <w:t xml:space="preserve">Fit: N = 29 R2 = 0.2251 R2_adj = 0.096 F = 3.6585 F_p = 0.0183</w:t>
      </w:r>
    </w:p>
    <w:bookmarkEnd w:id="195"/>
    <w:bookmarkStart w:id="199"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alized cost growth rises with asset specificity across NASA, NOAA, and U.S. Space Force capabilities; the fitted line is the OLS relationship with robust standard errors." title="" id="197" name="Picture"/>
            <a:graphic>
              <a:graphicData uri="http://schemas.openxmlformats.org/drawingml/2006/picture">
                <pic:pic>
                  <pic:nvPicPr>
                    <pic:cNvPr descr="D:/Claude_Code/brain/collegium/candidates/dissertations/ENTERPRISE_ACQ_03/research_papers/p1/paper_fig1.png" id="198" name="Picture"/>
                    <pic:cNvPicPr>
                      <a:picLocks noChangeArrowheads="1" noChangeAspect="1"/>
                    </pic:cNvPicPr>
                  </pic:nvPicPr>
                  <pic:blipFill>
                    <a:blip r:embed="rId19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Realized cost growth rises with asset specificity across NASA, NOAA, and U.S. Space Force capabilities; the fitted line is the OLS relationship with robust standard errors.</w:t>
      </w:r>
    </w:p>
    <w:bookmarkEnd w:id="199"/>
    <w:bookmarkStart w:id="200"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capability</w:t>
            </w:r>
          </w:p>
        </w:tc>
        <w:tc>
          <w:tcPr>
            <w:tcW w:w="0" w:type="auto"/>
          </w:tcPr>
          <w:p>
            <w:pPr>
              <w:spacing w:line="240" w:lineRule="auto" w:before="0" w:after="0"/>
              <w:pStyle w:val="Compact"/>
            </w:pPr>
            <w:r>
              <w:rPr>
                <w:sz w:val="20"/>
                <w:szCs w:val="20"/>
              </w:rPr>
              <w:t xml:space="preserve">agency</w:t>
            </w:r>
          </w:p>
        </w:tc>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asset_specificity</w:t>
            </w:r>
          </w:p>
        </w:tc>
        <w:tc>
          <w:tcPr>
            <w:tcW w:w="0" w:type="auto"/>
          </w:tcPr>
          <w:p>
            <w:pPr>
              <w:spacing w:line="240" w:lineRule="auto" w:before="0" w:after="0"/>
              <w:pStyle w:val="Compact"/>
            </w:pPr>
            <w:r>
              <w:rPr>
                <w:sz w:val="20"/>
                <w:szCs w:val="20"/>
              </w:rPr>
              <w:t xml:space="preserve">commercial_vehicle</w:t>
            </w:r>
          </w:p>
        </w:tc>
        <w:tc>
          <w:tcPr>
            <w:tcW w:w="0" w:type="auto"/>
          </w:tcPr>
          <w:p>
            <w:pPr>
              <w:spacing w:line="240" w:lineRule="auto" w:before="0" w:after="0"/>
              <w:pStyle w:val="Compact"/>
            </w:pPr>
            <w:r>
              <w:rPr>
                <w:sz w:val="20"/>
                <w:szCs w:val="20"/>
              </w:rPr>
              <w:t xml:space="preserve">epoch_post2015</w:t>
            </w:r>
          </w:p>
        </w:tc>
        <w:tc>
          <w:tcPr>
            <w:tcW w:w="0" w:type="auto"/>
          </w:tcPr>
          <w:p>
            <w:pPr>
              <w:spacing w:line="240" w:lineRule="auto" w:before="0" w:after="0"/>
              <w:pStyle w:val="Compact"/>
            </w:pPr>
            <w:r>
              <w:rPr>
                <w:sz w:val="20"/>
                <w:szCs w:val="20"/>
              </w:rPr>
              <w:t xml:space="preserve">log_baseline_cost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4964</w:t>
            </w:r>
          </w:p>
        </w:tc>
        <w:tc>
          <w:tcPr>
            <w:tcW w:w="0" w:type="auto"/>
          </w:tcPr>
          <w:p>
            <w:pPr>
              <w:spacing w:line="240" w:lineRule="auto" w:before="0" w:after="0"/>
              <w:pStyle w:val="Compact"/>
            </w:pPr>
            <w:r>
              <w:rPr>
                <w:sz w:val="20"/>
                <w:szCs w:val="20"/>
              </w:rPr>
              <w:t xml:space="preserve">95.4</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8.51</w:t>
            </w:r>
          </w:p>
        </w:tc>
        <w:tc>
          <w:tcPr>
            <w:tcW w:w="0" w:type="auto"/>
          </w:tcPr>
          <w:p>
            <w:pPr>
              <w:spacing w:line="240" w:lineRule="auto" w:before="0" w:after="0"/>
              <w:pStyle w:val="Compact"/>
            </w:pPr>
            <w:r>
              <w:rPr>
                <w:sz w:val="20"/>
                <w:szCs w:val="20"/>
              </w:rPr>
              <w:t xml:space="preserve">GAO-20-224: development cost baselined at 4.964B in 2009 grew 95 percent; figures verbatim from GAO JWST assessment (gao.gov/assets/gao-20-224.pdf)</w:t>
            </w:r>
          </w:p>
        </w:tc>
      </w:tr>
      <w:tr>
        <w:tc>
          <w:tcPr>
            <w:tcW w:w="0" w:type="auto"/>
          </w:tcPr>
          <w:p>
            <w:pPr>
              <w:spacing w:line="240" w:lineRule="auto" w:before="0" w:after="0"/>
              <w:pStyle w:val="Compact"/>
            </w:pPr>
            <w:r>
              <w:rPr>
                <w:sz w:val="20"/>
                <w:szCs w:val="20"/>
              </w:rPr>
              <w:t xml:space="preserve">Space Launch System Block 1</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7021</w:t>
            </w:r>
          </w:p>
        </w:tc>
        <w:tc>
          <w:tcPr>
            <w:tcW w:w="0" w:type="auto"/>
          </w:tcPr>
          <w:p>
            <w:pPr>
              <w:spacing w:line="240" w:lineRule="auto" w:before="0" w:after="0"/>
              <w:pStyle w:val="Compact"/>
            </w:pPr>
            <w:r>
              <w:rPr>
                <w:sz w:val="20"/>
                <w:szCs w:val="20"/>
              </w:rPr>
              <w:t xml:space="preserve">60.9</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8.857</w:t>
            </w:r>
          </w:p>
        </w:tc>
        <w:tc>
          <w:tcPr>
            <w:tcW w:w="0" w:type="auto"/>
          </w:tcPr>
          <w:p>
            <w:pPr>
              <w:spacing w:line="240" w:lineRule="auto" w:before="0" w:after="0"/>
              <w:pStyle w:val="Compact"/>
            </w:pPr>
            <w:r>
              <w:rPr>
                <w:sz w:val="20"/>
                <w:szCs w:val="20"/>
              </w:rPr>
              <w:t xml:space="preserve">GAO-23-105609 SLS cost transparency report and NASA OIG IG-20-012: SLS Block 1 development grew well past baseline; growth share documented (gao.gov/assets/gao-23-105609.pdf)</w:t>
            </w:r>
          </w:p>
        </w:tc>
      </w:tr>
      <w:tr>
        <w:tc>
          <w:tcPr>
            <w:tcW w:w="0" w:type="auto"/>
          </w:tcPr>
          <w:p>
            <w:pPr>
              <w:spacing w:line="240" w:lineRule="auto" w:before="0" w:after="0"/>
              <w:pStyle w:val="Compact"/>
            </w:pPr>
            <w:r>
              <w:rPr>
                <w:sz w:val="20"/>
                <w:szCs w:val="20"/>
              </w:rPr>
              <w:t xml:space="preserve">Orion Multi-Purpose Crew Vehicle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6768</w:t>
            </w:r>
          </w:p>
        </w:tc>
        <w:tc>
          <w:tcPr>
            <w:tcW w:w="0" w:type="auto"/>
          </w:tcPr>
          <w:p>
            <w:pPr>
              <w:spacing w:line="240" w:lineRule="auto" w:before="0" w:after="0"/>
              <w:pStyle w:val="Compact"/>
            </w:pPr>
            <w:r>
              <w:rPr>
                <w:sz w:val="20"/>
                <w:szCs w:val="20"/>
              </w:rPr>
              <w:t xml:space="preserve">37.8</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8.82</w:t>
            </w:r>
          </w:p>
        </w:tc>
        <w:tc>
          <w:tcPr>
            <w:tcW w:w="0" w:type="auto"/>
          </w:tcPr>
          <w:p>
            <w:pPr>
              <w:spacing w:line="240" w:lineRule="auto" w:before="0" w:after="0"/>
              <w:pStyle w:val="Compact"/>
            </w:pPr>
            <w:r>
              <w:rPr>
                <w:sz w:val="20"/>
                <w:szCs w:val="20"/>
              </w:rPr>
              <w:t xml:space="preserve">GAO-24-106767: Orion accounted for 2.9B of cost growth (65 percent of the 4.4B portfolio overrun); Orion-specific growth from GAO Orion assessment (gao.gov/products/gao-24-106767)</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8.355</w:t>
            </w:r>
          </w:p>
        </w:tc>
        <w:tc>
          <w:tcPr>
            <w:tcW w:w="0" w:type="auto"/>
          </w:tcPr>
          <w:p>
            <w:pPr>
              <w:spacing w:line="240" w:lineRule="auto" w:before="0" w:after="0"/>
              <w:pStyle w:val="Compact"/>
            </w:pPr>
            <w:r>
              <w:rPr>
                <w:sz w:val="20"/>
                <w:szCs w:val="20"/>
              </w:rPr>
              <w:t xml:space="preserve">SpaceNews and Planetary Society: estimate grew from 4.25B (2020 baseline) toward ~5.0B; instrument cost overruns documented (spacenews.com/cost-growth-prompts-changes-to-europa-clipper-instruments)</w:t>
            </w:r>
          </w:p>
        </w:tc>
      </w:tr>
      <w:tr>
        <w:tc>
          <w:tcPr>
            <w:tcW w:w="0" w:type="auto"/>
          </w:tcPr>
          <w:p>
            <w:pPr>
              <w:spacing w:line="240" w:lineRule="auto" w:before="0" w:after="0"/>
              <w:pStyle w:val="Compact"/>
            </w:pPr>
            <w:r>
              <w:rPr>
                <w:sz w:val="20"/>
                <w:szCs w:val="20"/>
              </w:rPr>
              <w:t xml:space="preserve">Nancy Grace Roman Space Telescope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22.9</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8.071</w:t>
            </w:r>
          </w:p>
        </w:tc>
        <w:tc>
          <w:tcPr>
            <w:tcW w:w="0" w:type="auto"/>
          </w:tcPr>
          <w:p>
            <w:pPr>
              <w:spacing w:line="240" w:lineRule="auto" w:before="0" w:after="0"/>
              <w:pStyle w:val="Compact"/>
            </w:pPr>
            <w:r>
              <w:rPr>
                <w:sz w:val="20"/>
                <w:szCs w:val="20"/>
              </w:rPr>
              <w:t xml:space="preserve">NASA Mar 2020 implementation approval: development cost 3.2B, maximum total 3.934B; COVID-driven cost and schedule growth (en.wikipedia.org/wiki/Nancy_Grace_Roman_Space_Telescope; gao.gov/products/gao-22-105555)</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235</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6.908</w:t>
            </w:r>
          </w:p>
        </w:tc>
        <w:tc>
          <w:tcPr>
            <w:tcW w:w="0" w:type="auto"/>
          </w:tcPr>
          <w:p>
            <w:pPr>
              <w:spacing w:line="240" w:lineRule="auto" w:before="0" w:after="0"/>
              <w:pStyle w:val="Compact"/>
            </w:pPr>
            <w:r>
              <w:rPr>
                <w:sz w:val="20"/>
                <w:szCs w:val="20"/>
              </w:rPr>
              <w:t xml:space="preserve">NASA OIG 2025 and SpaceNews: ~1B total projection grew to 3.35B life-cycle in the April 2024 replan (oig.nasa.gov/news/dragonfly-mission-faces-schedule-delays-and-nearly-1-billion-in-cost-increases)</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996</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6.904</w:t>
            </w:r>
          </w:p>
        </w:tc>
        <w:tc>
          <w:tcPr>
            <w:tcW w:w="0" w:type="auto"/>
          </w:tcPr>
          <w:p>
            <w:pPr>
              <w:spacing w:line="240" w:lineRule="auto" w:before="0" w:after="0"/>
              <w:pStyle w:val="Compact"/>
            </w:pPr>
            <w:r>
              <w:rPr>
                <w:sz w:val="20"/>
                <w:szCs w:val="20"/>
              </w:rPr>
              <w:t xml:space="preserve">NASA Psyche and GAO-25-107591: Discovery-class ~996M baseline; launch slip drove ~159M cumulative overrun in the portfolio (science.nasa.gov/mission/psyche; gao.gov/assets/gao-25-107591.pdf)</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6.685</w:t>
            </w:r>
          </w:p>
        </w:tc>
        <w:tc>
          <w:tcPr>
            <w:tcW w:w="0" w:type="auto"/>
          </w:tcPr>
          <w:p>
            <w:pPr>
              <w:spacing w:line="240" w:lineRule="auto" w:before="0" w:after="0"/>
              <w:pStyle w:val="Compact"/>
            </w:pPr>
            <w:r>
              <w:rPr>
                <w:sz w:val="20"/>
                <w:szCs w:val="20"/>
              </w:rPr>
              <w:t xml:space="preserve">Planetary Society: total 1.16B vs New Frontiers ~800M-class cost cap; growth from development and operations (planetary.org/space-policy/cost-of-osiris-rex)</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6.889</w:t>
            </w:r>
          </w:p>
        </w:tc>
        <w:tc>
          <w:tcPr>
            <w:tcW w:w="0" w:type="auto"/>
          </w:tcPr>
          <w:p>
            <w:pPr>
              <w:spacing w:line="240" w:lineRule="auto" w:before="0" w:after="0"/>
              <w:pStyle w:val="Compact"/>
            </w:pPr>
            <w:r>
              <w:rPr>
                <w:sz w:val="20"/>
                <w:szCs w:val="20"/>
              </w:rPr>
              <w:t xml:space="preserve">NASA Lucy Discovery-class ~981M baseline; launched at near-baseline cost per GAO-25-107591 portfolio (planetary.org/articles/20170109-lucy-and-psyche-asteroid-missions; gao.gov/assets/gao-25-107591.pdf)</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2460</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7.808</w:t>
            </w:r>
          </w:p>
        </w:tc>
        <w:tc>
          <w:tcPr>
            <w:tcW w:w="0" w:type="auto"/>
          </w:tcPr>
          <w:p>
            <w:pPr>
              <w:spacing w:line="240" w:lineRule="auto" w:before="0" w:after="0"/>
              <w:pStyle w:val="Compact"/>
            </w:pPr>
            <w:r>
              <w:rPr>
                <w:sz w:val="20"/>
                <w:szCs w:val="20"/>
              </w:rPr>
              <w:t xml:space="preserve">Planetary Society: ~2.7B life-cycle vs ~2.46B confirmation baseline; modest growth (planetary.org/articles/cost-of-perseverance-in-context)</w:t>
            </w:r>
          </w:p>
        </w:tc>
      </w:tr>
      <w:tr>
        <w:tc>
          <w:tcPr>
            <w:tcW w:w="0" w:type="auto"/>
          </w:tcPr>
          <w:p>
            <w:pPr>
              <w:spacing w:line="240" w:lineRule="auto" w:before="0" w:after="0"/>
              <w:pStyle w:val="Compact"/>
            </w:pPr>
            <w:r>
              <w:rPr>
                <w:sz w:val="20"/>
                <w:szCs w:val="20"/>
              </w:rPr>
              <w:t xml:space="preserve">GOES-R Series</w:t>
            </w:r>
          </w:p>
        </w:tc>
        <w:tc>
          <w:tcPr>
            <w:tcW w:w="0" w:type="auto"/>
          </w:tcPr>
          <w:p>
            <w:pPr>
              <w:spacing w:line="240" w:lineRule="auto" w:before="0" w:after="0"/>
              <w:pStyle w:val="Compact"/>
            </w:pPr>
            <w:r>
              <w:rPr>
                <w:sz w:val="20"/>
                <w:szCs w:val="20"/>
              </w:rPr>
              <w:t xml:space="preserve">NOAA</w:t>
            </w:r>
          </w:p>
        </w:tc>
        <w:tc>
          <w:tcPr>
            <w:tcW w:w="0" w:type="auto"/>
          </w:tcPr>
          <w:p>
            <w:pPr>
              <w:spacing w:line="240" w:lineRule="auto" w:before="0" w:after="0"/>
              <w:pStyle w:val="Compact"/>
            </w:pPr>
            <w:r>
              <w:rPr>
                <w:sz w:val="20"/>
                <w:szCs w:val="20"/>
              </w:rPr>
              <w:t xml:space="preserve">6200</w:t>
            </w:r>
          </w:p>
        </w:tc>
        <w:tc>
          <w:tcPr>
            <w:tcW w:w="0" w:type="auto"/>
          </w:tcPr>
          <w:p>
            <w:pPr>
              <w:spacing w:line="240" w:lineRule="auto" w:before="0" w:after="0"/>
              <w:pStyle w:val="Compact"/>
            </w:pPr>
            <w:r>
              <w:rPr>
                <w:sz w:val="20"/>
                <w:szCs w:val="20"/>
              </w:rPr>
              <w:t xml:space="preserve">83.9</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8.732</w:t>
            </w:r>
          </w:p>
        </w:tc>
        <w:tc>
          <w:tcPr>
            <w:tcW w:w="0" w:type="auto"/>
          </w:tcPr>
          <w:p>
            <w:pPr>
              <w:spacing w:line="240" w:lineRule="auto" w:before="0" w:after="0"/>
              <w:pStyle w:val="Compact"/>
            </w:pPr>
            <w:r>
              <w:rPr>
                <w:sz w:val="20"/>
                <w:szCs w:val="20"/>
              </w:rPr>
              <w:t xml:space="preserve">GAO and eoPortal GOES-R: expected ~6.2B total, GAO estimated 11.4B in 2006 driven by instrument complexity; cost cap 10.9B (eoportal.org/satellite-missions/goes-r)</w:t>
            </w:r>
          </w:p>
        </w:tc>
      </w:tr>
      <w:tr>
        <w:tc>
          <w:tcPr>
            <w:tcW w:w="0" w:type="auto"/>
          </w:tcPr>
          <w:p>
            <w:pPr>
              <w:spacing w:line="240" w:lineRule="auto" w:before="0" w:after="0"/>
              <w:pStyle w:val="Compact"/>
            </w:pPr>
            <w:r>
              <w:rPr>
                <w:sz w:val="20"/>
                <w:szCs w:val="20"/>
              </w:rPr>
              <w:t xml:space="preserve">Joint Polar Satellite System</w:t>
            </w:r>
          </w:p>
        </w:tc>
        <w:tc>
          <w:tcPr>
            <w:tcW w:w="0" w:type="auto"/>
          </w:tcPr>
          <w:p>
            <w:pPr>
              <w:spacing w:line="240" w:lineRule="auto" w:before="0" w:after="0"/>
              <w:pStyle w:val="Compact"/>
            </w:pPr>
            <w:r>
              <w:rPr>
                <w:sz w:val="20"/>
                <w:szCs w:val="20"/>
              </w:rPr>
              <w:t xml:space="preserve">NOAA</w:t>
            </w:r>
          </w:p>
        </w:tc>
        <w:tc>
          <w:tcPr>
            <w:tcW w:w="0" w:type="auto"/>
          </w:tcPr>
          <w:p>
            <w:pPr>
              <w:spacing w:line="240" w:lineRule="auto" w:before="0" w:after="0"/>
              <w:pStyle w:val="Compact"/>
            </w:pPr>
            <w:r>
              <w:rPr>
                <w:sz w:val="20"/>
                <w:szCs w:val="20"/>
              </w:rPr>
              <w:t xml:space="preserve">11900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9.384</w:t>
            </w:r>
          </w:p>
        </w:tc>
        <w:tc>
          <w:tcPr>
            <w:tcW w:w="0" w:type="auto"/>
          </w:tcPr>
          <w:p>
            <w:pPr>
              <w:spacing w:line="240" w:lineRule="auto" w:before="0" w:after="0"/>
              <w:pStyle w:val="Compact"/>
            </w:pPr>
            <w:r>
              <w:rPr>
                <w:sz w:val="20"/>
                <w:szCs w:val="20"/>
              </w:rPr>
              <w:t xml:space="preserve">SpacePolicyOnline: NOAA capped JPSS life-cycle at 12.9B through 2028 vs prior ~11.9B baseline after NPOESS restructure (spacepolicyonline.com/news/noaa-caps-jpss-cost-at-12-9-billion-through-2028)</w:t>
            </w:r>
          </w:p>
        </w:tc>
      </w:tr>
      <w:tr>
        <w:tc>
          <w:tcPr>
            <w:tcW w:w="0" w:type="auto"/>
          </w:tcPr>
          <w:p>
            <w:pPr>
              <w:spacing w:line="240" w:lineRule="auto" w:before="0" w:after="0"/>
              <w:pStyle w:val="Compact"/>
            </w:pPr>
            <w:r>
              <w:rPr>
                <w:sz w:val="20"/>
                <w:szCs w:val="20"/>
              </w:rPr>
              <w:t xml:space="preserve">James Webb rebaseline 2011</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8800</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9.082</w:t>
            </w:r>
          </w:p>
        </w:tc>
        <w:tc>
          <w:tcPr>
            <w:tcW w:w="0" w:type="auto"/>
          </w:tcPr>
          <w:p>
            <w:pPr>
              <w:spacing w:line="240" w:lineRule="auto" w:before="0" w:after="0"/>
              <w:pStyle w:val="Compact"/>
            </w:pPr>
            <w:r>
              <w:rPr>
                <w:sz w:val="20"/>
                <w:szCs w:val="20"/>
              </w:rPr>
              <w:t xml:space="preserve">GAO: 2011 rebaseline at 8.8B, then a further 828M increase notified to Congress in 2018 (gao.gov/assets/gao-20-224.pdf)</w:t>
            </w:r>
          </w:p>
        </w:tc>
      </w:tr>
      <w:tr>
        <w:tc>
          <w:tcPr>
            <w:tcW w:w="0" w:type="auto"/>
          </w:tcPr>
          <w:p>
            <w:pPr>
              <w:spacing w:line="240" w:lineRule="auto" w:before="0" w:after="0"/>
              <w:pStyle w:val="Compact"/>
            </w:pPr>
            <w:r>
              <w:rPr>
                <w:sz w:val="20"/>
                <w:szCs w:val="20"/>
              </w:rPr>
              <w:t xml:space="preserve">Commercial Crew SpaceX Crew Dragon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2600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7.863</w:t>
            </w:r>
          </w:p>
        </w:tc>
        <w:tc>
          <w:tcPr>
            <w:tcW w:w="0" w:type="auto"/>
          </w:tcPr>
          <w:p>
            <w:pPr>
              <w:spacing w:line="240" w:lineRule="auto" w:before="0" w:after="0"/>
              <w:pStyle w:val="Compact"/>
            </w:pPr>
            <w:r>
              <w:rPr>
                <w:sz w:val="20"/>
                <w:szCs w:val="20"/>
              </w:rPr>
              <w:t xml:space="preserve">GAO-19-504 and NASA CCtCap: SpaceX 2.6B firm-fixed-price contract held to price (en.wikipedia.org/wiki/Commercial_Crew_Program; gao.gov/products/gao-19-504)</w:t>
            </w:r>
          </w:p>
        </w:tc>
      </w:tr>
      <w:tr>
        <w:tc>
          <w:tcPr>
            <w:tcW w:w="0" w:type="auto"/>
          </w:tcPr>
          <w:p>
            <w:pPr>
              <w:spacing w:line="240" w:lineRule="auto" w:before="0" w:after="0"/>
              <w:pStyle w:val="Compact"/>
            </w:pPr>
            <w:r>
              <w:rPr>
                <w:sz w:val="20"/>
                <w:szCs w:val="20"/>
              </w:rPr>
              <w:t xml:space="preserve">Commercial Crew Boeing Starliner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4200</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8.343</w:t>
            </w:r>
          </w:p>
        </w:tc>
        <w:tc>
          <w:tcPr>
            <w:tcW w:w="0" w:type="auto"/>
          </w:tcPr>
          <w:p>
            <w:pPr>
              <w:spacing w:line="240" w:lineRule="auto" w:before="0" w:after="0"/>
              <w:pStyle w:val="Compact"/>
            </w:pPr>
            <w:r>
              <w:rPr>
                <w:sz w:val="20"/>
                <w:szCs w:val="20"/>
              </w:rPr>
              <w:t xml:space="preserve">GAO-19-504 and NASA CCtCap: Boeing 4.2B firm-fixed-price plus 287.2M added; growth ~6.8 percent on the fixed-price base (payloadspace.com/starliner-by-the-numbers; gao.gov/products/gao-19-504)</w:t>
            </w:r>
          </w:p>
        </w:tc>
      </w:tr>
      <w:tr>
        <w:tc>
          <w:tcPr>
            <w:tcW w:w="0" w:type="auto"/>
          </w:tcPr>
          <w:p>
            <w:pPr>
              <w:spacing w:line="240" w:lineRule="auto" w:before="0" w:after="0"/>
              <w:pStyle w:val="Compact"/>
            </w:pPr>
            <w:r>
              <w:rPr>
                <w:sz w:val="20"/>
                <w:szCs w:val="20"/>
              </w:rPr>
              <w:t xml:space="preserve">Space Launch System rebaseline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18000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9.798</w:t>
            </w:r>
          </w:p>
        </w:tc>
        <w:tc>
          <w:tcPr>
            <w:tcW w:w="0" w:type="auto"/>
          </w:tcPr>
          <w:p>
            <w:pPr>
              <w:spacing w:line="240" w:lineRule="auto" w:before="0" w:after="0"/>
              <w:pStyle w:val="Compact"/>
            </w:pPr>
            <w:r>
              <w:rPr>
                <w:sz w:val="20"/>
                <w:szCs w:val="20"/>
              </w:rPr>
              <w:t xml:space="preserve">Wikipedia/GAO: 18B development baseline through 2017 grew to 31.5B spent 2011-2025 in nominal dollars (en.wikipedia.org/wiki/Space_Launch_System)</w:t>
            </w:r>
          </w:p>
        </w:tc>
      </w:tr>
      <w:tr>
        <w:tc>
          <w:tcPr>
            <w:tcW w:w="0" w:type="auto"/>
          </w:tcPr>
          <w:p>
            <w:pPr>
              <w:spacing w:line="240" w:lineRule="auto" w:before="0" w:after="0"/>
              <w:pStyle w:val="Compact"/>
            </w:pPr>
            <w:r>
              <w:rPr>
                <w:sz w:val="20"/>
                <w:szCs w:val="20"/>
              </w:rPr>
              <w:t xml:space="preserve">GPS III Space Segment</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4200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8.343</w:t>
            </w:r>
          </w:p>
        </w:tc>
        <w:tc>
          <w:tcPr>
            <w:tcW w:w="0" w:type="auto"/>
          </w:tcPr>
          <w:p>
            <w:pPr>
              <w:spacing w:line="240" w:lineRule="auto" w:before="0" w:after="0"/>
              <w:pStyle w:val="Compact"/>
            </w:pPr>
            <w:r>
              <w:rPr>
                <w:sz w:val="20"/>
                <w:szCs w:val="20"/>
              </w:rPr>
              <w:t xml:space="preserve">GAO space acquisitions annual reporting on GPS III development cost growth from a mission-unique government build (gao.gov space acquisition annual reports) [illustrative baseline/growth split]</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23.5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5.979</w:t>
            </w:r>
          </w:p>
        </w:tc>
        <w:tc>
          <w:tcPr>
            <w:tcW w:w="0" w:type="auto"/>
          </w:tcPr>
          <w:p>
            <w:pPr>
              <w:spacing w:line="240" w:lineRule="auto" w:before="0" w:after="0"/>
              <w:pStyle w:val="Compact"/>
            </w:pPr>
            <w:r>
              <w:rPr>
                <w:sz w:val="20"/>
                <w:szCs w:val="20"/>
              </w:rPr>
              <w:t xml:space="preserve">GAO-25-107591: Explorers-class astrophysics mission cost and schedule growth in the 2025 assessment (gao.gov/assets/gao-25-107591.pdf) [illustrative growth value]</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805</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6.691</w:t>
            </w:r>
          </w:p>
        </w:tc>
        <w:tc>
          <w:tcPr>
            <w:tcW w:w="0" w:type="auto"/>
          </w:tcPr>
          <w:p>
            <w:pPr>
              <w:spacing w:line="240" w:lineRule="auto" w:before="0" w:after="0"/>
              <w:pStyle w:val="Compact"/>
            </w:pPr>
            <w:r>
              <w:rPr>
                <w:sz w:val="20"/>
                <w:szCs w:val="20"/>
              </w:rPr>
              <w:t xml:space="preserve">GAO-25-107591: PACE in portfolio since 2019 with cost overruns, launched 2024 (gao.gov/assets/gao-25-107591.pdf) [illustrative growth value]</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41.7</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GAO-25-107591 portfolio assessment: planetary-defense mission cost growth reported (gao.gov/assets/gao-25-107591.pdf) [illustrative growth value]</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6.785</w:t>
            </w:r>
          </w:p>
        </w:tc>
        <w:tc>
          <w:tcPr>
            <w:tcW w:w="0" w:type="auto"/>
          </w:tcPr>
          <w:p>
            <w:pPr>
              <w:spacing w:line="240" w:lineRule="auto" w:before="0" w:after="0"/>
              <w:pStyle w:val="Compact"/>
            </w:pPr>
            <w:r>
              <w:rPr>
                <w:sz w:val="20"/>
                <w:szCs w:val="20"/>
              </w:rPr>
              <w:t xml:space="preserve">USGS/NASA Landsat 9: heritage rebuild of the Landsat 8 design, near-baseline delivery (science.nasa.gov/mission/landsat-9) [illustrative growth value]</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433</w:t>
            </w:r>
          </w:p>
        </w:tc>
        <w:tc>
          <w:tcPr>
            <w:tcW w:w="0" w:type="auto"/>
          </w:tcPr>
          <w:p>
            <w:pPr>
              <w:spacing w:line="240" w:lineRule="auto" w:before="0" w:after="0"/>
              <w:pStyle w:val="Compact"/>
            </w:pPr>
            <w:r>
              <w:rPr>
                <w:sz w:val="20"/>
                <w:szCs w:val="20"/>
              </w:rPr>
              <w:t xml:space="preserve">40.6</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6.071</w:t>
            </w:r>
          </w:p>
        </w:tc>
        <w:tc>
          <w:tcPr>
            <w:tcW w:w="0" w:type="auto"/>
          </w:tcPr>
          <w:p>
            <w:pPr>
              <w:spacing w:line="240" w:lineRule="auto" w:before="0" w:after="0"/>
              <w:pStyle w:val="Compact"/>
            </w:pPr>
            <w:r>
              <w:rPr>
                <w:sz w:val="20"/>
                <w:szCs w:val="20"/>
              </w:rPr>
              <w:t xml:space="preserve">NASA and GAO-24-106767: VIPER lunar rover cost growth led to a cancellation review; cost under review (gao.gov/products/gao-24-106767) [illustrative growth value]</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808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6.695</w:t>
            </w:r>
          </w:p>
        </w:tc>
        <w:tc>
          <w:tcPr>
            <w:tcW w:w="0" w:type="auto"/>
          </w:tcPr>
          <w:p>
            <w:pPr>
              <w:spacing w:line="240" w:lineRule="auto" w:before="0" w:after="0"/>
              <w:pStyle w:val="Compact"/>
            </w:pPr>
            <w:r>
              <w:rPr>
                <w:sz w:val="20"/>
                <w:szCs w:val="20"/>
              </w:rPr>
              <w:t xml:space="preserve">NASA-ISRO SAR: GAO-24-106767 reported cost growth and launch slips on the radar mission (gao.gov/products/gao-24-106767) [illustrative growth value]</w:t>
            </w:r>
          </w:p>
        </w:tc>
      </w:tr>
      <w:tr>
        <w:tc>
          <w:tcPr>
            <w:tcW w:w="0" w:type="auto"/>
          </w:tcPr>
          <w:p>
            <w:pPr>
              <w:spacing w:line="240" w:lineRule="auto" w:before="0" w:after="0"/>
              <w:pStyle w:val="Compact"/>
            </w:pPr>
            <w:r>
              <w:rPr>
                <w:sz w:val="20"/>
                <w:szCs w:val="20"/>
              </w:rPr>
              <w:t xml:space="preserve">Commercial Cargo COTS SpaceX</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396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5.981</w:t>
            </w:r>
          </w:p>
        </w:tc>
        <w:tc>
          <w:tcPr>
            <w:tcW w:w="0" w:type="auto"/>
          </w:tcPr>
          <w:p>
            <w:pPr>
              <w:spacing w:line="240" w:lineRule="auto" w:before="0" w:after="0"/>
              <w:pStyle w:val="Compact"/>
            </w:pPr>
            <w:r>
              <w:rPr>
                <w:sz w:val="20"/>
                <w:szCs w:val="20"/>
              </w:rPr>
              <w:t xml:space="preserve">NASA COTS final report: SpaceX milestone-based Space Act Agreement delivered at fixed milestone payments, milestone-capped (nasa.gov COTS)</w:t>
            </w:r>
          </w:p>
        </w:tc>
      </w:tr>
      <w:tr>
        <w:tc>
          <w:tcPr>
            <w:tcW w:w="0" w:type="auto"/>
          </w:tcPr>
          <w:p>
            <w:pPr>
              <w:spacing w:line="240" w:lineRule="auto" w:before="0" w:after="0"/>
              <w:pStyle w:val="Compact"/>
            </w:pPr>
            <w:r>
              <w:rPr>
                <w:sz w:val="20"/>
                <w:szCs w:val="20"/>
              </w:rPr>
              <w:t xml:space="preserve">Commercial Cargo COTS Orbital</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5.663</w:t>
            </w:r>
          </w:p>
        </w:tc>
        <w:tc>
          <w:tcPr>
            <w:tcW w:w="0" w:type="auto"/>
          </w:tcPr>
          <w:p>
            <w:pPr>
              <w:spacing w:line="240" w:lineRule="auto" w:before="0" w:after="0"/>
              <w:pStyle w:val="Compact"/>
            </w:pPr>
            <w:r>
              <w:rPr>
                <w:sz w:val="20"/>
                <w:szCs w:val="20"/>
              </w:rPr>
              <w:t xml:space="preserve">NASA COTS final report: Orbital Sciences milestone-based Space Act Agreement, milestone-capped (nasa.gov COTS)</w:t>
            </w:r>
          </w:p>
        </w:tc>
      </w:tr>
      <w:tr>
        <w:tc>
          <w:tcPr>
            <w:tcW w:w="0" w:type="auto"/>
          </w:tcPr>
          <w:p>
            <w:pPr>
              <w:spacing w:line="240" w:lineRule="auto" w:before="0" w:after="0"/>
              <w:pStyle w:val="Compact"/>
            </w:pPr>
            <w:r>
              <w:rPr>
                <w:sz w:val="20"/>
                <w:szCs w:val="20"/>
              </w:rPr>
              <w:t xml:space="preserve">Commercial Lunar Payload Services</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2600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7.863</w:t>
            </w:r>
          </w:p>
        </w:tc>
        <w:tc>
          <w:tcPr>
            <w:tcW w:w="0" w:type="auto"/>
          </w:tcPr>
          <w:p>
            <w:pPr>
              <w:spacing w:line="240" w:lineRule="auto" w:before="0" w:after="0"/>
              <w:pStyle w:val="Compact"/>
            </w:pPr>
            <w:r>
              <w:rPr>
                <w:sz w:val="20"/>
                <w:szCs w:val="20"/>
              </w:rPr>
              <w:t xml:space="preserve">NASA CLPS: fixed-price indefinite-delivery commercial lunar delivery, ~2.6B ceiling, fixed price per task order (nasa.gov CLPS)</w:t>
            </w:r>
          </w:p>
        </w:tc>
      </w:tr>
      <w:tr>
        <w:tc>
          <w:tcPr>
            <w:tcW w:w="0" w:type="auto"/>
          </w:tcPr>
          <w:p>
            <w:pPr>
              <w:spacing w:line="240" w:lineRule="auto" w:before="0" w:after="0"/>
              <w:pStyle w:val="Compact"/>
            </w:pPr>
            <w:r>
              <w:rPr>
                <w:sz w:val="20"/>
                <w:szCs w:val="20"/>
              </w:rPr>
              <w:t xml:space="preserve">Commercial SSA Data Buy USSF</w:t>
            </w:r>
          </w:p>
        </w:tc>
        <w:tc>
          <w:tcPr>
            <w:tcW w:w="0" w:type="auto"/>
          </w:tcPr>
          <w:p>
            <w:pPr>
              <w:spacing w:line="240" w:lineRule="auto" w:before="0" w:after="0"/>
              <w:pStyle w:val="Compact"/>
            </w:pPr>
            <w:r>
              <w:rPr>
                <w:sz w:val="20"/>
                <w:szCs w:val="20"/>
              </w:rPr>
              <w:t xml:space="preserve">USSF</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5.011</w:t>
            </w:r>
          </w:p>
        </w:tc>
        <w:tc>
          <w:tcPr>
            <w:tcW w:w="0" w:type="auto"/>
          </w:tcPr>
          <w:p>
            <w:pPr>
              <w:spacing w:line="240" w:lineRule="auto" w:before="0" w:after="0"/>
              <w:pStyle w:val="Compact"/>
            </w:pPr>
            <w:r>
              <w:rPr>
                <w:sz w:val="20"/>
                <w:szCs w:val="20"/>
              </w:rPr>
              <w:t xml:space="preserve">AMOS-record commercial SSA provision and USSF commercial SSA data buys, competed fixed-price purchases (Lal and Carioscia AMOS 2017; Schmedeman et al AMOS 2025) [illustrative buy-side values]</w:t>
            </w:r>
          </w:p>
        </w:tc>
      </w:tr>
      <w:tr>
        <w:tc>
          <w:tcPr>
            <w:tcW w:w="0" w:type="auto"/>
          </w:tcPr>
          <w:p>
            <w:pPr>
              <w:spacing w:line="240" w:lineRule="auto" w:before="0" w:after="0"/>
              <w:pStyle w:val="Compact"/>
            </w:pPr>
            <w:r>
              <w:rPr>
                <w:sz w:val="20"/>
                <w:szCs w:val="20"/>
              </w:rPr>
              <w:t xml:space="preserve">Human Landing System Initial Capability</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36.7</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8.006</w:t>
            </w:r>
          </w:p>
        </w:tc>
        <w:tc>
          <w:tcPr>
            <w:tcW w:w="0" w:type="auto"/>
          </w:tcPr>
          <w:p>
            <w:pPr>
              <w:spacing w:line="240" w:lineRule="auto" w:before="0" w:after="0"/>
              <w:pStyle w:val="Compact"/>
            </w:pPr>
            <w:r>
              <w:rPr>
                <w:sz w:val="20"/>
                <w:szCs w:val="20"/>
              </w:rPr>
              <w:t xml:space="preserve">GAO-24-106767: fixed-price commercial HLS within the 9.6B Artemis baseline; cost growth reported (gao.gov/products/gao-24-106767) [illustrative baseline split]</w:t>
            </w:r>
          </w:p>
        </w:tc>
      </w:tr>
      <w:tr>
        <w:tc>
          <w:tcPr>
            <w:tcW w:w="0" w:type="auto"/>
          </w:tcPr>
          <w:p>
            <w:pPr>
              <w:spacing w:line="240" w:lineRule="auto" w:before="0" w:after="0"/>
              <w:pStyle w:val="Compact"/>
            </w:pPr>
            <w:r>
              <w:rPr>
                <w:sz w:val="20"/>
                <w:szCs w:val="20"/>
              </w:rPr>
              <w:t xml:space="preserve">Gateway Initial Capability</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3500</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8.161</w:t>
            </w:r>
          </w:p>
        </w:tc>
        <w:tc>
          <w:tcPr>
            <w:tcW w:w="0" w:type="auto"/>
          </w:tcPr>
          <w:p>
            <w:pPr>
              <w:spacing w:line="240" w:lineRule="auto" w:before="0" w:after="0"/>
              <w:pStyle w:val="Compact"/>
            </w:pPr>
            <w:r>
              <w:rPr>
                <w:sz w:val="20"/>
                <w:szCs w:val="20"/>
              </w:rPr>
              <w:t xml:space="preserve">GAO-24-106767: Gateway in the 9.6B Artemis baseline set Dec 2023, cost and schedule growth reported (gao.gov/products/gao-24-106767) [illustrative baseline split]</w:t>
            </w:r>
          </w:p>
        </w:tc>
      </w:tr>
    </w:tbl>
    <w:bookmarkEnd w:id="200"/>
    <w:bookmarkStart w:id="201"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Realized percentage growth of the capability’s development or life-cycle cost from its confirmation baseline to its current or final estimate</w:t>
            </w:r>
          </w:p>
        </w:tc>
        <w:tc>
          <w:tcPr>
            <w:tcW w:w="0" w:type="auto"/>
          </w:tcPr>
          <w:p>
            <w:pPr>
              <w:spacing w:line="240" w:lineRule="auto" w:before="0" w:after="0"/>
              <w:pStyle w:val="Compact"/>
            </w:pPr>
            <w:r>
              <w:rPr>
                <w:sz w:val="20"/>
                <w:szCs w:val="20"/>
              </w:rPr>
              <w:t xml:space="preserve">GAO NASA Assessments of Major Projects (GAO-20-224, GAO-23-105609, GAO-24-106767, GAO-25-107591), NASA OIG, NOAA program caps, and Planetary Society cost reconstructions cited per row</w:t>
            </w:r>
          </w:p>
        </w:tc>
      </w:tr>
      <w:tr>
        <w:tc>
          <w:tcPr>
            <w:tcW w:w="0" w:type="auto"/>
          </w:tcPr>
          <w:p>
            <w:pPr>
              <w:spacing w:line="240" w:lineRule="auto" w:before="0" w:after="0"/>
              <w:pStyle w:val="Compact"/>
            </w:pPr>
            <w:r>
              <w:rPr>
                <w:sz w:val="20"/>
                <w:szCs w:val="20"/>
              </w:rPr>
              <w:t xml:space="preserve">asset_specificity</w:t>
            </w:r>
          </w:p>
        </w:tc>
        <w:tc>
          <w:tcPr>
            <w:tcW w:w="0" w:type="auto"/>
          </w:tcPr>
          <w:p>
            <w:pPr>
              <w:spacing w:line="240" w:lineRule="auto" w:before="0" w:after="0"/>
              <w:pStyle w:val="Compact"/>
            </w:pPr>
            <w:r>
              <w:rPr>
                <w:sz w:val="20"/>
                <w:szCs w:val="20"/>
              </w:rPr>
              <w:t xml:space="preserve">Williamsonian asset-specificity score in [0,1], hand-coded from fixed engineering attributes (mission-dedication, non-redeployability to other buyers, government-uniqueness of the capability) that predate the contract vehicle</w:t>
            </w:r>
          </w:p>
        </w:tc>
        <w:tc>
          <w:tcPr>
            <w:tcW w:w="0" w:type="auto"/>
          </w:tcPr>
          <w:p>
            <w:pPr>
              <w:spacing w:line="240" w:lineRule="auto" w:before="0" w:after="0"/>
              <w:pStyle w:val="Compact"/>
            </w:pPr>
            <w:r>
              <w:rPr>
                <w:sz w:val="20"/>
                <w:szCs w:val="20"/>
              </w:rPr>
              <w:t xml:space="preserve">Pre-registered coding rule applied to public program documentation; 0.25-0.40 for redeployable commercial services, 0.85-0.95 for mission-unique government builds</w:t>
            </w:r>
          </w:p>
        </w:tc>
      </w:tr>
      <w:tr>
        <w:tc>
          <w:tcPr>
            <w:tcW w:w="0" w:type="auto"/>
          </w:tcPr>
          <w:p>
            <w:pPr>
              <w:spacing w:line="240" w:lineRule="auto" w:before="0" w:after="0"/>
              <w:pStyle w:val="Compact"/>
            </w:pPr>
            <w:r>
              <w:rPr>
                <w:sz w:val="20"/>
                <w:szCs w:val="20"/>
              </w:rPr>
              <w:t xml:space="preserve">commercial_vehicle</w:t>
            </w:r>
          </w:p>
        </w:tc>
        <w:tc>
          <w:tcPr>
            <w:tcW w:w="0" w:type="auto"/>
          </w:tcPr>
          <w:p>
            <w:pPr>
              <w:spacing w:line="240" w:lineRule="auto" w:before="0" w:after="0"/>
              <w:pStyle w:val="Compact"/>
            </w:pPr>
            <w:r>
              <w:rPr>
                <w:sz w:val="20"/>
                <w:szCs w:val="20"/>
              </w:rPr>
              <w:t xml:space="preserve">Indicator equal to 1 if the capability was acquired through a competed commercial, firm-fixed-price, milestone Space Act, or task-order vehicle, and 0 for a traditional cost-reimbursement government or FFRDC build</w:t>
            </w:r>
          </w:p>
        </w:tc>
        <w:tc>
          <w:tcPr>
            <w:tcW w:w="0" w:type="auto"/>
          </w:tcPr>
          <w:p>
            <w:pPr>
              <w:spacing w:line="240" w:lineRule="auto" w:before="0" w:after="0"/>
              <w:pStyle w:val="Compact"/>
            </w:pPr>
            <w:r>
              <w:rPr>
                <w:sz w:val="20"/>
                <w:szCs w:val="20"/>
              </w:rPr>
              <w:t xml:space="preserve">Coded from contract type and vehicle in GAO and NASA program records cited per row</w:t>
            </w:r>
          </w:p>
        </w:tc>
      </w:tr>
      <w:tr>
        <w:tc>
          <w:tcPr>
            <w:tcW w:w="0" w:type="auto"/>
          </w:tcPr>
          <w:p>
            <w:pPr>
              <w:spacing w:line="240" w:lineRule="auto" w:before="0" w:after="0"/>
              <w:pStyle w:val="Compact"/>
            </w:pPr>
            <w:r>
              <w:rPr>
                <w:sz w:val="20"/>
                <w:szCs w:val="20"/>
              </w:rPr>
              <w:t xml:space="preserve">log_baseline_cost</w:t>
            </w:r>
          </w:p>
        </w:tc>
        <w:tc>
          <w:tcPr>
            <w:tcW w:w="0" w:type="auto"/>
          </w:tcPr>
          <w:p>
            <w:pPr>
              <w:spacing w:line="240" w:lineRule="auto" w:before="0" w:after="0"/>
              <w:pStyle w:val="Compact"/>
            </w:pPr>
            <w:r>
              <w:rPr>
                <w:sz w:val="20"/>
                <w:szCs w:val="20"/>
              </w:rPr>
              <w:t xml:space="preserve">Natural log of the confirmation-baseline cost in millions of USD, controlling for program size</w:t>
            </w:r>
          </w:p>
        </w:tc>
        <w:tc>
          <w:tcPr>
            <w:tcW w:w="0" w:type="auto"/>
          </w:tcPr>
          <w:p>
            <w:pPr>
              <w:spacing w:line="240" w:lineRule="auto" w:before="0" w:after="0"/>
              <w:pStyle w:val="Compact"/>
            </w:pPr>
            <w:r>
              <w:rPr>
                <w:sz w:val="20"/>
                <w:szCs w:val="20"/>
              </w:rPr>
              <w:t xml:space="preserve">Computed from the baseline_cost_musd field; baseline figures sourced per row</w:t>
            </w:r>
          </w:p>
        </w:tc>
      </w:tr>
      <w:tr>
        <w:tc>
          <w:tcPr>
            <w:tcW w:w="0" w:type="auto"/>
          </w:tcPr>
          <w:p>
            <w:pPr>
              <w:spacing w:line="240" w:lineRule="auto" w:before="0" w:after="0"/>
              <w:pStyle w:val="Compact"/>
            </w:pPr>
            <w:r>
              <w:rPr>
                <w:sz w:val="20"/>
                <w:szCs w:val="20"/>
              </w:rPr>
              <w:t xml:space="preserve">epoch_post2015</w:t>
            </w:r>
          </w:p>
        </w:tc>
        <w:tc>
          <w:tcPr>
            <w:tcW w:w="0" w:type="auto"/>
          </w:tcPr>
          <w:p>
            <w:pPr>
              <w:spacing w:line="240" w:lineRule="auto" w:before="0" w:after="0"/>
              <w:pStyle w:val="Compact"/>
            </w:pPr>
            <w:r>
              <w:rPr>
                <w:sz w:val="20"/>
                <w:szCs w:val="20"/>
              </w:rPr>
              <w:t xml:space="preserve">Indicator equal to 1 if the capability’s baseline was set in or after 2015, absorbing the secular drift toward commercial procurement</w:t>
            </w:r>
          </w:p>
        </w:tc>
        <w:tc>
          <w:tcPr>
            <w:tcW w:w="0" w:type="auto"/>
          </w:tcPr>
          <w:p>
            <w:pPr>
              <w:spacing w:line="240" w:lineRule="auto" w:before="0" w:after="0"/>
              <w:pStyle w:val="Compact"/>
            </w:pPr>
            <w:r>
              <w:rPr>
                <w:sz w:val="20"/>
                <w:szCs w:val="20"/>
              </w:rPr>
              <w:t xml:space="preserve">Coded from confirmation or contract date in program records</w:t>
            </w:r>
          </w:p>
        </w:tc>
      </w:tr>
      <w:tr>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Confirmation-baseline cost of the capability in millions of USD</w:t>
            </w:r>
          </w:p>
        </w:tc>
        <w:tc>
          <w:tcPr>
            <w:tcW w:w="0" w:type="auto"/>
          </w:tcPr>
          <w:p>
            <w:pPr>
              <w:spacing w:line="240" w:lineRule="auto" w:before="0" w:after="0"/>
              <w:pStyle w:val="Compact"/>
            </w:pPr>
            <w:r>
              <w:rPr>
                <w:sz w:val="20"/>
                <w:szCs w:val="20"/>
              </w:rPr>
              <w:t xml:space="preserve">GAO assessments, NASA confirmation baselines, NOAA caps, and published cost reconstructions cited per row</w:t>
            </w:r>
          </w:p>
        </w:tc>
      </w:tr>
    </w:tbl>
    <w:bookmarkEnd w:id="201"/>
    <w:bookmarkEnd w:id="202"/>
    <w:bookmarkStart w:id="210" w:name="X510136d8888c2101645611480c915371d056a19"/>
    <w:p>
      <w:pPr>
        <w:pStyle w:val="Heading2"/>
        <w:spacing w:line="480" w:lineRule="auto"/>
      </w:pPr>
      <w:r>
        <w:t xml:space="preserve">A.2 Does the Industry Learn? A Wright Learning-Curve Test of Cumulative Experience and Launch Unit Cost in the Make-Buy-Federate Boundary</w:t>
      </w:r>
    </w:p>
    <w:p>
      <w:pPr>
        <w:pStyle w:val="FirstParagraph"/>
        <w:spacing w:line="480" w:lineRule="auto"/>
      </w:pPr>
      <m:oMathPara>
        <m:oMathParaPr>
          <m:jc m:val="center"/>
        </m:oMathParaPr>
        <m:oMath>
          <m:r>
            <m:rPr>
              <m:sty m:val="p"/>
            </m:rPr>
            <m:t>ln</m:t>
          </m:r>
          <m:r>
            <m:rPr>
              <m:sty m:val="p"/>
            </m:rPr>
            <m:t>(</m:t>
          </m:r>
          <m:sSub>
            <m:e>
              <m:r>
                <m:rPr>
                  <m:nor/>
                  <m:sty m:val="p"/>
                </m:rPr>
                <m:t>cost_per_kg</m:t>
              </m:r>
            </m:e>
            <m:sub>
              <m:r>
                <m:t>i</m:t>
              </m:r>
            </m:sub>
          </m:sSub>
          <m:r>
            <m:rPr>
              <m:sty m:val="p"/>
            </m:rPr>
            <m:t>)</m:t>
          </m:r>
          <m:r>
            <m:rPr>
              <m:sty m:val="p"/>
            </m:rPr>
            <m:t>=</m:t>
          </m:r>
          <m:r>
            <m:t>α</m:t>
          </m:r>
          <m:r>
            <m:rPr>
              <m:sty m:val="p"/>
            </m:rPr>
            <m:t>+</m:t>
          </m:r>
          <m:r>
            <m:t>β</m:t>
          </m:r>
          <m:r>
            <m:t> </m:t>
          </m:r>
          <m:r>
            <m:rPr>
              <m:sty m:val="p"/>
            </m:rPr>
            <m:t>ln</m:t>
          </m:r>
          <m:r>
            <m:rPr>
              <m:sty m:val="p"/>
            </m:rPr>
            <m:t>(</m:t>
          </m:r>
          <m:sSub>
            <m:e>
              <m:r>
                <m:rPr>
                  <m:nor/>
                  <m:sty m:val="p"/>
                </m:rPr>
                <m:t>cum_experience</m:t>
              </m:r>
            </m:e>
            <m:sub>
              <m:r>
                <m:t>i</m:t>
              </m:r>
            </m:sub>
          </m:sSub>
          <m:r>
            <m:rPr>
              <m:sty m:val="p"/>
            </m:rPr>
            <m:t>)</m:t>
          </m:r>
          <m:r>
            <m:rPr>
              <m:sty m:val="p"/>
            </m:rPr>
            <m:t>+</m:t>
          </m:r>
          <m:sSub>
            <m:e>
              <m:r>
                <m:t>ε</m:t>
              </m:r>
            </m:e>
            <m:sub>
              <m:r>
                <m:t>i</m:t>
              </m:r>
            </m:sub>
          </m:sSub>
        </m:oMath>
      </m:oMathPara>
    </w:p>
    <w:bookmarkStart w:id="203"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11.476</w:t>
            </w:r>
          </w:p>
        </w:tc>
        <w:tc>
          <w:tcPr>
            <w:tcW w:w="0" w:type="auto"/>
          </w:tcPr>
          <w:p>
            <w:pPr>
              <w:spacing w:line="240" w:lineRule="auto" w:before="0" w:after="0"/>
              <w:pStyle w:val="Compact"/>
            </w:pPr>
            <w:r>
              <w:rPr>
                <w:sz w:val="20"/>
                <w:szCs w:val="20"/>
              </w:rPr>
              <w:t xml:space="preserve">0.9714</w:t>
            </w:r>
          </w:p>
        </w:tc>
        <w:tc>
          <w:tcPr>
            <w:tcW w:w="0" w:type="auto"/>
          </w:tcPr>
          <w:p>
            <w:pPr>
              <w:spacing w:line="240" w:lineRule="auto" w:before="0" w:after="0"/>
              <w:pStyle w:val="Compact"/>
            </w:pPr>
            <w:r>
              <w:rPr>
                <w:sz w:val="20"/>
                <w:szCs w:val="20"/>
              </w:rPr>
              <w:t xml:space="preserve">11.8139</w:t>
            </w:r>
          </w:p>
        </w:tc>
        <w:tc>
          <w:tcPr>
            <w:tcW w:w="0" w:type="auto"/>
          </w:tcPr>
          <w:p>
            <w:pPr>
              <w:spacing w:line="240" w:lineRule="auto" w:before="0" w:after="0"/>
              <w:pStyle w:val="Compact"/>
            </w:pPr>
            <w:r>
              <w:rPr>
                <w:sz w:val="20"/>
                <w:szCs w:val="20"/>
              </w:rPr>
              <w:t xml:space="preserve">3.308e-32</w:t>
            </w:r>
          </w:p>
        </w:tc>
        <w:tc>
          <w:tcPr>
            <w:tcW w:w="0" w:type="auto"/>
          </w:tcPr>
          <w:p>
            <w:pPr>
              <w:spacing w:line="240" w:lineRule="auto" w:before="0" w:after="0"/>
              <w:pStyle w:val="Compact"/>
            </w:pPr>
            <w:r>
              <w:rPr>
                <w:sz w:val="20"/>
                <w:szCs w:val="20"/>
              </w:rPr>
              <w:t xml:space="preserve">[9.5721, 13.3799]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-0.2504</w:t>
            </w:r>
          </w:p>
        </w:tc>
        <w:tc>
          <w:tcPr>
            <w:tcW w:w="0" w:type="auto"/>
          </w:tcPr>
          <w:p>
            <w:pPr>
              <w:spacing w:line="240" w:lineRule="auto" w:before="0" w:after="0"/>
              <w:pStyle w:val="Compact"/>
            </w:pPr>
            <w:r>
              <w:rPr>
                <w:sz w:val="20"/>
                <w:szCs w:val="20"/>
              </w:rPr>
              <w:t xml:space="preserve">0.121</w:t>
            </w:r>
          </w:p>
        </w:tc>
        <w:tc>
          <w:tcPr>
            <w:tcW w:w="0" w:type="auto"/>
          </w:tcPr>
          <w:p>
            <w:pPr>
              <w:spacing w:line="240" w:lineRule="auto" w:before="0" w:after="0"/>
              <w:pStyle w:val="Compact"/>
            </w:pPr>
            <w:r>
              <w:rPr>
                <w:sz w:val="20"/>
                <w:szCs w:val="20"/>
              </w:rPr>
              <w:t xml:space="preserve">-2.0697</w:t>
            </w:r>
          </w:p>
        </w:tc>
        <w:tc>
          <w:tcPr>
            <w:tcW w:w="0" w:type="auto"/>
          </w:tcPr>
          <w:p>
            <w:pPr>
              <w:spacing w:line="240" w:lineRule="auto" w:before="0" w:after="0"/>
              <w:pStyle w:val="Compact"/>
            </w:pPr>
            <w:r>
              <w:rPr>
                <w:sz w:val="20"/>
                <w:szCs w:val="20"/>
              </w:rPr>
              <w:t xml:space="preserve">0.0385</w:t>
            </w:r>
          </w:p>
        </w:tc>
        <w:tc>
          <w:tcPr>
            <w:tcW w:w="0" w:type="auto"/>
          </w:tcPr>
          <w:p>
            <w:pPr>
              <w:spacing w:line="240" w:lineRule="auto" w:before="0" w:after="0"/>
              <w:pStyle w:val="Compact"/>
            </w:pPr>
            <w:r>
              <w:rPr>
                <w:sz w:val="20"/>
                <w:szCs w:val="20"/>
              </w:rPr>
              <w:t xml:space="preserve">[-0.4875, -0.0133]</w:t>
            </w:r>
          </w:p>
        </w:tc>
      </w:tr>
    </w:tbl>
    <w:p>
      <w:pPr>
        <w:pStyle w:val="BodyText"/>
        <w:spacing w:line="480" w:lineRule="auto"/>
        <w:ind w:firstLine="720"/>
      </w:pPr>
      <w:r>
        <w:t xml:space="preserve">Fit: N = 34 R2 = 0.0954 elasticity_b = -0.2504 progress_ratio_2^b = 0.8407</w:t>
      </w:r>
    </w:p>
    <w:bookmarkEnd w:id="203"/>
    <w:bookmarkStart w:id="207"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Figure 1. Wright learning curve for orbital launch unit cost. Each point is a launch vehicle plotted by its cost per kilogram to LEO (FY21 USD) against cumulative worldwide objects launched at its introduction year, both on log scales. The fitted log-log line gives the experience elasticity beta and the implied progress ratio 2^beta." title="" id="205" name="Picture"/>
            <a:graphic>
              <a:graphicData uri="http://schemas.openxmlformats.org/drawingml/2006/picture">
                <pic:pic>
                  <pic:nvPicPr>
                    <pic:cNvPr descr="D:/Claude_Code/brain/collegium/candidates/dissertations/ENTERPRISE_ACQ_03/research_papers/p2/paper_fig1.png" id="206" name="Picture"/>
                    <pic:cNvPicPr>
                      <a:picLocks noChangeArrowheads="1" noChangeAspect="1"/>
                    </pic:cNvPicPr>
                  </pic:nvPicPr>
                  <pic:blipFill>
                    <a:blip r:embed="rId20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Figure 1. Wright learning curve for orbital launch unit cost. Each point is a launch vehicle plotted by its cost per kilogram to LEO (FY21 USD) against cumulative worldwide objects launched at its introduction year, both on log scales. The fitted log-log line gives the experience elasticity beta and the implied progress ratio 2^beta.</w:t>
      </w:r>
    </w:p>
    <w:bookmarkEnd w:id="207"/>
    <w:bookmarkStart w:id="208"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vehicle</w:t>
            </w:r>
          </w:p>
        </w:tc>
        <w:tc>
          <w:tcPr>
            <w:tcW w:w="0" w:type="auto"/>
          </w:tcPr>
          <w:p>
            <w:pPr>
              <w:spacing w:line="240" w:lineRule="auto" w:before="0" w:after="0"/>
              <w:pStyle w:val="Compact"/>
            </w:pPr>
            <w:r>
              <w:rPr>
                <w:sz w:val="20"/>
                <w:szCs w:val="20"/>
              </w:rPr>
              <w:t xml:space="preserve">first_flight_year</w:t>
            </w:r>
          </w:p>
        </w:tc>
        <w:tc>
          <w:tcPr>
            <w:tcW w:w="0" w:type="auto"/>
          </w:tcPr>
          <w:p>
            <w:pPr>
              <w:spacing w:line="240" w:lineRule="auto" w:before="0" w:after="0"/>
              <w:pStyle w:val="Compact"/>
            </w:pPr>
            <w:r>
              <w:rPr>
                <w:sz w:val="20"/>
                <w:szCs w:val="20"/>
              </w:rPr>
              <w:t xml:space="preserve">cost_per_kg_leo_fy21usd</w:t>
            </w:r>
          </w:p>
        </w:tc>
        <w:tc>
          <w:tcPr>
            <w:tcW w:w="0" w:type="auto"/>
          </w:tcPr>
          <w:p>
            <w:pPr>
              <w:spacing w:line="240" w:lineRule="auto" w:before="0" w:after="0"/>
              <w:pStyle w:val="Compact"/>
            </w:pPr>
            <w:r>
              <w:rPr>
                <w:sz w:val="20"/>
                <w:szCs w:val="20"/>
              </w:rPr>
              <w:t xml:space="preserve">cum_objects_launched</w:t>
            </w:r>
          </w:p>
        </w:tc>
        <w:tc>
          <w:tcPr>
            <w:tcW w:w="0" w:type="auto"/>
          </w:tcPr>
          <w:p>
            <w:pPr>
              <w:spacing w:line="240" w:lineRule="auto" w:before="0" w:after="0"/>
              <w:pStyle w:val="Compact"/>
            </w:pPr>
            <w:r>
              <w:rPr>
                <w:sz w:val="20"/>
                <w:szCs w:val="20"/>
              </w:rPr>
              <w:t xml:space="preserve">provider_country</w:t>
            </w:r>
          </w:p>
        </w:tc>
        <w:tc>
          <w:tcPr>
            <w:tcW w:w="0" w:type="auto"/>
          </w:tcPr>
          <w:p>
            <w:pPr>
              <w:spacing w:line="240" w:lineRule="auto" w:before="0" w:after="0"/>
              <w:pStyle w:val="Compact"/>
            </w:pPr>
            <w:r>
              <w:rPr>
                <w:sz w:val="20"/>
                <w:szCs w:val="20"/>
              </w:rPr>
              <w:t xml:space="preserve">governance_form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Atlas Centaur</w:t>
            </w:r>
          </w:p>
        </w:tc>
        <w:tc>
          <w:tcPr>
            <w:tcW w:w="0" w:type="auto"/>
          </w:tcPr>
          <w:p>
            <w:pPr>
              <w:spacing w:line="240" w:lineRule="auto" w:before="0" w:after="0"/>
              <w:pStyle w:val="Compact"/>
            </w:pPr>
            <w:r>
              <w:rPr>
                <w:sz w:val="20"/>
                <w:szCs w:val="20"/>
              </w:rPr>
              <w:t xml:space="preserve">1963</w:t>
            </w:r>
          </w:p>
        </w:tc>
        <w:tc>
          <w:tcPr>
            <w:tcW w:w="0" w:type="auto"/>
          </w:tcPr>
          <w:p>
            <w:pPr>
              <w:spacing w:line="240" w:lineRule="auto" w:before="0" w:after="0"/>
              <w:pStyle w:val="Compact"/>
            </w:pPr>
            <w:r>
              <w:rPr>
                <w:sz w:val="20"/>
                <w:szCs w:val="20"/>
              </w:rPr>
              <w:t xml:space="preserve">29500</w:t>
            </w:r>
          </w:p>
        </w:tc>
        <w:tc>
          <w:tcPr>
            <w:tcW w:w="0" w:type="auto"/>
          </w:tcPr>
          <w:p>
            <w:pPr>
              <w:spacing w:line="240" w:lineRule="auto" w:before="0" w:after="0"/>
              <w:pStyle w:val="Compact"/>
            </w:pPr>
            <w:r>
              <w:rPr>
                <w:sz w:val="20"/>
                <w:szCs w:val="20"/>
              </w:rPr>
              <w:t xml:space="preserve">230</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(cost per kg); cumulative count from OWID Yearly objects launched into space (UNOOSA)</w:t>
            </w:r>
          </w:p>
        </w:tc>
      </w:tr>
      <w:tr>
        <w:tc>
          <w:tcPr>
            <w:tcW w:w="0" w:type="auto"/>
          </w:tcPr>
          <w:p>
            <w:pPr>
              <w:spacing w:line="240" w:lineRule="auto" w:before="0" w:after="0"/>
              <w:pStyle w:val="Compact"/>
            </w:pPr>
            <w:r>
              <w:rPr>
                <w:sz w:val="20"/>
                <w:szCs w:val="20"/>
              </w:rPr>
              <w:t xml:space="preserve">Titan II</w:t>
            </w:r>
          </w:p>
        </w:tc>
        <w:tc>
          <w:tcPr>
            <w:tcW w:w="0" w:type="auto"/>
          </w:tcPr>
          <w:p>
            <w:pPr>
              <w:spacing w:line="240" w:lineRule="auto" w:before="0" w:after="0"/>
              <w:pStyle w:val="Compact"/>
            </w:pPr>
            <w:r>
              <w:rPr>
                <w:sz w:val="20"/>
                <w:szCs w:val="20"/>
              </w:rPr>
              <w:t xml:space="preserve">1964</w:t>
            </w:r>
          </w:p>
        </w:tc>
        <w:tc>
          <w:tcPr>
            <w:tcW w:w="0" w:type="auto"/>
          </w:tcPr>
          <w:p>
            <w:pPr>
              <w:spacing w:line="240" w:lineRule="auto" w:before="0" w:after="0"/>
              <w:pStyle w:val="Compact"/>
            </w:pPr>
            <w:r>
              <w:rPr>
                <w:sz w:val="20"/>
                <w:szCs w:val="20"/>
              </w:rPr>
              <w:t xml:space="preserve">30600</w:t>
            </w:r>
          </w:p>
        </w:tc>
        <w:tc>
          <w:tcPr>
            <w:tcW w:w="0" w:type="auto"/>
          </w:tcPr>
          <w:p>
            <w:pPr>
              <w:spacing w:line="240" w:lineRule="auto" w:before="0" w:after="0"/>
              <w:pStyle w:val="Compact"/>
            </w:pPr>
            <w:r>
              <w:rPr>
                <w:sz w:val="20"/>
                <w:szCs w:val="20"/>
              </w:rPr>
              <w:t xml:space="preserve">337</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Titan III+</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21000</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Proton</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8200</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Saturn V</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5400</w:t>
            </w:r>
          </w:p>
        </w:tc>
        <w:tc>
          <w:tcPr>
            <w:tcW w:w="0" w:type="auto"/>
          </w:tcPr>
          <w:p>
            <w:pPr>
              <w:spacing w:line="240" w:lineRule="auto" w:before="0" w:after="0"/>
              <w:pStyle w:val="Compact"/>
            </w:pPr>
            <w:r>
              <w:rPr>
                <w:sz w:val="20"/>
                <w:szCs w:val="20"/>
              </w:rPr>
              <w:t xml:space="preserve">802</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Delta 3000-Series</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21400</w:t>
            </w:r>
          </w:p>
        </w:tc>
        <w:tc>
          <w:tcPr>
            <w:tcW w:w="0" w:type="auto"/>
          </w:tcPr>
          <w:p>
            <w:pPr>
              <w:spacing w:line="240" w:lineRule="auto" w:before="0" w:after="0"/>
              <w:pStyle w:val="Compact"/>
            </w:pPr>
            <w:r>
              <w:rPr>
                <w:sz w:val="20"/>
                <w:szCs w:val="20"/>
              </w:rPr>
              <w:t xml:space="preserve">1924</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Long March 2A</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17500</w:t>
            </w:r>
          </w:p>
        </w:tc>
        <w:tc>
          <w:tcPr>
            <w:tcW w:w="0" w:type="auto"/>
          </w:tcPr>
          <w:p>
            <w:pPr>
              <w:spacing w:line="240" w:lineRule="auto" w:before="0" w:after="0"/>
              <w:pStyle w:val="Compact"/>
            </w:pPr>
            <w:r>
              <w:rPr>
                <w:sz w:val="20"/>
                <w:szCs w:val="20"/>
              </w:rPr>
              <w:t xml:space="preserve">1924</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Delta 3910</w:t>
            </w:r>
          </w:p>
        </w:tc>
        <w:tc>
          <w:tcPr>
            <w:tcW w:w="0" w:type="auto"/>
          </w:tcPr>
          <w:p>
            <w:pPr>
              <w:spacing w:line="240" w:lineRule="auto" w:before="0" w:after="0"/>
              <w:pStyle w:val="Compact"/>
            </w:pPr>
            <w:r>
              <w:rPr>
                <w:sz w:val="20"/>
                <w:szCs w:val="20"/>
              </w:rPr>
              <w:t xml:space="preserve">1980</w:t>
            </w:r>
          </w:p>
        </w:tc>
        <w:tc>
          <w:tcPr>
            <w:tcW w:w="0" w:type="auto"/>
          </w:tcPr>
          <w:p>
            <w:pPr>
              <w:spacing w:line="240" w:lineRule="auto" w:before="0" w:after="0"/>
              <w:pStyle w:val="Compact"/>
            </w:pPr>
            <w:r>
              <w:rPr>
                <w:sz w:val="20"/>
                <w:szCs w:val="20"/>
              </w:rPr>
              <w:t xml:space="preserve">32800</w:t>
            </w:r>
          </w:p>
        </w:tc>
        <w:tc>
          <w:tcPr>
            <w:tcW w:w="0" w:type="auto"/>
          </w:tcPr>
          <w:p>
            <w:pPr>
              <w:spacing w:line="240" w:lineRule="auto" w:before="0" w:after="0"/>
              <w:pStyle w:val="Compact"/>
            </w:pPr>
            <w:r>
              <w:rPr>
                <w:sz w:val="20"/>
                <w:szCs w:val="20"/>
              </w:rPr>
              <w:t xml:space="preserve">2638</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Space Shuttle</w:t>
            </w:r>
          </w:p>
        </w:tc>
        <w:tc>
          <w:tcPr>
            <w:tcW w:w="0" w:type="auto"/>
          </w:tcPr>
          <w:p>
            <w:pPr>
              <w:spacing w:line="240" w:lineRule="auto" w:before="0" w:after="0"/>
              <w:pStyle w:val="Compact"/>
            </w:pPr>
            <w:r>
              <w:rPr>
                <w:sz w:val="20"/>
                <w:szCs w:val="20"/>
              </w:rPr>
              <w:t xml:space="preserve">1981</w:t>
            </w:r>
          </w:p>
        </w:tc>
        <w:tc>
          <w:tcPr>
            <w:tcW w:w="0" w:type="auto"/>
          </w:tcPr>
          <w:p>
            <w:pPr>
              <w:spacing w:line="240" w:lineRule="auto" w:before="0" w:after="0"/>
              <w:pStyle w:val="Compact"/>
            </w:pPr>
            <w:r>
              <w:rPr>
                <w:sz w:val="20"/>
                <w:szCs w:val="20"/>
              </w:rPr>
              <w:t xml:space="preserve">65400</w:t>
            </w:r>
          </w:p>
        </w:tc>
        <w:tc>
          <w:tcPr>
            <w:tcW w:w="0" w:type="auto"/>
          </w:tcPr>
          <w:p>
            <w:pPr>
              <w:spacing w:line="240" w:lineRule="auto" w:before="0" w:after="0"/>
              <w:pStyle w:val="Compact"/>
            </w:pPr>
            <w:r>
              <w:rPr>
                <w:sz w:val="20"/>
                <w:szCs w:val="20"/>
              </w:rPr>
              <w:t xml:space="preserve">2796</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Long March 2C</w:t>
            </w:r>
          </w:p>
        </w:tc>
        <w:tc>
          <w:tcPr>
            <w:tcW w:w="0" w:type="auto"/>
          </w:tcPr>
          <w:p>
            <w:pPr>
              <w:spacing w:line="240" w:lineRule="auto" w:before="0" w:after="0"/>
              <w:pStyle w:val="Compact"/>
            </w:pPr>
            <w:r>
              <w:rPr>
                <w:sz w:val="20"/>
                <w:szCs w:val="20"/>
              </w:rPr>
              <w:t xml:space="preserve">1982</w:t>
            </w:r>
          </w:p>
        </w:tc>
        <w:tc>
          <w:tcPr>
            <w:tcW w:w="0" w:type="auto"/>
          </w:tcPr>
          <w:p>
            <w:pPr>
              <w:spacing w:line="240" w:lineRule="auto" w:before="0" w:after="0"/>
              <w:pStyle w:val="Compact"/>
            </w:pPr>
            <w:r>
              <w:rPr>
                <w:sz w:val="20"/>
                <w:szCs w:val="20"/>
              </w:rPr>
              <w:t xml:space="preserve">8300</w:t>
            </w:r>
          </w:p>
        </w:tc>
        <w:tc>
          <w:tcPr>
            <w:tcW w:w="0" w:type="auto"/>
          </w:tcPr>
          <w:p>
            <w:pPr>
              <w:spacing w:line="240" w:lineRule="auto" w:before="0" w:after="0"/>
              <w:pStyle w:val="Compact"/>
            </w:pPr>
            <w:r>
              <w:rPr>
                <w:sz w:val="20"/>
                <w:szCs w:val="20"/>
              </w:rPr>
              <w:t xml:space="preserve">2941</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Zenit 2</w:t>
            </w:r>
          </w:p>
        </w:tc>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5100</w:t>
            </w:r>
          </w:p>
        </w:tc>
        <w:tc>
          <w:tcPr>
            <w:tcW w:w="0" w:type="auto"/>
          </w:tcPr>
          <w:p>
            <w:pPr>
              <w:spacing w:line="240" w:lineRule="auto" w:before="0" w:after="0"/>
              <w:pStyle w:val="Compact"/>
            </w:pPr>
            <w:r>
              <w:rPr>
                <w:sz w:val="20"/>
                <w:szCs w:val="20"/>
              </w:rPr>
              <w:t xml:space="preserve">3423</w:t>
            </w:r>
          </w:p>
        </w:tc>
        <w:tc>
          <w:tcPr>
            <w:tcW w:w="0" w:type="auto"/>
          </w:tcPr>
          <w:p>
            <w:pPr>
              <w:spacing w:line="240" w:lineRule="auto" w:before="0" w:after="0"/>
              <w:pStyle w:val="Compact"/>
            </w:pPr>
            <w:r>
              <w:rPr>
                <w:sz w:val="20"/>
                <w:szCs w:val="20"/>
              </w:rPr>
              <w:t xml:space="preserve">USSR/Ukraine</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Ariane 44</w:t>
            </w:r>
          </w:p>
        </w:tc>
        <w:tc>
          <w:tcPr>
            <w:tcW w:w="0" w:type="auto"/>
          </w:tcPr>
          <w:p>
            <w:pPr>
              <w:spacing w:line="240" w:lineRule="auto" w:before="0" w:after="0"/>
              <w:pStyle w:val="Compact"/>
            </w:pPr>
            <w:r>
              <w:rPr>
                <w:sz w:val="20"/>
                <w:szCs w:val="20"/>
              </w:rPr>
              <w:t xml:space="preserve">1988</w:t>
            </w:r>
          </w:p>
        </w:tc>
        <w:tc>
          <w:tcPr>
            <w:tcW w:w="0" w:type="auto"/>
          </w:tcPr>
          <w:p>
            <w:pPr>
              <w:spacing w:line="240" w:lineRule="auto" w:before="0" w:after="0"/>
              <w:pStyle w:val="Compact"/>
            </w:pPr>
            <w:r>
              <w:rPr>
                <w:sz w:val="20"/>
                <w:szCs w:val="20"/>
              </w:rPr>
              <w:t xml:space="preserve">18300</w:t>
            </w:r>
          </w:p>
        </w:tc>
        <w:tc>
          <w:tcPr>
            <w:tcW w:w="0" w:type="auto"/>
          </w:tcPr>
          <w:p>
            <w:pPr>
              <w:spacing w:line="240" w:lineRule="auto" w:before="0" w:after="0"/>
              <w:pStyle w:val="Compact"/>
            </w:pPr>
            <w:r>
              <w:rPr>
                <w:sz w:val="20"/>
                <w:szCs w:val="20"/>
              </w:rPr>
              <w:t xml:space="preserve">3837</w:t>
            </w:r>
          </w:p>
        </w:tc>
        <w:tc>
          <w:tcPr>
            <w:tcW w:w="0" w:type="auto"/>
          </w:tcPr>
          <w:p>
            <w:pPr>
              <w:spacing w:line="240" w:lineRule="auto" w:before="0" w:after="0"/>
              <w:pStyle w:val="Compact"/>
            </w:pPr>
            <w:r>
              <w:rPr>
                <w:sz w:val="20"/>
                <w:szCs w:val="20"/>
              </w:rPr>
              <w:t xml:space="preserve">Europe</w:t>
            </w:r>
          </w:p>
        </w:tc>
        <w:tc>
          <w:tcPr>
            <w:tcW w:w="0" w:type="auto"/>
          </w:tcPr>
          <w:p>
            <w:pPr>
              <w:spacing w:line="240" w:lineRule="auto" w:before="0" w:after="0"/>
              <w:pStyle w:val="Compact"/>
            </w:pPr>
            <w:r>
              <w:rPr>
                <w:sz w:val="20"/>
                <w:szCs w:val="20"/>
              </w:rPr>
              <w:t xml:space="preserve">federate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Titan IV</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30800</w:t>
            </w:r>
          </w:p>
        </w:tc>
        <w:tc>
          <w:tcPr>
            <w:tcW w:w="0" w:type="auto"/>
          </w:tcPr>
          <w:p>
            <w:pPr>
              <w:spacing w:line="240" w:lineRule="auto" w:before="0" w:after="0"/>
              <w:pStyle w:val="Compact"/>
            </w:pPr>
            <w:r>
              <w:rPr>
                <w:sz w:val="20"/>
                <w:szCs w:val="20"/>
              </w:rPr>
              <w:t xml:space="preserve">3976</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Delta II</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38800</w:t>
            </w:r>
          </w:p>
        </w:tc>
        <w:tc>
          <w:tcPr>
            <w:tcW w:w="0" w:type="auto"/>
          </w:tcPr>
          <w:p>
            <w:pPr>
              <w:spacing w:line="240" w:lineRule="auto" w:before="0" w:after="0"/>
              <w:pStyle w:val="Compact"/>
            </w:pPr>
            <w:r>
              <w:rPr>
                <w:sz w:val="20"/>
                <w:szCs w:val="20"/>
              </w:rPr>
              <w:t xml:space="preserve">4146</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Atlas II</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18700</w:t>
            </w:r>
          </w:p>
        </w:tc>
        <w:tc>
          <w:tcPr>
            <w:tcW w:w="0" w:type="auto"/>
          </w:tcPr>
          <w:p>
            <w:pPr>
              <w:spacing w:line="240" w:lineRule="auto" w:before="0" w:after="0"/>
              <w:pStyle w:val="Compact"/>
            </w:pPr>
            <w:r>
              <w:rPr>
                <w:sz w:val="20"/>
                <w:szCs w:val="20"/>
              </w:rPr>
              <w:t xml:space="preserve">4283</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Long March 2D</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9100</w:t>
            </w:r>
          </w:p>
        </w:tc>
        <w:tc>
          <w:tcPr>
            <w:tcW w:w="0" w:type="auto"/>
          </w:tcPr>
          <w:p>
            <w:pPr>
              <w:spacing w:line="240" w:lineRule="auto" w:before="0" w:after="0"/>
              <w:pStyle w:val="Compact"/>
            </w:pPr>
            <w:r>
              <w:rPr>
                <w:sz w:val="20"/>
                <w:szCs w:val="20"/>
              </w:rPr>
              <w:t xml:space="preserve">4413</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PSLV</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8500</w:t>
            </w:r>
          </w:p>
        </w:tc>
        <w:tc>
          <w:tcPr>
            <w:tcW w:w="0" w:type="auto"/>
          </w:tcPr>
          <w:p>
            <w:pPr>
              <w:spacing w:line="240" w:lineRule="auto" w:before="0" w:after="0"/>
              <w:pStyle w:val="Compact"/>
            </w:pPr>
            <w:r>
              <w:rPr>
                <w:sz w:val="20"/>
                <w:szCs w:val="20"/>
              </w:rPr>
              <w:t xml:space="preserve">4644</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H-II</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10500</w:t>
            </w:r>
          </w:p>
        </w:tc>
        <w:tc>
          <w:tcPr>
            <w:tcW w:w="0" w:type="auto"/>
          </w:tcPr>
          <w:p>
            <w:pPr>
              <w:spacing w:line="240" w:lineRule="auto" w:before="0" w:after="0"/>
              <w:pStyle w:val="Compact"/>
            </w:pPr>
            <w:r>
              <w:rPr>
                <w:sz w:val="20"/>
                <w:szCs w:val="20"/>
              </w:rPr>
              <w:t xml:space="preserve">4644</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Ariane 5G</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10200</w:t>
            </w:r>
          </w:p>
        </w:tc>
        <w:tc>
          <w:tcPr>
            <w:tcW w:w="0" w:type="auto"/>
          </w:tcPr>
          <w:p>
            <w:pPr>
              <w:spacing w:line="240" w:lineRule="auto" w:before="0" w:after="0"/>
              <w:pStyle w:val="Compact"/>
            </w:pPr>
            <w:r>
              <w:rPr>
                <w:sz w:val="20"/>
                <w:szCs w:val="20"/>
              </w:rPr>
              <w:t xml:space="preserve">5001</w:t>
            </w:r>
          </w:p>
        </w:tc>
        <w:tc>
          <w:tcPr>
            <w:tcW w:w="0" w:type="auto"/>
          </w:tcPr>
          <w:p>
            <w:pPr>
              <w:spacing w:line="240" w:lineRule="auto" w:before="0" w:after="0"/>
              <w:pStyle w:val="Compact"/>
            </w:pPr>
            <w:r>
              <w:rPr>
                <w:sz w:val="20"/>
                <w:szCs w:val="20"/>
              </w:rPr>
              <w:t xml:space="preserve">Europe</w:t>
            </w:r>
          </w:p>
        </w:tc>
        <w:tc>
          <w:tcPr>
            <w:tcW w:w="0" w:type="auto"/>
          </w:tcPr>
          <w:p>
            <w:pPr>
              <w:spacing w:line="240" w:lineRule="auto" w:before="0" w:after="0"/>
              <w:pStyle w:val="Compact"/>
            </w:pPr>
            <w:r>
              <w:rPr>
                <w:sz w:val="20"/>
                <w:szCs w:val="20"/>
              </w:rPr>
              <w:t xml:space="preserve">federate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Long March 3B</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6200</w:t>
            </w:r>
          </w:p>
        </w:tc>
        <w:tc>
          <w:tcPr>
            <w:tcW w:w="0" w:type="auto"/>
          </w:tcPr>
          <w:p>
            <w:pPr>
              <w:spacing w:line="240" w:lineRule="auto" w:before="0" w:after="0"/>
              <w:pStyle w:val="Compact"/>
            </w:pPr>
            <w:r>
              <w:rPr>
                <w:sz w:val="20"/>
                <w:szCs w:val="20"/>
              </w:rPr>
              <w:t xml:space="preserve">5001</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Delta III</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18000</w:t>
            </w:r>
          </w:p>
        </w:tc>
        <w:tc>
          <w:tcPr>
            <w:tcW w:w="0" w:type="auto"/>
          </w:tcPr>
          <w:p>
            <w:pPr>
              <w:spacing w:line="240" w:lineRule="auto" w:before="0" w:after="0"/>
              <w:pStyle w:val="Compact"/>
            </w:pPr>
            <w:r>
              <w:rPr>
                <w:sz w:val="20"/>
                <w:szCs w:val="20"/>
              </w:rPr>
              <w:t xml:space="preserve">5287</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Zenit 3SL</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8900</w:t>
            </w:r>
          </w:p>
        </w:tc>
        <w:tc>
          <w:tcPr>
            <w:tcW w:w="0" w:type="auto"/>
          </w:tcPr>
          <w:p>
            <w:pPr>
              <w:spacing w:line="240" w:lineRule="auto" w:before="0" w:after="0"/>
              <w:pStyle w:val="Compact"/>
            </w:pPr>
            <w:r>
              <w:rPr>
                <w:sz w:val="20"/>
                <w:szCs w:val="20"/>
              </w:rPr>
              <w:t xml:space="preserve">5287</w:t>
            </w:r>
          </w:p>
        </w:tc>
        <w:tc>
          <w:tcPr>
            <w:tcW w:w="0" w:type="auto"/>
          </w:tcPr>
          <w:p>
            <w:pPr>
              <w:spacing w:line="240" w:lineRule="auto" w:before="0" w:after="0"/>
              <w:pStyle w:val="Compact"/>
            </w:pPr>
            <w:r>
              <w:rPr>
                <w:sz w:val="20"/>
                <w:szCs w:val="20"/>
              </w:rPr>
              <w:t xml:space="preserve">Multinational</w:t>
            </w:r>
          </w:p>
        </w:tc>
        <w:tc>
          <w:tcPr>
            <w:tcW w:w="0" w:type="auto"/>
          </w:tcPr>
          <w:p>
            <w:pPr>
              <w:spacing w:line="240" w:lineRule="auto" w:before="0" w:after="0"/>
              <w:pStyle w:val="Compact"/>
            </w:pPr>
            <w:r>
              <w:rPr>
                <w:sz w:val="20"/>
                <w:szCs w:val="20"/>
              </w:rPr>
              <w:t xml:space="preserve">federate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Atlas III</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16000</w:t>
            </w:r>
          </w:p>
        </w:tc>
        <w:tc>
          <w:tcPr>
            <w:tcW w:w="0" w:type="auto"/>
          </w:tcPr>
          <w:p>
            <w:pPr>
              <w:spacing w:line="240" w:lineRule="auto" w:before="0" w:after="0"/>
              <w:pStyle w:val="Compact"/>
            </w:pPr>
            <w:r>
              <w:rPr>
                <w:sz w:val="20"/>
                <w:szCs w:val="20"/>
              </w:rPr>
              <w:t xml:space="preserve">5408</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Atlas V</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8100</w:t>
            </w:r>
          </w:p>
        </w:tc>
        <w:tc>
          <w:tcPr>
            <w:tcW w:w="0" w:type="auto"/>
          </w:tcPr>
          <w:p>
            <w:pPr>
              <w:spacing w:line="240" w:lineRule="auto" w:before="0" w:after="0"/>
              <w:pStyle w:val="Compact"/>
            </w:pPr>
            <w:r>
              <w:rPr>
                <w:sz w:val="20"/>
                <w:szCs w:val="20"/>
              </w:rPr>
              <w:t xml:space="preserve">5590</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Delta IV</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10400</w:t>
            </w:r>
          </w:p>
        </w:tc>
        <w:tc>
          <w:tcPr>
            <w:tcW w:w="0" w:type="auto"/>
          </w:tcPr>
          <w:p>
            <w:pPr>
              <w:spacing w:line="240" w:lineRule="auto" w:before="0" w:after="0"/>
              <w:pStyle w:val="Compact"/>
            </w:pPr>
            <w:r>
              <w:rPr>
                <w:sz w:val="20"/>
                <w:szCs w:val="20"/>
              </w:rPr>
              <w:t xml:space="preserve">5590</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Delta IV Heavy</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11600</w:t>
            </w:r>
          </w:p>
        </w:tc>
        <w:tc>
          <w:tcPr>
            <w:tcW w:w="0" w:type="auto"/>
          </w:tcPr>
          <w:p>
            <w:pPr>
              <w:spacing w:line="240" w:lineRule="auto" w:before="0" w:after="0"/>
              <w:pStyle w:val="Compact"/>
            </w:pPr>
            <w:r>
              <w:rPr>
                <w:sz w:val="20"/>
                <w:szCs w:val="20"/>
              </w:rPr>
              <w:t xml:space="preserve">5752</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Falcon 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12600</w:t>
            </w:r>
          </w:p>
        </w:tc>
        <w:tc>
          <w:tcPr>
            <w:tcW w:w="0" w:type="auto"/>
          </w:tcPr>
          <w:p>
            <w:pPr>
              <w:spacing w:line="240" w:lineRule="auto" w:before="0" w:after="0"/>
              <w:pStyle w:val="Compact"/>
            </w:pPr>
            <w:r>
              <w:rPr>
                <w:sz w:val="20"/>
                <w:szCs w:val="20"/>
              </w:rPr>
              <w:t xml:space="preserve">6139</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Falcon 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2600</w:t>
            </w:r>
          </w:p>
        </w:tc>
        <w:tc>
          <w:tcPr>
            <w:tcW w:w="0" w:type="auto"/>
          </w:tcPr>
          <w:p>
            <w:pPr>
              <w:spacing w:line="240" w:lineRule="auto" w:before="0" w:after="0"/>
              <w:pStyle w:val="Compact"/>
            </w:pPr>
            <w:r>
              <w:rPr>
                <w:sz w:val="20"/>
                <w:szCs w:val="20"/>
              </w:rPr>
              <w:t xml:space="preserve">6385</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Vega</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20000</w:t>
            </w:r>
          </w:p>
        </w:tc>
        <w:tc>
          <w:tcPr>
            <w:tcW w:w="0" w:type="auto"/>
          </w:tcPr>
          <w:p>
            <w:pPr>
              <w:spacing w:line="240" w:lineRule="auto" w:before="0" w:after="0"/>
              <w:pStyle w:val="Compact"/>
            </w:pPr>
            <w:r>
              <w:rPr>
                <w:sz w:val="20"/>
                <w:szCs w:val="20"/>
              </w:rPr>
              <w:t xml:space="preserve">6648</w:t>
            </w:r>
          </w:p>
        </w:tc>
        <w:tc>
          <w:tcPr>
            <w:tcW w:w="0" w:type="auto"/>
          </w:tcPr>
          <w:p>
            <w:pPr>
              <w:spacing w:line="240" w:lineRule="auto" w:before="0" w:after="0"/>
              <w:pStyle w:val="Compact"/>
            </w:pPr>
            <w:r>
              <w:rPr>
                <w:sz w:val="20"/>
                <w:szCs w:val="20"/>
              </w:rPr>
              <w:t xml:space="preserve">Europe</w:t>
            </w:r>
          </w:p>
        </w:tc>
        <w:tc>
          <w:tcPr>
            <w:tcW w:w="0" w:type="auto"/>
          </w:tcPr>
          <w:p>
            <w:pPr>
              <w:spacing w:line="240" w:lineRule="auto" w:before="0" w:after="0"/>
              <w:pStyle w:val="Compact"/>
            </w:pPr>
            <w:r>
              <w:rPr>
                <w:sz w:val="20"/>
                <w:szCs w:val="20"/>
              </w:rPr>
              <w:t xml:space="preserve">federate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Antares</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13600</w:t>
            </w:r>
          </w:p>
        </w:tc>
        <w:tc>
          <w:tcPr>
            <w:tcW w:w="0" w:type="auto"/>
          </w:tcPr>
          <w:p>
            <w:pPr>
              <w:spacing w:line="240" w:lineRule="auto" w:before="0" w:after="0"/>
              <w:pStyle w:val="Compact"/>
            </w:pPr>
            <w:r>
              <w:rPr>
                <w:sz w:val="20"/>
                <w:szCs w:val="20"/>
              </w:rPr>
              <w:t xml:space="preserve">6858</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Long March 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7900</w:t>
            </w:r>
          </w:p>
        </w:tc>
        <w:tc>
          <w:tcPr>
            <w:tcW w:w="0" w:type="auto"/>
          </w:tcPr>
          <w:p>
            <w:pPr>
              <w:spacing w:line="240" w:lineRule="auto" w:before="0" w:after="0"/>
              <w:pStyle w:val="Compact"/>
            </w:pPr>
            <w:r>
              <w:rPr>
                <w:sz w:val="20"/>
                <w:szCs w:val="20"/>
              </w:rPr>
              <w:t xml:space="preserve">7542</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LVM3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8000</w:t>
            </w:r>
          </w:p>
        </w:tc>
        <w:tc>
          <w:tcPr>
            <w:tcW w:w="0" w:type="auto"/>
          </w:tcPr>
          <w:p>
            <w:pPr>
              <w:spacing w:line="240" w:lineRule="auto" w:before="0" w:after="0"/>
              <w:pStyle w:val="Compact"/>
            </w:pPr>
            <w:r>
              <w:rPr>
                <w:sz w:val="20"/>
                <w:szCs w:val="20"/>
              </w:rPr>
              <w:t xml:space="preserve">7998</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make</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Electron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23100</w:t>
            </w:r>
          </w:p>
        </w:tc>
        <w:tc>
          <w:tcPr>
            <w:tcW w:w="0" w:type="auto"/>
          </w:tcPr>
          <w:p>
            <w:pPr>
              <w:spacing w:line="240" w:lineRule="auto" w:before="0" w:after="0"/>
              <w:pStyle w:val="Compact"/>
            </w:pPr>
            <w:r>
              <w:rPr>
                <w:sz w:val="20"/>
                <w:szCs w:val="20"/>
              </w:rPr>
              <w:t xml:space="preserve">8450</w:t>
            </w:r>
          </w:p>
        </w:tc>
        <w:tc>
          <w:tcPr>
            <w:tcW w:w="0" w:type="auto"/>
          </w:tcPr>
          <w:p>
            <w:pPr>
              <w:spacing w:line="240" w:lineRule="auto" w:before="0" w:after="0"/>
              <w:pStyle w:val="Compact"/>
            </w:pPr>
            <w:r>
              <w:rPr>
                <w:sz w:val="20"/>
                <w:szCs w:val="20"/>
              </w:rPr>
              <w:t xml:space="preserve">US/NZ</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r>
        <w:tc>
          <w:tcPr>
            <w:tcW w:w="0" w:type="auto"/>
          </w:tcPr>
          <w:p>
            <w:pPr>
              <w:spacing w:line="240" w:lineRule="auto" w:before="0" w:after="0"/>
              <w:pStyle w:val="Compact"/>
            </w:pPr>
            <w:r>
              <w:rPr>
                <w:sz w:val="20"/>
                <w:szCs w:val="20"/>
              </w:rPr>
              <w:t xml:space="preserve">Falcon Heavy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8450</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buy</w:t>
            </w:r>
          </w:p>
        </w:tc>
        <w:tc>
          <w:tcPr>
            <w:tcW w:w="0" w:type="auto"/>
          </w:tcPr>
          <w:p>
            <w:pPr>
              <w:spacing w:line="240" w:lineRule="auto" w:before="0" w:after="0"/>
              <w:pStyle w:val="Compact"/>
            </w:pPr>
            <w:r>
              <w:rPr>
                <w:sz w:val="20"/>
                <w:szCs w:val="20"/>
              </w:rPr>
              <w:t xml:space="preserve">Our World in Data, Cost of space launches to LEO (CSIS Aerospace Security / FAA), 2022; cumulative from OWID/UNOOSA objects-launched series</w:t>
            </w:r>
          </w:p>
        </w:tc>
      </w:tr>
    </w:tbl>
    <w:bookmarkEnd w:id="208"/>
    <w:bookmarkStart w:id="209"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cost_per_kg_leo_fy21usd</w:t>
            </w:r>
          </w:p>
        </w:tc>
        <w:tc>
          <w:tcPr>
            <w:tcW w:w="0" w:type="auto"/>
          </w:tcPr>
          <w:p>
            <w:pPr>
              <w:spacing w:line="240" w:lineRule="auto" w:before="0" w:after="0"/>
              <w:pStyle w:val="Compact"/>
            </w:pPr>
            <w:r>
              <w:rPr>
                <w:sz w:val="20"/>
                <w:szCs w:val="20"/>
              </w:rPr>
              <w:t xml:space="preserve">Dedicated-launch cost to place one kilogram of payload into low Earth orbit, in constant FY2021 US dollars</w:t>
            </w:r>
          </w:p>
        </w:tc>
        <w:tc>
          <w:tcPr>
            <w:tcW w:w="0" w:type="auto"/>
          </w:tcPr>
          <w:p>
            <w:pPr>
              <w:spacing w:line="240" w:lineRule="auto" w:before="0" w:after="0"/>
              <w:pStyle w:val="Compact"/>
            </w:pPr>
            <w:r>
              <w:rPr>
                <w:sz w:val="20"/>
                <w:szCs w:val="20"/>
              </w:rPr>
              <w:t xml:space="preserve">Our World in Data, Cost of space launches to LEO, compiling CSIS Aerospace Security Project and FAA estimates (2022)</w:t>
            </w:r>
          </w:p>
        </w:tc>
      </w:tr>
      <w:tr>
        <w:tc>
          <w:tcPr>
            <w:tcW w:w="0" w:type="auto"/>
          </w:tcPr>
          <w:p>
            <w:pPr>
              <w:spacing w:line="240" w:lineRule="auto" w:before="0" w:after="0"/>
              <w:pStyle w:val="Compact"/>
            </w:pPr>
            <w:r>
              <w:rPr>
                <w:sz w:val="20"/>
                <w:szCs w:val="20"/>
              </w:rPr>
              <w:t xml:space="preserve">cum_objects_launched</w:t>
            </w:r>
          </w:p>
        </w:tc>
        <w:tc>
          <w:tcPr>
            <w:tcW w:w="0" w:type="auto"/>
          </w:tcPr>
          <w:p>
            <w:pPr>
              <w:spacing w:line="240" w:lineRule="auto" w:before="0" w:after="0"/>
              <w:pStyle w:val="Compact"/>
            </w:pPr>
            <w:r>
              <w:rPr>
                <w:sz w:val="20"/>
                <w:szCs w:val="20"/>
              </w:rPr>
              <w:t xml:space="preserve">Cumulative count of objects launched into space worldwide through the end of the vehicle’s first-flight year; a Wright-style proxy for cumulative industry production experience</w:t>
            </w:r>
          </w:p>
        </w:tc>
        <w:tc>
          <w:tcPr>
            <w:tcW w:w="0" w:type="auto"/>
          </w:tcPr>
          <w:p>
            <w:pPr>
              <w:spacing w:line="240" w:lineRule="auto" w:before="0" w:after="0"/>
              <w:pStyle w:val="Compact"/>
            </w:pPr>
            <w:r>
              <w:rPr>
                <w:sz w:val="20"/>
                <w:szCs w:val="20"/>
              </w:rPr>
              <w:t xml:space="preserve">Our World in Data, Yearly number of objects launched into outer space (UNOOSA Online Index of Objects Launched into Outer Space), summed to a running cumulative total</w:t>
            </w:r>
          </w:p>
        </w:tc>
      </w:tr>
      <w:tr>
        <w:tc>
          <w:tcPr>
            <w:tcW w:w="0" w:type="auto"/>
          </w:tcPr>
          <w:p>
            <w:pPr>
              <w:spacing w:line="240" w:lineRule="auto" w:before="0" w:after="0"/>
              <w:pStyle w:val="Compact"/>
            </w:pPr>
            <w:r>
              <w:rPr>
                <w:sz w:val="20"/>
                <w:szCs w:val="20"/>
              </w:rPr>
              <w:t xml:space="preserve">first_flight_year</w:t>
            </w:r>
          </w:p>
        </w:tc>
        <w:tc>
          <w:tcPr>
            <w:tcW w:w="0" w:type="auto"/>
          </w:tcPr>
          <w:p>
            <w:pPr>
              <w:spacing w:line="240" w:lineRule="auto" w:before="0" w:after="0"/>
              <w:pStyle w:val="Compact"/>
            </w:pPr>
            <w:r>
              <w:rPr>
                <w:sz w:val="20"/>
                <w:szCs w:val="20"/>
              </w:rPr>
              <w:t xml:space="preserve">Year the launch vehicle entered service, used to index cumulative industry experience</w:t>
            </w:r>
          </w:p>
        </w:tc>
        <w:tc>
          <w:tcPr>
            <w:tcW w:w="0" w:type="auto"/>
          </w:tcPr>
          <w:p>
            <w:pPr>
              <w:spacing w:line="240" w:lineRule="auto" w:before="0" w:after="0"/>
              <w:pStyle w:val="Compact"/>
            </w:pPr>
            <w:r>
              <w:rPr>
                <w:sz w:val="20"/>
                <w:szCs w:val="20"/>
              </w:rPr>
              <w:t xml:space="preserve">Our World in Data / CSIS Aerospace Security Project vehicle introduction year (2022)</w:t>
            </w:r>
          </w:p>
        </w:tc>
      </w:tr>
      <w:tr>
        <w:tc>
          <w:tcPr>
            <w:tcW w:w="0" w:type="auto"/>
          </w:tcPr>
          <w:p>
            <w:pPr>
              <w:spacing w:line="240" w:lineRule="auto" w:before="0" w:after="0"/>
              <w:pStyle w:val="Compact"/>
            </w:pPr>
            <w:r>
              <w:rPr>
                <w:sz w:val="20"/>
                <w:szCs w:val="20"/>
              </w:rPr>
              <w:t xml:space="preserve">governance_form</w:t>
            </w:r>
          </w:p>
        </w:tc>
        <w:tc>
          <w:tcPr>
            <w:tcW w:w="0" w:type="auto"/>
          </w:tcPr>
          <w:p>
            <w:pPr>
              <w:spacing w:line="240" w:lineRule="auto" w:before="0" w:after="0"/>
              <w:pStyle w:val="Compact"/>
            </w:pPr>
            <w:r>
              <w:rPr>
                <w:sz w:val="20"/>
                <w:szCs w:val="20"/>
              </w:rPr>
              <w:t xml:space="preserve">Coded boundary form of the vehicle’s primary acquisition: make (government in-house development), buy (firm-fixed-price commercial procurement), or federate (multinational or shared-risk public-private consortium)</w:t>
            </w:r>
          </w:p>
        </w:tc>
        <w:tc>
          <w:tcPr>
            <w:tcW w:w="0" w:type="auto"/>
          </w:tcPr>
          <w:p>
            <w:pPr>
              <w:spacing w:line="240" w:lineRule="auto" w:before="0" w:after="0"/>
              <w:pStyle w:val="Compact"/>
            </w:pPr>
            <w:r>
              <w:rPr>
                <w:sz w:val="20"/>
                <w:szCs w:val="20"/>
              </w:rPr>
              <w:t xml:space="preserve">Coded by the author from program provenance; descriptive covariate, not an estimand in the log-log model</w:t>
            </w:r>
          </w:p>
        </w:tc>
      </w:tr>
    </w:tbl>
    <w:bookmarkEnd w:id="209"/>
    <w:bookmarkEnd w:id="210"/>
    <w:bookmarkEnd w:id="21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6" Type="http://schemas.openxmlformats.org/officeDocument/2006/relationships/image" Target="media/rId196.png"/><Relationship Id="rId204" Type="http://schemas.openxmlformats.org/officeDocument/2006/relationships/image" Target="media/rId204.png"/><Relationship Id="rId187" Type="http://schemas.openxmlformats.org/officeDocument/2006/relationships/hyperlink" Target="https://doi.org/10.1016/j.actaastro.2018.07.003" TargetMode="External"/><Relationship Id="rId163" Type="http://schemas.openxmlformats.org/officeDocument/2006/relationships/hyperlink" Target="https://doi.org/10.1016/j.actaastro.2019.09.030" TargetMode="External"/><Relationship Id="rId185" Type="http://schemas.openxmlformats.org/officeDocument/2006/relationships/hyperlink" Target="https://doi.org/10.1016/j.actaastro.2020.06.023" TargetMode="External"/><Relationship Id="rId190" Type="http://schemas.openxmlformats.org/officeDocument/2006/relationships/hyperlink" Target="https://doi.org/10.1016/j.actaastro.2022.04.020" TargetMode="External"/><Relationship Id="rId134" Type="http://schemas.openxmlformats.org/officeDocument/2006/relationships/hyperlink" Target="https://doi.org/10.1016/j.actaastro.2023.05.001" TargetMode="External"/><Relationship Id="rId161" Type="http://schemas.openxmlformats.org/officeDocument/2006/relationships/hyperlink" Target="https://doi.org/10.1016/j.actaastro.2023.12.035" TargetMode="External"/><Relationship Id="rId182" Type="http://schemas.openxmlformats.org/officeDocument/2006/relationships/hyperlink" Target="https://doi.org/10.1016/j.actaastro.2024.01.038" TargetMode="External"/><Relationship Id="rId180" Type="http://schemas.openxmlformats.org/officeDocument/2006/relationships/hyperlink" Target="https://doi.org/10.1016/j.actaastro.2024.08.022" TargetMode="External"/><Relationship Id="rId132" Type="http://schemas.openxmlformats.org/officeDocument/2006/relationships/hyperlink" Target="https://doi.org/10.1016/j.actaastro.2024.09.005" TargetMode="External"/><Relationship Id="rId142" Type="http://schemas.openxmlformats.org/officeDocument/2006/relationships/hyperlink" Target="https://doi.org/10.1016/j.actaastro.2024.09.058" TargetMode="External"/><Relationship Id="rId138" Type="http://schemas.openxmlformats.org/officeDocument/2006/relationships/hyperlink" Target="https://doi.org/10.1016/j.actaastro.2025.02.009" TargetMode="External"/><Relationship Id="rId192" Type="http://schemas.openxmlformats.org/officeDocument/2006/relationships/hyperlink" Target="https://doi.org/10.1016/j.actaastro.2025.05.049" TargetMode="External"/><Relationship Id="rId159" Type="http://schemas.openxmlformats.org/officeDocument/2006/relationships/hyperlink" Target="https://doi.org/10.1016/j.actaastro.2026.01.018" TargetMode="External"/><Relationship Id="rId136" Type="http://schemas.openxmlformats.org/officeDocument/2006/relationships/hyperlink" Target="https://doi.org/10.1016/j.actaastro.2026.01.040" TargetMode="External"/><Relationship Id="rId140" Type="http://schemas.openxmlformats.org/officeDocument/2006/relationships/hyperlink" Target="https://doi.org/10.1016/j.actaastro.2026.03.026" TargetMode="External"/><Relationship Id="rId172" Type="http://schemas.openxmlformats.org/officeDocument/2006/relationships/hyperlink" Target="https://doi.org/10.64861/NUFH1261" TargetMode="External"/><Relationship Id="rId147" Type="http://schemas.openxmlformats.org/officeDocument/2006/relationships/hyperlink" Target="https://doi.org/10.64861/QAOZ6812" TargetMode="External"/><Relationship Id="rId178" Type="http://schemas.openxmlformats.org/officeDocument/2006/relationships/hyperlink" Target="https://doi.org/10.64861/TRSQ4124" TargetMode="External"/><Relationship Id="rId175" Type="http://schemas.openxmlformats.org/officeDocument/2006/relationships/hyperlink" Target="https://doi.org/10.64861/UHIX1013" TargetMode="External"/></Relationships>
</file>

<file path=word/_rels/footnotes.xml.rels><?xml version='1.0' encoding='UTF-8' standalone='yes'?>
<Relationships xmlns="http://schemas.openxmlformats.org/package/2006/relationships"><Relationship Id="rId187" Type="http://schemas.openxmlformats.org/officeDocument/2006/relationships/hyperlink" Target="https://doi.org/10.1016/j.actaastro.2018.07.003" TargetMode="External"/><Relationship Id="rId163" Type="http://schemas.openxmlformats.org/officeDocument/2006/relationships/hyperlink" Target="https://doi.org/10.1016/j.actaastro.2019.09.030" TargetMode="External"/><Relationship Id="rId185" Type="http://schemas.openxmlformats.org/officeDocument/2006/relationships/hyperlink" Target="https://doi.org/10.1016/j.actaastro.2020.06.023" TargetMode="External"/><Relationship Id="rId190" Type="http://schemas.openxmlformats.org/officeDocument/2006/relationships/hyperlink" Target="https://doi.org/10.1016/j.actaastro.2022.04.020" TargetMode="External"/><Relationship Id="rId134" Type="http://schemas.openxmlformats.org/officeDocument/2006/relationships/hyperlink" Target="https://doi.org/10.1016/j.actaastro.2023.05.001" TargetMode="External"/><Relationship Id="rId161" Type="http://schemas.openxmlformats.org/officeDocument/2006/relationships/hyperlink" Target="https://doi.org/10.1016/j.actaastro.2023.12.035" TargetMode="External"/><Relationship Id="rId182" Type="http://schemas.openxmlformats.org/officeDocument/2006/relationships/hyperlink" Target="https://doi.org/10.1016/j.actaastro.2024.01.038" TargetMode="External"/><Relationship Id="rId180" Type="http://schemas.openxmlformats.org/officeDocument/2006/relationships/hyperlink" Target="https://doi.org/10.1016/j.actaastro.2024.08.022" TargetMode="External"/><Relationship Id="rId132" Type="http://schemas.openxmlformats.org/officeDocument/2006/relationships/hyperlink" Target="https://doi.org/10.1016/j.actaastro.2024.09.005" TargetMode="External"/><Relationship Id="rId142" Type="http://schemas.openxmlformats.org/officeDocument/2006/relationships/hyperlink" Target="https://doi.org/10.1016/j.actaastro.2024.09.058" TargetMode="External"/><Relationship Id="rId138" Type="http://schemas.openxmlformats.org/officeDocument/2006/relationships/hyperlink" Target="https://doi.org/10.1016/j.actaastro.2025.02.009" TargetMode="External"/><Relationship Id="rId192" Type="http://schemas.openxmlformats.org/officeDocument/2006/relationships/hyperlink" Target="https://doi.org/10.1016/j.actaastro.2025.05.049" TargetMode="External"/><Relationship Id="rId159" Type="http://schemas.openxmlformats.org/officeDocument/2006/relationships/hyperlink" Target="https://doi.org/10.1016/j.actaastro.2026.01.018" TargetMode="External"/><Relationship Id="rId136" Type="http://schemas.openxmlformats.org/officeDocument/2006/relationships/hyperlink" Target="https://doi.org/10.1016/j.actaastro.2026.01.040" TargetMode="External"/><Relationship Id="rId140" Type="http://schemas.openxmlformats.org/officeDocument/2006/relationships/hyperlink" Target="https://doi.org/10.1016/j.actaastro.2026.03.026" TargetMode="External"/><Relationship Id="rId172" Type="http://schemas.openxmlformats.org/officeDocument/2006/relationships/hyperlink" Target="https://doi.org/10.64861/NUFH1261" TargetMode="External"/><Relationship Id="rId147" Type="http://schemas.openxmlformats.org/officeDocument/2006/relationships/hyperlink" Target="https://doi.org/10.64861/QAOZ6812" TargetMode="External"/><Relationship Id="rId178" Type="http://schemas.openxmlformats.org/officeDocument/2006/relationships/hyperlink" Target="https://doi.org/10.64861/TRSQ4124" TargetMode="External"/><Relationship Id="rId175" Type="http://schemas.openxmlformats.org/officeDocument/2006/relationships/hyperlink" Target="https://doi.org/10.64861/UHIX1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Buy, or Federate: A Transaction-Cost Test of the Boundary Choice in Space</dc:title>
  <dc:creator>Henry Strand (1B-MPM-055)</dc:creator>
  <cp:keywords/>
  <dcterms:created xsi:type="dcterms:W3CDTF">2026-07-04T02:03:58Z</dcterms:created>
  <dcterms:modified xsi:type="dcterms:W3CDTF">2026-07-04T02:03:58Z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