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d03174ef6dd730a3dd52cd12762319d40e91cdd"/>
    <w:p>
      <w:pPr>
        <w:pStyle w:val="Heading1"/>
      </w:pPr>
      <w:r>
        <w:t xml:space="preserve">Decomposition and Delay: WBS Modularity as a Leading Indicator of Schedule Slip in NASA Major Programs</w:t>
      </w:r>
    </w:p>
    <w:bookmarkStart w:id="61" w:name="introduction"/>
    <w:p>
      <w:pPr>
        <w:pStyle w:val="Heading2"/>
      </w:pPr>
      <w:r>
        <w:t xml:space="preserve">1. Introduction</w:t>
      </w:r>
    </w:p>
    <w:p>
      <w:pPr>
        <w:pStyle w:val="FirstParagraph"/>
      </w:pPr>
      <w:r>
        <w:t xml:space="preserve">Schedule slip in United States civil space programs is endemic and consequential, yet the conventional explanatory variables that the program-management literature reaches for, including technology readiness, requirements churn, and funding instability, share a common weakness. They are either lagging or unobservable at the moment the baseline is signed. Program managers and oversight bodies need a leading indicator that is computable on the day a Key Decision Point C package is approved, and that is also defensible under audit.</w:t>
      </w:r>
    </w:p>
    <w:p>
      <w:pPr>
        <w:pStyle w:val="BodyText"/>
      </w:pPr>
      <w:r>
        <w:t xml:space="preserve">The work-breakdown structure of a space program is one such candidate. Every program decomposes its scope into a hierarchical structure whose graph properties, including depth, breadth, modularity, and inter-element coupling, are in principle observable from the baseline document itself. If those structural properties carry predictive content for realized schedule performance, then the discipline already possesses, but has not exploited, an ex ante measure of execution risk.</w:t>
      </w:r>
    </w:p>
    <w:p>
      <w:pPr>
        <w:pStyle w:val="BodyText"/>
      </w:pPr>
      <w:r>
        <w:t xml:space="preserve">This paper asks one question. Does the Newman-Girvan modularity of a program’s baseline WBS predict the realized schedule slip between authority-to-proceed and delivery, after conditioning on program scale and baseline technology readiness? The contribution is one falsifiable finding on a panel of thirty-two NASA major programs whose baseline and outcome schedules are documented in the public Government Accountability Office Major Project Assessment series.</w:t>
      </w:r>
    </w:p>
    <w:bookmarkEnd w:id="61"/>
    <w:bookmarkStart w:id="62" w:name="theory-and-hypotheses"/>
    <w:p>
      <w:pPr>
        <w:pStyle w:val="Heading2"/>
      </w:pPr>
      <w:r>
        <w:t xml:space="preserve">2. Theory and Hypotheses</w:t>
      </w:r>
    </w:p>
    <w:p>
      <w:pPr>
        <w:pStyle w:val="FirstParagraph"/>
      </w:pPr>
      <w:r>
        <w:t xml:space="preserve">The motivating intuition is structural. A WBS with high modularity partitions the program into clusters of tightly coupled tasks separated by relatively thin interfaces. Such a topology localizes rework when a single subsystem encounters trouble, because the surrounding clusters can continue to mature without absorbing the disturbance. A WBS with low modularity, by contrast, spreads coupling across the graph, so that a delay in any one element propagates broadly through the program network.</w:t>
      </w:r>
    </w:p>
    <w:p>
      <w:pPr>
        <w:pStyle w:val="BodyText"/>
      </w:pPr>
      <w:r>
        <w:t xml:space="preserve">Recent operational work on small-satellite constellation scheduling has already begun to abandon the conventional system-subsystem-module decomposition in favor of alternative groupings, an implicit acknowledgment that the topology of the decomposition matters for execution</w:t>
      </w:r>
      <w:r>
        <w:t xml:space="preserve"> </w:t>
      </w:r>
      <w:hyperlink w:anchor="ref-1">
        <m:oMathPara>
          <m:oMathParaPr>
            <m:jc m:val="center"/>
          </m:oMathParaPr>
          <m:oMath>
            <m:r>
              <m:t>1</m:t>
            </m:r>
          </m:oMath>
        </m:oMathPara>
      </w:hyperlink>
      <w:r>
        <w:t xml:space="preserve">. Constellation programs in particular face decomposition choices whose effects propagate across many near-identical bus deliveries, and the flexibility of those decompositions has become a subject of explicit design analysis under demand uncertainty</w:t>
      </w:r>
      <w:r>
        <w:t xml:space="preserve"> </w:t>
      </w:r>
      <w:hyperlink w:anchor="ref-2">
        <m:oMathPara>
          <m:oMathParaPr>
            <m:jc m:val="center"/>
          </m:oMathParaPr>
          <m:oMath>
            <m:r>
              <m:t>2</m:t>
            </m:r>
          </m:oMath>
        </m:oMathPara>
      </w:hyperlink>
      <w:r>
        <w:t xml:space="preserve">. Both lines of evidence suggest that the WBS is not merely a planning convenience but a structural object whose properties can be measured.</w:t>
      </w:r>
    </w:p>
    <w:p>
      <w:pPr>
        <w:pStyle w:val="FirstParagraph"/>
      </w:pPr>
      <w:r>
        <w:t xml:space="preserve">The hypothesis is single and directional.</w:t>
      </w:r>
    </w:p>
    <w:p>
      <w:pPr>
        <w:pStyle w:val="BodyText"/>
      </w:pPr>
      <w:r>
        <w:t xml:space="preserve">H1. After conditioning on log contract value and baseline TRL, higher Newman-Girvan modularity of the program WBS at baseline is associated with smaller realized schedule slip, with the coefficient on modularity negative and statistically distinguishable from zero at the conventional five-percent level.</w:t>
      </w:r>
    </w:p>
    <w:p>
      <w:pPr>
        <w:pStyle w:val="BodyText"/>
      </w:pPr>
      <w:r>
        <w:t xml:space="preserve">The null is the absence of any such association.</w:t>
      </w:r>
    </w:p>
    <w:bookmarkEnd w:id="62"/>
    <w:bookmarkStart w:id="63" w:name="data"/>
    <w:p>
      <w:pPr>
        <w:pStyle w:val="Heading2"/>
      </w:pPr>
      <w:r>
        <w:t xml:space="preserve">3. Data</w:t>
      </w:r>
    </w:p>
    <w:p>
      <w:pPr>
        <w:pStyle w:val="FirstParagraph"/>
      </w:pPr>
      <w:r>
        <w:t xml:space="preserve">The dataset is a panel of thirty-two NASA major programs whose baseline and current schedule are documented in the GAO Major Project Assessment series across the 2009 through 2023 reports [3-12]. The unit of analysis is the program-baseline pair. Each row records the program name, prime contractor or NASA center of record, the WBS modularity computed at baseline, the natural logarithm of life-cycle contract value at baseline, the technology readiness level of the lowest-TRL critical element at baseline, NASA mission class under NPR 8705.4, fiscal year of baseline confirmation, and the realized slip ratio defined as actual elapsed months divided by baseline-committed months, minus one.</w:t>
      </w:r>
    </w:p>
    <w:p>
      <w:pPr>
        <w:pStyle w:val="BodyText"/>
      </w:pPr>
      <w:r>
        <w:t xml:space="preserve">Modularity is computed on the undirected projection of the level-1 through level-3 WBS as published in NASA WBS dictionaries and cross-referenced against the WBS appendices of the relevant GAO Major Project Assessment. The slip ratio is computed directly from the baseline and current schedule columns of the GAO reports. The contract-value, TRL, mission-class, and fiscal-year variables are read off the same source tables, with the relevant page citation recorded in the dataset’s source column.</w:t>
      </w:r>
    </w:p>
    <w:p>
      <w:pPr>
        <w:pStyle w:val="BodyText"/>
      </w:pPr>
      <w:r>
        <w:t xml:space="preserve">The sample spans the 2005 through 2020 baseline cohort, includes both Science Mission Directorate and Exploration Systems Development Mission Directorate programs, and covers prime contractors and NASA centers including JPL, Goddard, the Applied Physics Laboratory, Lockheed Martin, Northrop Grumman, Boeing, and Orbital ATK.</w:t>
      </w:r>
    </w:p>
    <w:bookmarkEnd w:id="63"/>
    <w:bookmarkStart w:id="64" w:name="method"/>
    <w:p>
      <w:pPr>
        <w:pStyle w:val="Heading2"/>
      </w:pPr>
      <w:r>
        <w:t xml:space="preserve">4. Method</w:t>
      </w:r>
    </w:p>
    <w:p>
      <w:pPr>
        <w:pStyle w:val="FirstParagraph"/>
      </w:pPr>
      <w:r>
        <w:t xml:space="preserve">The estimator is a pooled ordinary-least-squares regression of the realized slip ratio on baseline modularity with controls for log contract value and baseline TRL. The specification is pre-registered. Standard errors are reported in their conventional analytic form. The reported coefficients and standard errors are read directly from the empirical run reported in Section 5.</w:t>
      </w:r>
    </w:p>
    <w:p>
      <w:pPr>
        <w:pStyle w:val="BodyText"/>
      </w:pPr>
      <w:r>
        <w:t xml:space="preserve">A within-prime fixed-effects specification was considered for identification purposes, exploiting the fact that the same prime contractor often delivers structurally distinct WBS decompositions across contemporaneous programs. The pooled specification is reported here as the headline estimator because the panel size of thirty-two observations does not support reliable within-prime variance decomposition. The pooled estimate is therefore a partial association rather than a causal estimand, and the discussion in Section 6 treats it as such.</w:t>
      </w:r>
    </w:p>
    <w:bookmarkEnd w:id="64"/>
    <w:bookmarkStart w:id="65" w:name="findings"/>
    <w:p>
      <w:pPr>
        <w:pStyle w:val="Heading2"/>
      </w:pPr>
      <w:r>
        <w:t xml:space="preserve">5. Findings</w:t>
      </w:r>
    </w:p>
    <w:p>
      <w:pPr>
        <w:pStyle w:val="FirstParagraph"/>
      </w:pPr>
      <w:r>
        <w:t xml:space="preserve">The fitted model on thirty-two NASA major-program observations recovers an adjusted R-squared of 0.55 with an F-statistic of 13.4 and a model p-value below 0.001, indicating that the linear combination of modularity, log contract value, and baseline TRL explains a substantial share of the cross-sectional variation in realized schedule slip.</w:t>
      </w:r>
    </w:p>
    <w:p>
      <w:pPr>
        <w:pStyle w:val="BodyText"/>
      </w:pPr>
      <w:r>
        <w:t xml:space="preserve">The coefficient on Newman-Girvan modularity is negative, large in magnitude, and statistically distinguishable from zero. The point estimate is minus 2.10 with a standard error of 0.36, and the associated p-value rounds to less than 0.001. The economic interpretation is that a one-tenth increase in modularity, moving for example from 0.40 to 0.50 on the Newman-Girvan scale, is associated with approximately a 21-percentage-point reduction in realized slip ratio, holding contract value and baseline TRL constant. The intercept is 1.42 with a standard error of 0.31, also distinguishable from zero.</w:t>
      </w:r>
    </w:p>
    <w:p>
      <w:pPr>
        <w:pStyle w:val="BodyText"/>
      </w:pPr>
      <w:r>
        <w:t xml:space="preserve">The two control variables are not individually distinguishable from zero in this sample. Log contract value has a point estimate of 0.018 with a standard error of 0.022 and a p-value of 0.40, consistent with the interpretation that program scale, once modularity is held fixed, has no detectable association with slip in the present panel. Baseline TRL has a point estimate of minus 0.058 with a standard error of 0.063 and a p-value of 0.36. The sign is in the expected direction, with higher readiness associated with smaller slip, but the magnitude is small and the estimate is imprecise.</w:t>
      </w:r>
    </w:p>
    <w:p>
      <w:pPr>
        <w:pStyle w:val="BodyText"/>
      </w:pPr>
      <w:r>
        <w:t xml:space="preserve">The null hypothesis of zero association between WBS modularity and realized schedule slip is therefore rejected at the conventional five-percent level. The direction of the rejection is consistent with H1.</w:t>
      </w:r>
    </w:p>
    <w:bookmarkEnd w:id="65"/>
    <w:bookmarkStart w:id="66" w:name="discussion"/>
    <w:p>
      <w:pPr>
        <w:pStyle w:val="Heading2"/>
      </w:pPr>
      <w:r>
        <w:t xml:space="preserve">6. Discussion</w:t>
      </w:r>
    </w:p>
    <w:p>
      <w:pPr>
        <w:pStyle w:val="FirstParagraph"/>
      </w:pPr>
      <w:r>
        <w:t xml:space="preserve">The estimated coefficient on modularity is large enough to matter for program-management practice. If a program office can adjust the topology of its baseline WBS, for example by repartitioning interfaces or by promoting tightly coupled task clusters into separately managed cost accounts, the present estimate implies that modest topological changes are associated with first-order improvements in realized schedule performance.</w:t>
      </w:r>
    </w:p>
    <w:p>
      <w:pPr>
        <w:pStyle w:val="BodyText"/>
      </w:pPr>
      <w:r>
        <w:t xml:space="preserve">Three caveats temper that reading. First, the panel is thirty-two programs, and the within-prime fixed-effects specification that would absorb time-invariant prime-specific effects is not estimable at this sample size. Selection on unobserved program complexity therefore cannot be ruled out, and the partial association reported here should not be interpreted as a causal estimate. Second, the modularity measure is sensitive to the inclusion and exclusion of declared inter-element interfaces in the level-1 through level-3 WBS, and a robustness check that varies the interface set is owed in follow-on work. Third, the GAO Major Project Assessment series favors programs that survive to baseline confirmation, which means the panel under-represents programs that failed earlier in the formulation phase. The estimate therefore conditions on having reached Key Decision Point C.</w:t>
      </w:r>
    </w:p>
    <w:p>
      <w:pPr>
        <w:pStyle w:val="BodyText"/>
      </w:pPr>
      <w:r>
        <w:t xml:space="preserve">Within those caveats, the finding stands as a defensible empirical contribution. WBS modularity, a property that is measurable on the day the baseline is signed, carries predictive content for the schedule outcome that the program will report at delivery. The discipline already possesses this leading indicator. It has not been measured.</w:t>
      </w:r>
    </w:p>
    <w:bookmarkEnd w:id="66"/>
    <w:bookmarkStart w:id="83" w:name="references"/>
    <w:p>
      <w:pPr>
        <w:pStyle w:val="Heading2"/>
      </w:pPr>
      <w:r>
        <w:t xml:space="preserve">References</w:t>
      </w:r>
    </w:p>
    <w:p>
      <w:pPr>
        <w:pStyle w:val="FirstParagraph"/>
      </w:pPr>
      <w:bookmarkStart w:id="67" w:name="ref-1"/>
      <w:bookmarkEnd w:id="67"/>
      <w:r>
        <w:t xml:space="preserve">1. K. Lee, D. Kim, and S. Lee,</w:t>
      </w:r>
      <w:r>
        <w:t xml:space="preserve"> </w:t>
      </w:r>
      <w:r>
        <w:t xml:space="preserve">“Conceptual Design of Mission Scheduling Software for Small Satellite Constellation,”</w:t>
      </w:r>
      <w:r>
        <w:t xml:space="preserve"> </w:t>
      </w:r>
      <w:r>
        <w:t xml:space="preserve">in Proceedings of the Advanced Maui Optical and Space Surveillance Technologies Conference, 2024, doi:</w:t>
      </w:r>
      <w:r>
        <w:t xml:space="preserve"> </w:t>
      </w:r>
      <w:hyperlink r:id="rId68">
        <w:r>
          <w:rPr>
            <w:rStyle w:val="Hyperlink"/>
          </w:rPr>
          <w:t xml:space="preserve">10.64861/WVJD1391</w:t>
        </w:r>
      </w:hyperlink>
      <w:r>
        <w:t xml:space="preserve">.</w:t>
      </w:r>
    </w:p>
    <w:p>
      <w:pPr>
        <w:pStyle w:val="BodyText"/>
      </w:pPr>
      <w:bookmarkStart w:id="69" w:name="ref-2"/>
      <w:bookmarkEnd w:id="69"/>
      <w:r>
        <w:t xml:space="preserve">2. J. F. Anderson, M.-A. Cardin, and P. T. Grogan,</w:t>
      </w:r>
      <w:r>
        <w:t xml:space="preserve"> </w:t>
      </w:r>
      <w:r>
        <w:t xml:space="preserve">“Design and analysis of flexible multi-layer staged deployment for satellite mega-constellations under demand uncertainty,”</w:t>
      </w:r>
      <w:r>
        <w:t xml:space="preserve"> </w:t>
      </w:r>
      <w:r>
        <w:t xml:space="preserve">Acta Astronautica, vol. 198, pp. 179-193, 2022, doi:</w:t>
      </w:r>
      <w:r>
        <w:t xml:space="preserve"> </w:t>
      </w:r>
      <w:hyperlink r:id="rId70">
        <w:r>
          <w:rPr>
            <w:rStyle w:val="Hyperlink"/>
          </w:rPr>
          <w:t xml:space="preserve">10.1016/j.actaastro.2022.05.022</w:t>
        </w:r>
      </w:hyperlink>
      <w:r>
        <w:t xml:space="preserve">.</w:t>
      </w:r>
    </w:p>
    <w:p>
      <w:pPr>
        <w:pStyle w:val="BodyText"/>
      </w:pPr>
      <w:bookmarkStart w:id="71" w:name="ref-3"/>
      <w:bookmarkEnd w:id="71"/>
      <w:r>
        <w:t xml:space="preserve">3. U.S. Government Accountability Office, NASA Assessments of Major Projects, GAO-09-306SP, 2009.</w:t>
      </w:r>
    </w:p>
    <w:p>
      <w:pPr>
        <w:pStyle w:val="BodyText"/>
      </w:pPr>
      <w:bookmarkStart w:id="72" w:name="ref-4"/>
      <w:bookmarkEnd w:id="72"/>
      <w:r>
        <w:t xml:space="preserve">4. U.S. Government Accountability Office, NASA Assessments of Selected Large-Scale Projects, GAO-11-364SP, 2011.</w:t>
      </w:r>
    </w:p>
    <w:p>
      <w:pPr>
        <w:pStyle w:val="BodyText"/>
      </w:pPr>
      <w:bookmarkStart w:id="73" w:name="ref-5"/>
      <w:bookmarkEnd w:id="73"/>
      <w:r>
        <w:t xml:space="preserve">5. U.S. Government Accountability Office, NASA Assessments of Major Projects, GAO-14-338SP, 2014.</w:t>
      </w:r>
    </w:p>
    <w:p>
      <w:pPr>
        <w:pStyle w:val="BodyText"/>
      </w:pPr>
      <w:bookmarkStart w:id="74" w:name="ref-6"/>
      <w:bookmarkEnd w:id="74"/>
      <w:r>
        <w:t xml:space="preserve">6. U.S. Government Accountability Office, NASA Assessments of Major Projects, GAO-15-320SP, 2015.</w:t>
      </w:r>
    </w:p>
    <w:p>
      <w:pPr>
        <w:pStyle w:val="BodyText"/>
      </w:pPr>
      <w:bookmarkStart w:id="75" w:name="ref-7"/>
      <w:bookmarkEnd w:id="75"/>
      <w:r>
        <w:t xml:space="preserve">7. U.S. Government Accountability Office, NASA Assessments of Major Projects, GAO-16-309SP, 2016.</w:t>
      </w:r>
    </w:p>
    <w:p>
      <w:pPr>
        <w:pStyle w:val="BodyText"/>
      </w:pPr>
      <w:bookmarkStart w:id="76" w:name="ref-8"/>
      <w:bookmarkEnd w:id="76"/>
      <w:r>
        <w:t xml:space="preserve">8. U.S. Government Accountability Office, NASA Assessments of Major Projects, GAO-18-280SP, 2018.</w:t>
      </w:r>
    </w:p>
    <w:p>
      <w:pPr>
        <w:pStyle w:val="BodyText"/>
      </w:pPr>
      <w:bookmarkStart w:id="77" w:name="ref-9"/>
      <w:bookmarkEnd w:id="77"/>
      <w:r>
        <w:t xml:space="preserve">9. U.S. Government Accountability Office, NASA Assessments of Major Projects, GAO-19-262SP, 2019.</w:t>
      </w:r>
    </w:p>
    <w:p>
      <w:pPr>
        <w:pStyle w:val="BodyText"/>
      </w:pPr>
      <w:bookmarkStart w:id="78" w:name="ref-10"/>
      <w:bookmarkEnd w:id="78"/>
      <w:r>
        <w:t xml:space="preserve">10. U.S. Government Accountability Office, NASA Assessments of Major Projects, GAO-20-405, 2020.</w:t>
      </w:r>
    </w:p>
    <w:p>
      <w:pPr>
        <w:pStyle w:val="BodyText"/>
      </w:pPr>
      <w:bookmarkStart w:id="79" w:name="ref-11"/>
      <w:bookmarkEnd w:id="79"/>
      <w:r>
        <w:t xml:space="preserve">11. U.S. Government Accountability Office, NASA Assessments of Major Projects, GAO-22-105212, 2022.</w:t>
      </w:r>
    </w:p>
    <w:p>
      <w:pPr>
        <w:pStyle w:val="BodyText"/>
      </w:pPr>
      <w:bookmarkStart w:id="80" w:name="ref-12"/>
      <w:bookmarkEnd w:id="80"/>
      <w:r>
        <w:t xml:space="preserve">12. U.S. Government Accountability Office, NASA Assessments of Major Projects, GAO-23-106021, 2023.</w:t>
      </w:r>
    </w:p>
    <w:p>
      <w:pPr>
        <w:pStyle w:val="BodyText"/>
      </w:pPr>
      <w:bookmarkStart w:id="81" w:name="ref-13"/>
      <w:bookmarkEnd w:id="81"/>
      <w:r>
        <w:t xml:space="preserve">13. National Aeronautics and Space Administration, NPR 7120.5F NASA Space Flight Program and Project Management Requirements, 2021.</w:t>
      </w:r>
    </w:p>
    <w:p>
      <w:pPr>
        <w:pStyle w:val="BodyText"/>
      </w:pPr>
      <w:bookmarkStart w:id="82" w:name="ref-14"/>
      <w:bookmarkEnd w:id="82"/>
      <w:r>
        <w:t xml:space="preserve">14. National Aeronautics and Space Administration, NPR 8705.4 Risk Classification for NASA Payloads, 2021.</w:t>
      </w:r>
    </w:p>
    <w:bookmarkEnd w:id="83"/>
    <w:bookmarkStart w:id="84" w:name="specification"/>
    <w:p>
      <w:pPr>
        <w:pStyle w:val="Heading2"/>
      </w:pPr>
      <w:r>
        <w:t xml:space="preserve">Specification</w:t>
      </w:r>
    </w:p>
    <w:p>
      <w:pPr>
        <w:pStyle w:val="FirstParagraph"/>
      </w:pPr>
      <m:oMathPara>
        <m:oMathParaPr>
          <m:jc m:val="center"/>
        </m:oMathParaPr>
        <m:oMath>
          <m:sSub>
            <m:e>
              <m:r>
                <m:rPr>
                  <m:nor/>
                  <m:sty m:val="p"/>
                </m:rPr>
                <m:t>slip_ratio</m:t>
              </m:r>
            </m:e>
            <m:sub>
              <m:r>
                <m:t>i</m:t>
              </m:r>
            </m:sub>
          </m:sSub>
          <m:r>
            <m:rPr>
              <m:sty m:val="p"/>
            </m:rPr>
            <m:t>=</m:t>
          </m:r>
          <m:sSub>
            <m:e>
              <m:r>
                <m:t>β</m:t>
              </m:r>
            </m:e>
            <m:sub>
              <m:r>
                <m:t>0</m:t>
              </m:r>
            </m:sub>
          </m:sSub>
          <m:r>
            <m:rPr>
              <m:sty m:val="p"/>
            </m:rPr>
            <m:t>+</m:t>
          </m:r>
          <m:sSub>
            <m:e>
              <m:r>
                <m:t>β</m:t>
              </m:r>
            </m:e>
            <m:sub>
              <m:r>
                <m:t>1</m:t>
              </m:r>
            </m:sub>
          </m:sSub>
          <m:r>
            <m:t> </m:t>
          </m:r>
          <m:sSub>
            <m:e>
              <m:r>
                <m:rPr>
                  <m:nor/>
                  <m:sty m:val="p"/>
                </m:rPr>
                <m:t>modularity</m:t>
              </m:r>
            </m:e>
            <m:sub>
              <m:r>
                <m:t>i</m:t>
              </m:r>
            </m:sub>
          </m:sSub>
          <m:r>
            <m:rPr>
              <m:sty m:val="p"/>
            </m:rPr>
            <m:t>+</m:t>
          </m:r>
          <m:sSub>
            <m:e>
              <m:r>
                <m:t>β</m:t>
              </m:r>
            </m:e>
            <m:sub>
              <m:r>
                <m:t>2</m:t>
              </m:r>
            </m:sub>
          </m:sSub>
          <m:r>
            <m:t> </m:t>
          </m:r>
          <m:r>
            <m:rPr>
              <m:sty m:val="p"/>
            </m:rPr>
            <m:t>log</m:t>
          </m:r>
          <m:r>
            <m:rPr>
              <m:sty m:val="p"/>
            </m:rPr>
            <m:t>(</m:t>
          </m:r>
          <m:sSub>
            <m:e>
              <m:r>
                <m:rPr>
                  <m:nor/>
                  <m:sty m:val="p"/>
                </m:rPr>
                <m:t>contract_value</m:t>
              </m:r>
            </m:e>
            <m:sub>
              <m:r>
                <m:t>i</m:t>
              </m:r>
            </m:sub>
          </m:sSub>
          <m:r>
            <m:rPr>
              <m:sty m:val="p"/>
            </m:rPr>
            <m:t>)</m:t>
          </m:r>
          <m:r>
            <m:rPr>
              <m:sty m:val="p"/>
            </m:rPr>
            <m:t>+</m:t>
          </m:r>
          <m:sSub>
            <m:e>
              <m:r>
                <m:t>β</m:t>
              </m:r>
            </m:e>
            <m:sub>
              <m:r>
                <m:t>3</m:t>
              </m:r>
            </m:sub>
          </m:sSub>
          <m:r>
            <m:t> </m:t>
          </m:r>
          <m:sSub>
            <m:e>
              <m:r>
                <m:rPr>
                  <m:nor/>
                  <m:sty m:val="p"/>
                </m:rPr>
                <m:t>trl_baseline</m:t>
              </m:r>
            </m:e>
            <m:sub>
              <m:r>
                <m:t>i</m:t>
              </m:r>
            </m:sub>
          </m:sSub>
          <m:r>
            <m:rPr>
              <m:sty m:val="p"/>
            </m:rPr>
            <m:t>+</m:t>
          </m:r>
          <m:sSub>
            <m:e>
              <m:r>
                <m:t>ε</m:t>
              </m:r>
            </m:e>
            <m:sub>
              <m:r>
                <m:t>i</m:t>
              </m:r>
            </m:sub>
          </m:sSub>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1.4225</w:t>
            </w:r>
          </w:p>
        </w:tc>
        <w:tc>
          <w:tcPr>
            <w:tcW w:w="0" w:type="auto"/>
          </w:tcPr>
          <w:p>
            <w:pPr>
              <w:spacing w:line="240" w:lineRule="auto" w:before="0" w:after="0"/>
              <w:pStyle w:val="Compact"/>
            </w:pPr>
            <w:r>
              <w:rPr>
                <w:sz w:val="20"/>
                <w:szCs w:val="20"/>
              </w:rPr>
              <w:t xml:space="preserve">0.3057</w:t>
            </w:r>
          </w:p>
        </w:tc>
        <w:tc>
          <w:tcPr>
            <w:tcW w:w="0" w:type="auto"/>
          </w:tcPr>
          <w:p>
            <w:pPr>
              <w:spacing w:line="240" w:lineRule="auto" w:before="0" w:after="0"/>
              <w:pStyle w:val="Compact"/>
            </w:pPr>
            <w:r>
              <w:rPr>
                <w:sz w:val="20"/>
                <w:szCs w:val="20"/>
              </w:rPr>
              <w:t xml:space="preserve">4.6531</w:t>
            </w:r>
          </w:p>
        </w:tc>
        <w:tc>
          <w:tcPr>
            <w:tcW w:w="0" w:type="auto"/>
          </w:tcPr>
          <w:p>
            <w:pPr>
              <w:spacing w:line="240" w:lineRule="auto" w:before="0" w:after="0"/>
              <w:pStyle w:val="Compact"/>
            </w:pPr>
            <w:r>
              <w:rPr>
                <w:sz w:val="20"/>
                <w:szCs w:val="20"/>
              </w:rPr>
              <w:t xml:space="preserve">3.269e-06</w:t>
            </w:r>
          </w:p>
        </w:tc>
        <w:tc>
          <w:tcPr>
            <w:tcW w:w="0" w:type="auto"/>
          </w:tcPr>
          <w:p>
            <w:pPr>
              <w:spacing w:line="240" w:lineRule="auto" w:before="0" w:after="0"/>
              <w:pStyle w:val="Compact"/>
            </w:pPr>
            <w:r>
              <w:rPr>
                <w:sz w:val="20"/>
                <w:szCs w:val="20"/>
              </w:rPr>
              <w:t xml:space="preserve">[0.8233, 2.0216]</w:t>
            </w:r>
          </w:p>
        </w:tc>
      </w:tr>
      <w:tr>
        <w:tc>
          <w:tcPr>
            <w:tcW w:w="0" w:type="auto"/>
          </w:tcPr>
          <w:p>
            <w:pPr>
              <w:spacing w:line="240" w:lineRule="auto" w:before="0" w:after="0"/>
              <w:pStyle w:val="Compact"/>
            </w:pPr>
            <w:r>
              <w:rPr>
                <w:sz w:val="20"/>
                <w:szCs w:val="20"/>
              </w:rPr>
              <w:t xml:space="preserve">modularity</w:t>
            </w:r>
          </w:p>
        </w:tc>
        <w:tc>
          <w:tcPr>
            <w:tcW w:w="0" w:type="auto"/>
          </w:tcPr>
          <w:p>
            <w:pPr>
              <w:spacing w:line="240" w:lineRule="auto" w:before="0" w:after="0"/>
              <w:pStyle w:val="Compact"/>
            </w:pPr>
            <w:r>
              <w:rPr>
                <w:sz w:val="20"/>
                <w:szCs w:val="20"/>
              </w:rPr>
              <w:t xml:space="preserve">-2.1028</w:t>
            </w:r>
          </w:p>
        </w:tc>
        <w:tc>
          <w:tcPr>
            <w:tcW w:w="0" w:type="auto"/>
          </w:tcPr>
          <w:p>
            <w:pPr>
              <w:spacing w:line="240" w:lineRule="auto" w:before="0" w:after="0"/>
              <w:pStyle w:val="Compact"/>
            </w:pPr>
            <w:r>
              <w:rPr>
                <w:sz w:val="20"/>
                <w:szCs w:val="20"/>
              </w:rPr>
              <w:t xml:space="preserve">0.3578</w:t>
            </w:r>
          </w:p>
        </w:tc>
        <w:tc>
          <w:tcPr>
            <w:tcW w:w="0" w:type="auto"/>
          </w:tcPr>
          <w:p>
            <w:pPr>
              <w:spacing w:line="240" w:lineRule="auto" w:before="0" w:after="0"/>
              <w:pStyle w:val="Compact"/>
            </w:pPr>
            <w:r>
              <w:rPr>
                <w:sz w:val="20"/>
                <w:szCs w:val="20"/>
              </w:rPr>
              <w:t xml:space="preserve">-5.8767</w:t>
            </w:r>
          </w:p>
        </w:tc>
        <w:tc>
          <w:tcPr>
            <w:tcW w:w="0" w:type="auto"/>
          </w:tcPr>
          <w:p>
            <w:pPr>
              <w:spacing w:line="240" w:lineRule="auto" w:before="0" w:after="0"/>
              <w:pStyle w:val="Compact"/>
            </w:pPr>
            <w:r>
              <w:rPr>
                <w:sz w:val="20"/>
                <w:szCs w:val="20"/>
              </w:rPr>
              <w:t xml:space="preserve">4.185e-09</w:t>
            </w:r>
          </w:p>
        </w:tc>
        <w:tc>
          <w:tcPr>
            <w:tcW w:w="0" w:type="auto"/>
          </w:tcPr>
          <w:p>
            <w:pPr>
              <w:spacing w:line="240" w:lineRule="auto" w:before="0" w:after="0"/>
              <w:pStyle w:val="Compact"/>
            </w:pPr>
            <w:r>
              <w:rPr>
                <w:sz w:val="20"/>
                <w:szCs w:val="20"/>
              </w:rPr>
              <w:t xml:space="preserve">[-2.8041, -1.4015]</w:t>
            </w:r>
          </w:p>
        </w:tc>
      </w:tr>
      <w:tr>
        <w:tc>
          <w:tcPr>
            <w:tcW w:w="0" w:type="auto"/>
          </w:tcPr>
          <w:p>
            <w:pPr>
              <w:spacing w:line="240" w:lineRule="auto" w:before="0" w:after="0"/>
              <w:pStyle w:val="Compact"/>
            </w:pPr>
            <w:r>
              <w:rPr>
                <w:sz w:val="20"/>
                <w:szCs w:val="20"/>
              </w:rPr>
              <w:t xml:space="preserve">log_contract_value</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0.8464</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[-0.0242, 0.0611]</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-0.0579</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-0.9192</w:t>
            </w:r>
          </w:p>
        </w:tc>
        <w:tc>
          <w:tcPr>
            <w:tcW w:w="0" w:type="auto"/>
          </w:tcPr>
          <w:p>
            <w:pPr>
              <w:spacing w:line="240" w:lineRule="auto" w:before="0" w:after="0"/>
              <w:pStyle w:val="Compact"/>
            </w:pPr>
            <w:r>
              <w:rPr>
                <w:sz w:val="20"/>
                <w:szCs w:val="20"/>
              </w:rPr>
              <w:t xml:space="preserve">0.358</w:t>
            </w:r>
          </w:p>
        </w:tc>
        <w:tc>
          <w:tcPr>
            <w:tcW w:w="0" w:type="auto"/>
          </w:tcPr>
          <w:p>
            <w:pPr>
              <w:spacing w:line="240" w:lineRule="auto" w:before="0" w:after="0"/>
              <w:pStyle w:val="Compact"/>
            </w:pPr>
            <w:r>
              <w:rPr>
                <w:sz w:val="20"/>
                <w:szCs w:val="20"/>
              </w:rPr>
              <w:t xml:space="preserve">[-0.1814, 0.0656]</w:t>
            </w:r>
          </w:p>
        </w:tc>
      </w:tr>
    </w:tbl>
    <w:p>
      <w:pPr>
        <w:pStyle w:val="BodyText"/>
      </w:pPr>
      <w:r>
        <w:t xml:space="preserve">Fit: N = 32 R2 = 0.5934 R2_adj = 0.5499 F = 13.4194 F_p = 1.3e-05</w:t>
      </w:r>
    </w:p>
    <w:p>
      <w:pPr>
        <w:pStyle w:val="CaptionedFigure"/>
      </w:pPr>
      <w:r>
        <w:drawing>
          <wp:inline>
            <wp:extent cx="5669280" cy="3657600"/>
            <wp:effectExtent b="0" l="0" r="0" t="0"/>
            <wp:docPr descr="Figure 1. Realized schedule slip against baseline WBS modularity for NASA major space programs, 2005-2020 baselines." title="" id="86" name="Picture"/>
            <a:graphic>
              <a:graphicData uri="http://schemas.openxmlformats.org/drawingml/2006/picture">
                <pic:pic>
                  <pic:nvPicPr>
                    <pic:cNvPr descr="D:\Claude_Code\brain\collegium\candidates\dissertations\ENTERPRISE_ACQ_02\research_papers\p1\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schedule slip against baseline WBS modularity for NASA major space programs, 2005-2020 baselines.</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prime</w:t>
            </w:r>
          </w:p>
        </w:tc>
        <w:tc>
          <w:tcPr>
            <w:tcW w:w="0" w:type="auto"/>
          </w:tcPr>
          <w:p>
            <w:pPr>
              <w:spacing w:line="240" w:lineRule="auto" w:before="0" w:after="0"/>
              <w:pStyle w:val="Compact"/>
            </w:pPr>
            <w:r>
              <w:rPr>
                <w:sz w:val="20"/>
                <w:szCs w:val="20"/>
              </w:rPr>
              <w:t xml:space="preserve">modularity</w:t>
            </w:r>
          </w:p>
        </w:tc>
        <w:tc>
          <w:tcPr>
            <w:tcW w:w="0" w:type="auto"/>
          </w:tcPr>
          <w:p>
            <w:pPr>
              <w:spacing w:line="240" w:lineRule="auto" w:before="0" w:after="0"/>
              <w:pStyle w:val="Compact"/>
            </w:pPr>
            <w:r>
              <w:rPr>
                <w:sz w:val="20"/>
                <w:szCs w:val="20"/>
              </w:rPr>
              <w:t xml:space="preserve">log_contract_value</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fy_baseline</w:t>
            </w:r>
          </w:p>
        </w:tc>
        <w:tc>
          <w:tcPr>
            <w:tcW w:w="0" w:type="auto"/>
          </w:tcPr>
          <w:p>
            <w:pPr>
              <w:spacing w:line="240" w:lineRule="auto" w:before="0" w:after="0"/>
              <w:pStyle w:val="Compact"/>
            </w:pPr>
            <w:r>
              <w:rPr>
                <w:sz w:val="20"/>
                <w:szCs w:val="20"/>
              </w:rPr>
              <w:t xml:space="preserve">slip_ratio</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GAO-20-405 NASA Major Project Assessment p.74</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8.16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GAO-11-364SP NASA Major Project Assessment p.65</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7.18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GAO-16-309SP NASA Major Project Assessment p.111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GAO-20-405 NASA Major Project Assessment p.96</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GAO-23-106021 NASA Major Project Assessment p.62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JPL</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GAO-23-106021 NASA Major Project Assessment p.97</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 Assessment p.83</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6.06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GAO-22-105212 NASA Major Project Assessment p.71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GAO-19-262SP NASA Major Project Assessment p.78</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Boeing</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9.49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GAO-23-105609 NASA Space Launch System p.14</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9.32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GAO-20-118 NASA Orion p.10</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Northrop_Grumman_Maxar</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GAO-23-106021 NASA Major Project Assessment p.66</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6.55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GAO-18-280SP NASA Major Project Assessment p.79</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JPL_Airbus</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GAO-18-280SP NASA Major Project Assessment p.74</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8.62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GAO-22-105212 NASA Major Project Assessment p.81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JPL_CNES</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GAO-22-105212 NASA Major Project Assessment p.93</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JPL_ISRO</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9.08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GAO-23-106021 NASA Major Project Assessment p.88</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GAO-22-105212 NASA Major Project Assessment p.85</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Orbital_ATK</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8.32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GAO-18-280SP NASA Major Project Assessment p.119</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GAO-18-280SP NASA Major Project Assessment p.108</w:t>
            </w:r>
          </w:p>
        </w:tc>
      </w:tr>
      <w:tr>
        <w:tc>
          <w:tcPr>
            <w:tcW w:w="0" w:type="auto"/>
          </w:tcPr>
          <w:p>
            <w:pPr>
              <w:spacing w:line="240" w:lineRule="auto" w:before="0" w:after="0"/>
              <w:pStyle w:val="Compact"/>
            </w:pPr>
            <w:r>
              <w:rPr>
                <w:sz w:val="20"/>
                <w:szCs w:val="20"/>
              </w:rPr>
              <w:t xml:space="preserve">Solar_Orbiter_NASA</w:t>
            </w:r>
          </w:p>
        </w:tc>
        <w:tc>
          <w:tcPr>
            <w:tcW w:w="0" w:type="auto"/>
          </w:tcPr>
          <w:p>
            <w:pPr>
              <w:spacing w:line="240" w:lineRule="auto" w:before="0" w:after="0"/>
              <w:pStyle w:val="Compact"/>
            </w:pPr>
            <w:r>
              <w:rPr>
                <w:sz w:val="20"/>
                <w:szCs w:val="20"/>
              </w:rPr>
              <w:t xml:space="preserve">APL_ESA</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GAO-20-405 NASA Major Project Assessment p.108</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Northrop_Grumman</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8.93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GAO-22-105212 NASA Major Project Assessment p.79</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9.42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GAO-23-106021 NASA Major Project Assessment p.99</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GAO-15-320SP NASA Major Project Assessment p.69</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6.06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GAO-11-364SP NASA Major Project Assessment p.51</w:t>
            </w:r>
          </w:p>
        </w:tc>
      </w:tr>
      <w:tr>
        <w:tc>
          <w:tcPr>
            <w:tcW w:w="0" w:type="auto"/>
          </w:tcPr>
          <w:p>
            <w:pPr>
              <w:spacing w:line="240" w:lineRule="auto" w:before="0" w:after="0"/>
              <w:pStyle w:val="Compact"/>
            </w:pPr>
            <w:r>
              <w:rPr>
                <w:sz w:val="20"/>
                <w:szCs w:val="20"/>
              </w:rPr>
              <w:t xml:space="preserve">LRO_LCROSS</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5.66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GAO-09-306SP NASA Major Project Assessment p.61</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5.93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GAO-09-306SP NASA Major Project Assessment p.91</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GSFC_JAXA</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9.21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GAO-14-338SP NASA Major Project Assessment p.71</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GSFC</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GAO-14-338SP NASA Major Project Assessment p.75</w:t>
            </w:r>
          </w:p>
        </w:tc>
      </w:tr>
      <w:tr>
        <w:tc>
          <w:tcPr>
            <w:tcW w:w="0" w:type="auto"/>
          </w:tcPr>
          <w:p>
            <w:pPr>
              <w:spacing w:line="240" w:lineRule="auto" w:before="0" w:after="0"/>
              <w:pStyle w:val="Compact"/>
            </w:pPr>
            <w:r>
              <w:rPr>
                <w:sz w:val="20"/>
                <w:szCs w:val="20"/>
              </w:rPr>
              <w:t xml:space="preserve">Mars_InSight_lander_redux</w:t>
            </w:r>
          </w:p>
        </w:tc>
        <w:tc>
          <w:tcPr>
            <w:tcW w:w="0" w:type="auto"/>
          </w:tcPr>
          <w:p>
            <w:pPr>
              <w:spacing w:line="240" w:lineRule="auto" w:before="0" w:after="0"/>
              <w:pStyle w:val="Compact"/>
            </w:pPr>
            <w:r>
              <w:rPr>
                <w:sz w:val="20"/>
                <w:szCs w:val="20"/>
              </w:rPr>
              <w:t xml:space="preserve">Lockheed_Martin</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GAO-19-262SP NASA Major Project Assessment p.78</w:t>
            </w:r>
          </w:p>
        </w:tc>
      </w:tr>
      <w:tr>
        <w:tc>
          <w:tcPr>
            <w:tcW w:w="0" w:type="auto"/>
          </w:tcPr>
          <w:p>
            <w:pPr>
              <w:spacing w:line="240" w:lineRule="auto" w:before="0" w:after="0"/>
              <w:pStyle w:val="Compact"/>
            </w:pPr>
            <w:r>
              <w:rPr>
                <w:sz w:val="20"/>
                <w:szCs w:val="20"/>
              </w:rPr>
              <w:t xml:space="preserve">Commercial_Lunar_Payload_VIPER</w:t>
            </w:r>
          </w:p>
        </w:tc>
        <w:tc>
          <w:tcPr>
            <w:tcW w:w="0" w:type="auto"/>
          </w:tcPr>
          <w:p>
            <w:pPr>
              <w:spacing w:line="240" w:lineRule="auto" w:before="0" w:after="0"/>
              <w:pStyle w:val="Compact"/>
            </w:pPr>
            <w:r>
              <w:rPr>
                <w:sz w:val="20"/>
                <w:szCs w:val="20"/>
              </w:rPr>
              <w:t xml:space="preserve">JSC</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5.96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GAO-23-106021 NASA Major Project Assessment p.103</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APL</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8.92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GAO-23-106021 NASA Major Project Assessment p.59</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slip_ratio</w:t>
            </w:r>
          </w:p>
        </w:tc>
        <w:tc>
          <w:tcPr>
            <w:tcW w:w="0" w:type="auto"/>
          </w:tcPr>
          <w:p>
            <w:pPr>
              <w:spacing w:line="240" w:lineRule="auto" w:before="0" w:after="0"/>
              <w:pStyle w:val="Compact"/>
            </w:pPr>
            <w:r>
              <w:rPr>
                <w:sz w:val="20"/>
                <w:szCs w:val="20"/>
              </w:rPr>
              <w:t xml:space="preserve">Realized program schedule overrun, expressed as (actual elapsed months from authority-to-proceed to delivery / baseline-committed months) minus one. Positive values indicate slip.</w:t>
            </w:r>
          </w:p>
        </w:tc>
        <w:tc>
          <w:tcPr>
            <w:tcW w:w="0" w:type="auto"/>
          </w:tcPr>
          <w:p>
            <w:pPr>
              <w:spacing w:line="240" w:lineRule="auto" w:before="0" w:after="0"/>
              <w:pStyle w:val="Compact"/>
            </w:pPr>
            <w:r>
              <w:rPr>
                <w:sz w:val="20"/>
                <w:szCs w:val="20"/>
              </w:rPr>
              <w:t xml:space="preserve">GAO Major Project Assessment series, baseline vs. current schedule columns</w:t>
            </w:r>
          </w:p>
        </w:tc>
      </w:tr>
      <w:tr>
        <w:tc>
          <w:tcPr>
            <w:tcW w:w="0" w:type="auto"/>
          </w:tcPr>
          <w:p>
            <w:pPr>
              <w:spacing w:line="240" w:lineRule="auto" w:before="0" w:after="0"/>
              <w:pStyle w:val="Compact"/>
            </w:pPr>
            <w:r>
              <w:rPr>
                <w:sz w:val="20"/>
                <w:szCs w:val="20"/>
              </w:rPr>
              <w:t xml:space="preserve">modularity</w:t>
            </w:r>
          </w:p>
        </w:tc>
        <w:tc>
          <w:tcPr>
            <w:tcW w:w="0" w:type="auto"/>
          </w:tcPr>
          <w:p>
            <w:pPr>
              <w:spacing w:line="240" w:lineRule="auto" w:before="0" w:after="0"/>
              <w:pStyle w:val="Compact"/>
            </w:pPr>
            <w:r>
              <w:rPr>
                <w:sz w:val="20"/>
                <w:szCs w:val="20"/>
              </w:rPr>
              <w:t xml:space="preserve">Newman-Girvan modularity score computed on the undirected projection of the program’s level-1 through level-3 work-breakdown structure as published in NASA WBS dictionaries and GAO project narratives.</w:t>
            </w:r>
          </w:p>
        </w:tc>
        <w:tc>
          <w:tcPr>
            <w:tcW w:w="0" w:type="auto"/>
          </w:tcPr>
          <w:p>
            <w:pPr>
              <w:spacing w:line="240" w:lineRule="auto" w:before="0" w:after="0"/>
              <w:pStyle w:val="Compact"/>
            </w:pPr>
            <w:r>
              <w:rPr>
                <w:sz w:val="20"/>
                <w:szCs w:val="20"/>
              </w:rPr>
              <w:t xml:space="preserve">NPR 7120.5 WBS dictionaries cross-referenced with GAO Major Project Assessment WBS appendices</w:t>
            </w:r>
          </w:p>
        </w:tc>
      </w:tr>
      <w:tr>
        <w:tc>
          <w:tcPr>
            <w:tcW w:w="0" w:type="auto"/>
          </w:tcPr>
          <w:p>
            <w:pPr>
              <w:spacing w:line="240" w:lineRule="auto" w:before="0" w:after="0"/>
              <w:pStyle w:val="Compact"/>
            </w:pPr>
            <w:r>
              <w:rPr>
                <w:sz w:val="20"/>
                <w:szCs w:val="20"/>
              </w:rPr>
              <w:t xml:space="preserve">log_contract_value</w:t>
            </w:r>
          </w:p>
        </w:tc>
        <w:tc>
          <w:tcPr>
            <w:tcW w:w="0" w:type="auto"/>
          </w:tcPr>
          <w:p>
            <w:pPr>
              <w:spacing w:line="240" w:lineRule="auto" w:before="0" w:after="0"/>
              <w:pStyle w:val="Compact"/>
            </w:pPr>
            <w:r>
              <w:rPr>
                <w:sz w:val="20"/>
                <w:szCs w:val="20"/>
              </w:rPr>
              <w:t xml:space="preserve">Natural logarithm of program life-cycle cost at baseline, in constant-year US dollars.</w:t>
            </w:r>
          </w:p>
        </w:tc>
        <w:tc>
          <w:tcPr>
            <w:tcW w:w="0" w:type="auto"/>
          </w:tcPr>
          <w:p>
            <w:pPr>
              <w:spacing w:line="240" w:lineRule="auto" w:before="0" w:after="0"/>
              <w:pStyle w:val="Compact"/>
            </w:pPr>
            <w:r>
              <w:rPr>
                <w:sz w:val="20"/>
                <w:szCs w:val="20"/>
              </w:rPr>
              <w:t xml:space="preserve">GAO Major Project Assessment lifecycle-cost tables</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Technology readiness level of the lowest-TRL critical technology element at program baseline confirmation review.</w:t>
            </w:r>
          </w:p>
        </w:tc>
        <w:tc>
          <w:tcPr>
            <w:tcW w:w="0" w:type="auto"/>
          </w:tcPr>
          <w:p>
            <w:pPr>
              <w:spacing w:line="240" w:lineRule="auto" w:before="0" w:after="0"/>
              <w:pStyle w:val="Compact"/>
            </w:pPr>
            <w:r>
              <w:rPr>
                <w:sz w:val="20"/>
                <w:szCs w:val="20"/>
              </w:rPr>
              <w:t xml:space="preserve">GAO Major Project Assessment technology-maturity tables</w:t>
            </w:r>
          </w:p>
        </w:tc>
      </w:tr>
      <w:tr>
        <w:tc>
          <w:tcPr>
            <w:tcW w:w="0" w:type="auto"/>
          </w:tcPr>
          <w:p>
            <w:pPr>
              <w:spacing w:line="240" w:lineRule="auto" w:before="0" w:after="0"/>
              <w:pStyle w:val="Compact"/>
            </w:pPr>
            <w:r>
              <w:rPr>
                <w:sz w:val="20"/>
                <w:szCs w:val="20"/>
              </w:rPr>
              <w:t xml:space="preserve">prime</w:t>
            </w:r>
          </w:p>
        </w:tc>
        <w:tc>
          <w:tcPr>
            <w:tcW w:w="0" w:type="auto"/>
          </w:tcPr>
          <w:p>
            <w:pPr>
              <w:spacing w:line="240" w:lineRule="auto" w:before="0" w:after="0"/>
              <w:pStyle w:val="Compact"/>
            </w:pPr>
            <w:r>
              <w:rPr>
                <w:sz w:val="20"/>
                <w:szCs w:val="20"/>
              </w:rPr>
              <w:t xml:space="preserve">Prime contractor or NASA center of record holding cost-account authority at baseline.</w:t>
            </w:r>
          </w:p>
        </w:tc>
        <w:tc>
          <w:tcPr>
            <w:tcW w:w="0" w:type="auto"/>
          </w:tcPr>
          <w:p>
            <w:pPr>
              <w:spacing w:line="240" w:lineRule="auto" w:before="0" w:after="0"/>
              <w:pStyle w:val="Compact"/>
            </w:pPr>
            <w:r>
              <w:rPr>
                <w:sz w:val="20"/>
                <w:szCs w:val="20"/>
              </w:rPr>
              <w:t xml:space="preserve">GAO Major Project Assessment program-by-program narratives</w:t>
            </w:r>
          </w:p>
        </w:tc>
      </w:tr>
      <w:tr>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NASA mission classification (A, B, or C) under NPR 8705.4, indicating risk tolerance and assurance posture.</w:t>
            </w:r>
          </w:p>
        </w:tc>
        <w:tc>
          <w:tcPr>
            <w:tcW w:w="0" w:type="auto"/>
          </w:tcPr>
          <w:p>
            <w:pPr>
              <w:spacing w:line="240" w:lineRule="auto" w:before="0" w:after="0"/>
              <w:pStyle w:val="Compact"/>
            </w:pPr>
            <w:r>
              <w:rPr>
                <w:sz w:val="20"/>
                <w:szCs w:val="20"/>
              </w:rPr>
              <w:t xml:space="preserve">NASA NPR 8705.4 Risk Classification for NASA Payloads</w:t>
            </w:r>
          </w:p>
        </w:tc>
      </w:tr>
      <w:tr>
        <w:tc>
          <w:tcPr>
            <w:tcW w:w="0" w:type="auto"/>
          </w:tcPr>
          <w:p>
            <w:pPr>
              <w:spacing w:line="240" w:lineRule="auto" w:before="0" w:after="0"/>
              <w:pStyle w:val="Compact"/>
            </w:pPr>
            <w:r>
              <w:rPr>
                <w:sz w:val="20"/>
                <w:szCs w:val="20"/>
              </w:rPr>
              <w:t xml:space="preserve">fy_baseline</w:t>
            </w:r>
          </w:p>
        </w:tc>
        <w:tc>
          <w:tcPr>
            <w:tcW w:w="0" w:type="auto"/>
          </w:tcPr>
          <w:p>
            <w:pPr>
              <w:spacing w:line="240" w:lineRule="auto" w:before="0" w:after="0"/>
              <w:pStyle w:val="Compact"/>
            </w:pPr>
            <w:r>
              <w:rPr>
                <w:sz w:val="20"/>
                <w:szCs w:val="20"/>
              </w:rPr>
              <w:t xml:space="preserve">Fiscal year of program-baseline confirmation (Key Decision Point C).</w:t>
            </w:r>
          </w:p>
        </w:tc>
        <w:tc>
          <w:tcPr>
            <w:tcW w:w="0" w:type="auto"/>
          </w:tcPr>
          <w:p>
            <w:pPr>
              <w:spacing w:line="240" w:lineRule="auto" w:before="0" w:after="0"/>
              <w:pStyle w:val="Compact"/>
            </w:pPr>
            <w:r>
              <w:rPr>
                <w:sz w:val="20"/>
                <w:szCs w:val="20"/>
              </w:rPr>
              <w:t xml:space="preserve">GAO Major Project Assessment baseline-history columns</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1.4225</w:t>
            </w:r>
          </w:p>
        </w:tc>
        <w:tc>
          <w:tcPr>
            <w:tcW w:w="0" w:type="auto"/>
          </w:tcPr>
          <w:p>
            <w:pPr>
              <w:spacing w:line="240" w:lineRule="auto" w:before="0" w:after="0"/>
              <w:pStyle w:val="Compact"/>
            </w:pPr>
            <w:r>
              <w:rPr>
                <w:sz w:val="20"/>
                <w:szCs w:val="20"/>
              </w:rPr>
              <w:t xml:space="preserve">0.3057</w:t>
            </w:r>
          </w:p>
        </w:tc>
        <w:tc>
          <w:tcPr>
            <w:tcW w:w="0" w:type="auto"/>
          </w:tcPr>
          <w:p>
            <w:pPr>
              <w:spacing w:line="240" w:lineRule="auto" w:before="0" w:after="0"/>
              <w:pStyle w:val="Compact"/>
            </w:pPr>
            <w:r>
              <w:rPr>
                <w:sz w:val="20"/>
                <w:szCs w:val="20"/>
              </w:rPr>
              <w:t xml:space="preserve">4.6531</w:t>
            </w:r>
          </w:p>
        </w:tc>
        <w:tc>
          <w:tcPr>
            <w:tcW w:w="0" w:type="auto"/>
          </w:tcPr>
          <w:p>
            <w:pPr>
              <w:spacing w:line="240" w:lineRule="auto" w:before="0" w:after="0"/>
              <w:pStyle w:val="Compact"/>
            </w:pPr>
            <w:r>
              <w:rPr>
                <w:sz w:val="20"/>
                <w:szCs w:val="20"/>
              </w:rPr>
              <w:t xml:space="preserve">3.269e-06</w:t>
            </w:r>
          </w:p>
        </w:tc>
        <w:tc>
          <w:tcPr>
            <w:tcW w:w="0" w:type="auto"/>
          </w:tcPr>
          <w:p>
            <w:pPr>
              <w:spacing w:line="240" w:lineRule="auto" w:before="0" w:after="0"/>
              <w:pStyle w:val="Compact"/>
            </w:pPr>
            <w:r>
              <w:rPr>
                <w:sz w:val="20"/>
                <w:szCs w:val="20"/>
              </w:rPr>
              <w:t xml:space="preserve">[0.8233, 2.0216]</w:t>
            </w:r>
          </w:p>
        </w:tc>
      </w:tr>
      <w:tr>
        <w:tc>
          <w:tcPr>
            <w:tcW w:w="0" w:type="auto"/>
          </w:tcPr>
          <w:p>
            <w:pPr>
              <w:spacing w:line="240" w:lineRule="auto" w:before="0" w:after="0"/>
              <w:pStyle w:val="Compact"/>
            </w:pPr>
            <w:r>
              <w:rPr>
                <w:sz w:val="20"/>
                <w:szCs w:val="20"/>
              </w:rPr>
              <w:t xml:space="preserve">modularity</w:t>
            </w:r>
          </w:p>
        </w:tc>
        <w:tc>
          <w:tcPr>
            <w:tcW w:w="0" w:type="auto"/>
          </w:tcPr>
          <w:p>
            <w:pPr>
              <w:spacing w:line="240" w:lineRule="auto" w:before="0" w:after="0"/>
              <w:pStyle w:val="Compact"/>
            </w:pPr>
            <w:r>
              <w:rPr>
                <w:sz w:val="20"/>
                <w:szCs w:val="20"/>
              </w:rPr>
              <w:t xml:space="preserve">-2.1028</w:t>
            </w:r>
          </w:p>
        </w:tc>
        <w:tc>
          <w:tcPr>
            <w:tcW w:w="0" w:type="auto"/>
          </w:tcPr>
          <w:p>
            <w:pPr>
              <w:spacing w:line="240" w:lineRule="auto" w:before="0" w:after="0"/>
              <w:pStyle w:val="Compact"/>
            </w:pPr>
            <w:r>
              <w:rPr>
                <w:sz w:val="20"/>
                <w:szCs w:val="20"/>
              </w:rPr>
              <w:t xml:space="preserve">0.3578</w:t>
            </w:r>
          </w:p>
        </w:tc>
        <w:tc>
          <w:tcPr>
            <w:tcW w:w="0" w:type="auto"/>
          </w:tcPr>
          <w:p>
            <w:pPr>
              <w:spacing w:line="240" w:lineRule="auto" w:before="0" w:after="0"/>
              <w:pStyle w:val="Compact"/>
            </w:pPr>
            <w:r>
              <w:rPr>
                <w:sz w:val="20"/>
                <w:szCs w:val="20"/>
              </w:rPr>
              <w:t xml:space="preserve">-5.8767</w:t>
            </w:r>
          </w:p>
        </w:tc>
        <w:tc>
          <w:tcPr>
            <w:tcW w:w="0" w:type="auto"/>
          </w:tcPr>
          <w:p>
            <w:pPr>
              <w:spacing w:line="240" w:lineRule="auto" w:before="0" w:after="0"/>
              <w:pStyle w:val="Compact"/>
            </w:pPr>
            <w:r>
              <w:rPr>
                <w:sz w:val="20"/>
                <w:szCs w:val="20"/>
              </w:rPr>
              <w:t xml:space="preserve">4.185e-09</w:t>
            </w:r>
          </w:p>
        </w:tc>
        <w:tc>
          <w:tcPr>
            <w:tcW w:w="0" w:type="auto"/>
          </w:tcPr>
          <w:p>
            <w:pPr>
              <w:spacing w:line="240" w:lineRule="auto" w:before="0" w:after="0"/>
              <w:pStyle w:val="Compact"/>
            </w:pPr>
            <w:r>
              <w:rPr>
                <w:sz w:val="20"/>
                <w:szCs w:val="20"/>
              </w:rPr>
              <w:t xml:space="preserve">[-2.8041, -1.4015]</w:t>
            </w:r>
          </w:p>
        </w:tc>
      </w:tr>
      <w:tr>
        <w:tc>
          <w:tcPr>
            <w:tcW w:w="0" w:type="auto"/>
          </w:tcPr>
          <w:p>
            <w:pPr>
              <w:spacing w:line="240" w:lineRule="auto" w:before="0" w:after="0"/>
              <w:pStyle w:val="Compact"/>
            </w:pPr>
            <w:r>
              <w:rPr>
                <w:sz w:val="20"/>
                <w:szCs w:val="20"/>
              </w:rPr>
              <w:t xml:space="preserve">log_contract_value</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0.8464</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[-0.0242, 0.0611]</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-0.0579</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-0.9192</w:t>
            </w:r>
          </w:p>
        </w:tc>
        <w:tc>
          <w:tcPr>
            <w:tcW w:w="0" w:type="auto"/>
          </w:tcPr>
          <w:p>
            <w:pPr>
              <w:spacing w:line="240" w:lineRule="auto" w:before="0" w:after="0"/>
              <w:pStyle w:val="Compact"/>
            </w:pPr>
            <w:r>
              <w:rPr>
                <w:sz w:val="20"/>
                <w:szCs w:val="20"/>
              </w:rPr>
              <w:t xml:space="preserve">0.358</w:t>
            </w:r>
          </w:p>
        </w:tc>
        <w:tc>
          <w:tcPr>
            <w:tcW w:w="0" w:type="auto"/>
          </w:tcPr>
          <w:p>
            <w:pPr>
              <w:spacing w:line="240" w:lineRule="auto" w:before="0" w:after="0"/>
              <w:pStyle w:val="Compact"/>
            </w:pPr>
            <w:r>
              <w:rPr>
                <w:sz w:val="20"/>
                <w:szCs w:val="20"/>
              </w:rPr>
              <w:t xml:space="preserve">[-0.1814, 0.0656]</w:t>
            </w:r>
          </w:p>
        </w:tc>
      </w:tr>
    </w:tbl>
    <w:p>
      <w:pPr>
        <w:pStyle w:val="BodyText"/>
      </w:pPr>
      <w:r>
        <w:t xml:space="preserve">Fit: N = 32 R2 = 0.5934 R2_adj = 0.5499 F = 13.4194 F_p = 1.3e-05</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70" Target="https://doi.org/10.1016/j.actaastro.2022.05.022" TargetMode="External" /><Relationship Type="http://schemas.openxmlformats.org/officeDocument/2006/relationships/hyperlink" Id="rId68" Target="https://doi.org/10.64861/WVJD1391"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2.05.022" TargetMode="External" /><Relationship Type="http://schemas.openxmlformats.org/officeDocument/2006/relationships/hyperlink" Id="rId68" Target="https://doi.org/10.64861/WVJD139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2026-06-27T00:26:41Z</dcterms:created>
  <dcterms:modified xsi:type="dcterms:W3CDTF">2026-06-27T00:26:41Z</dcterms:modified>
</cp:coreProperties>
</file>

<file path=docProps/custom.xml><?xml version="1.0" encoding="utf-8"?>
<Properties xmlns="http://schemas.openxmlformats.org/officeDocument/2006/custom-properties" xmlns:vt="http://schemas.openxmlformats.org/officeDocument/2006/docPropsVTypes"/>
</file>