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DECOMPOSITION AND DELAY: DOES THE MODULARITY OF A SPACE SYSTEM'S WORK-BREAKDOWN STRUCTURE PREDICT SCHEDULE SLIP?</w:t>
      </w:r>
    </w:p>
    <w:p>
      <w:pPr>
        <w:jc w:val="center"/>
      </w:pPr>
    </w:p>
    <w:p>
      <w:pPr>
        <w:jc w:val="center"/>
      </w:pPr>
      <w:r>
        <w:rPr>
          <w:rFonts w:ascii="Times New Roman" w:hAnsi="Times New Roman"/>
          <w:sz w:val="24"/>
        </w:rPr>
        <w:t>by</w:t>
      </w:r>
    </w:p>
    <w:p>
      <w:pPr>
        <w:jc w:val="center"/>
      </w:pPr>
      <w:r>
        <w:rPr>
          <w:rFonts w:ascii="Times New Roman" w:hAnsi="Times New Roman"/>
          <w:b/>
          <w:sz w:val="28"/>
        </w:rPr>
        <w:t>Daniel Adeyemi</w:t>
      </w:r>
    </w:p>
    <w:p>
      <w:pPr>
        <w:jc w:val="center"/>
      </w:pPr>
      <w:r>
        <w:rPr>
          <w:rFonts w:ascii="Times New Roman" w:hAnsi="Times New Roman"/>
          <w:sz w:val="24"/>
        </w:rPr>
        <w:t>1B-MPM-105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Xcb0f77f4348050868b365a065d591de0dfc7e77"/>
    <w:p>
      <w:pPr>
        <w:pStyle w:val="Heading2"/>
        <w:spacing w:line="480" w:lineRule="auto"/>
      </w:pPr>
      <w:r>
        <w:t xml:space="preserve">1.1 The Problem and Its Stakes for NASA and JPL</w:t>
      </w:r>
    </w:p>
    <w:p>
      <w:pPr>
        <w:pStyle w:val="FirstParagraph"/>
        <w:spacing w:line="480" w:lineRule="auto"/>
      </w:pPr>
      <w:r>
        <w:t xml:space="preserve">Late delivery in United States civil space programs is chronic, costly, and freighted with consequence for how the nation stands. For over fifteen years of yearly portfolio reviews, the Government Accountability Office has watched one habit refuse to die: flagship efforts keep blowing past the cost and calendar limits they signed up for, and the overrun surfaces through outside review rather than through any warning the program office raised on its own [5, 6, 9]. Trouble in one effort seldom stays put. A slip of several years on a marquee science mission travels outward through the National Aeronautics and Space Administration portfolio, since launch queues, deep-space-network time, and the hand-off of maturing technology all knit programs together. Let the Jet Propulsion Laboratory swallow a delay on a planetary flagship and the laboratory redraws its staffing plan over the following pair of budget years, with its own contract-renewal standing paying part of the price. Delay, then, wounds at three heights simultaneously: the single effort that misses its date, the center or prime that must reshuffle displaced labor, and the agency left explaining the miss to appropriators and to a science community whose decadal wish-list hangs on the wounded mission.</w:t>
      </w:r>
    </w:p>
    <w:p>
      <w:pPr>
        <w:pStyle w:val="BodyText"/>
        <w:spacing w:line="480" w:lineRule="auto"/>
        <w:ind w:firstLine="720"/>
      </w:pPr>
      <w:r>
        <w:t xml:space="preserve">Ask a program-management scholar what drives the miss and the answer arrives ready-made. Maturity of the hardware at confirmation, shifting requirements during formulation, and unsteady money during build make up the familiar trio, and from 2009 onward the GAO reviews have singled out the maturity axis above the rest [5, 6, 9]. Successive rewrites of NASA Procedural Requirements 7120.5 sharpened the checkpoints where these factors get graded, while NPR 8705.4 sorts payloads by how much failure they can tolerate so that formulation care lines up with mission class [7, 8]. Gauges around the familiar trio, put plainly, are well built.</w:t>
      </w:r>
    </w:p>
    <w:p>
      <w:pPr>
        <w:pStyle w:val="BodyText"/>
        <w:spacing w:line="480" w:lineRule="auto"/>
        <w:ind w:firstLine="720"/>
      </w:pPr>
      <w:r>
        <w:t xml:space="preserve">What that polish hides is a flaw in method. A single structural trait binds all three familiar factors: every one of them either trails the event or stays out of view on the day the baseline is inked. Requirements shift is something you can only clock once the shifting is done. Money trouble originates outside the program office and shows up, if ever, in a backward-looking tally. Readiness level, the one factor that looks forward at all, boils the critical-path technologies down to a single number and tells you nothing about how the work wrapped around those technologies is arranged. Imagine the manager who has just put a signature on a Key Decision Point C package and now owns the calendar it locks in. Almost nothing measurable, computable, and forward-looking sits within reach of that manager. Right where the discipline most needs an early read, on approval day, its early reads are missing.</w:t>
      </w:r>
    </w:p>
    <w:p>
      <w:pPr>
        <w:pStyle w:val="BodyText"/>
        <w:spacing w:line="480" w:lineRule="auto"/>
        <w:ind w:firstLine="720"/>
      </w:pPr>
      <w:r>
        <w:t xml:space="preserve">An early read of exactly that kind, this dissertation contends, has been sitting in the open all along.</w:t>
      </w:r>
    </w:p>
    <w:p>
      <w:pPr>
        <w:pStyle w:val="BodyText"/>
        <w:spacing w:line="480" w:lineRule="auto"/>
        <w:ind w:firstLine="720"/>
      </w:pPr>
      <w:r>
        <w:t xml:space="preserve">Every NASA effort turns out, as part of its baseline package, a tiered carving of its scope into a work-breakdown structure. Habit files the WBS under planning aid and accounting frame for tracking earned value. What habit overlooks is that it can serve as a measured object whose graph properties might forecast how things land. And yet the WBS is, by its very shape, a directed acyclic graph, so it carries countable topological traits: how deep it runs, how wide it spreads, how much it branches on average, and, the trait that matters most here, modularity as Newman and Girvan define it</w:t>
      </w:r>
      <w:r>
        <w:t xml:space="preserve"> </w:t>
      </w:r>
      <w:hyperlink w:anchor="ref-10">
        <w:r>
          <w:rPr>
            <w:rStyle w:val="Hyperlink"/>
          </w:rPr>
          <w:t xml:space="preserve">[10]</w:t>
        </w:r>
      </w:hyperlink>
      <w:r>
        <w:t xml:space="preserve">. If those traits hold information about how the calendar actually plays out, the field is already holding an early warning of execution danger that shows on signing day and stands up to audit, since it falls straight out of the baseline paperwork. The reading has simply never been taken.</w:t>
      </w:r>
    </w:p>
    <w:p>
      <w:pPr>
        <w:pStyle w:val="BodyText"/>
        <w:spacing w:line="480" w:lineRule="auto"/>
        <w:ind w:firstLine="720"/>
      </w:pPr>
      <w:r>
        <w:t xml:space="preserve">The wager runs higher for the Jet Propulsion Laboratory.</w:t>
      </w:r>
    </w:p>
    <w:p>
      <w:pPr>
        <w:pStyle w:val="BodyText"/>
        <w:spacing w:line="480" w:lineRule="auto"/>
        <w:ind w:firstLine="720"/>
      </w:pPr>
      <w:r>
        <w:t xml:space="preserve">JPL is bidding again to keep its operating contract with NASA at a moment when the agency has said out loud that it doubts the cost and calendar record of the laboratory’s flagship-tier work. Were the laboratory able to compute, at baseline confirmation, an audit-strength early read on its own delay danger, and hand it over next to its readiness and cost-risk briefings for NASA Headquarters, that gesture would strengthen where the laboratory stands during the bid. Headquarters would gain, from the identical number, a way to test the laboratory’s management assertions on its own. Cutting both ways is precisely what lets a measurement win acceptance from the program office and its overseers alike.</w:t>
      </w:r>
    </w:p>
    <w:bookmarkEnd w:id="61"/>
    <w:bookmarkStart w:id="62" w:name="Xc62ede85bd5621e73677262dd034e644aa66523"/>
    <w:p>
      <w:pPr>
        <w:pStyle w:val="Heading2"/>
        <w:spacing w:line="480" w:lineRule="auto"/>
      </w:pPr>
      <w:r>
        <w:t xml:space="preserve">1.2 The Gap Between Domain Literature and Econometric Method Literature</w:t>
      </w:r>
    </w:p>
    <w:p>
      <w:pPr>
        <w:pStyle w:val="FirstParagraph"/>
        <w:spacing w:line="480" w:lineRule="auto"/>
      </w:pPr>
      <w:r>
        <w:t xml:space="preserve">Three streams of scholarship touch the question this dissertation puts, and each falls shy of the mark in its own way.</w:t>
      </w:r>
    </w:p>
    <w:p>
      <w:pPr>
        <w:pStyle w:val="BodyText"/>
        <w:spacing w:line="480" w:lineRule="auto"/>
        <w:ind w:firstLine="720"/>
      </w:pPr>
      <w:r>
        <w:t xml:space="preserve">Take first the program-management writing that springs from the GAO reviews and the NASA procedural rules [5, 6, 7, 8, 9]. Prolific in listing which factors move with cost overruns and slipping calendars across the NASA portfolio, this stream has done that job well. It has never handled the WBS as something to measure. Here the WBS shows up as planning paper whose build NPR 7120.5 dictates and whose summary lands on oversight desks, yet its graph shape goes unread, ungauged, unregressed against how things turn out. Deep on domain color, thin on structural measurement.</w:t>
      </w:r>
    </w:p>
    <w:p>
      <w:pPr>
        <w:pStyle w:val="BodyText"/>
        <w:spacing w:line="480" w:lineRule="auto"/>
        <w:ind w:firstLine="720"/>
      </w:pPr>
      <w:r>
        <w:t xml:space="preserve">Then arrives the systems-architecture and operational small-satellite writing, which has started to grant that a program’s carving shape bears on execution. Studies of mission-scheduling frameworks for small-satellite constellations say outright that the old system-subsystem-module carving is being dropped for other groupings, a quiet confession that practitioners smell consequence in the shape [1, 14]. Studies of optical sensor constellation frameworks for space domain awareness lift carving to a free design choice and spin model-based trade studies around the variants they get</w:t>
      </w:r>
      <w:r>
        <w:t xml:space="preserve"> </w:t>
      </w:r>
      <w:hyperlink w:anchor="ref-2">
        <w:r>
          <w:rPr>
            <w:rStyle w:val="Hyperlink"/>
          </w:rPr>
          <w:t xml:space="preserve">[2]</w:t>
        </w:r>
      </w:hyperlink>
      <w:r>
        <w:t xml:space="preserve">. Adaptable multi-layer staged rollout plans for satellite mega-constellations facing uncertain demand have been worked out formally in the Acta Astronautica pages, once more handling carving as a variable whose effects ripple across a fleet of near-twin bus builds</w:t>
      </w:r>
      <w:r>
        <w:t xml:space="preserve"> </w:t>
      </w:r>
      <w:hyperlink w:anchor="ref-4">
        <w:r>
          <w:rPr>
            <w:rStyle w:val="Hyperlink"/>
          </w:rPr>
          <w:t xml:space="preserve">[4]</w:t>
        </w:r>
      </w:hyperlink>
      <w:r>
        <w:t xml:space="preserve">. Architectural socio-technological upheaval in the norms of space use has been theorized at the framework level too, and policy-born activity layers on the WBS draw normative comment there</w:t>
      </w:r>
      <w:r>
        <w:t xml:space="preserve"> </w:t>
      </w:r>
      <w:hyperlink w:anchor="ref-3">
        <w:r>
          <w:rPr>
            <w:rStyle w:val="Hyperlink"/>
          </w:rPr>
          <w:t xml:space="preserve">[3]</w:t>
        </w:r>
      </w:hyperlink>
      <w:r>
        <w:t xml:space="preserve">. Modular, scalable data-fabric frameworks for space-domain-awareness data transforms have been floated and prototyped, the modular shape cast as a design pick rather than as a gauged forecaster of results</w:t>
      </w:r>
      <w:r>
        <w:t xml:space="preserve"> </w:t>
      </w:r>
      <w:hyperlink w:anchor="ref-18">
        <w:r>
          <w:rPr>
            <w:rStyle w:val="Hyperlink"/>
          </w:rPr>
          <w:t xml:space="preserve">[18]</w:t>
        </w:r>
      </w:hyperlink>
      <w:r>
        <w:t xml:space="preserve">. Modular mechatronics kit for robotic planetary-exploration hardware has been run in the field under the same reading</w:t>
      </w:r>
      <w:r>
        <w:t xml:space="preserve"> </w:t>
      </w:r>
      <w:hyperlink w:anchor="ref-22">
        <w:r>
          <w:rPr>
            <w:rStyle w:val="Hyperlink"/>
          </w:rPr>
          <w:t xml:space="preserve">[22]</w:t>
        </w:r>
      </w:hyperlink>
      <w:r>
        <w:t xml:space="preserve">. The thread through all of it is that carving stays a free design choice and the analyses stay normative or descriptive. Nobody regresses the graph traits of the carving on the calendar that actually slipped.</w:t>
      </w:r>
    </w:p>
    <w:p>
      <w:pPr>
        <w:pStyle w:val="BodyText"/>
        <w:spacing w:line="480" w:lineRule="auto"/>
        <w:ind w:firstLine="720"/>
      </w:pPr>
      <w:r>
        <w:t xml:space="preserve">Third comes the econometric and statistical-method writing that hands over the estimators the question calls for. Newman-Girvan modularity, the number this dissertation leans on to gauge WBS shape, is a settled community-detection score whose sampling behavior is worked out</w:t>
      </w:r>
      <w:r>
        <w:t xml:space="preserve"> </w:t>
      </w:r>
      <w:hyperlink w:anchor="ref-10">
        <w:r>
          <w:rPr>
            <w:rStyle w:val="Hyperlink"/>
          </w:rPr>
          <w:t xml:space="preserve">[10]</w:t>
        </w:r>
      </w:hyperlink>
      <w:r>
        <w:t xml:space="preserve">. Its forebears in the design-rules line of modularity-as-organizing-idea are just as settled and lend theoretical footing to the signed guess that more modularity ought to travel with less slip</w:t>
      </w:r>
      <w:r>
        <w:t xml:space="preserve"> </w:t>
      </w:r>
      <w:hyperlink w:anchor="ref-11">
        <w:r>
          <w:rPr>
            <w:rStyle w:val="Hyperlink"/>
          </w:rPr>
          <w:t xml:space="preserve">[11]</w:t>
        </w:r>
      </w:hyperlink>
      <w:r>
        <w:t xml:space="preserve">. The Cox proportional-hazards estimator the second supporting paper turns on time-to-rebaseline is the go-to tool for right-censored time-to-event data and has carried survival work in neighboring fields for over five decades</w:t>
      </w:r>
      <w:r>
        <w:t xml:space="preserve"> </w:t>
      </w:r>
      <w:hyperlink w:anchor="ref-12">
        <w:r>
          <w:rPr>
            <w:rStyle w:val="Hyperlink"/>
          </w:rPr>
          <w:t xml:space="preserve">[12]</w:t>
        </w:r>
      </w:hyperlink>
      <w:r>
        <w:t xml:space="preserve">. Settled, well-coded in the usual statistical packages, and disciplined by well-understood identifying assumptions, these tools are ready. Not one has been aimed at the WBS-as-graph question on a NASA panel.</w:t>
      </w:r>
    </w:p>
    <w:p>
      <w:pPr>
        <w:pStyle w:val="BodyText"/>
        <w:spacing w:line="480" w:lineRule="auto"/>
        <w:ind w:firstLine="720"/>
      </w:pPr>
      <w:r>
        <w:t xml:space="preserve">So the shortfall belongs to neither theory nor method. It is the particular miss of tying a gauged topological trait of the baseline WBS to a calendar that actually slipped, on a soundly built panel of NASA efforts, with an estimator fixed in advance and a clean identification plan. Domain writing owns the efforts yet leaves the WBS unmeasured as a graph. Architecture writing owns the structural hunch yet never estimates. Method writing owns the estimators yet has never pointed them at the WBS-and-slip question. This dissertation sits where the three cross.</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One disprovable claim carries the dissertation, put sharply enough that the data assembled for the panel can knock it down or hold it up.</w:t>
      </w:r>
    </w:p>
    <w:p>
      <w:pPr>
        <w:pStyle w:val="BodyText"/>
        <w:spacing w:line="480" w:lineRule="auto"/>
        <w:ind w:firstLine="720"/>
      </w:pPr>
      <w:r>
        <w:t xml:space="preserve">H1. After conditioning on the natural logarithm of life-cycle contract value at baseline and on the technology-readiness level of the lowest-TRL critical element at baseline, the Newman-Girvan modularity of a NASA major program’s work-breakdown structure at baseline confirmation is associated with a smaller realized schedule slip ratio between authority-to-proceed and delivery, with the coefficient on modularity negative and statistically distinguishable from zero at the conventional five-percent level on a pre-registered estimator.</w:t>
      </w:r>
    </w:p>
    <w:p>
      <w:pPr>
        <w:pStyle w:val="BodyText"/>
        <w:spacing w:line="480" w:lineRule="auto"/>
        <w:ind w:firstLine="720"/>
      </w:pPr>
      <w:r>
        <w:t xml:space="preserve">Its matching null is that no such tie exists. What the dissertation offers is the knock-down or the survival of that null on a panel assembled from the public GAO Major Project Assessment series, filled out with NASA WBS dictionaries and program systems-engineering management plans, run through both a pooled ordinary-least-squares fit and a Cox proportional-hazards fit for the time-to-first-rebaseline result [10, 12].</w:t>
      </w:r>
    </w:p>
    <w:p>
      <w:pPr>
        <w:pStyle w:val="BodyText"/>
        <w:spacing w:line="480" w:lineRule="auto"/>
        <w:ind w:firstLine="720"/>
      </w:pPr>
      <w:r>
        <w:t xml:space="preserve">Working the pooled OLS fit on a panel of thirty-two NASA major programs, the first supporting paper lands a coefficient on modularity of minus 2.10 with a standard error of 0.36 and a p-value below 0.001, an adjusted R-squared of 0.55, and an F-statistic of 13.4, knocking down the null of no association at the usual five-percent bar in the direction theory foretells for modularity’s shielding role. Working a Cox proportional-hazards fit on the same panel, with time-to-first-rebaseline as the result and sixteen logged rebaseline events, the second supporting paper lands a coefficient on modularity of 6.66 with a p-value of 0.57, which settles nothing about the signed guess on the survival result at this panel size. Laying the two results together, drawn from the same underlying programs but coded to different outcomes, counts as part of the offering, because it marks where the data speak to the modularity claim and where they fall silent. No single-paper artifact buries its misses here. A chosen match of a talkative pooled estimate with a thin survival estimate, the strain between them is the honest yield.</w:t>
      </w:r>
    </w:p>
    <w:p>
      <w:pPr>
        <w:pStyle w:val="BodyText"/>
        <w:spacing w:line="480" w:lineRule="auto"/>
        <w:ind w:firstLine="720"/>
      </w:pPr>
      <w:r>
        <w:t xml:space="preserve">Disprovability here is baked into the structure. A fixed algorithm computes modularity on a graph lifted straight from the baseline paperwork. A fixed ratio computes the slip from two figures the GAO prints in neighboring columns. The estimator is locked in advance. The headline fit leaves the analyst no room to wander, and the robustness checks are declared up front. Whatever the panel returns, it returns on terms no later bargaining can soften.</w:t>
      </w:r>
    </w:p>
    <w:bookmarkEnd w:id="63"/>
    <w:bookmarkStart w:id="64" w:name="why-this-contribution-matters"/>
    <w:p>
      <w:pPr>
        <w:pStyle w:val="Heading2"/>
        <w:spacing w:line="480" w:lineRule="auto"/>
      </w:pPr>
      <w:r>
        <w:t xml:space="preserve">1.4 Why This Contribution Matters</w:t>
      </w:r>
    </w:p>
    <w:p>
      <w:pPr>
        <w:pStyle w:val="FirstParagraph"/>
        <w:spacing w:line="480" w:lineRule="auto"/>
      </w:pPr>
      <w:r>
        <w:t xml:space="preserve">One coefficient will not, on its own, rebuild a field. It does shift what a program manager and an overseer can do on the day a baseline wins approval. Suppose the coefficient on modularity is negative and as big as the first supporting paper says. Then a program office able to reshape its baseline WBS, by re-cutting interfaces or lifting tightly bound task clusters into cost accounts run on their own, holds a top-order lever on the calendar it is going to deliver. The field already owns the deed to that lever. It has left the lever ungauged. This dissertation gauges it.</w:t>
      </w:r>
    </w:p>
    <w:p>
      <w:pPr>
        <w:pStyle w:val="BodyText"/>
        <w:spacing w:line="480" w:lineRule="auto"/>
        <w:ind w:firstLine="720"/>
      </w:pPr>
      <w:r>
        <w:t xml:space="preserve">Operational is the word for what this means at NASA Headquarters. A modularity number run on the baseline WBS package rides as an audit-strength add-on to the cost-risk and readiness briefings that already accompany the Key Decision Point C package. Briefing day is soon enough to compute it. No fresh collection machinery is called for. It draws on paperwork the program owes regardless. Adoption comes cheap, and the payoff, should the coefficient hold up under replication and out-of-sample trial, comes dear.</w:t>
      </w:r>
    </w:p>
    <w:p>
      <w:pPr>
        <w:pStyle w:val="BodyText"/>
        <w:spacing w:line="480" w:lineRule="auto"/>
        <w:ind w:firstLine="720"/>
      </w:pPr>
      <w:r>
        <w:t xml:space="preserve">Institutional is the word for what this means at the Jet Propulsion Laboratory as it bids again. A laboratory that offers up an audit-strength early read on its own delay danger, laying it beside its bids and its progress reviews, puts on display the exact analytical steadiness the bid process aims to spot. Headquarters receives the same read for checking on its own, the fitting balance for an audit-strength gauge.</w:t>
      </w:r>
    </w:p>
    <w:p>
      <w:pPr>
        <w:pStyle w:val="BodyText"/>
        <w:spacing w:line="480" w:lineRule="auto"/>
        <w:ind w:firstLine="720"/>
      </w:pPr>
      <w:r>
        <w:t xml:space="preserve">Methodological is the word for what this means for the program-management research community. What the dissertation shows is that graph traits of program-management paperwork can be pulled out wholesale, regressed on results, and run through the standard econometric machinery of identification, fixed effects, and survival analysis. First of those artifacts to get the treatment here is the WBS. Schedule networks, risk registers, and requirements-traceability matrices yield to the identical handling, and the dissertation ends by laying out an agenda to gauge those artifacts on comparable terms.</w:t>
      </w:r>
    </w:p>
    <w:bookmarkEnd w:id="64"/>
    <w:bookmarkStart w:id="65" w:name="scope-and-boundary-conditions"/>
    <w:p>
      <w:pPr>
        <w:pStyle w:val="Heading2"/>
        <w:spacing w:line="480" w:lineRule="auto"/>
      </w:pPr>
      <w:r>
        <w:t xml:space="preserve">1.5 Scope and Boundary Conditions</w:t>
      </w:r>
    </w:p>
    <w:p>
      <w:pPr>
        <w:pStyle w:val="FirstParagraph"/>
        <w:spacing w:line="480" w:lineRule="auto"/>
      </w:pPr>
      <w:r>
        <w:t xml:space="preserve">One claim, one outcome, one corpus is all the dissertation makes. It does not hold modularity to be the only thing driving slip. It does not hold the NASA-panel coefficient to carry over to Department of War major defense acquisition programs, to intelligence-community programs, or to commercial space programs, though Chapter 6 sketches how the same estimator might travel to the Defense Acquisition Visibility Environment corpus as a follow-on. Neither does it hold modularity to be causally pinned in the strong sense. Stronger causal pinning would want the within-prime fixed-effects fit, and that fit is granted as too thin at this panel size, so the headline coefficient stands as a partial tie rather than a causal effect.</w:t>
      </w:r>
    </w:p>
    <w:p>
      <w:pPr>
        <w:pStyle w:val="BodyText"/>
        <w:spacing w:line="480" w:lineRule="auto"/>
        <w:ind w:firstLine="720"/>
      </w:pPr>
      <w:r>
        <w:t xml:space="preserve">That corpus is the NASA Major Project Assessment series across fiscal year 2009 through fiscal year 2025, filled out with NASA WBS dictionaries and with the systems-engineering management plans of the programs the series names [5, 6, 9]. Each program-baseline pair is one unit. What gets left out is declared up front and set down in Chapter 3. Formulation-phase entries lacking a fielded baseline get handled openly and marked in the data file.</w:t>
      </w:r>
    </w:p>
    <w:p>
      <w:pPr>
        <w:pStyle w:val="BodyText"/>
        <w:spacing w:line="480" w:lineRule="auto"/>
        <w:ind w:firstLine="720"/>
      </w:pPr>
      <w:r>
        <w:t xml:space="preserve">Tight edges, in short. Inside them, the offering is exact.</w:t>
      </w:r>
    </w:p>
    <w:bookmarkEnd w:id="65"/>
    <w:bookmarkStart w:id="66" w:name="roadmap"/>
    <w:p>
      <w:pPr>
        <w:pStyle w:val="Heading2"/>
        <w:spacing w:line="480" w:lineRule="auto"/>
      </w:pPr>
      <w:r>
        <w:t xml:space="preserve">1.6 Roadmap</w:t>
      </w:r>
    </w:p>
    <w:p>
      <w:pPr>
        <w:pStyle w:val="FirstParagraph"/>
        <w:spacing w:line="480" w:lineRule="auto"/>
      </w:pPr>
      <w:r>
        <w:t xml:space="preserve">Five chapters come after.</w:t>
      </w:r>
    </w:p>
    <w:p>
      <w:pPr>
        <w:pStyle w:val="BodyText"/>
        <w:spacing w:line="480" w:lineRule="auto"/>
        <w:ind w:firstLine="720"/>
      </w:pPr>
      <w:r>
        <w:t xml:space="preserve">Chapter 2 walks the three literatures named in Section 1.2 and builds the theoretical case for the modularity guess. It leans on the design-rules line for structural intuition</w:t>
      </w:r>
      <w:r>
        <w:t xml:space="preserve"> </w:t>
      </w:r>
      <w:hyperlink w:anchor="ref-11">
        <w:r>
          <w:rPr>
            <w:rStyle w:val="Hyperlink"/>
          </w:rPr>
          <w:t xml:space="preserve">[11]</w:t>
        </w:r>
      </w:hyperlink>
      <w:r>
        <w:t xml:space="preserve">, on the Newman-Girvan modularity number for measurement</w:t>
      </w:r>
      <w:r>
        <w:t xml:space="preserve"> </w:t>
      </w:r>
      <w:hyperlink w:anchor="ref-10">
        <w:r>
          <w:rPr>
            <w:rStyle w:val="Hyperlink"/>
          </w:rPr>
          <w:t xml:space="preserve">[10]</w:t>
        </w:r>
      </w:hyperlink>
      <w:r>
        <w:t xml:space="preserve">, and on the systems-architecture and small-satellite operational writing for the ground-level sign that practitioners already smell the weight of carving shape [1, 2, 3, 4, 14, 18, 22]. It ends by stating the signed guess and its null twin in formal terms.</w:t>
      </w:r>
    </w:p>
    <w:p>
      <w:pPr>
        <w:pStyle w:val="BodyText"/>
        <w:spacing w:line="480" w:lineRule="auto"/>
        <w:ind w:firstLine="720"/>
      </w:pPr>
      <w:r>
        <w:t xml:space="preserve">Chapter 3 sets down how the panel is built. It casts the GAO Major Project Assessment series as the main outcome source [5, 6, 9], spells out the routine that turns program paperwork into a directed acyclic graph, and lists what gets in and what stays out. It then records how each variable in the analytical dataset is built, the source line for every row, and the handling of odd cases, including formulation-phase entries and programs whose WBS dictionary sat unpublished at baseline time.</w:t>
      </w:r>
    </w:p>
    <w:p>
      <w:pPr>
        <w:pStyle w:val="BodyText"/>
        <w:spacing w:line="480" w:lineRule="auto"/>
        <w:ind w:firstLine="720"/>
      </w:pPr>
      <w:r>
        <w:t xml:space="preserve">Chapter 4 lays out the estimation plan. It fixes in advance the pooled ordinary-least-squares fit, the prime-contractor fixed-effects fit, and the placebo fit in which modularity is swapped for a randomly shuffled reassignment of the same modularity values. It then lays out the Cox proportional-hazards fit for the time-to-first-rebaseline result and talks through the proportional-hazards assumption, the Efron correction for tied event times, and the partial-likelihood estimator</w:t>
      </w:r>
      <w:r>
        <w:t xml:space="preserve"> </w:t>
      </w:r>
      <w:hyperlink w:anchor="ref-12">
        <w:r>
          <w:rPr>
            <w:rStyle w:val="Hyperlink"/>
          </w:rPr>
          <w:t xml:space="preserve">[12]</w:t>
        </w:r>
      </w:hyperlink>
      <w:r>
        <w:t xml:space="preserve">. It ends with a power reckoning candid about the ceiling the panel size sets on the survival fit.</w:t>
      </w:r>
    </w:p>
    <w:p>
      <w:pPr>
        <w:pStyle w:val="BodyText"/>
        <w:spacing w:line="480" w:lineRule="auto"/>
        <w:ind w:firstLine="720"/>
      </w:pPr>
      <w:r>
        <w:t xml:space="preserve">Chapter 5 gives the empirical findings. It gives the pooled OLS coefficient on modularity, its standard error, the F-statistic, the adjusted R-squared, and the robustness checks against the placebo fit and against the rival structural gauges of mean depth and mean second-level out-degree. It then gives the Cox fit on the same panel and talks through the split between the pooled estimate and the survival estimate. No fit gets picked after the fact to flatter either result.</w:t>
      </w:r>
    </w:p>
    <w:p>
      <w:pPr>
        <w:pStyle w:val="BodyText"/>
        <w:spacing w:line="480" w:lineRule="auto"/>
        <w:ind w:firstLine="720"/>
      </w:pPr>
      <w:r>
        <w:t xml:space="preserve">Chapter 6 works through the implications, the threats to validity, and the agenda for replication and reach. It handles the five threats to validity the prospectus named: selection on observables, how sensitive the modularity number is to measurement, sample-frame bias from the GAO cut at baseline confirmation, the entanglement of WBS choice with anticipated danger, and reach past the NASA corpus. It ends with the call to fold the modularity number into the Key Decision Point C package as an operational add-on, the call on JPL’s bidding stance, and the agenda to gauge schedule networks, risk registers, and requirements-traceability matrices in work to come.</w:t>
      </w:r>
    </w:p>
    <w:p>
      <w:pPr>
        <w:pStyle w:val="BodyText"/>
        <w:spacing w:line="480" w:lineRule="auto"/>
        <w:ind w:firstLine="720"/>
      </w:pPr>
      <w:r>
        <w:t xml:space="preserve">Three appendices round out the dissertation. Appendix A sets down the routine that turns a published WBS into a node-edge list. Appendix B carries the pre-registration record. Appendix C hands over the analytical dataset in machine-readable form with a full source line for every row.</w:t>
      </w:r>
    </w:p>
    <w:bookmarkEnd w:id="66"/>
    <w:bookmarkEnd w:id="67"/>
    <w:bookmarkStart w:id="90" w:name="chapter-2.-literature-review"/>
    <w:p>
      <w:pPr>
        <w:pStyle w:val="Heading1"/>
        <w:spacing w:line="480" w:lineRule="auto"/>
      </w:pPr>
      <w:r>
        <w:t xml:space="preserve">Chapter 2. Literature Review</w:t>
      </w:r>
    </w:p>
    <w:bookmarkStart w:id="68" w:name="orientation-and-argument-of-the-chapter"/>
    <w:p>
      <w:pPr>
        <w:pStyle w:val="Heading2"/>
        <w:spacing w:line="480" w:lineRule="auto"/>
      </w:pPr>
      <w:r>
        <w:t xml:space="preserve">2.1 Orientation and Argument of the Chapter</w:t>
      </w:r>
    </w:p>
    <w:p>
      <w:pPr>
        <w:pStyle w:val="FirstParagraph"/>
        <w:spacing w:line="480" w:lineRule="auto"/>
      </w:pPr>
      <w:r>
        <w:t xml:space="preserve">What this dissertation offers lives along a seam between two scholarly bodies that, so far as the candidate can tell, no one has stitched together. One is the technical writing on space-system architecture, work-breakdown carving, mission scheduling, sensor and constellation design, and the operational engineering of spread-out space systems. The other is the cliometric and econometric writing on measurement, identification, hazard estimation, and forecasting acquisition results from baseline-visible program traits. The first casts carving as a design choice that carries engineering weight. The second lends the estimators that could, in principle, turn that design choice into a gauged forecaster of how the calendar actually plays out. On its own, neither body makes the stitch. This chapter reads both, honors each on its own ground, and then pins down the shortfall the dissertation means to close.</w:t>
      </w:r>
    </w:p>
    <w:p>
      <w:pPr>
        <w:pStyle w:val="BodyText"/>
        <w:spacing w:line="480" w:lineRule="auto"/>
        <w:ind w:firstLine="720"/>
      </w:pPr>
      <w:r>
        <w:t xml:space="preserve">Five moves carry the argument. Section 2.2 reads the technical writing on work-breakdown structures, modular architectures, and the operational engineering of space systems, treating carving as the thing the engineering community already handles by hand. Section 2.3 turns to the cliometric and econometric writing on slipping calendars, swelling costs, and building early reads from baseline-visible traits, with a close eye on the GAO portfolio reviews and on the Cox proportional-hazards estimator the field turns to for time-to-event results. Section 2.4 reads the slim but weighty methodological writing on modularity as a graph measurement, its roots in network science and its reach into product and process architectures. Section 2.5 pulls the three streams together and pins the exact disprovable shortfall the dissertation will close. Section 2.6 ends by saying how the prospectus, the first paper, and the second paper together place the dissertation offering inside the wider talk.</w:t>
      </w:r>
    </w:p>
    <w:bookmarkEnd w:id="68"/>
    <w:bookmarkStart w:id="75" w:name="Xc1a279ea3d215dbdce16f16fcf6977d4efd8d68"/>
    <w:p>
      <w:pPr>
        <w:pStyle w:val="Heading2"/>
        <w:spacing w:line="480" w:lineRule="auto"/>
      </w:pPr>
      <w:r>
        <w:t xml:space="preserve">2.2 The Technical Literature on Space-System Decomposition</w:t>
      </w:r>
    </w:p>
    <w:p>
      <w:pPr>
        <w:pStyle w:val="FirstParagraph"/>
        <w:spacing w:line="480" w:lineRule="auto"/>
      </w:pPr>
      <w:r>
        <w:t xml:space="preserve">Big, hands-on, and tilted hard toward engineering performance over econometric forecast, the technical writing on carving space systems is nonetheless the writing where the WBS lives as a thing engineers actually handle. Any earnest attempt to read WBS modularity as a forecaster of execution results has to start by owning how that writing already handles carving.</w:t>
      </w:r>
    </w:p>
    <w:bookmarkStart w:id="69" w:name="X7edb376336ffe692e212026562560ebdbaa2ca0"/>
    <w:p>
      <w:pPr>
        <w:pStyle w:val="Heading3"/>
        <w:spacing w:line="480" w:lineRule="auto"/>
      </w:pPr>
      <w:r>
        <w:t xml:space="preserve">2.2.1 Mission Scheduling and the Departure from System-Subsystem-Module Decomposition</w:t>
      </w:r>
    </w:p>
    <w:p>
      <w:pPr>
        <w:pStyle w:val="FirstParagraph"/>
        <w:spacing w:line="480" w:lineRule="auto"/>
      </w:pPr>
      <w:r>
        <w:t xml:space="preserve">Sharpest proof that carving shape carries operational weight comes out of the recent mission-scheduling writing for spread-out space architectures. Lee, Kim, and Lee sketch a conceptual design for mission-scheduling software for a small-satellite constellation where the old system-subsystem-module carving is dropped outright for a grouping built around the scheduling puzzle itself [1, 14]. They say their reason is operational workability under the combinatorial strain of constellation scheduling. The deeper reading is structural. Once a program team learns that the inherited shape of the old carving grinds at the scheduling layer, the shape of the carving already counts as a gauged quantity in the engineering writing, whatever name that writing has withheld. Inside the present dissertation, the Lee, Kim, and Lee result stands as the goad showing practitioners already smell what the dissertation means to test on formal terms.</w:t>
      </w:r>
    </w:p>
    <w:bookmarkEnd w:id="69"/>
    <w:bookmarkStart w:id="70" w:name="Xf7965f0c983afdca73af00b7abc0ec7487c8c60"/>
    <w:p>
      <w:pPr>
        <w:pStyle w:val="Heading3"/>
        <w:spacing w:line="480" w:lineRule="auto"/>
      </w:pPr>
      <w:r>
        <w:t xml:space="preserve">2.2.2 Constellation Architecture and the Flexibility of Decomposition Under Uncertainty</w:t>
      </w:r>
    </w:p>
    <w:p>
      <w:pPr>
        <w:pStyle w:val="FirstParagraph"/>
        <w:spacing w:line="480" w:lineRule="auto"/>
      </w:pPr>
      <w:r>
        <w:t xml:space="preserve">Carving is an out-and-out design variable in the constellation writing.</w:t>
      </w:r>
    </w:p>
    <w:p>
      <w:pPr>
        <w:pStyle w:val="BodyText"/>
        <w:spacing w:line="480" w:lineRule="auto"/>
        <w:ind w:firstLine="720"/>
      </w:pPr>
      <w:r>
        <w:t xml:space="preserve">Kirshner and Pearce grow optical sensor constellation architectures for space-domain awareness through model-based trade studies where the carving of the constellation into mission, sensor, and platform layers moves across cases and the payoff for sensitivity, revisit, and cost gets logged</w:t>
      </w:r>
      <w:r>
        <w:t xml:space="preserve"> </w:t>
      </w:r>
      <w:hyperlink w:anchor="ref-2">
        <w:r>
          <w:rPr>
            <w:rStyle w:val="Hyperlink"/>
          </w:rPr>
          <w:t xml:space="preserve">[2]</w:t>
        </w:r>
      </w:hyperlink>
      <w:r>
        <w:t xml:space="preserve">. Anderson, Cardin, and Grogan carry that frame to mega-constellations by handling multi-layer staged rollout as an adaptable design under uncertain demand, so the carving into rollout stages becomes the thing to optimize</w:t>
      </w:r>
      <w:r>
        <w:t xml:space="preserve"> </w:t>
      </w:r>
      <w:hyperlink w:anchor="ref-4">
        <w:r>
          <w:rPr>
            <w:rStyle w:val="Hyperlink"/>
          </w:rPr>
          <w:t xml:space="preserve">[4]</w:t>
        </w:r>
      </w:hyperlink>
      <w:r>
        <w:t xml:space="preserve">. Read side by side, both papers pin down that carving is no fixed hand-me-down from a planning template but a free choice practitioners work in answer to operational and economic strain. The writing on optical and radar sensors for space surveillance and on the photometric and orbital reading of resident space objects likewise treats sensor architecture, observation tasking, and data flow as stackable layers whose carving sits in the engineering design space [17, 19, 20]. None of this work, though, ties the chosen carving to a calendar that actually slipped on a panel of like programs.</w:t>
      </w:r>
    </w:p>
    <w:bookmarkEnd w:id="70"/>
    <w:bookmarkStart w:id="71" w:name="X1a72b275aa31b2401b46520465396774ffb9dd9"/>
    <w:p>
      <w:pPr>
        <w:pStyle w:val="Heading3"/>
        <w:spacing w:line="480" w:lineRule="auto"/>
      </w:pPr>
      <w:r>
        <w:t xml:space="preserve">2.2.3 Modular Mechatronics, Modular Robotics, and the Engineering Idiom of Modularity</w:t>
      </w:r>
    </w:p>
    <w:p>
      <w:pPr>
        <w:pStyle w:val="FirstParagraph"/>
        <w:spacing w:line="480" w:lineRule="auto"/>
      </w:pPr>
      <w:r>
        <w:t xml:space="preserve">A twin idiom in the technical writing casts modularity flat-out as an engineering virtue. Fonseca Prince and colleagues sketch a modular mechatronics kit for robotic planetary-exploration hardware in a field run, where the modular splitting of the robot into mechatronic blocks is the core architectural bet</w:t>
      </w:r>
      <w:r>
        <w:t xml:space="preserve"> </w:t>
      </w:r>
      <w:hyperlink w:anchor="ref-22">
        <w:r>
          <w:rPr>
            <w:rStyle w:val="Hyperlink"/>
          </w:rPr>
          <w:t xml:space="preserve">[22]</w:t>
        </w:r>
      </w:hyperlink>
      <w:r>
        <w:t xml:space="preserve">. Morgan, Nino, and Sheffield sketch a Raft data fabric for space-domain-awareness data transforms whose stated virtue is exactly the modular, scalable carving of the transform pipeline</w:t>
      </w:r>
      <w:r>
        <w:t xml:space="preserve"> </w:t>
      </w:r>
      <w:hyperlink w:anchor="ref-18">
        <w:r>
          <w:rPr>
            <w:rStyle w:val="Hyperlink"/>
          </w:rPr>
          <w:t xml:space="preserve">[18]</w:t>
        </w:r>
      </w:hyperlink>
      <w:r>
        <w:t xml:space="preserve">. Tippets and colleagues, sketching a Joint Commercial Operations common communications channel, likewise cast the modular carving of the channel architecture as the engineering payoff</w:t>
      </w:r>
      <w:r>
        <w:t xml:space="preserve"> </w:t>
      </w:r>
      <w:hyperlink w:anchor="ref-15">
        <w:r>
          <w:rPr>
            <w:rStyle w:val="Hyperlink"/>
          </w:rPr>
          <w:t xml:space="preserve">[15]</w:t>
        </w:r>
      </w:hyperlink>
      <w:r>
        <w:t xml:space="preserve">. Bojar’s lightweight image-processing toolpack for low-power optical space-surveillance and tracking stations is, once again, a modular carving held up as a virtue</w:t>
      </w:r>
      <w:r>
        <w:t xml:space="preserve"> </w:t>
      </w:r>
      <w:hyperlink w:anchor="ref-16">
        <w:r>
          <w:rPr>
            <w:rStyle w:val="Hyperlink"/>
          </w:rPr>
          <w:t xml:space="preserve">[16]</w:t>
        </w:r>
      </w:hyperlink>
      <w:r>
        <w:t xml:space="preserve">. The pattern holds. Across the engineering writing, modularity gets named, claimed as a virtue, and shown off in the carving of the artifact, yet it never gets gauged on a graph and never gets tied to a downstream calendar result on a like panel of programs.</w:t>
      </w:r>
    </w:p>
    <w:bookmarkEnd w:id="71"/>
    <w:bookmarkStart w:id="72" w:name="X8a9aa91a53aea51989bc02b9bf293e146c881a2"/>
    <w:p>
      <w:pPr>
        <w:pStyle w:val="Heading3"/>
        <w:spacing w:line="480" w:lineRule="auto"/>
      </w:pPr>
      <w:r>
        <w:t xml:space="preserve">2.2.4 Subsystem Engineering, ISRU, Propulsion, and the Heterogeneity of the WBS</w:t>
      </w:r>
    </w:p>
    <w:p>
      <w:pPr>
        <w:pStyle w:val="FirstParagraph"/>
        <w:spacing w:line="480" w:lineRule="auto"/>
      </w:pPr>
      <w:r>
        <w:t xml:space="preserve">One more class of proof in the technical writing is the sheer unlikeness of the subsystems any nontrivial space-system WBS has to hold. Han and colleagues log interelectrode discharge traits of electrospray-type thrusters</w:t>
      </w:r>
      <w:r>
        <w:t xml:space="preserve"> </w:t>
      </w:r>
      <w:hyperlink w:anchor="ref-21">
        <w:r>
          <w:rPr>
            <w:rStyle w:val="Hyperlink"/>
          </w:rPr>
          <w:t xml:space="preserve">[21]</w:t>
        </w:r>
      </w:hyperlink>
      <w:r>
        <w:t xml:space="preserve">. Huang and Li sharpen vacuum-arc thruster efficiency through inductive energy-storage circuit control</w:t>
      </w:r>
      <w:r>
        <w:t xml:space="preserve"> </w:t>
      </w:r>
      <w:hyperlink w:anchor="ref-23">
        <w:r>
          <w:rPr>
            <w:rStyle w:val="Hyperlink"/>
          </w:rPr>
          <w:t xml:space="preserve">[23]</w:t>
        </w:r>
      </w:hyperlink>
      <w:r>
        <w:t xml:space="preserve">. Acosta Mendoza and colleagues tune the makeup of a hypergolic green propellant built on monoethanolamine, n-butanol, and ninety-percent hydrogen peroxide</w:t>
      </w:r>
      <w:r>
        <w:t xml:space="preserve"> </w:t>
      </w:r>
      <w:hyperlink w:anchor="ref-27">
        <w:r>
          <w:rPr>
            <w:rStyle w:val="Hyperlink"/>
          </w:rPr>
          <w:t xml:space="preserve">[27]</w:t>
        </w:r>
      </w:hyperlink>
      <w:r>
        <w:t xml:space="preserve">. He and colleagues sketch a spray-drying route to raise the flowability of planetary regolith for powder-based in-situ resource utilization fabrication on Mars</w:t>
      </w:r>
      <w:r>
        <w:t xml:space="preserve"> </w:t>
      </w:r>
      <w:hyperlink w:anchor="ref-26">
        <w:r>
          <w:rPr>
            <w:rStyle w:val="Hyperlink"/>
          </w:rPr>
          <w:t xml:space="preserve">[26]</w:t>
        </w:r>
      </w:hyperlink>
      <w:r>
        <w:t xml:space="preserve">. Herman, Pinon Fischer, and Mavris run a systematic mapping and survey of sun-sensor calibration algorithms</w:t>
      </w:r>
      <w:r>
        <w:t xml:space="preserve"> </w:t>
      </w:r>
      <w:hyperlink w:anchor="ref-25">
        <w:r>
          <w:rPr>
            <w:rStyle w:val="Hyperlink"/>
          </w:rPr>
          <w:t xml:space="preserve">[25]</w:t>
        </w:r>
      </w:hyperlink>
      <w:r>
        <w:t xml:space="preserve">. Pyla and Dabbakuti weigh ionospheric delays through an orthogonal dimensionality-reduction route</w:t>
      </w:r>
      <w:r>
        <w:t xml:space="preserve"> </w:t>
      </w:r>
      <w:hyperlink w:anchor="ref-24">
        <w:r>
          <w:rPr>
            <w:rStyle w:val="Hyperlink"/>
          </w:rPr>
          <w:t xml:space="preserve">[24]</w:t>
        </w:r>
      </w:hyperlink>
      <w:r>
        <w:t xml:space="preserve">. Chen and colleagues grow a modified sparse multivariate linear regression method for time-delay forecasting in a space telerobot system</w:t>
      </w:r>
      <w:r>
        <w:t xml:space="preserve"> </w:t>
      </w:r>
      <w:hyperlink w:anchor="ref-28">
        <w:r>
          <w:rPr>
            <w:rStyle w:val="Hyperlink"/>
          </w:rPr>
          <w:t xml:space="preserve">[28]</w:t>
        </w:r>
      </w:hyperlink>
      <w:r>
        <w:t xml:space="preserve">. Each of these studies is, on its own, one entry in the WBS of some believable mission. Read together, they land a structural point. A modern space-system WBS is a graph joining subsystems whose inner physics, build maturity, and integration danger part company by orders of magnitude. The shape of the carving is exactly the engineering choice about how those unlikenesses get split into clusters that can ripen in parallel and into interfaces that must be haggled across clusters.</w:t>
      </w:r>
    </w:p>
    <w:bookmarkEnd w:id="72"/>
    <w:bookmarkStart w:id="73" w:name="X6a34ab513765b085e67994b3f6e758e6f54ebac"/>
    <w:p>
      <w:pPr>
        <w:pStyle w:val="Heading3"/>
        <w:spacing w:line="480" w:lineRule="auto"/>
      </w:pPr>
      <w:r>
        <w:t xml:space="preserve">2.2.5 Decision Support, Cognitive Systems Engineering, and the Architectural Frame</w:t>
      </w:r>
    </w:p>
    <w:p>
      <w:pPr>
        <w:pStyle w:val="FirstParagraph"/>
        <w:spacing w:line="480" w:lineRule="auto"/>
      </w:pPr>
      <w:r>
        <w:t xml:space="preserve">A slim but weighty strand of the technical writing takes the carving of the decision puzzle itself as the thing to study. Jaunzemis and colleagues grow a space-situational-awareness decision support system whose architecture is drawn through cognitive systems engineering, where the splitting of the decision puzzle into operator-facing modules is the deliverable</w:t>
      </w:r>
      <w:r>
        <w:t xml:space="preserve"> </w:t>
      </w:r>
      <w:hyperlink w:anchor="ref-13">
        <w:r>
          <w:rPr>
            <w:rStyle w:val="Hyperlink"/>
          </w:rPr>
          <w:t xml:space="preserve">[13]</w:t>
        </w:r>
      </w:hyperlink>
      <w:r>
        <w:t xml:space="preserve">. The architectural socio-technological upheaval framing in the space-economy writing, for its part, handles the layering of policy-born activities onto the engineering WBS as an analytic move meant to surface where institutional and engineering carvings part ways</w:t>
      </w:r>
      <w:r>
        <w:t xml:space="preserve"> </w:t>
      </w:r>
      <w:hyperlink w:anchor="ref-3">
        <w:r>
          <w:rPr>
            <w:rStyle w:val="Hyperlink"/>
          </w:rPr>
          <w:t xml:space="preserve">[3]</w:t>
        </w:r>
      </w:hyperlink>
      <w:r>
        <w:t xml:space="preserve">. Both strands nudge the talk toward the dissertation’s question, since both take the carving as a gauged thing whose traits matter, yet neither closes the stitch to the calendar that actually slipped on a panel of programs.</w:t>
      </w:r>
    </w:p>
    <w:bookmarkEnd w:id="73"/>
    <w:bookmarkStart w:id="74" w:name="summary-of-the-technical-literature"/>
    <w:p>
      <w:pPr>
        <w:pStyle w:val="Heading3"/>
        <w:spacing w:line="480" w:lineRule="auto"/>
      </w:pPr>
      <w:r>
        <w:t xml:space="preserve">2.2.6 Summary of the Technical Literature</w:t>
      </w:r>
    </w:p>
    <w:p>
      <w:pPr>
        <w:pStyle w:val="FirstParagraph"/>
        <w:spacing w:line="480" w:lineRule="auto"/>
      </w:pPr>
      <w:r>
        <w:t xml:space="preserve">Read whole, the technical writing hands over three findings the present dissertation will lean on. Carving is a free choice practitioners work in answer to operational strain, no fixed hand-me-down [1, 2, 4, 14]. Modularity gets named as a virtue in the engineering idiom, shown off in the carving of artifacts, and held as an architectural bet [15, 16, 18, 22]. And the subsystems the WBS has to hold are unlike in physics, in build maturity, and in integration danger, so the shape of the carving is doing real work in splitting that unlikeness [21, 23, 24, 25, 26, 27, 28]. What the technical writing withholds is a gauge of WBS modularity on a graph, computed at baseline, and a matching gauged tie to the calendar that actually slipped on a panel of like programs. That is the stitch the dissertation means to make.</w:t>
      </w:r>
    </w:p>
    <w:bookmarkEnd w:id="74"/>
    <w:bookmarkEnd w:id="75"/>
    <w:bookmarkStart w:id="82" w:name="X9f9cd9235a077c96bb66b446baab4739821691c"/>
    <w:p>
      <w:pPr>
        <w:pStyle w:val="Heading2"/>
        <w:spacing w:line="480" w:lineRule="auto"/>
      </w:pPr>
      <w:r>
        <w:t xml:space="preserve">2.3 The Cliometric and Econometric Literature on Acquisition Outcomes</w:t>
      </w:r>
    </w:p>
    <w:p>
      <w:pPr>
        <w:pStyle w:val="FirstParagraph"/>
        <w:spacing w:line="480" w:lineRule="auto"/>
      </w:pPr>
      <w:r>
        <w:t xml:space="preserve">Second body the dissertation has to honor is the cliometric and econometric writing on how the cost and calendar of major space and defense programs actually played out. This is the writing where the estimators and identification plans the dissertation will use were grown, and it is the writing whose stock explanatory factors, hardware readiness, program scale, and money steadiness, the dissertation means to widen with a structural variable computed on the WBS graph.</w:t>
      </w:r>
    </w:p>
    <w:bookmarkStart w:id="76" w:name="X0cfc1edef5257d27b57c2481954a8af51dd5028"/>
    <w:p>
      <w:pPr>
        <w:pStyle w:val="Heading3"/>
        <w:spacing w:line="480" w:lineRule="auto"/>
      </w:pPr>
      <w:r>
        <w:t xml:space="preserve">2.3.1 The GAO Portfolio Assessments as a Cliometric Corpus</w:t>
      </w:r>
    </w:p>
    <w:p>
      <w:pPr>
        <w:pStyle w:val="FirstParagraph"/>
        <w:spacing w:line="480" w:lineRule="auto"/>
      </w:pPr>
      <w:r>
        <w:t xml:space="preserve">The yearly NASA Assessments of Major Projects series out of the United States Government Accountability Office is the go-to cliometric corpus for civil space acquisition results [5, 6, 9]. Issued in one yearly edition after another across fiscal years 2009 through 2025, each edition logs baseline and current cost, baseline and current calendar, readiness levels of critical technologies, and narrative diagnoses of what caused the slip [5, 6, 9]. Three traits make the corpus rare in its worth: government-curated, steady in its definitions edition to edition, and public at a grain fine enough to let a program-level panel get built. The methodological appendices of the early editions said outright that NASA cost and calendar performance had climbed over the window under review, and later editions logged both that climb holding and its uneven spread across programs</w:t>
      </w:r>
      <w:r>
        <w:t xml:space="preserve"> </w:t>
      </w:r>
      <w:hyperlink w:anchor="ref-9">
        <w:r>
          <w:rPr>
            <w:rStyle w:val="Hyperlink"/>
          </w:rPr>
          <w:t xml:space="preserve">[9]</w:t>
        </w:r>
      </w:hyperlink>
      <w:r>
        <w:t xml:space="preserve">. The cliometric line reads this series as the chief data source for any counted claim about civil space acquisition performance.</w:t>
      </w:r>
    </w:p>
    <w:bookmarkEnd w:id="76"/>
    <w:bookmarkStart w:id="77" w:name="the-conventional-explanatory-variables"/>
    <w:p>
      <w:pPr>
        <w:pStyle w:val="Heading3"/>
        <w:spacing w:line="480" w:lineRule="auto"/>
      </w:pPr>
      <w:r>
        <w:t xml:space="preserve">2.3.2 The Conventional Explanatory Variables</w:t>
      </w:r>
    </w:p>
    <w:p>
      <w:pPr>
        <w:pStyle w:val="FirstParagraph"/>
        <w:spacing w:line="480" w:lineRule="auto"/>
      </w:pPr>
      <w:r>
        <w:t xml:space="preserve">Reading the GAO portfolio reviews, the cliometric writing has settled on two chief explanatory factors for how far cost and calendar drifted from baseline. First is the readiness level of the lowest-TRL critical technology at confirmation, the ruling correlate of cost swell across the GAO reviews for over a decade [5, 6, 9]. Second is the natural logarithm of life-cycle cost at baseline, a stand-in for program scale and political weight that walks with both the odds and the size of rebaseline events</w:t>
      </w:r>
      <w:r>
        <w:t xml:space="preserve"> </w:t>
      </w:r>
      <w:hyperlink w:anchor="ref-9">
        <w:r>
          <w:rPr>
            <w:rStyle w:val="Hyperlink"/>
          </w:rPr>
          <w:t xml:space="preserve">[9]</w:t>
        </w:r>
      </w:hyperlink>
      <w:r>
        <w:t xml:space="preserve">. The NPR 7120.5 frame lends the procedural spine within which both factors get defined, and NPR 8705.4 lends the mission-class tag used by habit as a categorical control for danger posture [7, 8]. Both factors, though, carry a flaw the dissertation aims at head-on. Each is part-visible at baseline yet is itself the yield of earlier formulation-phase calls, so each holds less about the program office’s chosen execution plan than program managers and overseers would wish.</w:t>
      </w:r>
    </w:p>
    <w:bookmarkEnd w:id="77"/>
    <w:bookmarkStart w:id="78" w:name="X1e19e82480d7e4e91aed62593c9bc8ea476ec67"/>
    <w:p>
      <w:pPr>
        <w:pStyle w:val="Heading3"/>
        <w:spacing w:line="480" w:lineRule="auto"/>
      </w:pPr>
      <w:r>
        <w:t xml:space="preserve">2.3.3 Time-to-Event Modeling and the Cox Proportional-Hazards Estimator</w:t>
      </w:r>
    </w:p>
    <w:p>
      <w:pPr>
        <w:pStyle w:val="FirstParagraph"/>
        <w:spacing w:line="480" w:lineRule="auto"/>
      </w:pPr>
      <w:r>
        <w:t xml:space="preserve">The methodological spine of the cliometric writing on rebaseline events is the Cox proportional-hazards estimator, first laid out by Cox in his 1972 paper on regression models and life tables</w:t>
      </w:r>
      <w:r>
        <w:t xml:space="preserve"> </w:t>
      </w:r>
      <w:hyperlink w:anchor="ref-12">
        <w:r>
          <w:rPr>
            <w:rStyle w:val="Hyperlink"/>
          </w:rPr>
          <w:t xml:space="preserve">[12]</w:t>
        </w:r>
      </w:hyperlink>
      <w:r>
        <w:t xml:space="preserve">. The Cox model fits where the result of interest is the wait until an event and part of the panel is right-censored, which is just the shape of the NASA major-projects panel. Programs still unbreach at the close of the latest reporting window are right-censored. Programs that broke supply logged event times. The model takes covariates to act multiplicatively on a shared baseline hazard, the proportional-hazards assumption to hold across covariate strata, and censoring to be non-informative. Estimation runs through partial likelihood with the Efron approximation for tied event times. The estimator is the go-to pick across the cliometric and biostatistical writing for time-to-event results, and aiming it at acquisition rebaseline events is a straight lift from the survival-analysis line</w:t>
      </w:r>
      <w:r>
        <w:t xml:space="preserve"> </w:t>
      </w:r>
      <w:hyperlink w:anchor="ref-12">
        <w:r>
          <w:rPr>
            <w:rStyle w:val="Hyperlink"/>
          </w:rPr>
          <w:t xml:space="preserve">[12]</w:t>
        </w:r>
      </w:hyperlink>
      <w:r>
        <w:t xml:space="preserve">. The second paper of the dissertation portfolio aims this estimator at the NASA major-projects panel and logs a null result, itself an offering to the cliometric writing since it marks the edge conditions of the modularity guess under usual power limits.</w:t>
      </w:r>
    </w:p>
    <w:bookmarkEnd w:id="78"/>
    <w:bookmarkStart w:id="79" w:name="Xe867068e37233c04f0fe4a5919cbbba3eae3206"/>
    <w:p>
      <w:pPr>
        <w:pStyle w:val="Heading3"/>
        <w:spacing w:line="480" w:lineRule="auto"/>
      </w:pPr>
      <w:r>
        <w:t xml:space="preserve">2.3.4 Pooled Cross-Sectional Estimation and the Identification of Partial Associations</w:t>
      </w:r>
    </w:p>
    <w:p>
      <w:pPr>
        <w:pStyle w:val="FirstParagraph"/>
        <w:spacing w:line="480" w:lineRule="auto"/>
      </w:pPr>
      <w:r>
        <w:t xml:space="preserve">Where the result is a continuous drift from baseline rather than a time-to-event, the cliometric writing leans instead on pooled ordinary-least-squares estimation with controls for the stock explanatory factors and with heteroskedasticity-consistent standard errors. The first paper of the dissertation portfolio aims this estimator at the realized slip ratio on the same NASA major-projects panel and logs a big negative coefficient on Newman-Girvan modularity that stands apart from zero on statistical terms. That first-paper estimate is a partial tie rather than a causal estimand, in the usual sense that the pooled cross-sectional fit cannot soak up time-invariant prime-specific effects lacking the within-prime fixed-effects reach the panel size cannot yet bear. The cliometric line reads such pooled estimates as telling pictures of the conditional shape of the data, subject to the threats to validity the prospectus lists in Section 6. Methodological work on identification in acquisition panels warns as a rule that the entanglement of design choices, above all the chance that program offices facing higher expected danger deliberately pick more modular carvings, tilts the coefficient on modularity toward zero, so a finding for the guess is cautious under that entanglement.</w:t>
      </w:r>
    </w:p>
    <w:bookmarkEnd w:id="79"/>
    <w:bookmarkStart w:id="80" w:name="Xa4b0614eecf578932bdf0aa41da361fddc18078"/>
    <w:p>
      <w:pPr>
        <w:pStyle w:val="Heading3"/>
        <w:spacing w:line="480" w:lineRule="auto"/>
      </w:pPr>
      <w:r>
        <w:t xml:space="preserve">2.3.5 The Cliometric Frame in the Space-Economy Literature</w:t>
      </w:r>
    </w:p>
    <w:p>
      <w:pPr>
        <w:pStyle w:val="FirstParagraph"/>
        <w:spacing w:line="480" w:lineRule="auto"/>
      </w:pPr>
      <w:r>
        <w:t xml:space="preserve">A matching frame for reading the cliometric proof comes out of the space-economy writing on architectural socio-technological upheaval, where the layering of policy-born activities onto the engineering WBS gets handled as a structural and normative analytic move</w:t>
      </w:r>
      <w:r>
        <w:t xml:space="preserve"> </w:t>
      </w:r>
      <w:hyperlink w:anchor="ref-3">
        <w:r>
          <w:rPr>
            <w:rStyle w:val="Hyperlink"/>
          </w:rPr>
          <w:t xml:space="preserve">[3]</w:t>
        </w:r>
      </w:hyperlink>
      <w:r>
        <w:t xml:space="preserve">. That framing is no econometric one in the strict sense, yet it lends the conceptual frame within which the dissertation’s structural claim, that the WBS graph holds forecasting content, reads as sensible. The space-economy writing treats the architecture of the space program as a gauged thing whose traits bear normative and structural study. The dissertation carries that move onward by computing a particular graph trait of the architecture and estimating its tie to a gauged result on a panel.</w:t>
      </w:r>
    </w:p>
    <w:bookmarkEnd w:id="80"/>
    <w:bookmarkStart w:id="81" w:name="X612a3025a19796b9c6dc924c8286028ac94e615"/>
    <w:p>
      <w:pPr>
        <w:pStyle w:val="Heading3"/>
        <w:spacing w:line="480" w:lineRule="auto"/>
      </w:pPr>
      <w:r>
        <w:t xml:space="preserve">2.3.6 Summary of the Cliometric and Econometric Literature</w:t>
      </w:r>
    </w:p>
    <w:p>
      <w:pPr>
        <w:pStyle w:val="FirstParagraph"/>
        <w:spacing w:line="480" w:lineRule="auto"/>
      </w:pPr>
      <w:r>
        <w:t xml:space="preserve">The cliometric and econometric writing lends the GAO portfolio reviews as the go-to corpus, the stock explanatory factors of TRL and log cost as the baseline controls, the Cox proportional-hazards estimator as the go-to tool for time-to-event results, and pooled cross-sectional estimation as the go-to tool for continuous-drift results [5, 6, 7, 8, 9, 12]. What this writing withholds is a structural variable computed on the WBS graph and a gauged tie between that variable and the calendar that actually slipped. The cliometric line keeps the WBS as backdrop. The dissertation moves it up front.</w:t>
      </w:r>
    </w:p>
    <w:bookmarkEnd w:id="81"/>
    <w:bookmarkEnd w:id="82"/>
    <w:bookmarkStart w:id="87" w:name="Xb12b0a87f87ecc624512a5887fcb3635244c85a"/>
    <w:p>
      <w:pPr>
        <w:pStyle w:val="Heading2"/>
        <w:spacing w:line="480" w:lineRule="auto"/>
      </w:pPr>
      <w:r>
        <w:t xml:space="preserve">2.4 The Methodological Literature on Modularity as a Graph Measurement</w:t>
      </w:r>
    </w:p>
    <w:p>
      <w:pPr>
        <w:pStyle w:val="FirstParagraph"/>
        <w:spacing w:line="480" w:lineRule="auto"/>
      </w:pPr>
      <w:r>
        <w:t xml:space="preserve">Third stream the dissertation has to read is the methodological writing on modularity itself as a graph and architectural measurement. Slim against the technical and cliometric writing, this stream is all the same the one that hands over the measurement tool the dissertation will use.</w:t>
      </w:r>
    </w:p>
    <w:bookmarkStart w:id="83" w:name="Xa5d98abb1fbe5241e20955a5f970bd72c419324"/>
    <w:p>
      <w:pPr>
        <w:pStyle w:val="Heading3"/>
        <w:spacing w:line="480" w:lineRule="auto"/>
      </w:pPr>
      <w:r>
        <w:t xml:space="preserve">2.4.1 Newman’s Modularity and Community Structure in Networks</w:t>
      </w:r>
    </w:p>
    <w:p>
      <w:pPr>
        <w:pStyle w:val="FirstParagraph"/>
        <w:spacing w:line="480" w:lineRule="auto"/>
      </w:pPr>
      <w:r>
        <w:t xml:space="preserve">Newman’s 2006 paper on modularity and community structure in networks is the founding reference for the Newman-Girvan modularity score the dissertation computes</w:t>
      </w:r>
      <w:r>
        <w:t xml:space="preserve"> </w:t>
      </w:r>
      <w:hyperlink w:anchor="ref-10">
        <w:r>
          <w:rPr>
            <w:rStyle w:val="Hyperlink"/>
          </w:rPr>
          <w:t xml:space="preserve">[10]</w:t>
        </w:r>
      </w:hyperlink>
      <w:r>
        <w:t xml:space="preserve">. Newman’s build casts modularity as a scalar function of a split of the vertex set of a graph, where the score rewards splits whose within-block edge density beats the density looked for under a random null model and docks splits whose within-block density is no better than that hope. The community-detection routine the dissertation runs throws the directed WBS graph onto an undirected graph and computes the modularity score of the split the standard community-detection algorithm recovers on level-1 through level-3 of the published WBS. So the measurement lands as a solid, reproducible scalar, computable from the baseline paperwork itself.</w:t>
      </w:r>
    </w:p>
    <w:bookmarkEnd w:id="83"/>
    <w:bookmarkStart w:id="84" w:name="Xf01211960adf1c9473961ca1b48ee88c0623f12"/>
    <w:p>
      <w:pPr>
        <w:pStyle w:val="Heading3"/>
        <w:spacing w:line="480" w:lineRule="auto"/>
      </w:pPr>
      <w:r>
        <w:t xml:space="preserve">2.4.2 Baldwin and Clark on the Power of Modularity</w:t>
      </w:r>
    </w:p>
    <w:p>
      <w:pPr>
        <w:pStyle w:val="FirstParagraph"/>
        <w:spacing w:line="480" w:lineRule="auto"/>
      </w:pPr>
      <w:r>
        <w:t xml:space="preserve">Baldwin and Clark’s Design Rules: The Power of Modularity moors the architectural reading of modularity in the economics and management writing, casting modularity as a design plan that mints real options for the program and pens the fallout of design changes inside blocks</w:t>
      </w:r>
      <w:r>
        <w:t xml:space="preserve"> </w:t>
      </w:r>
      <w:hyperlink w:anchor="ref-11">
        <w:r>
          <w:rPr>
            <w:rStyle w:val="Hyperlink"/>
          </w:rPr>
          <w:t xml:space="preserve">[11]</w:t>
        </w:r>
      </w:hyperlink>
      <w:r>
        <w:t xml:space="preserve">. Their frame is the theoretical footing for the dissertation’s structural intuition. A WBS with high modularity splits the program into clusters of tightly bound tasks parted by fairly thin interfaces, which pens rework once a lone subsystem runs into trouble. The Baldwin and Clark argument is normative and theoretical, and it has been worked hard across product-architecture studies, yet aiming it at the WBS of major space programs, with a gauged graph modularity score and a gauged calendar result, has never run in the published writing.</w:t>
      </w:r>
    </w:p>
    <w:bookmarkEnd w:id="84"/>
    <w:bookmarkStart w:id="85" w:name="Xbf7a4343ef83455c96485c5cbd3110a3f344d2b"/>
    <w:p>
      <w:pPr>
        <w:pStyle w:val="Heading3"/>
        <w:spacing w:line="480" w:lineRule="auto"/>
      </w:pPr>
      <w:r>
        <w:t xml:space="preserve">2.4.3 The Measurement of Modularity in Practice</w:t>
      </w:r>
    </w:p>
    <w:p>
      <w:pPr>
        <w:pStyle w:val="FirstParagraph"/>
        <w:spacing w:line="480" w:lineRule="auto"/>
      </w:pPr>
      <w:r>
        <w:t xml:space="preserve">Computing Newman-Girvan modularity on the WBS of a space program stands on three measurement calls. First is whether declared inter-element interfaces get folded into the graph projection or left out. The first paper of the dissertation portfolio cross-checks the modularity score against the WBS appendices of the fitting GAO Major Project Assessment, and the second paper logs that where the WBS dictionary sat unpublished, the modularity score got read off the subsystem-coupling table in the program systems-engineering management plan and the GAO portfolio summary. Second is the level of the WBS at which the projection runs, where the dissertation takes level-1 through level-3 because that is the level at which the WBS dictionaries reliably publish. Third is the community-detection algorithm itself, where the dissertation takes the standard Newman-Girvan routine for replicability. Each of these calls is a threat to validity the prospectus lists and the empirical chapters answer through robustness checks.</w:t>
      </w:r>
    </w:p>
    <w:bookmarkEnd w:id="85"/>
    <w:bookmarkStart w:id="86" w:name="summary-of-the-methodological-literature"/>
    <w:p>
      <w:pPr>
        <w:pStyle w:val="Heading3"/>
        <w:spacing w:line="480" w:lineRule="auto"/>
      </w:pPr>
      <w:r>
        <w:t xml:space="preserve">2.4.4 Summary of the Methodological Literature</w:t>
      </w:r>
    </w:p>
    <w:p>
      <w:pPr>
        <w:pStyle w:val="FirstParagraph"/>
        <w:spacing w:line="480" w:lineRule="auto"/>
      </w:pPr>
      <w:r>
        <w:t xml:space="preserve">The methodological writing on modularity hands over a sharp measurement tool</w:t>
      </w:r>
      <w:r>
        <w:t xml:space="preserve"> </w:t>
      </w:r>
      <w:hyperlink w:anchor="ref-10">
        <w:r>
          <w:rPr>
            <w:rStyle w:val="Hyperlink"/>
          </w:rPr>
          <w:t xml:space="preserve">[10]</w:t>
        </w:r>
      </w:hyperlink>
      <w:r>
        <w:t xml:space="preserve"> </w:t>
      </w:r>
      <w:r>
        <w:t xml:space="preserve">and a theoretical footing for reading the score as a structural trait of the program architecture that mints real options and pens the fallout of design changes</w:t>
      </w:r>
      <w:r>
        <w:t xml:space="preserve"> </w:t>
      </w:r>
      <w:hyperlink w:anchor="ref-11">
        <w:r>
          <w:rPr>
            <w:rStyle w:val="Hyperlink"/>
          </w:rPr>
          <w:t xml:space="preserve">[11]</w:t>
        </w:r>
      </w:hyperlink>
      <w:r>
        <w:t xml:space="preserve">. What it withholds is aiming that tool at the WBS of a panel of major space programs with a gauged calendar result. That aim is the methodological offering of the dissertation.</w:t>
      </w:r>
    </w:p>
    <w:bookmarkEnd w:id="86"/>
    <w:bookmarkEnd w:id="87"/>
    <w:bookmarkStart w:id="88" w:name="X90e80a16837359f817875bf18bcdb18c5c6ec36"/>
    <w:p>
      <w:pPr>
        <w:pStyle w:val="Heading2"/>
        <w:spacing w:line="480" w:lineRule="auto"/>
      </w:pPr>
      <w:r>
        <w:t xml:space="preserve">2.5 Synthesis and the Identification of the Gap</w:t>
      </w:r>
    </w:p>
    <w:p>
      <w:pPr>
        <w:pStyle w:val="FirstParagraph"/>
        <w:spacing w:line="480" w:lineRule="auto"/>
      </w:pPr>
      <w:r>
        <w:t xml:space="preserve">The three streams read above meet on one particular shortfall. The technical writing casts carving as a free choice practitioners work in answer to operational strain [1, 2, 4, 14], names modularity as an engineering virtue [15, 16, 18, 22], and shows off the unlikeness of the subsystems the WBS has to hold [21, 23, 24, 25, 26, 27, 28]. The cliometric and econometric writing hands over the GAO portfolio reviews as a corpus [5, 6, 9], the stock explanatory factors of TRL and log cost as controls [5, 6, 7, 8, 9], and the Cox proportional-hazards estimator as the go-to tool for time-to-event results</w:t>
      </w:r>
      <w:r>
        <w:t xml:space="preserve"> </w:t>
      </w:r>
      <w:hyperlink w:anchor="ref-12">
        <w:r>
          <w:rPr>
            <w:rStyle w:val="Hyperlink"/>
          </w:rPr>
          <w:t xml:space="preserve">[12]</w:t>
        </w:r>
      </w:hyperlink>
      <w:r>
        <w:t xml:space="preserve">. The methodological writing on modularity hands over the measurement tool</w:t>
      </w:r>
      <w:r>
        <w:t xml:space="preserve"> </w:t>
      </w:r>
      <w:hyperlink w:anchor="ref-10">
        <w:r>
          <w:rPr>
            <w:rStyle w:val="Hyperlink"/>
          </w:rPr>
          <w:t xml:space="preserve">[10]</w:t>
        </w:r>
      </w:hyperlink>
      <w:r>
        <w:t xml:space="preserve"> </w:t>
      </w:r>
      <w:r>
        <w:t xml:space="preserve">and the theoretical footing</w:t>
      </w:r>
      <w:r>
        <w:t xml:space="preserve"> </w:t>
      </w:r>
      <w:hyperlink w:anchor="ref-11">
        <w:r>
          <w:rPr>
            <w:rStyle w:val="Hyperlink"/>
          </w:rPr>
          <w:t xml:space="preserve">[11]</w:t>
        </w:r>
      </w:hyperlink>
      <w:r>
        <w:t xml:space="preserve">.</w:t>
      </w:r>
    </w:p>
    <w:p>
      <w:pPr>
        <w:pStyle w:val="BodyText"/>
        <w:spacing w:line="480" w:lineRule="auto"/>
        <w:ind w:firstLine="720"/>
      </w:pPr>
      <w:r>
        <w:t xml:space="preserve">No published study has made the stitch.</w:t>
      </w:r>
    </w:p>
    <w:p>
      <w:pPr>
        <w:pStyle w:val="BodyText"/>
        <w:spacing w:line="480" w:lineRule="auto"/>
        <w:ind w:firstLine="720"/>
      </w:pPr>
      <w:r>
        <w:t xml:space="preserve">None computes Newman-Girvan modularity on the WBS of a panel of major space programs and estimates its tie to the calendar that actually slipped on that panel, with a sound identification plan and a fit fixed in advance. The first paper of the dissertation portfolio runs that estimation in the pooled cross-sectional frame and logs a big negative coefficient on modularity that stands apart from zero. The second paper runs the same estimation in the Cox proportional-hazards frame and logs a null result whose reading is penned in by the slim count of events on a panel of thirty-two programs. Read together, the two papers log both the empirical content of the modularity guess under a continuous-drift estimator and the edge conditions of that guess under a time-to-event estimator. The dissertation offering is the stitch itself, run with a sound measurement tool on a sound corpus, and fixed in advance against one disprovable claim.</w:t>
      </w:r>
    </w:p>
    <w:p>
      <w:pPr>
        <w:pStyle w:val="BodyText"/>
        <w:spacing w:line="480" w:lineRule="auto"/>
        <w:ind w:firstLine="720"/>
      </w:pPr>
      <w:r>
        <w:t xml:space="preserve">So the shortfall is no shortfall in grasping carving on technical terms, which is ripe [1, 2, 4, 14, 15, 16, 18, 22]. It is no shortfall in the cliometric corpus, which is well logged [5, 6, 9]. It is no shortfall in the measurement tool for modularity, which is sharp and reproducible [10, 11]. It is a shortfall in the stitch, in the disciplined turn of the engineering carving into a gauged forecaster of the acquisition result that lands. The dissertation closes that shortfall.</w:t>
      </w:r>
    </w:p>
    <w:bookmarkEnd w:id="88"/>
    <w:bookmarkStart w:id="89" w:name="X2bea63bdf2fa19d9f5d5bedc425a399f7875909"/>
    <w:p>
      <w:pPr>
        <w:pStyle w:val="Heading2"/>
        <w:spacing w:line="480" w:lineRule="auto"/>
      </w:pPr>
      <w:r>
        <w:t xml:space="preserve">2.6 Position of the Dissertation Within the Literature</w:t>
      </w:r>
    </w:p>
    <w:p>
      <w:pPr>
        <w:pStyle w:val="FirstParagraph"/>
        <w:spacing w:line="480" w:lineRule="auto"/>
      </w:pPr>
      <w:r>
        <w:t xml:space="preserve">The dissertation places itself as the first published study, so far as the candidate can tell, that reads WBS modularity as a gauged graph forecaster of the calendar that actually slipped on a panel of NASA major projects, with a fit fixed in advance, a sound identification plan, and an open account of both the pooled cross-sectional finding and the Cox proportional-hazards null. The first paper hands over the headline cross-sectional estimate. The second paper hands over the time-to-event robustness check whose null is itself telling about the edge conditions of the claim under usual power limits. The architectural framing of the space-economy writing</w:t>
      </w:r>
      <w:r>
        <w:t xml:space="preserve"> </w:t>
      </w:r>
      <w:hyperlink w:anchor="ref-3">
        <w:r>
          <w:rPr>
            <w:rStyle w:val="Hyperlink"/>
          </w:rPr>
          <w:t xml:space="preserve">[3]</w:t>
        </w:r>
      </w:hyperlink>
      <w:r>
        <w:t xml:space="preserve"> </w:t>
      </w:r>
      <w:r>
        <w:t xml:space="preserve">lends the conceptual frame within which the structural claim reads as sensible, and the engineering writing on carving [1, 2, 4, 14, 15, 16, 18, 22] lends the practitioner goad for taking the shape of the carving in earnest as a gauged thing.</w:t>
      </w:r>
    </w:p>
    <w:p>
      <w:pPr>
        <w:pStyle w:val="BodyText"/>
        <w:spacing w:line="480" w:lineRule="auto"/>
        <w:ind w:firstLine="720"/>
      </w:pPr>
      <w:r>
        <w:t xml:space="preserve">The rest of the dissertation runs as follows. Chapter 3 spells out the research design, the build of the panel, the measurement plan for modularity, and the fixing-in-advance of the fits. Chapter 4 gives the empirical results of the pooled cross-sectional estimation on the realized slip ratio. Chapter 5 gives the empirical results of the Cox proportional-hazards estimation on the time to first rebaseline. Chapter 6 works through the joint reading of the two estimators, the threats to validity the prospectus named, and what the joint reading means for program-management practice and for the stock explanatory factors of the cliometric line. Chapter 7 ends with the offering to the writing and the natural reaches to the Department of War major-defense-acquisition-program corpus and to the European Space Agency cost-at-completion corpus, where the count of events runs larger and the panel can bear the within-prime fixed-effects fit the present panel cannot.</w:t>
      </w:r>
    </w:p>
    <w:bookmarkEnd w:id="89"/>
    <w:bookmarkEnd w:id="90"/>
    <w:bookmarkStart w:id="104" w:name="Xcfcc00a3ded59aed0c781c16bfc121f2a509603"/>
    <w:p>
      <w:pPr>
        <w:pStyle w:val="Heading1"/>
        <w:spacing w:line="480" w:lineRule="auto"/>
      </w:pPr>
      <w:r>
        <w:t xml:space="preserve">Chapter 3. Theoretical Framework and Hypotheses</w:t>
      </w:r>
    </w:p>
    <w:bookmarkStart w:id="91" w:name="orientation"/>
    <w:p>
      <w:pPr>
        <w:pStyle w:val="Heading2"/>
        <w:spacing w:line="480" w:lineRule="auto"/>
      </w:pPr>
      <w:r>
        <w:t xml:space="preserve">3.1 Orientation</w:t>
      </w:r>
    </w:p>
    <w:p>
      <w:pPr>
        <w:pStyle w:val="FirstParagraph"/>
        <w:spacing w:line="480" w:lineRule="auto"/>
      </w:pPr>
      <w:r>
        <w:t xml:space="preserve">The empirical claim this dissertation puts forward is that the topological modularity of a space program’s work-breakdown structure (WBS), gauged at baseline, holds forecasting content for the calendar slip logged at program close-out. The two chapters before this set the policy stakes and walked the literatures that have circled the question without settling it. This chapter carries a different load. It states the theoretical mechanism tying a graph trait of a planning artifact to a gaugeable execution result, builds the causal logic by which that mechanism is meant to run, and pledges the dissertation to one pair of formal hypotheses, marked H0 and H1, whose knock-down or survival on the panel of Chapter 5 will be the disprovable offering.</w:t>
      </w:r>
    </w:p>
    <w:p>
      <w:pPr>
        <w:pStyle w:val="BodyText"/>
        <w:spacing w:line="480" w:lineRule="auto"/>
        <w:ind w:firstLine="720"/>
      </w:pPr>
      <w:r>
        <w:t xml:space="preserve">Here is the run of the chapter. Section 3.2 nails the conceptual primitives: what a WBS means, what modularity of a graph means in the Newman-Girvan sense, and what calendar slip means. Section 3.3 grows the theoretical mechanism in three layers, drawing on the modularity-as-information-hiding line that runs down from Baldwin and Clark, on the community-structure formalism of Newman, and on the operational proof that mission-scheduling frameworks for spread-out space systems are already walking away from the old system-subsystem-module carving. Section 3.4 lays out the causal logic tying the mechanism to the seen result, minding each link and the assumption holding it up. Section 3.5 pledges the dissertation to its formal hypotheses. Section 3.6 ends by naming the chief threats to the inferential chain, leaving the empirical answers to those threats for Chapter 4.</w:t>
      </w:r>
    </w:p>
    <w:bookmarkEnd w:id="91"/>
    <w:bookmarkStart w:id="95" w:name="conceptual-primitives"/>
    <w:p>
      <w:pPr>
        <w:pStyle w:val="Heading2"/>
        <w:spacing w:line="480" w:lineRule="auto"/>
      </w:pPr>
      <w:r>
        <w:t xml:space="preserve">3.2 Conceptual Primitives</w:t>
      </w:r>
    </w:p>
    <w:bookmarkStart w:id="92" w:name="X90784d02e105fdf144fc70af7b9d5ca24db30c7"/>
    <w:p>
      <w:pPr>
        <w:pStyle w:val="Heading3"/>
        <w:spacing w:line="480" w:lineRule="auto"/>
      </w:pPr>
      <w:r>
        <w:t xml:space="preserve">3.2.1 The work-breakdown structure as a measured object</w:t>
      </w:r>
    </w:p>
    <w:p>
      <w:pPr>
        <w:pStyle w:val="FirstParagraph"/>
        <w:spacing w:line="480" w:lineRule="auto"/>
      </w:pPr>
      <w:r>
        <w:t xml:space="preserve">The first move of the chapter is also the move on which the whole theoretical rig stands. In this dissertation the work-breakdown structure is no planning aid. It is a gauged thing whose structural traits stand apart from the manager who drew it and fall out of the baseline paperwork for any party holding that paperwork. The standard NASA program-management frame, set in NPR 7120.5, calls for every space-flight program to turn out a WBS at Key Decision Point C and for the carving to show particular traits of completeness, parent-child closure, and traceability to deliverable scope</w:t>
      </w:r>
      <w:r>
        <w:t xml:space="preserve"> </w:t>
      </w:r>
      <w:hyperlink w:anchor="ref-7">
        <w:r>
          <w:rPr>
            <w:rStyle w:val="Hyperlink"/>
          </w:rPr>
          <w:t xml:space="preserve">[7]</w:t>
        </w:r>
      </w:hyperlink>
      <w:r>
        <w:t xml:space="preserve">. The twin risk-classification paper, NPR 8705.4, lays further limits on how mission-class tags interact with the structural breakdown</w:t>
      </w:r>
      <w:r>
        <w:t xml:space="preserve"> </w:t>
      </w:r>
      <w:hyperlink w:anchor="ref-8">
        <w:r>
          <w:rPr>
            <w:rStyle w:val="Hyperlink"/>
          </w:rPr>
          <w:t xml:space="preserve">[8]</w:t>
        </w:r>
      </w:hyperlink>
      <w:r>
        <w:t xml:space="preserve">. Together those two calls warrant that, for any post-2000 NASA major program, the WBS is a structured, tiered, reproducible artifact. So it stands as a fair input to a graph study.</w:t>
      </w:r>
    </w:p>
    <w:p>
      <w:pPr>
        <w:pStyle w:val="BodyText"/>
        <w:spacing w:line="480" w:lineRule="auto"/>
        <w:ind w:firstLine="720"/>
      </w:pPr>
      <w:r>
        <w:t xml:space="preserve">On formal terms, the dissertation casts the WBS as a directed acyclic graph G equal to (V, E), where V is the set of WBS elements and E is the set of directed edges holding the parent-child carving. The standard NASA WBS dictionary yields a tree at the level of the plain carving. For computing modularity, that tree gets filled out with undirected edges holding the inter-element interfaces declared in the baseline systems-engineering management plan or the like baseline paper. Once thrown undirected, the resulting thing is a graph whose community structure is well set and on which the Newman-Girvan modularity metric computes. Chapter 4 spells out the build step by step, so it need not run again here. All Section 3.2 means to land is that the build is well posed.</w:t>
      </w:r>
    </w:p>
    <w:bookmarkEnd w:id="92"/>
    <w:bookmarkStart w:id="93" w:name="newman-girvan-modularity"/>
    <w:p>
      <w:pPr>
        <w:pStyle w:val="Heading3"/>
        <w:spacing w:line="480" w:lineRule="auto"/>
      </w:pPr>
      <w:r>
        <w:t xml:space="preserve">3.2.2 Newman-Girvan modularity</w:t>
      </w:r>
    </w:p>
    <w:p>
      <w:pPr>
        <w:pStyle w:val="FirstParagraph"/>
        <w:spacing w:line="480" w:lineRule="auto"/>
      </w:pPr>
      <w:r>
        <w:t xml:space="preserve">The modularity metric used throughout is Newman’s, which gauges the share of edges landing inside candidate communities minus the share looked for to land there under a random graph with the same degree sequence</w:t>
      </w:r>
      <w:r>
        <w:t xml:space="preserve"> </w:t>
      </w:r>
      <w:hyperlink w:anchor="ref-10">
        <w:r>
          <w:rPr>
            <w:rStyle w:val="Hyperlink"/>
          </w:rPr>
          <w:t xml:space="preserve">[10]</w:t>
        </w:r>
      </w:hyperlink>
      <w:r>
        <w:t xml:space="preserve">. A value near zero flags a graph whose edges scatter as if at random against any candidate split. A value nearing its theoretical ceiling near one flags a graph that carves clean into densely joined communities parted by sparse intercommunity edges. Newman’s modularity has been put to work in fields as far apart as biological network study and social-network study just because it turns a hazy hunch about community structure into a lone scalar that stacks across graphs of unlike size</w:t>
      </w:r>
      <w:r>
        <w:t xml:space="preserve"> </w:t>
      </w:r>
      <w:hyperlink w:anchor="ref-10">
        <w:r>
          <w:rPr>
            <w:rStyle w:val="Hyperlink"/>
          </w:rPr>
          <w:t xml:space="preserve">[10]</w:t>
        </w:r>
      </w:hyperlink>
      <w:r>
        <w:t xml:space="preserve">.</w:t>
      </w:r>
    </w:p>
    <w:p>
      <w:pPr>
        <w:pStyle w:val="BodyText"/>
        <w:spacing w:line="480" w:lineRule="auto"/>
        <w:ind w:firstLine="720"/>
      </w:pPr>
      <w:r>
        <w:t xml:space="preserve">For the present use, the metric computes on the undirected throw of the filled-out WBS graph. A program whose WBS carves clean into densely bound subsystem clusters, parted by thin interface seams, logs a high modularity score. A program whose WBS smears couplings wide, so no clean split holds, logs a low one. The dissertation takes this scalar as its chief explanatory variable.</w:t>
      </w:r>
    </w:p>
    <w:bookmarkEnd w:id="93"/>
    <w:bookmarkStart w:id="94" w:name="schedule-slip"/>
    <w:p>
      <w:pPr>
        <w:pStyle w:val="Heading3"/>
        <w:spacing w:line="480" w:lineRule="auto"/>
      </w:pPr>
      <w:r>
        <w:t xml:space="preserve">3.2.3 Schedule slip</w:t>
      </w:r>
    </w:p>
    <w:p>
      <w:pPr>
        <w:pStyle w:val="FirstParagraph"/>
        <w:spacing w:line="480" w:lineRule="auto"/>
      </w:pPr>
      <w:r>
        <w:t xml:space="preserve">The result variable is the calendar slip logged from the program baseline to the program close-out. Following the build the first research paper under this dissertation used, slip is set as the ratio of actual elapsed months from authority-to-proceed to delivery, over the interval pledged at baseline, minus one. Positive values flag slip; values near zero flag on-calendar delivery; negative values flag early delivery. Being unit-free, this build shrugs off inflation of the baseline duration guess, and it lets programs of unlike absolute calendar length be stacked. The Government Accountability Office tracks the underlying months in its yearly major-project reviews and prints them in a form that lets the slip ratio be built straight off [5, 6, 9].</w:t>
      </w:r>
    </w:p>
    <w:bookmarkEnd w:id="94"/>
    <w:bookmarkEnd w:id="95"/>
    <w:bookmarkStart w:id="100" w:name="the-theoretical-mechanism"/>
    <w:p>
      <w:pPr>
        <w:pStyle w:val="Heading2"/>
        <w:spacing w:line="480" w:lineRule="auto"/>
      </w:pPr>
      <w:r>
        <w:t xml:space="preserve">3.3 The Theoretical Mechanism</w:t>
      </w:r>
    </w:p>
    <w:bookmarkStart w:id="96" w:name="modularity-as-information-hiding"/>
    <w:p>
      <w:pPr>
        <w:pStyle w:val="Heading3"/>
        <w:spacing w:line="480" w:lineRule="auto"/>
      </w:pPr>
      <w:r>
        <w:t xml:space="preserve">3.3.1 Modularity as information hiding</w:t>
      </w:r>
    </w:p>
    <w:p>
      <w:pPr>
        <w:pStyle w:val="FirstParagraph"/>
        <w:spacing w:line="480" w:lineRule="auto"/>
      </w:pPr>
      <w:r>
        <w:t xml:space="preserve">The intellectual root of the mechanism put forward is the theory of modular design set out by Baldwin and Clark, who held that modular architectures work as economic options because they wall off the fallout of design experiments inside bounded blocks</w:t>
      </w:r>
      <w:r>
        <w:t xml:space="preserve"> </w:t>
      </w:r>
      <w:hyperlink w:anchor="ref-11">
        <w:r>
          <w:rPr>
            <w:rStyle w:val="Hyperlink"/>
          </w:rPr>
          <w:t xml:space="preserve">[11]</w:t>
        </w:r>
      </w:hyperlink>
      <w:r>
        <w:t xml:space="preserve">. In a modular architecture, the interface between two blocks names a slim set of variables the blocks have to agree on, and all else inside each block stays hidden from the rest of the system. A design experiment that fails inside one block does not travel to the others, so long as the interface holds. The block can be redrawn, re-engineered, or swapped without jarring the architecture around it. Architecture-level value is the sum of the option values of its blocks, and that sum climbs as the architecture turns more modular.</w:t>
      </w:r>
    </w:p>
    <w:p>
      <w:pPr>
        <w:pStyle w:val="BodyText"/>
        <w:spacing w:line="480" w:lineRule="auto"/>
        <w:ind w:firstLine="720"/>
      </w:pPr>
      <w:r>
        <w:t xml:space="preserve">The theory grew for computer hardware and software architectures, yet it reaches naturally to any system whose deliverables are carved for the sake of management. A space program is just such a system. The WBS is the paper by which the program declares its carving. Two programs of matched scope and matched contract value can split wide in the shape of their WBS, one showing a clean modular carving and the other a broadly bound one. Baldwin and Clark’s argument holds that those two programs face unlike spreads of execution danger, since the modular program can swallow a subsystem shock inside the hit block while the bound program travels that shock across the architecture</w:t>
      </w:r>
      <w:r>
        <w:t xml:space="preserve"> </w:t>
      </w:r>
      <w:hyperlink w:anchor="ref-11">
        <w:r>
          <w:rPr>
            <w:rStyle w:val="Hyperlink"/>
          </w:rPr>
          <w:t xml:space="preserve">[11]</w:t>
        </w:r>
      </w:hyperlink>
      <w:r>
        <w:t xml:space="preserve">.</w:t>
      </w:r>
    </w:p>
    <w:bookmarkEnd w:id="96"/>
    <w:bookmarkStart w:id="97" w:name="X34a228f9450a81e00bd2cf5d1cb7adb7731e5e1"/>
    <w:p>
      <w:pPr>
        <w:pStyle w:val="Heading3"/>
        <w:spacing w:line="480" w:lineRule="auto"/>
      </w:pPr>
      <w:r>
        <w:t xml:space="preserve">3.3.2 Community structure and the topology of coupling</w:t>
      </w:r>
    </w:p>
    <w:p>
      <w:pPr>
        <w:pStyle w:val="FirstParagraph"/>
        <w:spacing w:line="480" w:lineRule="auto"/>
      </w:pPr>
      <w:r>
        <w:t xml:space="preserve">The Baldwin and Clark argument is qualitative. Turning it into a gaugeable, disprovable empirical claim wants a metric, and Newman’s modularity hands over exactly that turn. The metric formalizes the hunch of clean within-block density and sparse between-block coupling, and it holds comparable across graphs of unlike size and degree spread</w:t>
      </w:r>
      <w:r>
        <w:t xml:space="preserve"> </w:t>
      </w:r>
      <w:hyperlink w:anchor="ref-10">
        <w:r>
          <w:rPr>
            <w:rStyle w:val="Hyperlink"/>
          </w:rPr>
          <w:t xml:space="preserve">[10]</w:t>
        </w:r>
      </w:hyperlink>
      <w:r>
        <w:t xml:space="preserve">. A WBS whose subsystems form well-set communities in the Newman sense is the graph picture of an architecture that has cleanly hidden information inside blocks. A WBS whose subsystems form no such communities is the graph picture of an architecture that has failed to.</w:t>
      </w:r>
    </w:p>
    <w:p>
      <w:pPr>
        <w:pStyle w:val="BodyText"/>
        <w:spacing w:line="480" w:lineRule="auto"/>
        <w:ind w:firstLine="720"/>
      </w:pPr>
      <w:r>
        <w:t xml:space="preserve">Put tight, the mechanism runs that within-block density stands for the workable cognitive and contractual load a lone integrated product team can carry, while between-block sparsity stands for the slim set of interface calls that have to be squared across teams. The Baldwin and Clark writing says plainly that this pairing, high within-block density set against low between-block coupling, is the setup under which experimentation and rework stay penned</w:t>
      </w:r>
      <w:r>
        <w:t xml:space="preserve"> </w:t>
      </w:r>
      <w:hyperlink w:anchor="ref-11">
        <w:r>
          <w:rPr>
            <w:rStyle w:val="Hyperlink"/>
          </w:rPr>
          <w:t xml:space="preserve">[11]</w:t>
        </w:r>
      </w:hyperlink>
      <w:r>
        <w:t xml:space="preserve">. The Newman metric is the scalar by which that setup gets spotted in any given WBS</w:t>
      </w:r>
      <w:r>
        <w:t xml:space="preserve"> </w:t>
      </w:r>
      <w:hyperlink w:anchor="ref-10">
        <w:r>
          <w:rPr>
            <w:rStyle w:val="Hyperlink"/>
          </w:rPr>
          <w:t xml:space="preserve">[10]</w:t>
        </w:r>
      </w:hyperlink>
      <w:r>
        <w:t xml:space="preserve">.</w:t>
      </w:r>
    </w:p>
    <w:bookmarkEnd w:id="97"/>
    <w:bookmarkStart w:id="98" w:name="X41da30169dc03c5f6e38e9f8b415e74be933eb0"/>
    <w:p>
      <w:pPr>
        <w:pStyle w:val="Heading3"/>
        <w:spacing w:line="480" w:lineRule="auto"/>
      </w:pPr>
      <w:r>
        <w:t xml:space="preserve">3.3.3 Operational evidence from contemporary space-system practice</w:t>
      </w:r>
    </w:p>
    <w:p>
      <w:pPr>
        <w:pStyle w:val="FirstParagraph"/>
        <w:spacing w:line="480" w:lineRule="auto"/>
      </w:pPr>
      <w:r>
        <w:t xml:space="preserve">The theoretical rig would float free of the empirical setting were practitioners in the space community not already wrestling the modularity question.</w:t>
      </w:r>
    </w:p>
    <w:p>
      <w:pPr>
        <w:pStyle w:val="BodyText"/>
        <w:spacing w:line="480" w:lineRule="auto"/>
        <w:ind w:firstLine="720"/>
      </w:pPr>
      <w:r>
        <w:t xml:space="preserve">The proof is that they are, even without posing the question in the form this dissertation poses.</w:t>
      </w:r>
    </w:p>
    <w:p>
      <w:pPr>
        <w:pStyle w:val="BodyText"/>
        <w:spacing w:line="480" w:lineRule="auto"/>
        <w:ind w:firstLine="720"/>
      </w:pPr>
      <w:r>
        <w:t xml:space="preserve">Sharpest proof comes out of the mission-scheduling writing for small-satellite constellations, where Lee, Kim, and Lee log a conceptual design in which the old system-subsystem-module carving is being dropped for other groupings whose shape is judged the better fit for the operational reality of spread-out assets [1, 14]. The drop is out in the open and pinned on operational grounds. What that means for this dissertation is that the shape of the carving is, in the judgment of operational practitioners, a free choice that matters. The matching work of Kirshner and Pearce on optical sensor constellation architectures shows that constellation-level architectural trade studies, run under model-based discipline, take carving choice as a first-class design parameter</w:t>
      </w:r>
      <w:r>
        <w:t xml:space="preserve"> </w:t>
      </w:r>
      <w:hyperlink w:anchor="ref-2">
        <w:r>
          <w:rPr>
            <w:rStyle w:val="Hyperlink"/>
          </w:rPr>
          <w:t xml:space="preserve">[2]</w:t>
        </w:r>
      </w:hyperlink>
      <w:r>
        <w:t xml:space="preserve">. The work of Anderson, Cardin, and Grogan carries that handling to the staged rollout of mega-constellations under uncertain demand, where the modularity of the staging plan plays against the optionality of held-back investment</w:t>
      </w:r>
      <w:r>
        <w:t xml:space="preserve"> </w:t>
      </w:r>
      <w:hyperlink w:anchor="ref-4">
        <w:r>
          <w:rPr>
            <w:rStyle w:val="Hyperlink"/>
          </w:rPr>
          <w:t xml:space="preserve">[4]</w:t>
        </w:r>
      </w:hyperlink>
      <w:r>
        <w:t xml:space="preserve">.</w:t>
      </w:r>
    </w:p>
    <w:p>
      <w:pPr>
        <w:pStyle w:val="BodyText"/>
        <w:spacing w:line="480" w:lineRule="auto"/>
        <w:ind w:firstLine="720"/>
      </w:pPr>
      <w:r>
        <w:t xml:space="preserve">A second line of operational proof comes out of the ground-segment and data-architecture community. Morgan, Nino, and Sheffield sketch a modular, scalable data-transform fabric for space-domain awareness whose plain drive is to let modules be swapped on their own as mission needs shift</w:t>
      </w:r>
      <w:r>
        <w:t xml:space="preserve"> </w:t>
      </w:r>
      <w:hyperlink w:anchor="ref-18">
        <w:r>
          <w:rPr>
            <w:rStyle w:val="Hyperlink"/>
          </w:rPr>
          <w:t xml:space="preserve">[18]</w:t>
        </w:r>
      </w:hyperlink>
      <w:r>
        <w:t xml:space="preserve">. The mechanism is the same as the Baldwin and Clark mechanism: information hiding at module edges lets substitution happen inside the module. The same logic turns up in the sensor-architecture work of Bojar, which backs lightweight, modular image-processing toolpacks just because the modular architecture lets low-cost optical stations evolve on their own</w:t>
      </w:r>
      <w:r>
        <w:t xml:space="preserve"> </w:t>
      </w:r>
      <w:hyperlink w:anchor="ref-16">
        <w:r>
          <w:rPr>
            <w:rStyle w:val="Hyperlink"/>
          </w:rPr>
          <w:t xml:space="preserve">[16]</w:t>
        </w:r>
      </w:hyperlink>
      <w:r>
        <w:t xml:space="preserve">. The decision-support writing on space situational awareness, Jaunzemis and colleagues among it, reaches a twin close on cognitive systems-engineering design, where modular carving of decision-support functions is pinned on the like claim that modular carving walls off the cognitive load each operator bears</w:t>
      </w:r>
      <w:r>
        <w:t xml:space="preserve"> </w:t>
      </w:r>
      <w:hyperlink w:anchor="ref-13">
        <w:r>
          <w:rPr>
            <w:rStyle w:val="Hyperlink"/>
          </w:rPr>
          <w:t xml:space="preserve">[13]</w:t>
        </w:r>
      </w:hyperlink>
      <w:r>
        <w:t xml:space="preserve">.</w:t>
      </w:r>
    </w:p>
    <w:p>
      <w:pPr>
        <w:pStyle w:val="BodyText"/>
        <w:spacing w:line="480" w:lineRule="auto"/>
        <w:ind w:firstLine="720"/>
      </w:pPr>
      <w:r>
        <w:t xml:space="preserve">A third line, farther off yet still to the point, comes out of the architecture-and-norms writing, where the shape of carving has been argued to broker the spread of socio-technical practice across the space sector</w:t>
      </w:r>
      <w:r>
        <w:t xml:space="preserve"> </w:t>
      </w:r>
      <w:hyperlink w:anchor="ref-3">
        <w:r>
          <w:rPr>
            <w:rStyle w:val="Hyperlink"/>
          </w:rPr>
          <w:t xml:space="preserve">[3]</w:t>
        </w:r>
      </w:hyperlink>
      <w:r>
        <w:t xml:space="preserve">. The argument there runs at a different unit of study, the sector over the program, yet the underlying claim that carving shape brokers results is the same.</w:t>
      </w:r>
    </w:p>
    <w:p>
      <w:pPr>
        <w:pStyle w:val="BodyText"/>
        <w:spacing w:line="480" w:lineRule="auto"/>
        <w:ind w:firstLine="720"/>
      </w:pPr>
      <w:r>
        <w:t xml:space="preserve">The piled weight of these lines is that practitioners across the small-satellite, ground-segment, sensor, decision-support, and sector-architecture communities have been reasoning, in their own tongues, about the shape of carving. None of them have closed the loop between carving shape and the calendar that actually slipped on a panel of like programs. That is the closing this dissertation puts forward.</w:t>
      </w:r>
    </w:p>
    <w:bookmarkEnd w:id="98"/>
    <w:bookmarkStart w:id="99" w:name="X4c94bda4642e318d129599d385e8f90b8e2f0f6"/>
    <w:p>
      <w:pPr>
        <w:pStyle w:val="Heading3"/>
        <w:spacing w:line="480" w:lineRule="auto"/>
      </w:pPr>
      <w:r>
        <w:t xml:space="preserve">3.3.4 The information-hiding mechanism applied to the WBS</w:t>
      </w:r>
    </w:p>
    <w:p>
      <w:pPr>
        <w:pStyle w:val="FirstParagraph"/>
        <w:spacing w:line="480" w:lineRule="auto"/>
      </w:pPr>
      <w:r>
        <w:t xml:space="preserve">Pulling the subsections above together, the theoretical mechanism the dissertation tests runs as follows. A WBS with high Newman-Girvan modularity pens the fallout of subsystem shocks inside the hit community, since the fairly thin between-community coupling narrows the channels through which a shock can travel to the rest of the program. A WBS with low Newman-Girvan modularity, by contrast, travels shocks wide, since the graph offers many channels through which a delay in one element can pass to others. Under any believable assumption about the arrival of subsystem shocks during program execution, the looked-for realized calendar slip is thus lower for high-modularity programs than for low-modularity programs. The mechanism is the information-hiding mechanism of Baldwin and Clark</w:t>
      </w:r>
      <w:r>
        <w:t xml:space="preserve"> </w:t>
      </w:r>
      <w:hyperlink w:anchor="ref-11">
        <w:r>
          <w:rPr>
            <w:rStyle w:val="Hyperlink"/>
          </w:rPr>
          <w:t xml:space="preserve">[11]</w:t>
        </w:r>
      </w:hyperlink>
      <w:r>
        <w:t xml:space="preserve">, run through the community-structure formalism of Newman</w:t>
      </w:r>
      <w:r>
        <w:t xml:space="preserve"> </w:t>
      </w:r>
      <w:hyperlink w:anchor="ref-10">
        <w:r>
          <w:rPr>
            <w:rStyle w:val="Hyperlink"/>
          </w:rPr>
          <w:t xml:space="preserve">[10]</w:t>
        </w:r>
      </w:hyperlink>
      <w:r>
        <w:t xml:space="preserve">, and set on a planning artifact whose build is ruled by NPR 7120.5</w:t>
      </w:r>
      <w:r>
        <w:t xml:space="preserve"> </w:t>
      </w:r>
      <w:hyperlink w:anchor="ref-7">
        <w:r>
          <w:rPr>
            <w:rStyle w:val="Hyperlink"/>
          </w:rPr>
          <w:t xml:space="preserve">[7]</w:t>
        </w:r>
      </w:hyperlink>
      <w:r>
        <w:t xml:space="preserve">.</w:t>
      </w:r>
    </w:p>
    <w:bookmarkEnd w:id="99"/>
    <w:bookmarkEnd w:id="100"/>
    <w:bookmarkStart w:id="101" w:name="causal-logic"/>
    <w:p>
      <w:pPr>
        <w:pStyle w:val="Heading2"/>
        <w:spacing w:line="480" w:lineRule="auto"/>
      </w:pPr>
      <w:r>
        <w:t xml:space="preserve">3.4 Causal Logic</w:t>
      </w:r>
    </w:p>
    <w:p>
      <w:pPr>
        <w:pStyle w:val="FirstParagraph"/>
        <w:spacing w:line="480" w:lineRule="auto"/>
      </w:pPr>
      <w:r>
        <w:t xml:space="preserve">The mechanism of Section 3.3 has to be tied to the seen result by a plain causal chain whose links each hold up on their own. The chain runs in four steps.</w:t>
      </w:r>
    </w:p>
    <w:p>
      <w:pPr>
        <w:pStyle w:val="BodyText"/>
        <w:spacing w:line="480" w:lineRule="auto"/>
        <w:ind w:firstLine="720"/>
      </w:pPr>
      <w:r>
        <w:t xml:space="preserve">Link one runs from baseline architectural intent to the baseline WBS. The claim is that the WBS, as blessed at the baseline, is a fairly faithful picture of the program’s architectural intent at that moment. This link holds up because the baseline WBS is the paper by which scope, cost, and calendar get formally tied to deliverables under NPR 7120.5</w:t>
      </w:r>
      <w:r>
        <w:t xml:space="preserve"> </w:t>
      </w:r>
      <w:hyperlink w:anchor="ref-7">
        <w:r>
          <w:rPr>
            <w:rStyle w:val="Hyperlink"/>
          </w:rPr>
          <w:t xml:space="preserve">[7]</w:t>
        </w:r>
      </w:hyperlink>
      <w:r>
        <w:t xml:space="preserve">, and because any gap between the WBS and the architectural intent is exactly the gap the baseline review process is built to catch.</w:t>
      </w:r>
    </w:p>
    <w:p>
      <w:pPr>
        <w:pStyle w:val="BodyText"/>
        <w:spacing w:line="480" w:lineRule="auto"/>
        <w:ind w:firstLine="720"/>
      </w:pPr>
      <w:r>
        <w:t xml:space="preserve">Link two runs from the baseline WBS to the graph traits of the matching carving graph. This link is mechanical. Given the WBS, the graph gets built by the routine of Section 3.2.1 and the modularity computes by the standard Newman routine</w:t>
      </w:r>
      <w:r>
        <w:t xml:space="preserve"> </w:t>
      </w:r>
      <w:hyperlink w:anchor="ref-10">
        <w:r>
          <w:rPr>
            <w:rStyle w:val="Hyperlink"/>
          </w:rPr>
          <w:t xml:space="preserve">[10]</w:t>
        </w:r>
      </w:hyperlink>
      <w:r>
        <w:t xml:space="preserve">. The link lays no inferential load past the calls of edge build and interface declaration, both fixed in advance.</w:t>
      </w:r>
    </w:p>
    <w:p>
      <w:pPr>
        <w:pStyle w:val="BodyText"/>
        <w:spacing w:line="480" w:lineRule="auto"/>
        <w:ind w:firstLine="720"/>
      </w:pPr>
      <w:r>
        <w:t xml:space="preserve">Link three runs from the graph traits to how subsystem shocks travel during execution. This link is the substantive theoretical content of the dissertation. It stands on the information-hiding argument of Baldwin and Clark</w:t>
      </w:r>
      <w:r>
        <w:t xml:space="preserve"> </w:t>
      </w:r>
      <w:hyperlink w:anchor="ref-11">
        <w:r>
          <w:rPr>
            <w:rStyle w:val="Hyperlink"/>
          </w:rPr>
          <w:t xml:space="preserve">[11]</w:t>
        </w:r>
      </w:hyperlink>
      <w:r>
        <w:t xml:space="preserve"> </w:t>
      </w:r>
      <w:r>
        <w:t xml:space="preserve">and on the claim that the Newman metric is the fitting scalar gauge of the setup in which information hiding lands</w:t>
      </w:r>
      <w:r>
        <w:t xml:space="preserve"> </w:t>
      </w:r>
      <w:hyperlink w:anchor="ref-10">
        <w:r>
          <w:rPr>
            <w:rStyle w:val="Hyperlink"/>
          </w:rPr>
          <w:t xml:space="preserve">[10]</w:t>
        </w:r>
      </w:hyperlink>
      <w:r>
        <w:t xml:space="preserve">. It draws support from the operational proof piled up in Section 3.3.3 that practitioners across the space community take carving shape as a meaningful operational variable [1, 2, 4, 13, 16, 18].</w:t>
      </w:r>
    </w:p>
    <w:p>
      <w:pPr>
        <w:pStyle w:val="BodyText"/>
        <w:spacing w:line="480" w:lineRule="auto"/>
        <w:ind w:firstLine="720"/>
      </w:pPr>
      <w:r>
        <w:t xml:space="preserve">Link four runs from how shocks travel to the calendar that actually slipped. The claim is that, given the arrival of subsystem shocks during execution, the share of those shocks that turns into calendar slip climbs with the width of the coupling along which the shocks can travel. The program-management writing on cost and calendar performance in the NASA portfolio backs this link, logging that the ruling correlates of slip have across time been hardware readiness and program size [5, 9] and that carving shape has yet to be folded in as a gauged covariate. The dissertation makes no claim that shape shoves those covariates aside. It claims that shape is one more gauged covariate left out of the standing models, and that folding it in squares with the theoretical mechanism just drawn.</w:t>
      </w:r>
    </w:p>
    <w:p>
      <w:pPr>
        <w:pStyle w:val="BodyText"/>
        <w:spacing w:line="480" w:lineRule="auto"/>
        <w:ind w:firstLine="720"/>
      </w:pPr>
      <w:r>
        <w:t xml:space="preserve">Read whole, the chain backs the guess that, given hardware readiness, program size, and mission class, higher modularity of the baseline WBS walks with smaller realized calendar slip. The guess is the joint yield of the four links. A finding that fails to back the guess can in principle sit at any of the four links, and the threats-to-validity section of Chapter 4 comes back to which links stand most open to challenge.</w:t>
      </w:r>
    </w:p>
    <w:bookmarkEnd w:id="101"/>
    <w:bookmarkStart w:id="102" w:name="formal-hypotheses"/>
    <w:p>
      <w:pPr>
        <w:pStyle w:val="Heading2"/>
        <w:spacing w:line="480" w:lineRule="auto"/>
      </w:pPr>
      <w:r>
        <w:t xml:space="preserve">3.5 Formal Hypotheses</w:t>
      </w:r>
    </w:p>
    <w:p>
      <w:pPr>
        <w:pStyle w:val="FirstParagraph"/>
        <w:spacing w:line="480" w:lineRule="auto"/>
      </w:pPr>
      <w:r>
        <w:t xml:space="preserve">The dissertation pledges to one pair of formal hypotheses.</w:t>
      </w:r>
    </w:p>
    <w:p>
      <w:pPr>
        <w:pStyle w:val="BodyText"/>
        <w:spacing w:line="480" w:lineRule="auto"/>
        <w:ind w:firstLine="720"/>
      </w:pPr>
      <w:r>
        <w:t xml:space="preserve">The pair is single, signed in the alternative, and disprovable on the panel of Chapter 5.</w:t>
      </w:r>
    </w:p>
    <w:p>
      <w:pPr>
        <w:pStyle w:val="BodyText"/>
        <w:spacing w:line="480" w:lineRule="auto"/>
        <w:ind w:firstLine="720"/>
      </w:pPr>
      <w:r>
        <w:rPr>
          <w:b/>
          <w:bCs/>
        </w:rPr>
        <w:t xml:space="preserve">H0 (the null).</w:t>
      </w:r>
      <w:r>
        <w:t xml:space="preserve"> </w:t>
      </w:r>
      <w:r>
        <w:t xml:space="preserve">Let the realized schedule slip ratio for program i be denoted s_i, defined as the ratio of actual elapsed months from authority-to-proceed to delivery, divided by the baseline-committed months, minus one. Let m_i denote the Newman-Girvan modularity of the baseline WBS graph for program i. Let X_i denote the vector of pre-specified controls, namely the natural logarithm of life-cycle contract value at baseline, the technology readiness level of the lowest-TRL critical element at baseline, mission class under NPR 8705.4</w:t>
      </w:r>
      <w:r>
        <w:t xml:space="preserve"> </w:t>
      </w:r>
      <w:hyperlink w:anchor="ref-8">
        <w:r>
          <w:rPr>
            <w:rStyle w:val="Hyperlink"/>
          </w:rPr>
          <w:t xml:space="preserve">[8]</w:t>
        </w:r>
      </w:hyperlink>
      <w:r>
        <w:t xml:space="preserve">, prime contractor or NASA center of record, and fiscal year of baseline confirmation. The null hypothesis is that, in the population from which the sample is drawn, the partial association between m_i and s_i, conditional on X_i, is zero.</w:t>
      </w:r>
    </w:p>
    <w:p>
      <w:pPr>
        <w:pStyle w:val="BodyText"/>
        <w:spacing w:line="480" w:lineRule="auto"/>
        <w:ind w:firstLine="720"/>
      </w:pPr>
      <w:r>
        <w:rPr>
          <w:b/>
          <w:bCs/>
        </w:rPr>
        <w:t xml:space="preserve">H1 (the alternative).</w:t>
      </w:r>
      <w:r>
        <w:t xml:space="preserve"> </w:t>
      </w:r>
      <w:r>
        <w:t xml:space="preserve">In the population from which the sample is drawn, the partial association between m_i and s_i, conditional on X_i, is strictly negative. Higher Newman-Girvan modularity at baseline is associated with smaller realized schedule slip at close-out, with the coefficient on m_i in the pre-specified linear regression of s_i on m_i and X_i statistically distinguishable from zero at the conventional five-percent level and signed negative.</w:t>
      </w:r>
    </w:p>
    <w:p>
      <w:pPr>
        <w:pStyle w:val="BodyText"/>
        <w:spacing w:line="480" w:lineRule="auto"/>
        <w:ind w:firstLine="720"/>
      </w:pPr>
      <w:r>
        <w:t xml:space="preserve">The hypothesis pair is anchored to a fit fixed in advance. The headline fit is a pooled ordinary-least-squares regression of s_i on m_i and X_i with heteroskedasticity-consistent standard errors. Two secondary fits, fixed in advance, run for robustness. The first is a prime-contractor fixed-effects fit that soaks up all time-invariant prime-specific factors, working within-prime swing in WBS shape across contemporaneous programs, with standard errors clustered at the prime-contractor level. The second is a placebo fit in which m_i is swapped for a randomly shuffled reassignment of the same modularity values across programs, run to confirm that any estimated effect does not outlast shuffling of the explanatory variable. The fixing-in-advance of the three fits, along with the definitions of m_i, s_i, and X_i, happens before any data get pulled.</w:t>
      </w:r>
    </w:p>
    <w:p>
      <w:pPr>
        <w:pStyle w:val="BodyText"/>
        <w:spacing w:line="480" w:lineRule="auto"/>
        <w:ind w:firstLine="720"/>
      </w:pPr>
      <w:r>
        <w:t xml:space="preserve">Two analytic notes on the pair are owed. First, the pair is signed in the alternative because the theoretical mechanism foretells a sign. A non-directional alternative would tell nothing theoretical, since the information-hiding mechanism of Section 3.3 foretells no positive coefficient on m_i and would be knocked down by a finding of one. Second, the pair pledges to a partial tie rather than to a causal estimand. The first research paper under this dissertation logged an estimated coefficient on modularity of minus 2.10 with a standard error of 0.36 on a panel of thirty-two NASA major programs, knocking down H0 at usual levels and backing H1 in sign and size. The twin survival-analytic paper, run on the same panel with a Cox proportional-hazards fit on time to first rebaseline as the result</w:t>
      </w:r>
      <w:r>
        <w:t xml:space="preserve"> </w:t>
      </w:r>
      <w:hyperlink w:anchor="ref-12">
        <w:r>
          <w:rPr>
            <w:rStyle w:val="Hyperlink"/>
          </w:rPr>
          <w:t xml:space="preserve">[12]</w:t>
        </w:r>
      </w:hyperlink>
      <w:r>
        <w:t xml:space="preserve">, failed to knock down the like null, with a wide confidence band square with both the theoretical sign and a flat null. Together the two papers goad the dissertation’s pledge to a partial-tie estimand and to a panel well larger than thirty-two programs, whose build is the subject of Chapter 5.</w:t>
      </w:r>
    </w:p>
    <w:bookmarkEnd w:id="102"/>
    <w:bookmarkStart w:id="103" w:name="Xe53340c418a34b4d64127b363ad9c3513929a6c"/>
    <w:p>
      <w:pPr>
        <w:pStyle w:val="Heading2"/>
        <w:spacing w:line="480" w:lineRule="auto"/>
      </w:pPr>
      <w:r>
        <w:t xml:space="preserve">3.6 Anticipated Threats to the Inferential Chain</w:t>
      </w:r>
    </w:p>
    <w:p>
      <w:pPr>
        <w:pStyle w:val="FirstParagraph"/>
        <w:spacing w:line="480" w:lineRule="auto"/>
      </w:pPr>
      <w:r>
        <w:t xml:space="preserve">The four-link causal logic of Section 3.4 stands open to threats at each link, and the chapter ends by naming them. Chapter 4 grows the empirical answers.</w:t>
      </w:r>
    </w:p>
    <w:p>
      <w:pPr>
        <w:pStyle w:val="BodyText"/>
        <w:spacing w:line="480" w:lineRule="auto"/>
        <w:ind w:firstLine="720"/>
      </w:pPr>
      <w:r>
        <w:t xml:space="preserve">First is the threat to how faithfully the baseline WBS pictures architectural intent. Programs facing higher expected execution danger may on purpose show a more modular WBS at baseline to soothe oversight bodies. If so, the seen tie between modularity and slip is fouled by reverse causation running from looked-for slip to chosen modularity. The direction of the resulting tilt is toward zero in the H1 estimate, since programs that look for slip are picking exactly the shape the theory foretells will cut slip. A finding for H1 is thus cautious under this threat. A finding against H1 cannot split the true null from this strategic-carving confound.</w:t>
      </w:r>
    </w:p>
    <w:p>
      <w:pPr>
        <w:pStyle w:val="BodyText"/>
        <w:spacing w:line="480" w:lineRule="auto"/>
        <w:ind w:firstLine="720"/>
      </w:pPr>
      <w:r>
        <w:t xml:space="preserve">Second is the threat to the mechanical build of the graph. Newman-Girvan modularity turns sensitive to whether declared inter-element interfaces get folded in or left out. The robustness checks fixed in advance take in rival structural gauges, namely the mean depth and the mean second-level out-degree of the carving graph, and the substantive close is called on to outlast on at least two of the three gauges.</w:t>
      </w:r>
    </w:p>
    <w:p>
      <w:pPr>
        <w:pStyle w:val="BodyText"/>
        <w:spacing w:line="480" w:lineRule="auto"/>
        <w:ind w:firstLine="720"/>
      </w:pPr>
      <w:r>
        <w:t xml:space="preserve">Third is the threat to the shock-travel mechanism itself. The information-hiding argument of Baldwin and Clark</w:t>
      </w:r>
      <w:r>
        <w:t xml:space="preserve"> </w:t>
      </w:r>
      <w:hyperlink w:anchor="ref-11">
        <w:r>
          <w:rPr>
            <w:rStyle w:val="Hyperlink"/>
          </w:rPr>
          <w:t xml:space="preserve">[11]</w:t>
        </w:r>
      </w:hyperlink>
      <w:r>
        <w:t xml:space="preserve"> </w:t>
      </w:r>
      <w:r>
        <w:t xml:space="preserve">grew for systems whose modules can be built, made, and tested on their own. Space programs part from that ideal in weighty ways, shared supply chains, common test facilities, and shared key personnel whose attention cannot be split the way physical interfaces can among them. The dissertation makes no claim that the Baldwin and Clark mechanism runs frictionless in the space setting. It claims that the mechanism runs with enough strength to log a gaugeable partial tie on the panel.</w:t>
      </w:r>
    </w:p>
    <w:p>
      <w:pPr>
        <w:pStyle w:val="BodyText"/>
        <w:spacing w:line="480" w:lineRule="auto"/>
        <w:ind w:firstLine="720"/>
      </w:pPr>
      <w:r>
        <w:t xml:space="preserve">Fourth is the threat to how far the finding reaches past the NASA major-project portfolio. The estimand is conditional on the NASA cost-and-schedule reporting regime as set in NPR 7120.5 and the Government Accountability Office reviews series [5, 6, 7, 9]. The dissertation makes no claim of reach to Department of War, intelligence-community, or commercial programs. A future stretch to the Department of War Selected Acquisition Report corpus and to the European Space Agency cost-at-completion datasets is noted in Chapter 6 as a follow-on study and sits outside the dissertation offering.</w:t>
      </w:r>
    </w:p>
    <w:p>
      <w:pPr>
        <w:pStyle w:val="BodyText"/>
        <w:spacing w:line="480" w:lineRule="auto"/>
        <w:ind w:firstLine="720"/>
      </w:pPr>
      <w:r>
        <w:t xml:space="preserve">With the theoretical mechanism stated, the causal logic drawn, the formal hypotheses pledged, and the looked-for threats named, the dissertation stands ready to spell out the empirical plan by which H0 will be tested. That plan is the subject of Chapter 4.</w:t>
      </w:r>
    </w:p>
    <w:bookmarkEnd w:id="103"/>
    <w:bookmarkEnd w:id="104"/>
    <w:bookmarkStart w:id="120" w:name="chapter-4.-data-and-measurement"/>
    <w:p>
      <w:pPr>
        <w:pStyle w:val="Heading1"/>
        <w:spacing w:line="480" w:lineRule="auto"/>
      </w:pPr>
      <w:r>
        <w:t xml:space="preserve">Chapter 4. Data and Measurement</w:t>
      </w:r>
    </w:p>
    <w:bookmarkStart w:id="105" w:name="overview-and-purpose-of-the-chapter"/>
    <w:p>
      <w:pPr>
        <w:pStyle w:val="Heading2"/>
        <w:spacing w:line="480" w:lineRule="auto"/>
      </w:pPr>
      <w:r>
        <w:t xml:space="preserve">4.1 Overview and Purpose of the Chapter</w:t>
      </w:r>
    </w:p>
    <w:p>
      <w:pPr>
        <w:pStyle w:val="FirstParagraph"/>
        <w:spacing w:line="480" w:lineRule="auto"/>
      </w:pPr>
      <w:r>
        <w:t xml:space="preserve">This chapter spells out the empirical footing on which the two research papers making up the quantitative core of the dissertation rest. Chapter 3 drew the identification plan for testing whether the topological modularity of a space program’s baseline work-breakdown structure (WBS) holds forecasting content for how the calendar lands. The present chapter carries the matching measurement load. It names the authoritative primary records from which every variable is built, sets the unit of analysis, spells out the build rules for each variable, logs the sample frame and inclusion criteria, and audits the operational build against the prospectus pledges made in the data and provenance section of the proposal. Where the two papers draw on the same primary corpus, the chapter walks the shared infrastructure once and then notes the paper-specific overlays. Where the papers part, the splits get logged plainly so a reader can rebuild either analysis end to end from the published artifacts.</w:t>
      </w:r>
    </w:p>
    <w:p>
      <w:pPr>
        <w:pStyle w:val="BodyText"/>
        <w:spacing w:line="480" w:lineRule="auto"/>
        <w:ind w:firstLine="720"/>
      </w:pPr>
      <w:r>
        <w:t xml:space="preserve">The walk runs as follows. Section 4.2 names the authoritative data sources and sketches the institutional regime that turns them out. Section 4.3 nails the unit of analysis at the program-baseline pair and tells why that call is forced by the shape of the underlying records. Section 4.4 walks the build of each variable, starting with the structural modularity gauge and moving through the result variables, the control variables, and the auxiliary covariates used for robustness. Section 4.5 logs the sample frame, the inclusion criteria, and the resulting panel of thirty-two NASA major projects shared by both papers. Section 4.6 sketches data-quality controls, source-citation discipline, censoring and event-coding rules for the survival analysis in the second paper, and the handling of the slim count of formulation-phase observations marked illustrative among them. Section 4.7 audits parts from the prospectus and tells the principled reason for each. Section 4.8 ends with a measurement-validity summary that frames the threats to inference taken up in later chapters.</w:t>
      </w:r>
    </w:p>
    <w:bookmarkEnd w:id="105"/>
    <w:bookmarkStart w:id="109" w:name="authoritative-data-sources"/>
    <w:p>
      <w:pPr>
        <w:pStyle w:val="Heading2"/>
        <w:spacing w:line="480" w:lineRule="auto"/>
      </w:pPr>
      <w:r>
        <w:t xml:space="preserve">4.2 Authoritative Data Sources</w:t>
      </w:r>
    </w:p>
    <w:p>
      <w:pPr>
        <w:pStyle w:val="FirstParagraph"/>
        <w:spacing w:line="480" w:lineRule="auto"/>
      </w:pPr>
      <w:r>
        <w:t xml:space="preserve">Two matching primary corpora hand over the records from which every variable in both papers is built. The first is the United States Government Accountability Office Assessments of Major Projects series, hereafter the GAO portfolio reports. The second is the family of NASA Procedural Requirements that nail the cost, schedule, and risk-classification regime under which those reports turn out. A third stratum of cross-checking paperwork, drawn from the program-management writing on carving and modularity, hands over the conceptual definitions the build rules have to run. The chapter handles each corpus in turn.</w:t>
      </w:r>
    </w:p>
    <w:bookmarkStart w:id="106" w:name="the-gao-portfolio-assessments-series"/>
    <w:p>
      <w:pPr>
        <w:pStyle w:val="Heading3"/>
        <w:spacing w:line="480" w:lineRule="auto"/>
      </w:pPr>
      <w:r>
        <w:t xml:space="preserve">4.2.1 The GAO Portfolio Assessments Series</w:t>
      </w:r>
    </w:p>
    <w:p>
      <w:pPr>
        <w:pStyle w:val="FirstParagraph"/>
        <w:spacing w:line="480" w:lineRule="auto"/>
      </w:pPr>
      <w:r>
        <w:t xml:space="preserve">The ruling primary source for both papers is the GAO Assessments of Major Projects series. This is a yearly congressional product the GAO turns out that logs, for each NASA program meeting the major-project cost bar, the baseline cost and schedule blessed at Key Decision Point C, the current cost and schedule at report time, the readiness of the lowest-TRL critical element at confirmation, the prime contractor or NASA center of record, and a structured narrative sketching any rebaseline or threshold breach since confirmation. In the editions this dissertation uses, the series runs across fiscal years 2009 through 2025 [5, 6, 9]. The two papers draw on the 2009, 2011, 2013, and later yearly editions, with the later editions put to work both to freshen the calendar results of programs still running at an earlier report’s time and to stretch the panel as new programs hit confirmation.</w:t>
      </w:r>
    </w:p>
    <w:p>
      <w:pPr>
        <w:pStyle w:val="BodyText"/>
        <w:spacing w:line="480" w:lineRule="auto"/>
        <w:ind w:firstLine="720"/>
      </w:pPr>
      <w:r>
        <w:t xml:space="preserve">A second job of the GAO series, apart from result reporting, is its WBS appendix material. The Major Project Assessment templates carry subsystem-level narrative tables that lay open the program’s level-one through level-three carving for cost reporting. Those tables are the working surface from which the modularity score computes in cases where the underlying NASA WBS dictionary sits unpublished on its own. They stand as an authoritative record since the GAO turns them out under direct attestation by the program offices and since they are bound to the same cost categories that drive the logged cost-and-schedule figures in the same paper.</w:t>
      </w:r>
    </w:p>
    <w:p>
      <w:pPr>
        <w:pStyle w:val="BodyText"/>
        <w:spacing w:line="480" w:lineRule="auto"/>
        <w:ind w:firstLine="720"/>
      </w:pPr>
      <w:r>
        <w:t xml:space="preserve">Across the public domain, the portfolio reports are the go-to source of structured cost and schedule word on NASA major projects. The GAO turns them out under its statutory portfolio-oversight charge, they meet NASA management response, and their data tables get audited by habit against the agency’s own inner cost and schedule baselines. For the dissertation they carry two particular evidentiary jobs. They hand over the baseline-to-current schedule pair from which the realized slip ratio used as the result in the first paper is built, and they hand over the date of any first formal rebaseline or threshold breach, which is the event in the survival-analysis result used in the second paper.</w:t>
      </w:r>
    </w:p>
    <w:bookmarkEnd w:id="106"/>
    <w:bookmarkStart w:id="107" w:name="the-nasa-procedural-requirements-regime"/>
    <w:p>
      <w:pPr>
        <w:pStyle w:val="Heading3"/>
        <w:spacing w:line="480" w:lineRule="auto"/>
      </w:pPr>
      <w:r>
        <w:t xml:space="preserve">4.2.2 The NASA Procedural Requirements Regime</w:t>
      </w:r>
    </w:p>
    <w:p>
      <w:pPr>
        <w:pStyle w:val="FirstParagraph"/>
        <w:spacing w:line="480" w:lineRule="auto"/>
      </w:pPr>
      <w:r>
        <w:t xml:space="preserve">The GAO data read only against the NASA Procedural Requirements regime that sets what a baseline is, when it is blessed, and what events count as a rebaseline. Two NPR papers bear straight on the measurement job. NPR 7120.5F rules space-flight program and project management requirements, the Key Decision Point structure under which baselines get blessed and the events that make up a formal rebaseline among them</w:t>
      </w:r>
      <w:r>
        <w:t xml:space="preserve"> </w:t>
      </w:r>
      <w:hyperlink w:anchor="ref-7">
        <w:r>
          <w:rPr>
            <w:rStyle w:val="Hyperlink"/>
          </w:rPr>
          <w:t xml:space="preserve">[7]</w:t>
        </w:r>
      </w:hyperlink>
      <w:r>
        <w:t xml:space="preserve">. NPR 8705.4 sets the NASA payload risk-classification taxonomy, the mission-class tag the first paper uses as a control and the second paper uses to check that the panel holds a mix of risk classes square with the GAO portfolio makeup among it</w:t>
      </w:r>
      <w:r>
        <w:t xml:space="preserve"> </w:t>
      </w:r>
      <w:hyperlink w:anchor="ref-8">
        <w:r>
          <w:rPr>
            <w:rStyle w:val="Hyperlink"/>
          </w:rPr>
          <w:t xml:space="preserve">[8]</w:t>
        </w:r>
      </w:hyperlink>
      <w:r>
        <w:t xml:space="preserve">.</w:t>
      </w:r>
    </w:p>
    <w:p>
      <w:pPr>
        <w:pStyle w:val="BodyText"/>
        <w:spacing w:line="480" w:lineRule="auto"/>
        <w:ind w:firstLine="720"/>
      </w:pPr>
      <w:r>
        <w:t xml:space="preserve">Absent the procedural-requirements regime, the GAO tables would read hazy; it is the institutional scaffolding they lean on. NPR 7120.5F sets that a baseline gets blessed at Key Decision Point C and that authority-to-proceed is granted under the same confirmation. It also sets the conditions, the breaching of cost or schedule thresholds among them, under which the program office has to seek a formal rebaseline. Pairing NPR 7120.5F’s procedural definitions with the GAO portfolio’s result tables yields, for each program-baseline pair, a sound duration variable gauged from authority-to-proceed to either first rebaseline or the right-censoring date bound to the latest GAO look at the program.</w:t>
      </w:r>
    </w:p>
    <w:bookmarkEnd w:id="107"/>
    <w:bookmarkStart w:id="108" w:name="cross-checking-sources"/>
    <w:p>
      <w:pPr>
        <w:pStyle w:val="Heading3"/>
        <w:spacing w:line="480" w:lineRule="auto"/>
      </w:pPr>
      <w:r>
        <w:t xml:space="preserve">4.2.3 Cross-Checking Sources</w:t>
      </w:r>
    </w:p>
    <w:p>
      <w:pPr>
        <w:pStyle w:val="FirstParagraph"/>
        <w:spacing w:line="480" w:lineRule="auto"/>
      </w:pPr>
      <w:r>
        <w:t xml:space="preserve">A third stratum of sources runs not for variable build but for definitional cross-checking. The modularity construct itself is set following the standard graph handling of community structure in networks</w:t>
      </w:r>
      <w:r>
        <w:t xml:space="preserve"> </w:t>
      </w:r>
      <w:hyperlink w:anchor="ref-10">
        <w:r>
          <w:rPr>
            <w:rStyle w:val="Hyperlink"/>
          </w:rPr>
          <w:t xml:space="preserve">[10]</w:t>
        </w:r>
      </w:hyperlink>
      <w:r>
        <w:t xml:space="preserve"> </w:t>
      </w:r>
      <w:r>
        <w:t xml:space="preserve">and the wider modularity-in-systems-design line that has flowed into the architecture writing</w:t>
      </w:r>
      <w:r>
        <w:t xml:space="preserve"> </w:t>
      </w:r>
      <w:hyperlink w:anchor="ref-11">
        <w:r>
          <w:rPr>
            <w:rStyle w:val="Hyperlink"/>
          </w:rPr>
          <w:t xml:space="preserve">[11]</w:t>
        </w:r>
      </w:hyperlink>
      <w:r>
        <w:t xml:space="preserve">. The duration estimator used in the second paper is the standard Cox proportional-hazards fit</w:t>
      </w:r>
      <w:r>
        <w:t xml:space="preserve"> </w:t>
      </w:r>
      <w:hyperlink w:anchor="ref-12">
        <w:r>
          <w:rPr>
            <w:rStyle w:val="Hyperlink"/>
          </w:rPr>
          <w:t xml:space="preserve">[12]</w:t>
        </w:r>
      </w:hyperlink>
      <w:r>
        <w:t xml:space="preserve">. Recent operational writing on small-satellite mission scheduling and constellation architectures runs to goad the structural framing of the WBS as a gaugeable thing, on the grounds that practitioners in those subdomains have already started to walk away from the old system-subsystem-module carving in ways that imply they take the carving itself as a free design choice [1, 2]. The Space Economy Papers source on architectural socio-technological upheaval hands over further goading framing for taking carving as a structural rather than a clerical artifact</w:t>
      </w:r>
      <w:r>
        <w:t xml:space="preserve"> </w:t>
      </w:r>
      <w:hyperlink w:anchor="ref-3">
        <w:r>
          <w:rPr>
            <w:rStyle w:val="Hyperlink"/>
          </w:rPr>
          <w:t xml:space="preserve">[3]</w:t>
        </w:r>
      </w:hyperlink>
      <w:r>
        <w:t xml:space="preserve">. None of these sources hands over a row in the panel; they hand over the definitional rig against which the rows get built.</w:t>
      </w:r>
    </w:p>
    <w:bookmarkEnd w:id="108"/>
    <w:bookmarkEnd w:id="109"/>
    <w:bookmarkStart w:id="110" w:name="unit-of-analysis"/>
    <w:p>
      <w:pPr>
        <w:pStyle w:val="Heading2"/>
        <w:spacing w:line="480" w:lineRule="auto"/>
      </w:pPr>
      <w:r>
        <w:t xml:space="preserve">4.3 Unit of Analysis</w:t>
      </w:r>
    </w:p>
    <w:p>
      <w:pPr>
        <w:pStyle w:val="FirstParagraph"/>
        <w:spacing w:line="480" w:lineRule="auto"/>
      </w:pPr>
      <w:r>
        <w:t xml:space="preserve">The unit of analysis is the program-baseline pair, the pairing of a lone NASA major project, marked by its GAO portfolio name, with the particular baseline blessed for that program at Key Decision Point C under NPR 7120.5F</w:t>
      </w:r>
      <w:r>
        <w:t xml:space="preserve"> </w:t>
      </w:r>
      <w:hyperlink w:anchor="ref-7">
        <w:r>
          <w:rPr>
            <w:rStyle w:val="Hyperlink"/>
          </w:rPr>
          <w:t xml:space="preserve">[7]</w:t>
        </w:r>
      </w:hyperlink>
      <w:r>
        <w:t xml:space="preserve">. Each pair hands over exactly one row to the panel. The call is forced by the shape of the underlying records. The GAO portfolio logs a baseline for each program at confirmation and then tracks the current cost and schedule against that baseline in later yearly reports. Should a program be formally rebaselined, the GAO series shifts to tracking the new baseline. For the present dissertation, the baseline that matters is the original confirmation baseline, since both papers ask about the forecasting content of structural traits gauged at confirmation for results that land later.</w:t>
      </w:r>
    </w:p>
    <w:p>
      <w:pPr>
        <w:pStyle w:val="BodyText"/>
        <w:spacing w:line="480" w:lineRule="auto"/>
        <w:ind w:firstLine="720"/>
      </w:pPr>
      <w:r>
        <w:t xml:space="preserve">Two corollaries follow. Programs still unblessed at Key Decision Point C stay out of the panel, even where they turn up in the GAO formulation-phase tables, since the WBS holding up the modularity gauge is not yet steady. And programs rebaselined more than once hand over their original confirmation baseline and the duration to the first rebaseline event, not to the second or later rebaselines. This holds the duration variable in the second paper readable as time to first event under standard survival conventions and ducks the competing-risks tangles the panel size cannot bear.</w:t>
      </w:r>
    </w:p>
    <w:bookmarkEnd w:id="110"/>
    <w:bookmarkStart w:id="115" w:name="variable-construction"/>
    <w:p>
      <w:pPr>
        <w:pStyle w:val="Heading2"/>
        <w:spacing w:line="480" w:lineRule="auto"/>
      </w:pPr>
      <w:r>
        <w:t xml:space="preserve">4.4 Variable Construction</w:t>
      </w:r>
    </w:p>
    <w:p>
      <w:pPr>
        <w:pStyle w:val="FirstParagraph"/>
        <w:spacing w:line="480" w:lineRule="auto"/>
      </w:pPr>
      <w:r>
        <w:t xml:space="preserve">This section sketches how each variable used in the two papers is built from the primary records named in section 4.2. The walk follows the order the variables take in the regression fits: the structural forecaster first, then the result variables, then the controls, and last the auxiliary covariates used for robustness.</w:t>
      </w:r>
    </w:p>
    <w:bookmarkStart w:id="111" w:name="Xfd18a0a1ddf0ad5e48c44e471b713ca40c7bda5"/>
    <w:p>
      <w:pPr>
        <w:pStyle w:val="Heading3"/>
        <w:spacing w:line="480" w:lineRule="auto"/>
      </w:pPr>
      <w:r>
        <w:t xml:space="preserve">4.4.1 The Structural Predictor: Newman-Girvan Modularity</w:t>
      </w:r>
    </w:p>
    <w:p>
      <w:pPr>
        <w:pStyle w:val="FirstParagraph"/>
        <w:spacing w:line="480" w:lineRule="auto"/>
      </w:pPr>
      <w:r>
        <w:t xml:space="preserve">The structural forecaster in both papers is the Newman-Girvan modularity of the program’s baseline WBS, computed on the undirected throw of the published carving.</w:t>
      </w:r>
    </w:p>
    <w:p>
      <w:pPr>
        <w:pStyle w:val="BodyText"/>
        <w:spacing w:line="480" w:lineRule="auto"/>
        <w:ind w:firstLine="720"/>
      </w:pPr>
      <w:r>
        <w:t xml:space="preserve">The build runs in three steps.</w:t>
      </w:r>
    </w:p>
    <w:p>
      <w:pPr>
        <w:pStyle w:val="BodyText"/>
        <w:spacing w:line="480" w:lineRule="auto"/>
        <w:ind w:firstLine="720"/>
      </w:pPr>
      <w:r>
        <w:t xml:space="preserve">In the first step, the level-one through level-three WBS for each program gets read from the NASA WBS dictionary where one is publicly out and, where it is not, from the subsystem narrative tables in the GAO Major Project Assessment for the program. Each WBS element turns into a node. Parent-child edges in the carving get logged as undirected ties. Where the source paper declares an inter-element interface that is no parent-child relation, say a cross-cutting integration or a shared system interface, that declared interface joins as one more undirected tie. The resulting thing is an undirected graph whose nodes are WBS elements and whose ties are the union of parent-child carving links and declared inter-element interfaces.</w:t>
      </w:r>
    </w:p>
    <w:p>
      <w:pPr>
        <w:pStyle w:val="BodyText"/>
        <w:spacing w:line="480" w:lineRule="auto"/>
        <w:ind w:firstLine="720"/>
      </w:pPr>
      <w:r>
        <w:t xml:space="preserve">In the second step, the standard community-detection routine for Newman-Girvan modularity runs on the undirected graph. The modularity score is the value of the modularity function weighed at the split the routine recovers</w:t>
      </w:r>
      <w:r>
        <w:t xml:space="preserve"> </w:t>
      </w:r>
      <w:hyperlink w:anchor="ref-10">
        <w:r>
          <w:rPr>
            <w:rStyle w:val="Hyperlink"/>
          </w:rPr>
          <w:t xml:space="preserve">[10]</w:t>
        </w:r>
      </w:hyperlink>
      <w:r>
        <w:t xml:space="preserve">. Capped above by one, the score in practice takes the open interval from zero to roughly seven-tenths for graphs of the size met here. Higher values flag that the graph admits a split into subgraphs densely joined inside and sparsely joined to one another, which is the structural trait the dissertation’s central guess foretells should cut execution danger.</w:t>
      </w:r>
    </w:p>
    <w:p>
      <w:pPr>
        <w:pStyle w:val="BodyText"/>
        <w:spacing w:line="480" w:lineRule="auto"/>
        <w:ind w:firstLine="720"/>
      </w:pPr>
      <w:r>
        <w:t xml:space="preserve">In the third step, the score gets logged for each program-baseline pair and bound to the citation to the page in the NASA WBS dictionary or the GAO Major Project Assessment from which the underlying carving was read. Citation discipline matters here because the modularity build is the variable most sensitive to whether declared interfaces get folded in or left out, and a downstream replicator has to reach the exact tabular source from which the graph was raised.</w:t>
      </w:r>
    </w:p>
    <w:p>
      <w:pPr>
        <w:pStyle w:val="BodyText"/>
        <w:spacing w:line="480" w:lineRule="auto"/>
        <w:ind w:firstLine="720"/>
      </w:pPr>
      <w:r>
        <w:t xml:space="preserve">Two robustness gauges compute alongside modularity for the sensitivity analyses planned in the dissertation. The first is the mean depth of the WBS, set as the average path length from the level-one root to the leaves of the published carving. The second is the mean out-degree at level two, set as the average count of level-three children per level-two element. Both gauges compute on the same graph thing used for the modularity score, and both get logged with the same source-citation discipline.</w:t>
      </w:r>
    </w:p>
    <w:bookmarkEnd w:id="111"/>
    <w:bookmarkStart w:id="112" w:name="the-outcome-variables"/>
    <w:p>
      <w:pPr>
        <w:pStyle w:val="Heading3"/>
        <w:spacing w:line="480" w:lineRule="auto"/>
      </w:pPr>
      <w:r>
        <w:t xml:space="preserve">4.4.2 The Outcome Variables</w:t>
      </w:r>
    </w:p>
    <w:p>
      <w:pPr>
        <w:pStyle w:val="FirstParagraph"/>
        <w:spacing w:line="480" w:lineRule="auto"/>
      </w:pPr>
      <w:r>
        <w:t xml:space="preserve">The two papers use related yet split result variables, both built straight from the GAO Major Project Assessment data tables [5, 6, 9].</w:t>
      </w:r>
    </w:p>
    <w:p>
      <w:pPr>
        <w:pStyle w:val="BodyText"/>
        <w:spacing w:line="480" w:lineRule="auto"/>
        <w:ind w:firstLine="720"/>
      </w:pPr>
      <w:r>
        <w:t xml:space="preserve">For the first paper, the result is the realized schedule slip ratio, set as the ratio of the actual elapsed time from authority-to-proceed to delivery, over the interval pledged at baseline confirmation, minus one. A value of zero flags an on-plan delivery. A value of two-tenths flags that the program ran twenty percent longer than the baseline pledged. The numerator gets read from the current-schedule column of the latest GAO Major Project Assessment in which the program turns up, and the denominator gets read from the baseline-schedule column of the GAO Major Project Assessment that first logged the program after confirmation. For programs that wrapped delivery inside the observation window, the slip ratio is the realized result. For programs that have yet to wrap delivery but that have been rebaselined or that have crossed a schedule threshold, the GAO reports carry an</w:t>
      </w:r>
      <w:r>
        <w:t xml:space="preserve"> </w:t>
      </w:r>
      <w:r>
        <w:t xml:space="preserve">“estimate at completion”</w:t>
      </w:r>
      <w:r>
        <w:t xml:space="preserve"> </w:t>
      </w:r>
      <w:r>
        <w:t xml:space="preserve">that runs as the numerator, and the source citation names the field outright as an estimate rather than a realized actual. The count of programs whose result leans on an estimate at completion rather than a realized actual gets logged alongside the descriptive statistics in Chapter 5.</w:t>
      </w:r>
    </w:p>
    <w:p>
      <w:pPr>
        <w:pStyle w:val="BodyText"/>
        <w:spacing w:line="480" w:lineRule="auto"/>
        <w:ind w:firstLine="720"/>
      </w:pPr>
      <w:r>
        <w:t xml:space="preserve">For the second paper, the result is the time to first formal rebaseline, gauged in months from authority-to-proceed under NPR 7120.5F</w:t>
      </w:r>
      <w:r>
        <w:t xml:space="preserve"> </w:t>
      </w:r>
      <w:hyperlink w:anchor="ref-7">
        <w:r>
          <w:rPr>
            <w:rStyle w:val="Hyperlink"/>
          </w:rPr>
          <w:t xml:space="preserve">[7]</w:t>
        </w:r>
      </w:hyperlink>
      <w:r>
        <w:t xml:space="preserve"> </w:t>
      </w:r>
      <w:r>
        <w:t xml:space="preserve">to the date on which the GAO Major Project Assessment series first logs a rebaseline or formal threshold breach for the program. Programs unrebaselined across the observation window get right-censored at the close of the latest reporting window in which they turned up. The event indicator is one where a rebaseline or formal threshold breach got logged and zero otherwise. Together the duration and event variables carry the standard data structure a Cox proportional-hazards estimator looks for</w:t>
      </w:r>
      <w:r>
        <w:t xml:space="preserve"> </w:t>
      </w:r>
      <w:hyperlink w:anchor="ref-12">
        <w:r>
          <w:rPr>
            <w:rStyle w:val="Hyperlink"/>
          </w:rPr>
          <w:t xml:space="preserve">[12]</w:t>
        </w:r>
      </w:hyperlink>
      <w:r>
        <w:t xml:space="preserve">.</w:t>
      </w:r>
    </w:p>
    <w:bookmarkEnd w:id="112"/>
    <w:bookmarkStart w:id="113" w:name="control-variables"/>
    <w:p>
      <w:pPr>
        <w:pStyle w:val="Heading3"/>
        <w:spacing w:line="480" w:lineRule="auto"/>
      </w:pPr>
      <w:r>
        <w:t xml:space="preserve">4.4.3 Control Variables</w:t>
      </w:r>
    </w:p>
    <w:p>
      <w:pPr>
        <w:pStyle w:val="FirstParagraph"/>
        <w:spacing w:line="480" w:lineRule="auto"/>
      </w:pPr>
      <w:r>
        <w:t xml:space="preserve">Three control variables enter the regression fits in both papers, with one more control used only in the first paper.</w:t>
      </w:r>
    </w:p>
    <w:p>
      <w:pPr>
        <w:pStyle w:val="BodyText"/>
        <w:spacing w:line="480" w:lineRule="auto"/>
        <w:ind w:firstLine="720"/>
      </w:pPr>
      <w:r>
        <w:t xml:space="preserve">First of the controls is the natural logarithm of life-cycle contract value at baseline confirmation, gauged in then-year millions of dollars. The variable gets read from the baseline life-cycle cost field in the GAO Major Project Assessment. It turns into a logarithm both to squeeze the right tail of the cost spread and to make the coefficient read as the partial tie of a one-log-unit rise in scale with the result. The use of then-year dollars rather than constant-year dollars gets logged because the GAO baseline columns print in then-year dollars and the dissertation brings in no deflator the underlying records withhold.</w:t>
      </w:r>
    </w:p>
    <w:p>
      <w:pPr>
        <w:pStyle w:val="BodyText"/>
        <w:spacing w:line="480" w:lineRule="auto"/>
        <w:ind w:firstLine="720"/>
      </w:pPr>
      <w:r>
        <w:t xml:space="preserve">Second comes the baseline readiness level of the lowest-TRL critical technology element at confirmation, read from the technology-maturity tables in the GAO Major Project Assessment. This variable enters the first paper as a lone TRL score for the lowest-TRL critical technology and enters the second paper as the mean baseline TRL across the critical technology elements listed in the GAO tables. The two builds part because the first paper favors a worst-case readiness read under the usual view that the lowest-TRL element rules program danger, while the second paper, conditioning on time to event rather than on result size, uses a central-tendency gauge less swayed by a lone odd element in the table.</w:t>
      </w:r>
    </w:p>
    <w:p>
      <w:pPr>
        <w:pStyle w:val="BodyText"/>
        <w:spacing w:line="480" w:lineRule="auto"/>
        <w:ind w:firstLine="720"/>
      </w:pPr>
      <w:r>
        <w:t xml:space="preserve">Third, used in both papers, comes the NASA mission class tag under NPR 8705.4</w:t>
      </w:r>
      <w:r>
        <w:t xml:space="preserve"> </w:t>
      </w:r>
      <w:hyperlink w:anchor="ref-8">
        <w:r>
          <w:rPr>
            <w:rStyle w:val="Hyperlink"/>
          </w:rPr>
          <w:t xml:space="preserve">[8]</w:t>
        </w:r>
      </w:hyperlink>
      <w:r>
        <w:t xml:space="preserve">, read from the program-classification field in the GAO Major Project Assessment or, where the GAO withholds the field on its own, from the NASA management-response section of the same paper. Mission class enters as a categorical control with class tags A through D matching the standard NPR 8705.4 taxonomy.</w:t>
      </w:r>
    </w:p>
    <w:p>
      <w:pPr>
        <w:pStyle w:val="BodyText"/>
        <w:spacing w:line="480" w:lineRule="auto"/>
        <w:ind w:firstLine="720"/>
      </w:pPr>
      <w:r>
        <w:t xml:space="preserve">Fourth, used only in the first paper, comes the fiscal year of baseline confirmation. It gets read from the confirmation field in the GAO Major Project Assessment that first logged the program after confirmation and enters the fit as a fixed effect. The fiscal-year fixed effect soaks up portfolio-wide shocks, shifts in agency funding posture or in the GAO’s reporting conventions among them, that would otherwise risk being soaked up by the modularity coefficient.</w:t>
      </w:r>
    </w:p>
    <w:bookmarkEnd w:id="113"/>
    <w:bookmarkStart w:id="114" w:name="auxiliary-identifiers"/>
    <w:p>
      <w:pPr>
        <w:pStyle w:val="Heading3"/>
        <w:spacing w:line="480" w:lineRule="auto"/>
      </w:pPr>
      <w:r>
        <w:t xml:space="preserve">4.4.4 Auxiliary Identifiers</w:t>
      </w:r>
    </w:p>
    <w:p>
      <w:pPr>
        <w:pStyle w:val="FirstParagraph"/>
        <w:spacing w:line="480" w:lineRule="auto"/>
      </w:pPr>
      <w:r>
        <w:t xml:space="preserve">Two auxiliary identifiers get logged for every program-baseline pair, though neither enters the headline regression fits. The first is the prime contractor of record or, where the NASA center serves as the prime, the NASA center tag. This identifier holds up the within-prime fixed-effects fit logged in the dissertation’s robustness analyses yet unestimable at the panel size used in the headline fits, as talked through in section 4.5. The second is the source-citation field, which logs, for each row, the GAO report number and the fitting section narrative or page from which the variable values were drawn. The source-citation field is the operational discipline through which the dissertation carries the auditability call bound to the use of CADRe and GAO data.</w:t>
      </w:r>
    </w:p>
    <w:bookmarkEnd w:id="114"/>
    <w:bookmarkEnd w:id="115"/>
    <w:bookmarkStart w:id="116" w:name="sample-frame-and-inclusion-criteria"/>
    <w:p>
      <w:pPr>
        <w:pStyle w:val="Heading2"/>
        <w:spacing w:line="480" w:lineRule="auto"/>
      </w:pPr>
      <w:r>
        <w:t xml:space="preserve">4.5 Sample Frame and Inclusion Criteria</w:t>
      </w:r>
    </w:p>
    <w:p>
      <w:pPr>
        <w:pStyle w:val="FirstParagraph"/>
        <w:spacing w:line="480" w:lineRule="auto"/>
      </w:pPr>
      <w:r>
        <w:t xml:space="preserve">The sample frame is the universe of NASA major projects that turn up in at least one yearly GAO Major Project Assessment across the observation window of fiscal years 2009 through 2025 [5, 6, 9]. A project enters the panel if and only if four conditions are met. First, the project has to have been blessed at Key Decision Point C under NPR 7120.5F</w:t>
      </w:r>
      <w:r>
        <w:t xml:space="preserve"> </w:t>
      </w:r>
      <w:hyperlink w:anchor="ref-7">
        <w:r>
          <w:rPr>
            <w:rStyle w:val="Hyperlink"/>
          </w:rPr>
          <w:t xml:space="preserve">[7]</w:t>
        </w:r>
      </w:hyperlink>
      <w:r>
        <w:t xml:space="preserve"> </w:t>
      </w:r>
      <w:r>
        <w:t xml:space="preserve">during or before the observation window. Second, the project has to carry a baseline cost and a baseline schedule logged in at least one GAO Major Project Assessment, so the controls and the denominator of the slip ratio can be built. Third, the project has to have either hit delivery, logged a formal rebaseline, or stayed in execution with a current cost and schedule logged in a later GAO Major Project Assessment, so the result variable in at least one of the two papers can be built. Fourth, the WBS carving has to be reachable either through a publicly out NASA WBS dictionary or through the subsystem-narrative tables of a GAO Major Project Assessment for the program, so the modularity score can compute against an auditable tabular source.</w:t>
      </w:r>
    </w:p>
    <w:p>
      <w:pPr>
        <w:pStyle w:val="BodyText"/>
        <w:spacing w:line="480" w:lineRule="auto"/>
        <w:ind w:firstLine="720"/>
      </w:pPr>
      <w:r>
        <w:t xml:space="preserve">Running the four criteria yields a panel of thirty-two NASA major projects. The panel holds both Science Mission Directorate and Exploration Systems Development Mission Directorate programs, and it spans prime contractors and NASA centers, the Jet Propulsion Laboratory, the Goddard Space Flight Center, the Applied Physics Laboratory, Lockheed Martin, Northrop Grumman, Boeing, and Orbital ATK among them. The same thirty-two programs make up the panel used by both research papers. The within-prime fixed-effects fit looked for in the prospectus gets logged for the panel yet runs not as a headline fit, since the panel size cannot bear a reliable within-prime variance split; the pooled fit runs in its place, as logged in the methods sections of the two papers.</w:t>
      </w:r>
    </w:p>
    <w:p>
      <w:pPr>
        <w:pStyle w:val="BodyText"/>
        <w:spacing w:line="480" w:lineRule="auto"/>
        <w:ind w:firstLine="720"/>
      </w:pPr>
      <w:r>
        <w:t xml:space="preserve">The sample frame inherits two known biases, logged here for completeness and answered in the threats-to-validity handling in Chapter 7. The GAO Major Project Assessment series catches only projects above the major-project cost bar, so programs below the bar stay off the panel. The series also catches only projects that live to baseline confirmation, so projects killed during formulation stay off the panel by build. The first bias pens the inferential claim to the major-project tier of the NASA portfolio. The second bias means the panel under-shows the formulation-phase failure mode and conditions the inference on programs that hit Key Decision Point C, which squares with the prospectus’s framing of the offering as conditional on confirmation</w:t>
      </w:r>
      <w:r>
        <w:t xml:space="preserve"> </w:t>
      </w:r>
      <w:hyperlink w:anchor="ref-9">
        <w:r>
          <w:rPr>
            <w:rStyle w:val="Hyperlink"/>
          </w:rPr>
          <w:t xml:space="preserve">[9]</w:t>
        </w:r>
      </w:hyperlink>
      <w:r>
        <w:t xml:space="preserve">.</w:t>
      </w:r>
    </w:p>
    <w:bookmarkEnd w:id="116"/>
    <w:bookmarkStart w:id="117" w:name="data-quality-controls"/>
    <w:p>
      <w:pPr>
        <w:pStyle w:val="Heading2"/>
        <w:spacing w:line="480" w:lineRule="auto"/>
      </w:pPr>
      <w:r>
        <w:t xml:space="preserve">4.6 Data-Quality Controls</w:t>
      </w:r>
    </w:p>
    <w:p>
      <w:pPr>
        <w:pStyle w:val="FirstParagraph"/>
        <w:spacing w:line="480" w:lineRule="auto"/>
      </w:pPr>
      <w:r>
        <w:t xml:space="preserve">Three data-quality controls run across the build pipeline.</w:t>
      </w:r>
    </w:p>
    <w:p>
      <w:pPr>
        <w:pStyle w:val="BodyText"/>
        <w:spacing w:line="480" w:lineRule="auto"/>
        <w:ind w:firstLine="720"/>
      </w:pPr>
      <w:r>
        <w:t xml:space="preserve">First comes the source-citation discipline already noted in section 4.4.4. Every variable value for every program-baseline pair gets bound to a citation to the GAO report and the page or table from which the value was drawn. The discipline holds up replication and carries the audit call bound to the use of GAO portfolio data.</w:t>
      </w:r>
    </w:p>
    <w:p>
      <w:pPr>
        <w:pStyle w:val="BodyText"/>
        <w:spacing w:line="480" w:lineRule="auto"/>
        <w:ind w:firstLine="720"/>
      </w:pPr>
      <w:r>
        <w:t xml:space="preserve">Second comes the event-coding rule for the duration result used in the second paper. A rebaseline event gets coded where the GAO Major Project Assessment names outright either a formal rebaseline or a threshold breach that crosses the NPR 7120.5F rebaseline trigger</w:t>
      </w:r>
      <w:r>
        <w:t xml:space="preserve"> </w:t>
      </w:r>
      <w:hyperlink w:anchor="ref-7">
        <w:r>
          <w:rPr>
            <w:rStyle w:val="Hyperlink"/>
          </w:rPr>
          <w:t xml:space="preserve">[7]</w:t>
        </w:r>
      </w:hyperlink>
      <w:r>
        <w:t xml:space="preserve">. Informal slips that fall short of the threshold get no event code, which holds the reading of the duration variable as time to first formal rebaseline rather than as time to first seeable delay. Right-censoring runs at the close of the latest reporting window in which the program turned up, and the censoring date gets logged in the source-citation field alongside the GAO report number.</w:t>
      </w:r>
    </w:p>
    <w:p>
      <w:pPr>
        <w:pStyle w:val="BodyText"/>
        <w:spacing w:line="480" w:lineRule="auto"/>
        <w:ind w:firstLine="720"/>
      </w:pPr>
      <w:r>
        <w:t xml:space="preserve">Third comes the handling of formulation-phase observations. A slim count of programs turn up in the GAO portfolio in a formulation-phase posture without a blessed baseline. Those programs stay off the panel under the inclusion criteria in section 4.5. The second paper further marks up to five programs as illustrative where the GAO report on which the program first turns up is a formulation-phase review since squared retrospectively with a later baseline confirmation. The illustrative share falls below fifteen percent of the panel and gets logged plainly so the reader can weigh sensitivity.</w:t>
      </w:r>
    </w:p>
    <w:bookmarkEnd w:id="117"/>
    <w:bookmarkStart w:id="118" w:name="deviations-from-the-prospectus"/>
    <w:p>
      <w:pPr>
        <w:pStyle w:val="Heading2"/>
        <w:spacing w:line="480" w:lineRule="auto"/>
      </w:pPr>
      <w:r>
        <w:t xml:space="preserve">4.7 Deviations from the Prospectus</w:t>
      </w:r>
    </w:p>
    <w:p>
      <w:pPr>
        <w:pStyle w:val="FirstParagraph"/>
        <w:spacing w:line="480" w:lineRule="auto"/>
      </w:pPr>
      <w:r>
        <w:t xml:space="preserve">The prospectus named the NASA Cost Analysis Data Requirement (CADRe) corpus, backed by the One NASA Cost Engineering (ONCE) database, as the primary dataset. The realized dissertation uses the GAO Major Project Assessment series as its primary corpus, with the NPR regime as institutional scaffolding and with cross-checking against publicly out NASA WBS dictionaries where they hold. The part has two principled reasons. First, the GAO portfolio reports are public, auditable, and straight subject to congressional and agency attestation, which makes the resulting panel openly reproducible without an executed data-use agreement. Second, the GAO portfolio carries all of the variables the prospectus weighed drawing from CADRe Part C, save the engineering-grade preliminary design review WBS the prospectus sketched as a triangulation source. The swap holds the prospectus’s measurement aim while making the panel auditable from public records. A future stretch that backs the GAO panel with CADRe Part C data under a formal data-use agreement is noted as a follow-on study in Chapter 9 and sits outside the dissertation offering.</w:t>
      </w:r>
    </w:p>
    <w:p>
      <w:pPr>
        <w:pStyle w:val="BodyText"/>
        <w:spacing w:line="480" w:lineRule="auto"/>
        <w:ind w:firstLine="720"/>
      </w:pPr>
      <w:r>
        <w:t xml:space="preserve">The prospectus weighed a sample on the order of seventy to one hundred and twenty programs. The realized panel of thirty-two programs mirrors the crossing of the four inclusion criteria with the GAO portfolio. The slimmer panel pens the dissertation to the pooled fit as the headline estimator and leaves the within-prime fixed-effects fit for a robustness role, as logged in the methods sections of the two papers.</w:t>
      </w:r>
    </w:p>
    <w:bookmarkEnd w:id="118"/>
    <w:bookmarkStart w:id="119" w:name="measurement-validity-summary"/>
    <w:p>
      <w:pPr>
        <w:pStyle w:val="Heading2"/>
        <w:spacing w:line="480" w:lineRule="auto"/>
      </w:pPr>
      <w:r>
        <w:t xml:space="preserve">4.8 Measurement-Validity Summary</w:t>
      </w:r>
    </w:p>
    <w:p>
      <w:pPr>
        <w:pStyle w:val="FirstParagraph"/>
        <w:spacing w:line="480" w:lineRule="auto"/>
      </w:pPr>
      <w:r>
        <w:t xml:space="preserve">The measurement architecture logged in this chapter holds up a lone, sound inferential program. Each variable used in the two papers gets built from an authoritative public record under a plain build rule, and each row of the panel carries a source-citation field that holds up replication. The structural forecaster, Newman-Girvan modularity, computes on an undirected graph whose nodes are WBS elements and whose ties are the union of parent-child carving links and declared inter-element interfaces, following the standard handling of community structure in networks</w:t>
      </w:r>
      <w:r>
        <w:t xml:space="preserve"> </w:t>
      </w:r>
      <w:hyperlink w:anchor="ref-10">
        <w:r>
          <w:rPr>
            <w:rStyle w:val="Hyperlink"/>
          </w:rPr>
          <w:t xml:space="preserve">[10]</w:t>
        </w:r>
      </w:hyperlink>
      <w:r>
        <w:t xml:space="preserve"> </w:t>
      </w:r>
      <w:r>
        <w:t xml:space="preserve">and the wider modularity-in-design line</w:t>
      </w:r>
      <w:r>
        <w:t xml:space="preserve"> </w:t>
      </w:r>
      <w:hyperlink w:anchor="ref-11">
        <w:r>
          <w:rPr>
            <w:rStyle w:val="Hyperlink"/>
          </w:rPr>
          <w:t xml:space="preserve">[11]</w:t>
        </w:r>
      </w:hyperlink>
      <w:r>
        <w:t xml:space="preserve">. The result variables, namely the realized slip ratio in the first paper and the time to first formal rebaseline in the second paper, get built straight from the GAO Major Project Assessment series [5, 6, 9] under event-coding and censoring rules square with NPR 7120.5F</w:t>
      </w:r>
      <w:r>
        <w:t xml:space="preserve"> </w:t>
      </w:r>
      <w:hyperlink w:anchor="ref-7">
        <w:r>
          <w:rPr>
            <w:rStyle w:val="Hyperlink"/>
          </w:rPr>
          <w:t xml:space="preserve">[7]</w:t>
        </w:r>
      </w:hyperlink>
      <w:r>
        <w:t xml:space="preserve"> </w:t>
      </w:r>
      <w:r>
        <w:t xml:space="preserve">and with the standard data structure a Cox proportional-hazards estimator looks for</w:t>
      </w:r>
      <w:r>
        <w:t xml:space="preserve"> </w:t>
      </w:r>
      <w:hyperlink w:anchor="ref-12">
        <w:r>
          <w:rPr>
            <w:rStyle w:val="Hyperlink"/>
          </w:rPr>
          <w:t xml:space="preserve">[12]</w:t>
        </w:r>
      </w:hyperlink>
      <w:r>
        <w:t xml:space="preserve">. The controls get read from the same source under the NPR 8705.4 mission-class taxonomy</w:t>
      </w:r>
      <w:r>
        <w:t xml:space="preserve"> </w:t>
      </w:r>
      <w:hyperlink w:anchor="ref-8">
        <w:r>
          <w:rPr>
            <w:rStyle w:val="Hyperlink"/>
          </w:rPr>
          <w:t xml:space="preserve">[8]</w:t>
        </w:r>
      </w:hyperlink>
      <w:r>
        <w:t xml:space="preserve">.</w:t>
      </w:r>
    </w:p>
    <w:p>
      <w:pPr>
        <w:pStyle w:val="BodyText"/>
        <w:spacing w:line="480" w:lineRule="auto"/>
        <w:ind w:firstLine="720"/>
      </w:pPr>
      <w:r>
        <w:t xml:space="preserve">The measurement architecture inherits three threats to validity the dissertation owns and later chapters answer. Modularity turns sensitive to whether declared inter-element interfaces get folded in or left out, and the robustness sensitivities use mean depth and mean second-level out-degree to triangulate the substantive close against rival structural gauges. The panel size holds the headline fits to pooled estimators and leaves the within-prime fixed-effects plan for a robustness role. The sample frame conditions the inference on the major-project tier of the NASA portfolio and on programs that hit Key Decision Point C, which pens the population to which the findings can be thrown.</w:t>
      </w:r>
    </w:p>
    <w:p>
      <w:pPr>
        <w:pStyle w:val="BodyText"/>
        <w:spacing w:line="480" w:lineRule="auto"/>
        <w:ind w:firstLine="720"/>
      </w:pPr>
      <w:r>
        <w:t xml:space="preserve">The measurement architecture holds enough to bear the two papers logged in the dissertation. It is also plain about the edges of its inferential reach, the precondition under which a lone disprovable empirical offering can be made on a soundly built panel.</w:t>
      </w:r>
    </w:p>
    <w:bookmarkEnd w:id="119"/>
    <w:bookmarkEnd w:id="120"/>
    <w:bookmarkStart w:id="127" w:name="chapter-5.-methods-and-identification"/>
    <w:p>
      <w:pPr>
        <w:pStyle w:val="Heading1"/>
        <w:spacing w:line="480" w:lineRule="auto"/>
      </w:pPr>
      <w:r>
        <w:t xml:space="preserve">Chapter 5. Methods and Identification</w:t>
      </w:r>
    </w:p>
    <w:bookmarkStart w:id="121" w:name="purpose-and-roadmap"/>
    <w:p>
      <w:pPr>
        <w:pStyle w:val="Heading2"/>
        <w:spacing w:line="480" w:lineRule="auto"/>
      </w:pPr>
      <w:r>
        <w:t xml:space="preserve">5.1 Purpose and Roadmap</w:t>
      </w:r>
    </w:p>
    <w:p>
      <w:pPr>
        <w:pStyle w:val="FirstParagraph"/>
        <w:spacing w:line="480" w:lineRule="auto"/>
      </w:pPr>
      <w:r>
        <w:t xml:space="preserve">This chapter spells out the estimators used to test the lone disprovable claim put forward in the prospectus and sharpened in the two research papers before this, the identification plan that reins in how those estimators read, and the threats to validity the design has to answer. The estimand is the partial tie between the Newman-Girvan modularity of a NASA major program’s work-breakdown structure at baseline and a schedule-execution result seen downstream of authority-to-proceed, holding fixed a lean set of seeable confounders. Five sections mirror the analytic stack the dissertation will run end-to-end. Section 5.2 nails the unit of observation, the variable definitions, and the measurement plan for modularity. Section 5.3 spells out the three estimator families the dissertation will lay side by side: pooled ordinary-least-squares regression on the realized slip ratio, a within-prime fixed-effects stretch of that pooled fit, and a Cox proportional-hazards model on time to first formal rebaseline. Section 5.4 grows the identification plan, the assumptions each estimator lays on the data, and the placebo and falsification tests, fixed in advance, that pen those assumptions. Section 5.5 lists five threats to validity pulled from the prospectus risk register and the empirical lessons of the two research papers, pairing each threat with the particular design device that pens its bite on the headline finding. Section 5.6 ends by stating the decision rule under which H0 will be knocked down or held up on the assembled NASA panel.</w:t>
      </w:r>
    </w:p>
    <w:p>
      <w:pPr>
        <w:pStyle w:val="BodyText"/>
        <w:spacing w:line="480" w:lineRule="auto"/>
        <w:ind w:firstLine="720"/>
      </w:pPr>
      <w:r>
        <w:t xml:space="preserve">The methodological stance is cautious.</w:t>
      </w:r>
    </w:p>
    <w:p>
      <w:pPr>
        <w:pStyle w:val="BodyText"/>
        <w:spacing w:line="480" w:lineRule="auto"/>
        <w:ind w:firstLine="720"/>
      </w:pPr>
      <w:r>
        <w:t xml:space="preserve">The dissertation lays out a lone signed guess, three estimators with fits fixed in advance, and an open threats register. It does not reach for a causal estimand it cannot hold up on the panel at hand. It does reach for the strongest partial tie the data will bear, and it splits that partial tie plainly from the causal estimand a larger, instrumented panel could one day hand over.</w:t>
      </w:r>
    </w:p>
    <w:bookmarkEnd w:id="121"/>
    <w:bookmarkStart w:id="122" w:name="X8000a71c209af490aaf25e7e47e43fe88a309a9"/>
    <w:p>
      <w:pPr>
        <w:pStyle w:val="Heading2"/>
        <w:spacing w:line="480" w:lineRule="auto"/>
      </w:pPr>
      <w:r>
        <w:t xml:space="preserve">5.2 Unit of Observation and Variable Construction</w:t>
      </w:r>
    </w:p>
    <w:p>
      <w:pPr>
        <w:pStyle w:val="FirstParagraph"/>
        <w:spacing w:line="480" w:lineRule="auto"/>
      </w:pPr>
      <w:r>
        <w:t xml:space="preserve">The unit of observation is the program-baseline pair. Each pair holds one NASA major program named in the Government Accountability Office Assessments of Major Projects series [5, 6, 9] and one baseline event matching the program’s confirmation at Key Decision Point C under NASA Procedural Requirements 7120.5F</w:t>
      </w:r>
      <w:r>
        <w:t xml:space="preserve"> </w:t>
      </w:r>
      <w:hyperlink w:anchor="ref-7">
        <w:r>
          <w:rPr>
            <w:rStyle w:val="Hyperlink"/>
          </w:rPr>
          <w:t xml:space="preserve">[7]</w:t>
        </w:r>
      </w:hyperlink>
      <w:r>
        <w:t xml:space="preserve">. Programs that re-enter the panel under a re-blessed baseline hand over a second program-baseline pair, with the duration clock reset; this convention follows the GAO portfolio practice of tracking re-baselined programs as running entries with fresh pledges.</w:t>
      </w:r>
    </w:p>
    <w:p>
      <w:pPr>
        <w:pStyle w:val="BodyText"/>
        <w:spacing w:line="480" w:lineRule="auto"/>
        <w:ind w:firstLine="720"/>
      </w:pPr>
      <w:r>
        <w:t xml:space="preserve">There are two result variables. The first is the realized slip ratio, set as the ratio of actual elapsed months from authority-to-proceed to delivery, over the baseline-committed months from authority-to-proceed to delivery, minus one. Positive values flag slip. The second is the survival result used in the Cox fit: the time in months from authority-to-proceed to first formal rebaseline event logged by GAO, with right-censoring at the close of the latest reporting window for programs still unrebaselined. The event indicator equals one where a rebaseline is seen and zero otherwise. The two results do not double each other. The slip ratio gauges the size of schedule overrun given delivery, while the time-to-rebaseline result gauges the rate at which programs cross the formal breach threshold. The dissertation lays out both so the analytic close is not driven by the pick of result scale.</w:t>
      </w:r>
    </w:p>
    <w:p>
      <w:pPr>
        <w:pStyle w:val="BodyText"/>
        <w:spacing w:line="480" w:lineRule="auto"/>
        <w:ind w:firstLine="720"/>
      </w:pPr>
      <w:r>
        <w:t xml:space="preserve">The chief forecaster is the Newman-Girvan modularity of the program’s WBS at baseline</w:t>
      </w:r>
      <w:r>
        <w:t xml:space="preserve"> </w:t>
      </w:r>
      <w:hyperlink w:anchor="ref-10">
        <w:r>
          <w:rPr>
            <w:rStyle w:val="Hyperlink"/>
          </w:rPr>
          <w:t xml:space="preserve">[10]</w:t>
        </w:r>
      </w:hyperlink>
      <w:r>
        <w:t xml:space="preserve">. The WBS gets read from the program’s WBS dictionary at Key Decision Point C and, where the dictionary sits unreleased publicly, from the WBS appendix of the fitting GAO Major Project Assessment cross-checked against the NASA Cost Analysis Data Requirement Part C narrative. Nodes match WBS elements at levels one through three. Edges follow the parent-child carving and get filled out by declared inter-element interfaces where the baseline paper logs them. The graph gets thrown to its undirected form before community detection. Modularity computes by the standard Newman-Girvan optimization on that undirected throw, with the resolution parameter nailed at unity to hold comparability across programs and to strip an analyst-degree-of-freedom that would otherwise sit open for post hoc tuning.</w:t>
      </w:r>
    </w:p>
    <w:p>
      <w:pPr>
        <w:pStyle w:val="BodyText"/>
        <w:spacing w:line="480" w:lineRule="auto"/>
        <w:ind w:firstLine="720"/>
      </w:pPr>
      <w:r>
        <w:t xml:space="preserve">Two auxiliary structural gauges compute for robustness. The first is mean depth, the average shortest-path length from each leaf node to the root. The second is mean second-level out-degree, the average count of immediate children of the second-level WBS elements. Both stand fixed in advance as robustness checks; the substantive close is called on to outlast on at least two of the three structural gauges. The reasoning is that modularity turns sensitive to whether declared interfaces get folded in and to the resolution at which community detection runs, while depth and breadth stay deaf to those calls. Concord across the three gauges rules out leaning on the most analyst-swayed measure alone.</w:t>
      </w:r>
    </w:p>
    <w:p>
      <w:pPr>
        <w:pStyle w:val="BodyText"/>
        <w:spacing w:line="480" w:lineRule="auto"/>
        <w:ind w:firstLine="720"/>
      </w:pPr>
      <w:r>
        <w:t xml:space="preserve">There are three covariates. The natural logarithm of life-cycle contract value at baseline confirmation, priced in constant fiscal-year dollars, reins in program scale. The readiness level of the lowest-TRL critical technology at baseline, drawn from the GAO technology maturity tables, reins in the ruling correlate of cost and schedule swell named by GAO portfolio reviews over the last decade</w:t>
      </w:r>
      <w:r>
        <w:t xml:space="preserve"> </w:t>
      </w:r>
      <w:hyperlink w:anchor="ref-9">
        <w:r>
          <w:rPr>
            <w:rStyle w:val="Hyperlink"/>
          </w:rPr>
          <w:t xml:space="preserve">[9]</w:t>
        </w:r>
      </w:hyperlink>
      <w:r>
        <w:t xml:space="preserve">. The NASA mission class tagged under NPR 8705.4</w:t>
      </w:r>
      <w:r>
        <w:t xml:space="preserve"> </w:t>
      </w:r>
      <w:hyperlink w:anchor="ref-8">
        <w:r>
          <w:rPr>
            <w:rStyle w:val="Hyperlink"/>
          </w:rPr>
          <w:t xml:space="preserve">[8]</w:t>
        </w:r>
      </w:hyperlink>
      <w:r>
        <w:t xml:space="preserve"> </w:t>
      </w:r>
      <w:r>
        <w:t xml:space="preserve">reins in the danger posture the agency has formally handed the program. Fiscal-year fixed effects soak up shared cohort shocks, the bite of continuing resolutions and shutdown-driven hiring freezes that squeeze the post-confirmation schedule across all contemporaneous programs among them.</w:t>
      </w:r>
    </w:p>
    <w:p>
      <w:pPr>
        <w:pStyle w:val="BodyText"/>
        <w:spacing w:line="480" w:lineRule="auto"/>
        <w:ind w:firstLine="720"/>
      </w:pPr>
      <w:r>
        <w:t xml:space="preserve">The dataset gets logged as a lone tidy file in which each row is a program-baseline pair and the last column carries the exact GAO report number, the page range, and, where it applies, the NASA Technical Reports Server identifier from which the WBS structure was read. That provenance column is no aesthetic flourish; it is the audit trail letting a reviewer rebuild any single row of the panel from the public sources [5, 6, 7, 8, 9].</w:t>
      </w:r>
    </w:p>
    <w:bookmarkEnd w:id="122"/>
    <w:bookmarkStart w:id="123" w:name="estimators"/>
    <w:p>
      <w:pPr>
        <w:pStyle w:val="Heading2"/>
        <w:spacing w:line="480" w:lineRule="auto"/>
      </w:pPr>
      <w:r>
        <w:t xml:space="preserve">5.3 Estimators</w:t>
      </w:r>
    </w:p>
    <w:p>
      <w:pPr>
        <w:pStyle w:val="FirstParagraph"/>
        <w:spacing w:line="480" w:lineRule="auto"/>
      </w:pPr>
      <w:r>
        <w:t xml:space="preserve">The dissertation lays out three estimator families, each reined in by a fit fixed in advance. Their assumptions rise in demand as the layers deepen.</w:t>
      </w:r>
    </w:p>
    <w:p>
      <w:pPr>
        <w:pStyle w:val="BodyText"/>
        <w:spacing w:line="480" w:lineRule="auto"/>
        <w:ind w:firstLine="720"/>
      </w:pPr>
      <w:r>
        <w:t xml:space="preserve">First comes a pooled ordinary-least-squares regression of the realized slip ratio on baseline modularity with controls for log contract value, baseline TRL, mission-class indicators, and fiscal-year fixed effects. Standard errors get laid out in their heteroskedasticity-consistent form. The pooled estimator hands over a partial tie, no causal estimate, and the dissertation tags it that way throughout. The first research paper logged this fit on a panel of thirty-two NASA major programs and drew a coefficient on modularity of minus 2.10 with a standard error of 0.36 and a p-value below 0.001, an adjusted R-squared of 0.55, and an F-statistic of 13.4. That finding pins that the pooled fit is telling on the GAO-derived panel. The dissertation re-runs the fit on the stretched panel built in Chapter 4 and lays out the freshened coefficient, standard error, and model fit.</w:t>
      </w:r>
    </w:p>
    <w:p>
      <w:pPr>
        <w:pStyle w:val="BodyText"/>
        <w:spacing w:line="480" w:lineRule="auto"/>
        <w:ind w:firstLine="720"/>
      </w:pPr>
      <w:r>
        <w:t xml:space="preserve">Second comes a within-prime fixed-effects fit of the same result equation. The prime contractor or NASA center of record runs as a categorical fixed effect, soaking up all time-invariant prime-specific factors, organizational culture, default subsystem carving templates, and the labor-market conditions that shape prime-level execution muscle among them. The within-prime estimator works the fact that the same prime contractor often turns out structurally split WBS carvings across contemporaneous programs, and the swing that pins the modularity coefficient is the within-prime, across-program swing in WBS shape. Standard errors get clustered at the prime-contractor level. The first research paper skipped this fit because a panel of thirty-two observations cannot bear a reliable within-prime variance split; the dissertation lays it out on the stretched panel and takes the match between the pooled and the within-prime coefficients as the chief sensitivity test on selection on observables.</w:t>
      </w:r>
    </w:p>
    <w:p>
      <w:pPr>
        <w:pStyle w:val="BodyText"/>
        <w:spacing w:line="480" w:lineRule="auto"/>
        <w:ind w:firstLine="720"/>
      </w:pPr>
      <w:r>
        <w:t xml:space="preserve">Third comes a Cox proportional-hazards model on time to first formal rebaseline, with covariates for baseline modularity, log contract value, and mean baseline TRL</w:t>
      </w:r>
      <w:r>
        <w:t xml:space="preserve"> </w:t>
      </w:r>
      <w:hyperlink w:anchor="ref-12">
        <w:r>
          <w:rPr>
            <w:rStyle w:val="Hyperlink"/>
          </w:rPr>
          <w:t xml:space="preserve">[12]</w:t>
        </w:r>
      </w:hyperlink>
      <w:r>
        <w:t xml:space="preserve">. The Cox model fits because the duration result is right-censored: some programs in the panel are still unrebaselined at the close of the observation window, and tossing those observations or treating their censoring time as the event time would tilt the estimator. Estimation uses the Efron approximation for tied event times and the partial likelihood. The proportional-hazards assumption gets tested on formal terms through scaled Schoenfeld residuals; covariates that flunk the test get stratified rather than entered as regressors. The second research paper logged this fit on a panel of thirty-two programs with sixteen seen events and drew a coefficient on modularity of 6.66 with a p-value of 0.57, and like imprecise coefficients on the two controls. The dissertation re-runs the Cox fit on the stretched panel and lays out the freshened hazard ratios. That the second research paper’s Cox fit backed no H1 while the first research paper’s pooled fit did stands as an analytic feature, not a bug: the two results gauge different faces of execution danger, and a sound dissertation lays out the split plainly rather than burying the less handy finding.</w:t>
      </w:r>
    </w:p>
    <w:p>
      <w:pPr>
        <w:pStyle w:val="BodyText"/>
        <w:spacing w:line="480" w:lineRule="auto"/>
        <w:ind w:firstLine="720"/>
      </w:pPr>
      <w:r>
        <w:t xml:space="preserve">The three estimators share a fit block fixed in advance. The block nails, before the stretched panel is assembled, the functional form of each regressor, the set of covariates, the standard-error routine, the resolution parameter for community detection, and the rule that sets a rebaseline event for the Cox result. Fixing in advance is no methodological flourish. It is the device that stops the multiple-testing snare latent in a three-estimator stack from swelling the seeming significance of the headline coefficient.</w:t>
      </w:r>
    </w:p>
    <w:bookmarkEnd w:id="123"/>
    <w:bookmarkStart w:id="124" w:name="identification-strategy"/>
    <w:p>
      <w:pPr>
        <w:pStyle w:val="Heading2"/>
        <w:spacing w:line="480" w:lineRule="auto"/>
      </w:pPr>
      <w:r>
        <w:t xml:space="preserve">5.4 Identification Strategy</w:t>
      </w:r>
    </w:p>
    <w:p>
      <w:pPr>
        <w:pStyle w:val="FirstParagraph"/>
        <w:spacing w:line="480" w:lineRule="auto"/>
      </w:pPr>
      <w:r>
        <w:t xml:space="preserve">The estimand is the partial tie between baseline WBS modularity and the schedule-execution result. The identification plan is layered, and the layers get laid out in rising order of the assumptions they want.</w:t>
      </w:r>
    </w:p>
    <w:p>
      <w:pPr>
        <w:pStyle w:val="BodyText"/>
        <w:spacing w:line="480" w:lineRule="auto"/>
        <w:ind w:firstLine="720"/>
      </w:pPr>
      <w:r>
        <w:t xml:space="preserve">The pooled OLS fit pins a conditional mean tie under the assumption that the residual is mean-independent of modularity given the covariates. That assumption reads shaky at face value: WBS shape is a chosen variable, and program offices facing higher expected execution danger may pick more modular carvings just to ride that danger. The entanglement runs in a particular direction, though. Should high-danger programs pick more modular WBS, then the OLS coefficient on modularity tilts toward zero, that is, against catching the shielding effect H1 foretells. A finding for H1 under pooled OLS is thus cautious under this entanglement, and the dissertation takes a knock-down of H0 under the pooled fit as a floor on the shielding tie. A non-knock-down cannot split a true null from a strategic-carving confound, and the dissertation owns that lopsidedness plainly.</w:t>
      </w:r>
    </w:p>
    <w:p>
      <w:pPr>
        <w:pStyle w:val="BodyText"/>
        <w:spacing w:line="480" w:lineRule="auto"/>
        <w:ind w:firstLine="720"/>
      </w:pPr>
      <w:r>
        <w:t xml:space="preserve">The within-prime fixed-effects fit pins a partial tie under the strictly slimmer assumption that the residual is mean-independent of modularity given the covariates and the prime fixed effect. The fixed effect soaks up every time-invariant prime-specific trait, the prime’s default carving template and its organizational danger culture among them. The pinning swing is the across-program, within-prime swing in WBS shape, which sits closer to a quasi-experimental match than the pooled match can. The within-prime estimator does not wipe out selection on unseen program-specific tangle, but it strips the largest lone source of unseen heterogeneity in the data: the prime contractor.</w:t>
      </w:r>
    </w:p>
    <w:p>
      <w:pPr>
        <w:pStyle w:val="BodyText"/>
        <w:spacing w:line="480" w:lineRule="auto"/>
        <w:ind w:firstLine="720"/>
      </w:pPr>
      <w:r>
        <w:t xml:space="preserve">The Cox fit pins a hazard ratio under the proportional-hazards assumption and non-informative censoring</w:t>
      </w:r>
      <w:r>
        <w:t xml:space="preserve"> </w:t>
      </w:r>
      <w:hyperlink w:anchor="ref-12">
        <w:r>
          <w:rPr>
            <w:rStyle w:val="Hyperlink"/>
          </w:rPr>
          <w:t xml:space="preserve">[12]</w:t>
        </w:r>
      </w:hyperlink>
      <w:r>
        <w:t xml:space="preserve">. The proportional-hazards assumption gets tested with scaled Schoenfeld residuals. Non-informative censoring reads believable since the censoring mechanism, the close of the latest GAO reporting window, sits outside the program’s underlying breach hazard. The Cox fit runs alongside the pooled and within-prime OLS fits so a reader can weigh whether the slip-ratio and the time-to-rebaseline results hand over steady direction and size.</w:t>
      </w:r>
    </w:p>
    <w:p>
      <w:pPr>
        <w:pStyle w:val="BodyText"/>
        <w:spacing w:line="480" w:lineRule="auto"/>
        <w:ind w:firstLine="720"/>
      </w:pPr>
      <w:r>
        <w:t xml:space="preserve">Two falsification tests, fixed in advance, pen the pinning claims. The first is a placebo regression in which the modularity variable gets randomly shuffled across programs ten thousand times, the pooled OLS fit re-runs on each shuffle, and the empirical p-value is the share of shuffles in which the placebo coefficient beats the realized coefficient in absolute value. A realized effect that outlasts shuffling is unlikely to be an artifact of the covariate shape. The second is a structural-gauge concord test: the substantive close is called on to hold on the modularity coefficient and on at least one of the two auxiliary structural gauges, mean depth and mean second-level out-degree. A close that leans on the modularity measure alone gets logged as weakly backed and gets barred from carrying the headline.</w:t>
      </w:r>
    </w:p>
    <w:bookmarkEnd w:id="124"/>
    <w:bookmarkStart w:id="125" w:name="threats-to-validity-and-their-bounds"/>
    <w:p>
      <w:pPr>
        <w:pStyle w:val="Heading2"/>
        <w:spacing w:line="480" w:lineRule="auto"/>
      </w:pPr>
      <w:r>
        <w:t xml:space="preserve">5.5 Threats to Validity and Their Bounds</w:t>
      </w:r>
    </w:p>
    <w:p>
      <w:pPr>
        <w:pStyle w:val="FirstParagraph"/>
        <w:spacing w:line="480" w:lineRule="auto"/>
      </w:pPr>
      <w:r>
        <w:t xml:space="preserve">Five threats earn plain handling. Each pairs with the particular design device that pens its bite on the headline finding.</w:t>
      </w:r>
    </w:p>
    <w:p>
      <w:pPr>
        <w:pStyle w:val="BodyText"/>
        <w:spacing w:line="480" w:lineRule="auto"/>
        <w:ind w:firstLine="720"/>
      </w:pPr>
      <w:r>
        <w:t xml:space="preserve">Take first selection on observables. The pooled OLS fit cannot soak up unseen program-specific tangle, and a program manager who picks a modular WBS because the program is oddly tangled would breed a positive correlation between modularity and slip that has nothing to do with the shielding effect H1 foretells. The within-prime fixed-effects fit pens this threat by soaking up the prime-level slice of unseen tangle. The placebo shuffle test pens it further by handing over an empirical null spread against which the realized coefficient gets judged.</w:t>
      </w:r>
    </w:p>
    <w:p>
      <w:pPr>
        <w:pStyle w:val="BodyText"/>
        <w:spacing w:line="480" w:lineRule="auto"/>
        <w:ind w:firstLine="720"/>
      </w:pPr>
      <w:r>
        <w:t xml:space="preserve">Second is the measurement of modularity. Newman-Girvan modularity turns sensitive to whether declared inter-element interfaces get folded in, to the level at which the WBS graph is cut, and to the resolution parameter at which the optimization runs</w:t>
      </w:r>
      <w:r>
        <w:t xml:space="preserve"> </w:t>
      </w:r>
      <w:hyperlink w:anchor="ref-10">
        <w:r>
          <w:rPr>
            <w:rStyle w:val="Hyperlink"/>
          </w:rPr>
          <w:t xml:space="preserve">[10]</w:t>
        </w:r>
      </w:hyperlink>
      <w:r>
        <w:t xml:space="preserve">. The dissertation pens this threat three ways. The resolution parameter gets nailed at unity in advance. The interface set gets set by the rule that only baseline-paper-declared interfaces get folded in, with no analyst guessing of interfaces from program narrative. And the substantive close is called on to outlast on at least two of the three structural gauges. The first research paper’s logged coefficient thus gets re-checked against the depth and breadth gauges on the stretched panel; a close that outlasts only on the modularity gauge gets logged as conditional on the measurement call.</w:t>
      </w:r>
    </w:p>
    <w:p>
      <w:pPr>
        <w:pStyle w:val="BodyText"/>
        <w:spacing w:line="480" w:lineRule="auto"/>
        <w:ind w:firstLine="720"/>
      </w:pPr>
      <w:r>
        <w:t xml:space="preserve">Third is sample-frame bias. Programs that turn out complete CADRe Part C reports at both baseline and close-out, or that turn up in the GAO Major Project Assessment series, may split from programs that do not on systematic terms. Programs killed before baseline stay absent, programs below the major-project bar stay absent, and programs whose CADRe Part C got waived or slowed stay under-shown. The post-2000 NPR 7120.5 cohort cut</w:t>
      </w:r>
      <w:r>
        <w:t xml:space="preserve"> </w:t>
      </w:r>
      <w:hyperlink w:anchor="ref-7">
        <w:r>
          <w:rPr>
            <w:rStyle w:val="Hyperlink"/>
          </w:rPr>
          <w:t xml:space="preserve">[7]</w:t>
        </w:r>
      </w:hyperlink>
      <w:r>
        <w:t xml:space="preserve"> </w:t>
      </w:r>
      <w:r>
        <w:t xml:space="preserve">pens this threat by making CADRe completion a near-universal look on formal terms, but residual survivorship bias toward wrapped and logged programs holds. The dissertation pens the threat by logging the panel’s coverage rate against the full population of NASA major programs over the observation window, and by re-running the headline fit on the GAO-only sub-panel as a sensitivity check against any CADRe-specific survivorship pattern. Coverage gaps get logged in an open appendix table rather than papered over.</w:t>
      </w:r>
    </w:p>
    <w:p>
      <w:pPr>
        <w:pStyle w:val="BodyText"/>
        <w:spacing w:line="480" w:lineRule="auto"/>
        <w:ind w:firstLine="720"/>
      </w:pPr>
      <w:r>
        <w:t xml:space="preserve">Fourth is entanglement of WBS choice. As noted in Section 5.4, the WBS is chosen, not handed, and the choice may walk with the very execution danger the dissertation means to forecast. The dissertation makes no claim to instrument the WBS choice, and it makes no claim to a causal estimand. It does claim, with plain owning, that the signed direction of the entanglement tilt runs against H1 under the most believable behavioral model in which higher-danger programs pick more modular carvings to ride that danger. A finding for H1 is thus a floor on the shielding tie. A finding against H1 gets logged as square with either a true null or a strategic-carving confound, and the dissertation does not settle between those two on the present panel.</w:t>
      </w:r>
    </w:p>
    <w:p>
      <w:pPr>
        <w:pStyle w:val="BodyText"/>
        <w:spacing w:line="480" w:lineRule="auto"/>
        <w:ind w:firstLine="720"/>
      </w:pPr>
      <w:r>
        <w:t xml:space="preserve">Fifth is reach past NASA. The estimand is conditional on the NASA cost-and-schedule reporting regime under NPR 7120.5 and on the GAO portfolio assessment series. It does not carry over, absent further assumption, to Department of War acquisition under the Major Defense Acquisition Program reporting regime, to intelligence-community programs whose schedule baselines stay unreported publicly, or to commercial constellation programs whose carving choices get logged in operational scheduling tooling rather than in formal WBS dictionaries [1, 2]. The dissertation makes no such reach claim. A future stretch using the Defense Acquisition Visibility Environment and the Selected Acquisition Report corpus is noted as a follow-on study and gets penned out of the present offering. The architectural writing on socio-technological upheaval in space</w:t>
      </w:r>
      <w:r>
        <w:t xml:space="preserve"> </w:t>
      </w:r>
      <w:hyperlink w:anchor="ref-3">
        <w:r>
          <w:rPr>
            <w:rStyle w:val="Hyperlink"/>
          </w:rPr>
          <w:t xml:space="preserve">[3]</w:t>
        </w:r>
      </w:hyperlink>
      <w:r>
        <w:t xml:space="preserve"> </w:t>
      </w:r>
      <w:r>
        <w:t xml:space="preserve">and the staged-rollout writing on satellite mega-constellations under uncertain demand</w:t>
      </w:r>
      <w:r>
        <w:t xml:space="preserve"> </w:t>
      </w:r>
      <w:hyperlink w:anchor="ref-4">
        <w:r>
          <w:rPr>
            <w:rStyle w:val="Hyperlink"/>
          </w:rPr>
          <w:t xml:space="preserve">[4]</w:t>
        </w:r>
      </w:hyperlink>
      <w:r>
        <w:t xml:space="preserve"> </w:t>
      </w:r>
      <w:r>
        <w:t xml:space="preserve">frame the question of carving-as-design-variable for the wider population of space programs, but the dissertation’s empirical offering stays penned to the NASA panel where the cost-and-schedule reporting regime hands the analyst a soundly comparable set of baselines.</w:t>
      </w:r>
    </w:p>
    <w:p>
      <w:pPr>
        <w:pStyle w:val="BodyText"/>
        <w:spacing w:line="480" w:lineRule="auto"/>
        <w:ind w:firstLine="720"/>
      </w:pPr>
      <w:r>
        <w:t xml:space="preserve">A sixth, secondary threat earns logging. The Newman-Girvan optimization is itself stochastic in some builds, with several near-best splits that yield modestly split modularity scores. The dissertation nails the random seed of the community-detection routine in the fit block fixed in advance and logs the modularity score under that seed as the headline value. A sensitivity check moves the seed across one hundred draws and logs the resulting spread of modularity scores in an appendix table. The threat gets penned by the call that the headline coefficient outlast on the median modularity score across the seed spread.</w:t>
      </w:r>
    </w:p>
    <w:bookmarkEnd w:id="125"/>
    <w:bookmarkStart w:id="126" w:name="decision-rule"/>
    <w:p>
      <w:pPr>
        <w:pStyle w:val="Heading2"/>
        <w:spacing w:line="480" w:lineRule="auto"/>
      </w:pPr>
      <w:r>
        <w:t xml:space="preserve">5.6 Decision Rule</w:t>
      </w:r>
    </w:p>
    <w:p>
      <w:pPr>
        <w:pStyle w:val="FirstParagraph"/>
        <w:spacing w:line="480" w:lineRule="auto"/>
      </w:pPr>
      <w:r>
        <w:t xml:space="preserve">H0 gets knocked down on the stretched NASA panel if and only if the following three conditions all hold. First, the coefficient on baseline modularity in the within-prime fixed-effects fit fixed in advance of the slip-ratio result is negative and stands apart from zero on statistical terms at the conventional five-percent level, with prime-clustered standard errors. Second, the placebo shuffle test hands back an empirical p-value below five percent on the same fit. Third, the substantive close outlasts the structural-gauge concord test, with at least one of the two auxiliary structural gauges, mean depth or mean second-level out-degree, handing over a coefficient of the same sign and statistical significance as the headline modularity coefficient.</w:t>
      </w:r>
    </w:p>
    <w:p>
      <w:pPr>
        <w:pStyle w:val="BodyText"/>
        <w:spacing w:line="480" w:lineRule="auto"/>
        <w:ind w:firstLine="720"/>
      </w:pPr>
      <w:r>
        <w:t xml:space="preserve">Should any one of the three conditions flunk, H0 stays standing, and the dissertation logs the partial tie as telling but not disprovable on the present panel. The Cox fit runs in every case, with its hazard ratios and proportional-hazards diagnostics, yet it enters no decision rule because the second research paper has already shown that the time-to-rebaseline result runs underpowered on the GAO-derived panel and that its standard errors settle nothing between H0 and H1 at usual levels.</w:t>
      </w:r>
    </w:p>
    <w:p>
      <w:pPr>
        <w:pStyle w:val="BodyText"/>
        <w:spacing w:line="480" w:lineRule="auto"/>
        <w:ind w:firstLine="720"/>
      </w:pPr>
      <w:r>
        <w:t xml:space="preserve">The decision rule gets called before the stretched panel is assembled and gets no change after the data are seen. The lopsidedness between the knock-down condition, which wants three independent positive results, and the standing condition, which wants only one of three to flunk, is on purpose. A field that has piled thirty years of sure prescriptions about WBS shape without ever gauging the shape owes its heirs a high bar for slipping a new early read into the program-management kit. The dissertation sets that bar at three concordant positive results and logs its findings against it.</w:t>
      </w:r>
    </w:p>
    <w:bookmarkEnd w:id="126"/>
    <w:bookmarkEnd w:id="127"/>
    <w:bookmarkStart w:id="142" w:name="chapter-6.-results"/>
    <w:p>
      <w:pPr>
        <w:pStyle w:val="Heading1"/>
        <w:spacing w:line="480" w:lineRule="auto"/>
      </w:pPr>
      <w:r>
        <w:t xml:space="preserve">Chapter 6. Results</w:t>
      </w:r>
    </w:p>
    <w:p>
      <w:pPr>
        <w:pStyle w:val="FirstParagraph"/>
        <w:spacing w:line="480" w:lineRule="auto"/>
      </w:pPr>
      <w:r>
        <w:t xml:space="preserve">This chapter lays out the empirical findings of the two pre-registered estimations that run the dissertation’s central claim that the topological modularity of a space program’s work-breakdown structure holds early-read content for downstream schedule performance. Paper 1 pins the partial tie between Newman-Girvan WBS modularity and the realized slip ratio between authority-to-proceed and delivery on a panel of thirty-two NASA major projects drawn from the Government Accountability Office Assessments of Major Projects series [5, 6]. Paper 2 pins the matching survival relationship, modeling the time between authority-to-proceed and first GAO-reported rebaseline against the same structural variable, through a Cox proportional-hazards fit</w:t>
      </w:r>
      <w:r>
        <w:t xml:space="preserve"> </w:t>
      </w:r>
      <w:hyperlink w:anchor="ref-12">
        <w:r>
          <w:rPr>
            <w:rStyle w:val="Hyperlink"/>
          </w:rPr>
          <w:t xml:space="preserve">[12]</w:t>
        </w:r>
      </w:hyperlink>
      <w:r>
        <w:t xml:space="preserve">. The two estimators got picked because they answer matching questions on the same panel. The ordinary-least-squares fit asks whether modularity forecasts the size of slip when slip shows as a continuous result at delivery. The proportional-hazards fit asks whether modularity forecasts the instant risk of the discrete event of a formal rebaseline, letting right-censoring stand for projects still unbreach at the close of their observation window. The estimators land here exactly as the pre-registered code returned them, and the talk that follows binds to those numbers. Where a coefficient lands, its matching heteroskedasticity-consistent standard error and analytic p-value land with it. No number turns up in the narrative that fails to turn up in the estimator output. Tabular display of the same estimates, the auxiliary diagnostic plots, the residual scatter, the proportional-hazards diagnostics, and the data dictionary sit in Appendix A and get no repeat here.</w:t>
      </w:r>
    </w:p>
    <w:bookmarkStart w:id="134" w:name="X0e278a5430ae4e9700b5e8bf00dd3cec41dacbe"/>
    <w:p>
      <w:pPr>
        <w:pStyle w:val="Heading2"/>
        <w:spacing w:line="480" w:lineRule="auto"/>
      </w:pPr>
      <w:r>
        <w:t xml:space="preserve">6.1 Paper 1: Ordinary-Least-Squares Estimation of WBS Modularity on the Realized Slip Ratio</w:t>
      </w:r>
    </w:p>
    <w:bookmarkStart w:id="128" w:name="model-fit"/>
    <w:p>
      <w:pPr>
        <w:pStyle w:val="Heading3"/>
        <w:spacing w:line="480" w:lineRule="auto"/>
      </w:pPr>
      <w:r>
        <w:t xml:space="preserve">6.1.1 Model Fit</w:t>
      </w:r>
    </w:p>
    <w:p>
      <w:pPr>
        <w:pStyle w:val="FirstParagraph"/>
        <w:spacing w:line="480" w:lineRule="auto"/>
      </w:pPr>
      <w:r>
        <w:t xml:space="preserve">The pre-registered fit regresses the realized slip ratio, set as the actual elapsed months from authority-to-proceed to delivery over the baseline-committed months, minus one, on Newman-Girvan modularity computed on the level-1 through level-3 WBS, with controls for the natural logarithm of life-cycle contract value at baseline and the readiness level of the lowest-TRL critical element at baseline. The estimator is pooled ordinary least squares with heteroskedasticity-consistent HC1 standard errors. The sample runs to thirty-two NASA major projects whose baseline and current schedule values sit logged in the Assessments of Major Projects reports [5, 6].</w:t>
      </w:r>
    </w:p>
    <w:p>
      <w:pPr>
        <w:pStyle w:val="BodyText"/>
        <w:spacing w:line="480" w:lineRule="auto"/>
        <w:ind w:firstLine="720"/>
      </w:pPr>
      <w:r>
        <w:t xml:space="preserve">The fitted model hands back an R-squared of 0.5934 and an adjusted R-squared of 0.5499. The joint test that all slope coefficients equal zero hands back an F-statistic of 13.4194 with a p-value of 1.30 times ten to the negative fifth, which lands well under the conventional five-percent bar and well under the one-percent bar. So the model tells a hefty slice of the cross-sectional swing in realized schedule slip. The gap between the unadjusted and adjusted coefficient of determination runs small in absolute terms, in keeping with a fit that folds in no stray regressors. On a sample of thirty-two observations and three explanatory variables plus a constant, an adjusted R-squared above one half flags that the chosen fit catches over half of the swing in the result with the degrees-of-freedom docking applied. The F-statistic value of 13.4194 on the fitting numerator and denominator degrees of freedom runs large enough that the odds of seeing it under a true null of joint insignificance land below two parts in one hundred thousand. The model clears its omnibus joint test outright.</w:t>
      </w:r>
    </w:p>
    <w:bookmarkEnd w:id="128"/>
    <w:bookmarkStart w:id="129" w:name="the-coefficient-on-modularity"/>
    <w:p>
      <w:pPr>
        <w:pStyle w:val="Heading3"/>
        <w:spacing w:line="480" w:lineRule="auto"/>
      </w:pPr>
      <w:r>
        <w:t xml:space="preserve">6.1.2 The Coefficient on Modularity</w:t>
      </w:r>
    </w:p>
    <w:p>
      <w:pPr>
        <w:pStyle w:val="FirstParagraph"/>
        <w:spacing w:line="480" w:lineRule="auto"/>
      </w:pPr>
      <w:r>
        <w:t xml:space="preserve">The substantive coefficient is the partial tie between Newman-Girvan modularity and the realized slip ratio. The point estimate is -2.1028, with a heteroskedasticity-consistent standard error of 0.3578 and a p-value that rounds to zero in the estimator output, which is to say a p-value under the bar at which the routine prints a finite number. The negative sign is the sign the guess of the prospectus and Paper 1 foretold, namely that higher modularity walks with smaller realized slip [1, 2]. The size runs large. A unit swing in Newman-Girvan modularity is a move across the whole feasible range of the metric, since modularity in the Newman-Girvan sense caps above at one and shows in graph studies of carving to sit between zero and roughly five tenths for empirically telling structures [10, 11]. Moves of one-tenth on the modularity scale, the moves that matter in practice on the present panel, match a forecast swing in the realized slip ratio of roughly two-tenths, holding contract value and baseline TRL fixed. A program that moves from a modularity of 0.40 to a modularity of 0.50 on the level-1 through level-3 WBS is forecast, on this panel, to land a slip ratio roughly 0.21 lower than the forecast at the lower modularity.</w:t>
      </w:r>
    </w:p>
    <w:p>
      <w:pPr>
        <w:pStyle w:val="BodyText"/>
        <w:spacing w:line="480" w:lineRule="auto"/>
        <w:ind w:firstLine="720"/>
      </w:pPr>
      <w:r>
        <w:t xml:space="preserve">The standard error of 0.3578 on a coefficient of -2.1028 yields a t-statistic in absolute value of roughly 5.88, which under the asymptotic normal reference spread lands well into the knock-down zone for any conventional significance level. So the data knock down the null of no partial tie between WBS modularity and the realized slip ratio at conventional and at any tighter conventional level, in the direction the guess H1 of the prospectus foretold. The economic reading squares with the structural intuition raised in the theory section of Paper 1: a WBS with higher modularity pens coupling inside blocks and thins coupling between blocks, so a jolt to any one subsystem travels less hard through the program network. The Baldwin and Clark argument that modular carvings mint option value by walling off the fallout of design changes inside a lone block turns, on this panel, into a gaugeable cut in realized schedule slip</w:t>
      </w:r>
      <w:r>
        <w:t xml:space="preserve"> </w:t>
      </w:r>
      <w:hyperlink w:anchor="ref-11">
        <w:r>
          <w:rPr>
            <w:rStyle w:val="Hyperlink"/>
          </w:rPr>
          <w:t xml:space="preserve">[11]</w:t>
        </w:r>
      </w:hyperlink>
      <w:r>
        <w:t xml:space="preserve">. The Newman finding that modularity is a meaningful structural trait of large empirical graphs turns, on this panel, into a gaugeable partial tie with a downstream acquisition result</w:t>
      </w:r>
      <w:r>
        <w:t xml:space="preserve"> </w:t>
      </w:r>
      <w:hyperlink w:anchor="ref-10">
        <w:r>
          <w:rPr>
            <w:rStyle w:val="Hyperlink"/>
          </w:rPr>
          <w:t xml:space="preserve">[10]</w:t>
        </w:r>
      </w:hyperlink>
      <w:r>
        <w:t xml:space="preserve">.</w:t>
      </w:r>
    </w:p>
    <w:bookmarkEnd w:id="129"/>
    <w:bookmarkStart w:id="130" w:name="the-coefficient-on-log-contract-value"/>
    <w:p>
      <w:pPr>
        <w:pStyle w:val="Heading3"/>
        <w:spacing w:line="480" w:lineRule="auto"/>
      </w:pPr>
      <w:r>
        <w:t xml:space="preserve">6.1.3 The Coefficient on Log Contract Value</w:t>
      </w:r>
    </w:p>
    <w:p>
      <w:pPr>
        <w:pStyle w:val="FirstParagraph"/>
        <w:spacing w:line="480" w:lineRule="auto"/>
      </w:pPr>
      <w:r>
        <w:t xml:space="preserve">Standing for program scale is the natural logarithm of life-cycle contract value at baseline, priced in then-year dollars and read off the same GAO source tables that hand over the schedule columns. The point estimate is 0.0184, with a heteroskedasticity-consistent standard error of 0.0218 and a p-value of 0.3973. The implied t-statistic is roughly 0.84, which knocks down no null of no partial tie at any conventional level. The sign of the coefficient is positive, in keeping with the prior that larger programs in dollar terms carry more political weight and more exposure to scope swell and rebaselining strain [4, 9]. The size, though, runs small and the standard error runs large against the point estimate.</w:t>
      </w:r>
    </w:p>
    <w:p>
      <w:pPr>
        <w:pStyle w:val="BodyText"/>
        <w:spacing w:line="480" w:lineRule="auto"/>
        <w:ind w:firstLine="720"/>
      </w:pPr>
      <w:r>
        <w:t xml:space="preserve">Read at face value, the finding is that once Newman-Girvan modularity holds fixed in the fit, the residual partial tie between log contract value and realized slip stands no apart from zero on this panel. This is no finding that program scale does not matter. The univariate tie between scale and slip in the GAO portfolio sits logged elsewhere and draws no contest here</w:t>
      </w:r>
      <w:r>
        <w:t xml:space="preserve"> </w:t>
      </w:r>
      <w:hyperlink w:anchor="ref-9">
        <w:r>
          <w:rPr>
            <w:rStyle w:val="Hyperlink"/>
          </w:rPr>
          <w:t xml:space="preserve">[9]</w:t>
        </w:r>
      </w:hyperlink>
      <w:r>
        <w:t xml:space="preserve">. The finding that matters is that the structural variable soaks up the cross-sectional swing in slip that scale alone would otherwise be credited with on this panel of thirty-two observations. Two readings hold. One is that modularity is the near channel through which scale runs: larger programs get carved differently from smaller programs, and the carving itself is doing the forecasting work. The other is that the panel runs too small to pin the scale coefficient clean once modularity sits in the fit, so the coefficient on log contract value lands imprecisely gauged rather than substantively zero. The two readings do not lock each other out, and the present data settle nothing between them.</w:t>
      </w:r>
    </w:p>
    <w:bookmarkEnd w:id="130"/>
    <w:bookmarkStart w:id="131" w:name="the-coefficient-on-baseline-trl"/>
    <w:p>
      <w:pPr>
        <w:pStyle w:val="Heading3"/>
        <w:spacing w:line="480" w:lineRule="auto"/>
      </w:pPr>
      <w:r>
        <w:t xml:space="preserve">6.1.4 The Coefficient on Baseline TRL</w:t>
      </w:r>
    </w:p>
    <w:p>
      <w:pPr>
        <w:pStyle w:val="FirstParagraph"/>
        <w:spacing w:line="480" w:lineRule="auto"/>
      </w:pPr>
      <w:r>
        <w:t xml:space="preserve">Standing for technological maturity is the readiness level of the lowest-TRL critical element at baseline, drawn from the GAO technology maturity tables. The point estimate is -0.0579, with a heteroskedasticity-consistent standard error of 0.0630 and a p-value of 0.3580. The implied t-statistic is roughly -0.92, which knocks down no null of no partial tie at any conventional level. The sign of the coefficient is negative, the sign the long-running GAO finding foretells that programs with lower readiness at confirmation tend to run larger downstream slip and swell [4, 9]. Higher readiness at baseline walks, in this estimate, with smaller realized slip.</w:t>
      </w:r>
    </w:p>
    <w:p>
      <w:pPr>
        <w:pStyle w:val="BodyText"/>
        <w:spacing w:line="480" w:lineRule="auto"/>
        <w:ind w:firstLine="720"/>
      </w:pPr>
      <w:r>
        <w:t xml:space="preserve">The size runs small in absolute terms. A one-level lift in the TRL of the lowest-TRL critical element at baseline walks with a forecast cut in the realized slip ratio of roughly 0.058, holding modularity and log contract value fixed. As with the scale coefficient, the partial tie lands imprecisely gauged and stands no apart from zero on this panel of thirty-two observations. The same two readings hold. Either modularity is soaking up a slice of the forecasting content TRL would otherwise be credited with in a univariate fit, or the panel runs too small to pin the TRL coefficient clean once modularity sits in the fit. The data settle nothing between these readings, and the prudent doctoral reading is to log both chances and to hold off inferring that TRL is substantively idle. The substantive offering of Paper 1 rests on the modularity coefficient, and the relative imprecision of the two controls strengthens rather than weakens that offering by showing the modularity tie outlasts the folding-in of the two variables the prior writing most steadily names as drivers of NASA major-project slip [4, 9].</w:t>
      </w:r>
    </w:p>
    <w:bookmarkEnd w:id="131"/>
    <w:bookmarkStart w:id="132" w:name="the-intercept"/>
    <w:p>
      <w:pPr>
        <w:pStyle w:val="Heading3"/>
        <w:spacing w:line="480" w:lineRule="auto"/>
      </w:pPr>
      <w:r>
        <w:t xml:space="preserve">6.1.5 The Intercept</w:t>
      </w:r>
    </w:p>
    <w:p>
      <w:pPr>
        <w:pStyle w:val="FirstParagraph"/>
        <w:spacing w:line="480" w:lineRule="auto"/>
      </w:pPr>
      <w:r>
        <w:t xml:space="preserve">At the regression intercept the estimate is 1.4225 with a heteroskedasticity-consistent standard error of 0.3057 and a p-value that rounds to zero in the estimator output. The implied t-statistic in absolute value is roughly 4.65. The intercept is no substantive estimand under the present fit because the modularity, log contract value, and TRL variables sit uncentered on zero, and the conditional mean of the slip ratio at zero modularity, zero log contract value, and zero TRL is no quantity with any practical read. It lands here for completeness and because its precision feeds the overall pinning of the slope coefficients. The point estimate is positive and large, mirroring the well-logged fact that the average NASA major project in the GAO Assessments series shows positive realized slip against its baseline schedule.</w:t>
      </w:r>
    </w:p>
    <w:bookmarkEnd w:id="132"/>
    <w:bookmarkStart w:id="133" w:name="synthesis-of-the-paper-1-findings"/>
    <w:p>
      <w:pPr>
        <w:pStyle w:val="Heading3"/>
        <w:spacing w:line="480" w:lineRule="auto"/>
      </w:pPr>
      <w:r>
        <w:t xml:space="preserve">6.1.6 Synthesis of the Paper 1 Findings</w:t>
      </w:r>
    </w:p>
    <w:p>
      <w:pPr>
        <w:pStyle w:val="FirstParagraph"/>
        <w:spacing w:line="480" w:lineRule="auto"/>
      </w:pPr>
      <w:r>
        <w:t xml:space="preserve">The synthesis reads plain within the edges of the fit. On a sample of thirty-two NASA major projects seen at baseline and at delivery, Newman-Girvan modularity of the level-1 through level-3 WBS is a strong and statistically sturdy partial forecaster of the realized slip ratio, after conditioning on log contract value and on baseline TRL. The direction of the tie is the direction the theory section of Paper 1 foretold, which is the direction the Baldwin and Clark theory of modular design and the Newman structural account of community structure in networks foretell [10, 11]. The two control variables sit signed in the looked-for directions yet stand no apart from zero on their own on this panel, which the chapter takes as a feature of sample size rather than a substantive null. The omnibus model statistic runs large and the joint p-value runs small. The H0 of no association between WBS modularity and realized schedule slip gets knocked down at the conventional five-percent level and at any tighter conventional bar.</w:t>
      </w:r>
    </w:p>
    <w:bookmarkEnd w:id="133"/>
    <w:bookmarkEnd w:id="134"/>
    <w:bookmarkStart w:id="140" w:name="X041f70b62a44ec0033f960f03af4deca7b476df"/>
    <w:p>
      <w:pPr>
        <w:pStyle w:val="Heading2"/>
        <w:spacing w:line="480" w:lineRule="auto"/>
      </w:pPr>
      <w:r>
        <w:t xml:space="preserve">6.2 Paper 2: Cox Proportional-Hazards Estimation of Time to First Rebaseline</w:t>
      </w:r>
    </w:p>
    <w:bookmarkStart w:id="135" w:name="estimator-and-sample"/>
    <w:p>
      <w:pPr>
        <w:pStyle w:val="Heading3"/>
        <w:spacing w:line="480" w:lineRule="auto"/>
      </w:pPr>
      <w:r>
        <w:t xml:space="preserve">6.2.1 Estimator and Sample</w:t>
      </w:r>
    </w:p>
    <w:p>
      <w:pPr>
        <w:pStyle w:val="FirstParagraph"/>
        <w:spacing w:line="480" w:lineRule="auto"/>
      </w:pPr>
      <w:r>
        <w:t xml:space="preserve">Paper 2 recasts the same panel as a survival puzzle.</w:t>
      </w:r>
    </w:p>
    <w:p>
      <w:pPr>
        <w:pStyle w:val="BodyText"/>
        <w:spacing w:line="480" w:lineRule="auto"/>
        <w:ind w:firstLine="720"/>
      </w:pPr>
      <w:r>
        <w:t xml:space="preserve">The duration variable is months from program authority-to-proceed to first GAO-reported rebaseline, with right-censoring at the close of the latest reporting window for projects still unbreach. The event indicator equals one for a logged rebaseline and zero otherwise. The covariates are the same Newman-Girvan WBS modularity, the natural logarithm of life-cycle baseline cost, and the mean baseline TRL of the critical-technology elements. The estimator is the Cox proportional-hazards model with the Efron approximation for tied event times and the partial likelihood</w:t>
      </w:r>
      <w:r>
        <w:t xml:space="preserve"> </w:t>
      </w:r>
      <w:hyperlink w:anchor="ref-12">
        <w:r>
          <w:rPr>
            <w:rStyle w:val="Hyperlink"/>
          </w:rPr>
          <w:t xml:space="preserve">[12]</w:t>
        </w:r>
      </w:hyperlink>
      <w:r>
        <w:t xml:space="preserve">. The sample runs to thirty-two projects with sixteen seen rebaseline events, which is one event per two projects and yields a shade over five events per gauged covariate. The rule of thumb that the Cox model wants on the order of ten events per covariate for steady inference thus goes unmet</w:t>
      </w:r>
      <w:r>
        <w:t xml:space="preserve"> </w:t>
      </w:r>
      <w:hyperlink w:anchor="ref-12">
        <w:r>
          <w:rPr>
            <w:rStyle w:val="Hyperlink"/>
          </w:rPr>
          <w:t xml:space="preserve">[12]</w:t>
        </w:r>
      </w:hyperlink>
      <w:r>
        <w:t xml:space="preserve">, a limit the chapter takes as the ruling interpretive rein on the Paper 2 results.</w:t>
      </w:r>
    </w:p>
    <w:bookmarkEnd w:id="135"/>
    <w:bookmarkStart w:id="136" w:name="the-coefficient-on-modularity-1"/>
    <w:p>
      <w:pPr>
        <w:pStyle w:val="Heading3"/>
        <w:spacing w:line="480" w:lineRule="auto"/>
      </w:pPr>
      <w:r>
        <w:t xml:space="preserve">6.2.2 The Coefficient on Modularity</w:t>
      </w:r>
    </w:p>
    <w:p>
      <w:pPr>
        <w:pStyle w:val="FirstParagraph"/>
        <w:spacing w:line="480" w:lineRule="auto"/>
      </w:pPr>
      <w:r>
        <w:t xml:space="preserve">The point estimate on Newman-Girvan modularity is 6.6567, with a standard error of 11.7251 and a p-value of 0.5702. The implied z-statistic is roughly 0.57, which knocks down no null of zero log hazard ratio at any conventional level. Two traits of this estimate earn plain comment. The first is the sign. The point estimate is positive, which under the proportional-hazards build implies a hazard ratio above one and thus a faster instant rebaseline hazard at higher modularity, holding cost and TRL fixed. That sign is the opposite of the sign the guess H1 of Paper 2 foretold, which posited a hazard ratio below one for the modularity coefficient on the same structural argument that drives Paper 1 [10, 11]. The second trait is the precision. The standard error of 11.7251 runs large in absolute terms and large against the point estimate of 6.6567. The ratio of the point estimate to its standard error lands well under the value that would warrant any directional inference. The data sit equally square with a large positive log hazard ratio, with a flat null, and with a hefty negative log hazard ratio. The present estimate warrants no directional read.</w:t>
      </w:r>
    </w:p>
    <w:p>
      <w:pPr>
        <w:pStyle w:val="BodyText"/>
        <w:spacing w:line="480" w:lineRule="auto"/>
        <w:ind w:firstLine="720"/>
      </w:pPr>
      <w:r>
        <w:t xml:space="preserve">The honest read is thus that on the Paper 2 panel, the Cox model settles nothing about the modularity guess. The point estimate runs the opposite direction from the Paper 1 finding, but the standard error runs so wide that the two estimates sit in no substantive clash. A coefficient of -2.1028 on the slip ratio scale in Paper 1 and a coefficient of 6.6567 with a standard error of 11.7251 on the log hazard scale in Paper 2 are no same estimand and sit no directly comparable, and the second estimate runs in any event too imprecise to bear interpretive weight. The clean inference is that the data knock down no null on the survival fit and hand over no shielding hazard ratio the modularity argument foretells.</w:t>
      </w:r>
    </w:p>
    <w:bookmarkEnd w:id="136"/>
    <w:bookmarkStart w:id="137" w:name="the-coefficient-on-log-baseline-cost"/>
    <w:p>
      <w:pPr>
        <w:pStyle w:val="Heading3"/>
        <w:spacing w:line="480" w:lineRule="auto"/>
      </w:pPr>
      <w:r>
        <w:t xml:space="preserve">6.2.3 The Coefficient on Log Baseline Cost</w:t>
      </w:r>
    </w:p>
    <w:p>
      <w:pPr>
        <w:pStyle w:val="FirstParagraph"/>
        <w:spacing w:line="480" w:lineRule="auto"/>
      </w:pPr>
      <w:r>
        <w:t xml:space="preserve">On log baseline cost, the point estimate is -0.0592, with a standard error of 1.0817 and a p-value of 0.9563. The implied z-statistic is roughly -0.05, which is dead near zero. The sign is negative, which would imply a shade lower instant rebaseline hazard at higher baseline cost, but the standard error runs over seventeen times the point estimate in absolute value and the p-value is the highest p-value among the three covariates. The data split this coefficient no apart from zero, and the imprecision runs so pronounced that no substantive read of the sign is warranted. The GAO portfolio reviews have steadily logged a positive univariate tie between program scale and the odds of formal rebaseline in larger NASA panels [4, 9], and the miss to draw that tie on the present panel reads best as a sample-size limit rather than as substantive proof against the prior writing.</w:t>
      </w:r>
    </w:p>
    <w:bookmarkEnd w:id="137"/>
    <w:bookmarkStart w:id="138" w:name="the-coefficient-on-mean-baseline-trl"/>
    <w:p>
      <w:pPr>
        <w:pStyle w:val="Heading3"/>
        <w:spacing w:line="480" w:lineRule="auto"/>
      </w:pPr>
      <w:r>
        <w:t xml:space="preserve">6.2.4 The Coefficient on Mean Baseline TRL</w:t>
      </w:r>
    </w:p>
    <w:p>
      <w:pPr>
        <w:pStyle w:val="FirstParagraph"/>
        <w:spacing w:line="480" w:lineRule="auto"/>
      </w:pPr>
      <w:r>
        <w:t xml:space="preserve">On mean baseline TRL, the point estimate is -0.3133, with a standard error of 0.4028 and a p-value of 0.4366. The implied z-statistic is roughly -0.78, which knocks down no null at any conventional level. The sign is negative, the sign the long-running GAO finding foretells that programs with lower readiness at confirmation run likelier to rebaseline downstream</w:t>
      </w:r>
      <w:r>
        <w:t xml:space="preserve"> </w:t>
      </w:r>
      <w:hyperlink w:anchor="ref-4">
        <w:r>
          <w:rPr>
            <w:rStyle w:val="Hyperlink"/>
          </w:rPr>
          <w:t xml:space="preserve">[4]</w:t>
        </w:r>
      </w:hyperlink>
      <w:r>
        <w:t xml:space="preserve">. The size runs a shade larger in absolute terms than the size of the matching coefficient on the slip ratio fit in Paper 1, and the standard error runs a shade smaller against the point estimate, but the p-value still lands well above the conventional five-percent bar. The hazard ratio implied by the point estimate is roughly 0.73, meaning a one-level rise in mean baseline TRL walks with a roughly twenty-seven-percent cut in the instant rebaseline hazard, but the confidence band around that hazard ratio runs wide enough that the data sit square too with a hazard ratio above one. The directional read is telling but not statistically holdable on this panel.</w:t>
      </w:r>
    </w:p>
    <w:bookmarkEnd w:id="138"/>
    <w:bookmarkStart w:id="139" w:name="synthesis-of-the-paper-2-findings"/>
    <w:p>
      <w:pPr>
        <w:pStyle w:val="Heading3"/>
        <w:spacing w:line="480" w:lineRule="auto"/>
      </w:pPr>
      <w:r>
        <w:t xml:space="preserve">6.2.5 Synthesis of the Paper 2 Findings</w:t>
      </w:r>
    </w:p>
    <w:p>
      <w:pPr>
        <w:pStyle w:val="FirstParagraph"/>
        <w:spacing w:line="480" w:lineRule="auto"/>
      </w:pPr>
      <w:r>
        <w:t xml:space="preserve">The synthesis of Paper 2 is the opposite of the synthesis of Paper 1. On the same panel of thirty-two NASA major projects, with the same Newman-Girvan modularity variable computed on the same level-1 through level-3 WBS throw, the Cox proportional-hazards fit hands over no statistically apart tie between modularity and the instant hazard of first rebaseline. The point estimate on modularity runs the opposite direction from the sign H1 foretold, but the standard error runs wide enough that the data knock down no null in either direction. Neither of the two controls stands apart from zero, and the panel shows only sixteen events across three covariates, which falls short of the conventional power bar for the Cox model</w:t>
      </w:r>
      <w:r>
        <w:t xml:space="preserve"> </w:t>
      </w:r>
      <w:hyperlink w:anchor="ref-12">
        <w:r>
          <w:rPr>
            <w:rStyle w:val="Hyperlink"/>
          </w:rPr>
          <w:t xml:space="preserve">[12]</w:t>
        </w:r>
      </w:hyperlink>
      <w:r>
        <w:t xml:space="preserve">. The clean read is that H1 of Paper 2 draws no backing on this evidence and that the survival fit settles nothing about the modularity question on the present panel.</w:t>
      </w:r>
    </w:p>
    <w:bookmarkEnd w:id="139"/>
    <w:bookmarkEnd w:id="140"/>
    <w:bookmarkStart w:id="141" w:name="Xdb4a78fbd0792620f0679d50d880cdafef87efd"/>
    <w:p>
      <w:pPr>
        <w:pStyle w:val="Heading2"/>
        <w:spacing w:line="480" w:lineRule="auto"/>
      </w:pPr>
      <w:r>
        <w:t xml:space="preserve">6.3 Joint Interpretation of the Two Estimators</w:t>
      </w:r>
    </w:p>
    <w:p>
      <w:pPr>
        <w:pStyle w:val="FirstParagraph"/>
        <w:spacing w:line="480" w:lineRule="auto"/>
      </w:pPr>
      <w:r>
        <w:t xml:space="preserve">The two findings clash not on their own terms. Paper 1 pins the conditional mean of a continuous result at the close of the program, while Paper 2 pins the conditional hazard of a discrete event during the program. The two estimands answer different faces of the same underlying execution process and need line up in neither sign nor significance on a panel of thirty-two observations. The Paper 1 fit carries thirty-two observations of a continuous result and three explanatory variables, comfortably above the rule of thumb for steady ordinary-least-squares inference. The Paper 2 fit carries thirty-two observations of which only sixteen feed word about the event time, and three explanatory variables, which lands below the rule of thumb for steady Cox inference</w:t>
      </w:r>
      <w:r>
        <w:t xml:space="preserve"> </w:t>
      </w:r>
      <w:hyperlink w:anchor="ref-12">
        <w:r>
          <w:rPr>
            <w:rStyle w:val="Hyperlink"/>
          </w:rPr>
          <w:t xml:space="preserve">[12]</w:t>
        </w:r>
      </w:hyperlink>
      <w:r>
        <w:t xml:space="preserve">. The lopsidedness in pinning power maps straight onto the lopsidedness in the results. The Paper 1 modularity coefficient lands precisely gauged at -2.1028 with a standard error of 0.3578 and a p-value rounded to zero. The Paper 2 modularity coefficient lands imprecisely gauged at 6.6567 with a standard error of 11.7251 and a p-value of 0.5702. The two estimates sit square with a lone underlying truth in which modularity cuts realized slip at the close of the program and the present panel carries too few events to draw the matching survival tie.</w:t>
      </w:r>
    </w:p>
    <w:p>
      <w:pPr>
        <w:pStyle w:val="BodyText"/>
        <w:spacing w:line="480" w:lineRule="auto"/>
        <w:ind w:firstLine="720"/>
      </w:pPr>
      <w:r>
        <w:t xml:space="preserve">A second read holds too and lands here in the interest of doctoral honesty. The two estimates may mirror a real split between modularity’s bite on the size of slip and modularity’s bite on the timing of formal rebaseline. The latter is a procedural event leaning on the program office’s readiness to declare a breach, on the GAO reporting cycle, and on the politics of the moment, on top of the underlying execution performance of the program. It reads believable that the structural variable forecasts execution performance, as the Paper 1 coefficient flags, without forecasting the procedural event of a formal rebaseline, which is what the Paper 2 coefficient would have to catch. The present data settle nothing between this read and the sample-size read, and the dissertation makes no claim that they do.</w:t>
      </w:r>
    </w:p>
    <w:p>
      <w:pPr>
        <w:pStyle w:val="BodyText"/>
        <w:spacing w:line="480" w:lineRule="auto"/>
        <w:ind w:firstLine="720"/>
      </w:pPr>
      <w:r>
        <w:t xml:space="preserve">The unifying inference the chapter draws from the two estimators is that modularity holds early-read content for the size of realized schedule slip on this panel of NASA major projects [5, 6], with the partial tie standing apart from zero on statistical terms in the direction the structural theory of carving foretells [10, 11], while the matching survival relationship stands no apart from zero on this panel and wants either a larger event count or a sharpening of the modularity measure to be drawn, if it holds. The findings land as a pair because they got gauged as a pair, and the dissertation’s offering is the joint finding rather than either estimate weighed alone. The directional content of the offering rests on the Paper 1 coefficient. The cautionary content rests on the Paper 2 coefficient. Together the two set the empirical edge of the claim that WBS modularity forecasts schedule results in NASA major projects, conditional on the GAO Assessments of Major Projects panel as built here [5, 6, 7, 8] and on the operational definitions of modularity, contract value, and TRL laid out in the data sections of Papers 1 and 2.</w:t>
      </w:r>
    </w:p>
    <w:bookmarkEnd w:id="141"/>
    <w:bookmarkEnd w:id="142"/>
    <w:bookmarkStart w:id="150" w:name="X21322cb5e29cbf4eb576afddcad42f86ace4e0d"/>
    <w:p>
      <w:pPr>
        <w:pStyle w:val="Heading1"/>
        <w:spacing w:line="480" w:lineRule="auto"/>
      </w:pPr>
      <w:r>
        <w:t xml:space="preserve">Chapter 7. Discussion and Governance Implications</w:t>
      </w:r>
    </w:p>
    <w:bookmarkStart w:id="143" w:name="overview"/>
    <w:p>
      <w:pPr>
        <w:pStyle w:val="Heading2"/>
        <w:spacing w:line="480" w:lineRule="auto"/>
      </w:pPr>
      <w:r>
        <w:t xml:space="preserve">7.1 Overview</w:t>
      </w:r>
    </w:p>
    <w:p>
      <w:pPr>
        <w:pStyle w:val="FirstParagraph"/>
        <w:spacing w:line="480" w:lineRule="auto"/>
      </w:pPr>
      <w:r>
        <w:t xml:space="preserve">The empirical chapters of this dissertation put one narrow question. Does the topological modularity of a NASA major program’s work-breakdown structure, computed on the day the baseline is signed, hold forecasting content for the schedule result the program will one day report at delivery, The two empirical studies that touch the question hand back findings that, on a first read, sit in tension. The pooled cross-sectional study in Paper 1 hands back a negative, statistically apart tie between Newman-Girvan modularity and the realized slip ratio on a panel of thirty-two NASA major programs, with a coefficient of minus 2.10, a standard error of 0.36, and a p-value below 0.001</w:t>
      </w:r>
      <w:r>
        <w:t xml:space="preserve"> </w:t>
      </w:r>
      <w:hyperlink w:anchor="ref-10">
        <w:r>
          <w:rPr>
            <w:rStyle w:val="Hyperlink"/>
          </w:rPr>
          <w:t xml:space="preserve">[10]</w:t>
        </w:r>
      </w:hyperlink>
      <w:r>
        <w:t xml:space="preserve">. The Cox proportional-hazards study in Paper 2, run on the same n equal to thirty-two panel with sixteen seen rebaseline events, hands back a modularity coefficient of 6.6567 with a p-value of 0.5702, which knocks down no null on the time-to-rebaseline result</w:t>
      </w:r>
      <w:r>
        <w:t xml:space="preserve"> </w:t>
      </w:r>
      <w:hyperlink w:anchor="ref-12">
        <w:r>
          <w:rPr>
            <w:rStyle w:val="Hyperlink"/>
          </w:rPr>
          <w:t xml:space="preserve">[12]</w:t>
        </w:r>
      </w:hyperlink>
      <w:r>
        <w:t xml:space="preserve">. This chapter takes both findings at face value, reads them together, and works through what they jointly mean for NASA program management, for Jet Propulsion Laboratory decision-making, and for the wider oversight architecture inside which both sit. It then lists the limits of the design, and closes with a research agenda the present panel cannot itself settle.</w:t>
      </w:r>
    </w:p>
    <w:p>
      <w:pPr>
        <w:pStyle w:val="BodyText"/>
        <w:spacing w:line="480" w:lineRule="auto"/>
        <w:ind w:firstLine="720"/>
      </w:pPr>
      <w:r>
        <w:t xml:space="preserve">The discipline of the chapter is to hold small the substantive claim the dissertation will stand behind. Paper 1 pins that, on a soundly built panel, WBS modularity is an early read of piled slip at delivery. Paper 2 pins that, on the same panel, modularity is no clean forecaster of the timing of the first formal rebaseline event. The two findings together clash not; they sketch different faces of the same underlying schedule-performance signal. The piled slip ratio is a size squeezing the whole program history into one number. The hazard of first rebaseline is a timing leaning on the threshold mechanics of National Aeronautics and Space Administration NPR 7120.5F</w:t>
      </w:r>
      <w:r>
        <w:t xml:space="preserve"> </w:t>
      </w:r>
      <w:hyperlink w:anchor="ref-7">
        <w:r>
          <w:rPr>
            <w:rStyle w:val="Hyperlink"/>
          </w:rPr>
          <w:t xml:space="preserve">[7]</w:t>
        </w:r>
      </w:hyperlink>
      <w:r>
        <w:t xml:space="preserve"> </w:t>
      </w:r>
      <w:r>
        <w:t xml:space="preserve">and on the political economy of when a program office is ready to swallow a formal rebaseline rather than push on with informal margin. Modularity may rule the eventual size of slip while leaving the exact hazard timing to be set by institutional and budgetary factors the WBS shape does not catch.</w:t>
      </w:r>
    </w:p>
    <w:bookmarkEnd w:id="143"/>
    <w:bookmarkStart w:id="144"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The pooled finding from Paper 1 is the headline.</w:t>
      </w:r>
    </w:p>
    <w:p>
      <w:pPr>
        <w:pStyle w:val="BodyText"/>
        <w:spacing w:line="480" w:lineRule="auto"/>
        <w:ind w:firstLine="720"/>
      </w:pPr>
      <w:r>
        <w:t xml:space="preserve">A one-tenth rise in baseline WBS modularity walks with roughly a twenty-one percentage-point cut in the realized slip ratio, holding contract value and baseline hardware readiness fixed. That estimate carries economic content large enough to matter for program-management practice, and it outlasts the standard battery of controls the program-management writing has long pressed [5, 6, 9]. The finding hands a program manager and the oversight bodies that review the program manager’s baseline a numerical, forward-looking gauge computable on the day the Key Decision Point C package wins approval.</w:t>
      </w:r>
    </w:p>
    <w:p>
      <w:pPr>
        <w:pStyle w:val="BodyText"/>
        <w:spacing w:line="480" w:lineRule="auto"/>
        <w:ind w:firstLine="720"/>
      </w:pPr>
      <w:r>
        <w:t xml:space="preserve">Three operational reads follow.</w:t>
      </w:r>
    </w:p>
    <w:p>
      <w:pPr>
        <w:pStyle w:val="BodyText"/>
        <w:spacing w:line="480" w:lineRule="auto"/>
        <w:ind w:firstLine="720"/>
      </w:pPr>
      <w:r>
        <w:t xml:space="preserve">The first touches the build of the WBS itself at baseline. Standard NASA practice, set in NPR 7120.5F, casts the WBS mainly as a planning and earned-value-accounting artifact</w:t>
      </w:r>
      <w:r>
        <w:t xml:space="preserve"> </w:t>
      </w:r>
      <w:hyperlink w:anchor="ref-7">
        <w:r>
          <w:rPr>
            <w:rStyle w:val="Hyperlink"/>
          </w:rPr>
          <w:t xml:space="preserve">[7]</w:t>
        </w:r>
      </w:hyperlink>
      <w:r>
        <w:t xml:space="preserve">. The findings here argue that the WBS is also a gauged thing whose shape, once chosen, throws a gaugeable downstream bite on schedule performance. A program office called on, as a term of Key Decision Point C approval, to log not only the contents of the WBS but the Newman-Girvan modularity of its level-1 through level-3 throw, and to stand the chosen modularity against a portfolio benchmark, would be working a discipline the present NPR does not yet call for. The mechanics are ripe. The Newman-Girvan algorithm is a standard community-detection routine</w:t>
      </w:r>
      <w:r>
        <w:t xml:space="preserve"> </w:t>
      </w:r>
      <w:hyperlink w:anchor="ref-10">
        <w:r>
          <w:rPr>
            <w:rStyle w:val="Hyperlink"/>
          </w:rPr>
          <w:t xml:space="preserve">[10]</w:t>
        </w:r>
      </w:hyperlink>
      <w:r>
        <w:t xml:space="preserve">, the WBS dictionary is already a baseline deliverable, and the resulting modularity score is a lone scalar whose read wants no new institutional tongue.</w:t>
      </w:r>
    </w:p>
    <w:p>
      <w:pPr>
        <w:pStyle w:val="BodyText"/>
        <w:spacing w:line="480" w:lineRule="auto"/>
        <w:ind w:firstLine="720"/>
      </w:pPr>
      <w:r>
        <w:t xml:space="preserve">The second read touches the use of modularity as a portfolio-level early-warning gauge. For over a decade the Government Accountability Office has built its yearly portfolio reviews around two ruling correlates of cost swell, namely log baseline cost and the readiness level of the lowest-TRL critical element at confirmation [5, 6, 9]. The Paper 1 finding argues that a third covariate, WBS modularity, earns a place in that portfolio reporting. The argument is no argument that modularity shoves cost or TRL aside but that it adds one more, structurally split, forecasting axis. In the Paper 1 regression, log contract value and baseline TRL stand no apart from zero on their own once modularity holds fixed. That pattern reads with caution given the panel size, but it is telling that the structural trait of the carving holds a slice of the forecasting content the stock covariates have been credited with.</w:t>
      </w:r>
    </w:p>
    <w:p>
      <w:pPr>
        <w:pStyle w:val="BodyText"/>
        <w:spacing w:line="480" w:lineRule="auto"/>
        <w:ind w:firstLine="720"/>
      </w:pPr>
      <w:r>
        <w:t xml:space="preserve">The third read touches the program-office practice of rebaselining itself. The Paper 2 finding that modularity forecasts no hazard of first rebaseline is, in the institutional read, a fully sensible result. The call to formally rebaseline a NASA major program is ruled by the cost and schedule threshold mechanics of NPR 7120.5F and by the political reckoning of when a program office is ready to surface a breach rather than swallow it within informal margin</w:t>
      </w:r>
      <w:r>
        <w:t xml:space="preserve"> </w:t>
      </w:r>
      <w:hyperlink w:anchor="ref-7">
        <w:r>
          <w:rPr>
            <w:rStyle w:val="Hyperlink"/>
          </w:rPr>
          <w:t xml:space="preserve">[7]</w:t>
        </w:r>
      </w:hyperlink>
      <w:r>
        <w:t xml:space="preserve">. A program with a structurally poor WBS may pile up hefty slip without ever crossing the threshold that fires a formal rebaseline, above all where the program office holds other reserves to swallow the jolt. The other way, a program with a structurally strong WBS may still get shoved across the rebaseline threshold by an outside funding-instability shock that has nothing to do with the shape of its carving. So the hazard of rebaseline is the wrong result on which to hunt the modularity signal, and Paper 2 backs that read by handing back a wide and unsettled estimate on a sample whose power, at sixteen events for three covariates, sits at the conventional floor.</w:t>
      </w:r>
    </w:p>
    <w:p>
      <w:pPr>
        <w:pStyle w:val="BodyText"/>
        <w:spacing w:line="480" w:lineRule="auto"/>
        <w:ind w:firstLine="720"/>
      </w:pPr>
      <w:r>
        <w:t xml:space="preserve">The composite read, then, is that modularity is an early read of the size of slip the program will one day disclose, and that the rebaseline event itself is a poor stand-in for that size. NASA program management would gain from logging modularity alongside the stock cost and TRL covariates at Key Decision Point C, and from tracking realized slip ratio at delivery, rather than rebaseline timing, as the result against which the modularity claim gets checked.</w:t>
      </w:r>
    </w:p>
    <w:bookmarkEnd w:id="144"/>
    <w:bookmarkStart w:id="145"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The Jet Propulsion Laboratory is a standout case within the NASA portfolio. As a federally funded research and development center run by the California Institute of Technology under prime contract with NASA, JPL owns a portfolio of science missions whose baseline WBS structures get set inside a lone organizational culture rather than across the many prime contractors that people the wider GAO panel. That institutional bunching matters for the present findings two ways.</w:t>
      </w:r>
    </w:p>
    <w:p>
      <w:pPr>
        <w:pStyle w:val="BodyText"/>
        <w:spacing w:line="480" w:lineRule="auto"/>
        <w:ind w:firstLine="720"/>
      </w:pPr>
      <w:r>
        <w:t xml:space="preserve">First, the within-prime fixed-effects plan the prospectus puts forward, and that Paper 1 skips owing to panel-size limits, tells most inside an outfit like JPL where the same prime turns out many structurally split WBS carvings across contemporaneous programs. A JPL-internal replay of the Paper 1 fit, penned to JPL-led missions and working the within-JPL swing in WBS shape across the Mars science portfolio, the outer-planet portfolio, the astrophysics portfolio, and the Earth-science portfolio, would carry exactly the pinning content the wider NASA panel cannot bear. The institutional bunching that pens reach across NASA centers is, inside JPL, the very feature that lets a cleaner read on the partial bite of modularity.</w:t>
      </w:r>
    </w:p>
    <w:p>
      <w:pPr>
        <w:pStyle w:val="BodyText"/>
        <w:spacing w:line="480" w:lineRule="auto"/>
        <w:ind w:firstLine="720"/>
      </w:pPr>
      <w:r>
        <w:t xml:space="preserve">Second, the JPL program-management culture is oddly open to forward-looking, computable gauges of execution danger because the laboratory has long put money into cost-and-schedule modeling, the build of the NASA One NASA Cost Engineering database and twin cost-risk tooling among it. A modularity score is a natural add to that tooling. It computes on the WBS dictionary at the moment of confirmation, it wants no new instrumentation, and it hands over a lone scalar whose portfolio spread can be tracked across one Decadal Survey cycle after another. The recompete of the JPL prime contract makes the question of institutional measurement muscle timely. A laboratory that can credibly show, through its own portfolio data, that WBS modularity gets logged, benchmarked, and put to work in formulation-phase reviews holds a sound answer to the standing oversight worry that JPL programs slip more than they should.</w:t>
      </w:r>
    </w:p>
    <w:p>
      <w:pPr>
        <w:pStyle w:val="BodyText"/>
        <w:spacing w:line="480" w:lineRule="auto"/>
        <w:ind w:firstLine="720"/>
      </w:pPr>
      <w:r>
        <w:t xml:space="preserve">Third, the recent operational writing on small-satellite constellation scheduling has started to walk away from the old system-subsystem-module carving toward other groupings, a quiet grant that the shape of the carving matters for execution [1, 14]. The constellation architecture trade studies that have turned a JPL portfolio staple in the post-Decadal Survey setting are, in this sense, a natural workbench for the modularity claim [2, 4]. A JPL trade-study practice that logs the modularity of each candidate WBS carving as a routine output of the trade-space search, alongside the cost and risk scores already logged, would breed exactly the within-portfolio swing the partial-tie estimate in Paper 1 wants to be honed into a sound causal claim. The modular mechatronics work in robotic planetary exploration is one solid domain where the swell of candidate carvings is already breeding gaugeable swing in WBS shape that JPL program offices could work</w:t>
      </w:r>
      <w:r>
        <w:t xml:space="preserve"> </w:t>
      </w:r>
      <w:hyperlink w:anchor="ref-22">
        <w:r>
          <w:rPr>
            <w:rStyle w:val="Hyperlink"/>
          </w:rPr>
          <w:t xml:space="preserve">[22]</w:t>
        </w:r>
      </w:hyperlink>
      <w:r>
        <w:t xml:space="preserve">.</w:t>
      </w:r>
    </w:p>
    <w:p>
      <w:pPr>
        <w:pStyle w:val="BodyText"/>
        <w:spacing w:line="480" w:lineRule="auto"/>
        <w:ind w:firstLine="720"/>
      </w:pPr>
      <w:r>
        <w:t xml:space="preserve">A practical call follows. JPL should treat WBS modularity as a run portfolio variable. The laboratory should log the modularity score of each formulation-phase mission at the equivalent of Key Decision Point B and again at Key Decision Point C, should benchmark each score against the laboratory’s historical spread, and should call on any proposed carving whose modularity sits in the lower quartile of that spread to carry a logged justification the program office and the laboratory’s chief engineer are ready to stand behind. This is a low-cost institutional move. It wants no new authority, it shoves no standing oversight artifact aside, and it breeds a gaugeable trail the laboratory can hand its NASA program-office counterparts and the oversight community.</w:t>
      </w:r>
    </w:p>
    <w:bookmarkEnd w:id="145"/>
    <w:bookmarkStart w:id="146" w:name="X9691b29a911d0780786071a54cf2483710ba9f6"/>
    <w:p>
      <w:pPr>
        <w:pStyle w:val="Heading2"/>
        <w:spacing w:line="480" w:lineRule="auto"/>
      </w:pPr>
      <w:r>
        <w:t xml:space="preserve">7.4 Governance Implications Beyond NASA and JPL</w:t>
      </w:r>
    </w:p>
    <w:p>
      <w:pPr>
        <w:pStyle w:val="FirstParagraph"/>
        <w:spacing w:line="480" w:lineRule="auto"/>
      </w:pPr>
      <w:r>
        <w:t xml:space="preserve">The findings hold a narrow domain of validity. They get gauged on a panel of NASA major programs whose baseline and outcome schedules sit logged in the public GAO Major Project Assessment series [5, 6, 9]. The estimand is thus conditional on the NASA cost-and-schedule reporting regime and on the post-2000 cohort of programs that run under NPR 7120.5F</w:t>
      </w:r>
      <w:r>
        <w:t xml:space="preserve"> </w:t>
      </w:r>
      <w:hyperlink w:anchor="ref-7">
        <w:r>
          <w:rPr>
            <w:rStyle w:val="Hyperlink"/>
          </w:rPr>
          <w:t xml:space="preserve">[7]</w:t>
        </w:r>
      </w:hyperlink>
      <w:r>
        <w:t xml:space="preserve"> </w:t>
      </w:r>
      <w:r>
        <w:t xml:space="preserve">and the risk-classification scheme of NPR 8705.4</w:t>
      </w:r>
      <w:r>
        <w:t xml:space="preserve"> </w:t>
      </w:r>
      <w:hyperlink w:anchor="ref-8">
        <w:r>
          <w:rPr>
            <w:rStyle w:val="Hyperlink"/>
          </w:rPr>
          <w:t xml:space="preserve">[8]</w:t>
        </w:r>
      </w:hyperlink>
      <w:r>
        <w:t xml:space="preserve">. The prospectus is plain that the dissertation makes no reach claim to Department of War programs, intelligence-community programs, or commercial programs. The threats-to-validity register takes that conditional stance as a feature rather than a limit.</w:t>
      </w:r>
    </w:p>
    <w:p>
      <w:pPr>
        <w:pStyle w:val="BodyText"/>
        <w:spacing w:line="480" w:lineRule="auto"/>
        <w:ind w:firstLine="720"/>
      </w:pPr>
      <w:r>
        <w:t xml:space="preserve">Three governance reads all the same follow that travel past the panel itself.</w:t>
      </w:r>
    </w:p>
    <w:p>
      <w:pPr>
        <w:pStyle w:val="BodyText"/>
        <w:spacing w:line="480" w:lineRule="auto"/>
        <w:ind w:firstLine="720"/>
      </w:pPr>
      <w:r>
        <w:t xml:space="preserve">The first touches oversight reporting. The GAO Major Project Assessment series is the go-to public artifact through which the United States civil space program gets held to account for cost and schedule performance [5, 6, 9]. Should the modularity finding in Paper 1 outlast replication on a larger panel, then the natural place to log the modularity score is in the GAO assessment series itself. The score runs single-valued, the underlying algorithm sits published</w:t>
      </w:r>
      <w:r>
        <w:t xml:space="preserve"> </w:t>
      </w:r>
      <w:hyperlink w:anchor="ref-10">
        <w:r>
          <w:rPr>
            <w:rStyle w:val="Hyperlink"/>
          </w:rPr>
          <w:t xml:space="preserve">[10]</w:t>
        </w:r>
      </w:hyperlink>
      <w:r>
        <w:t xml:space="preserve">, and the reporting load runs modest. The oversight community would gain a third structural covariate to set beside the cost and TRL covariates the series has logged for years.</w:t>
      </w:r>
    </w:p>
    <w:p>
      <w:pPr>
        <w:pStyle w:val="BodyText"/>
        <w:spacing w:line="480" w:lineRule="auto"/>
        <w:ind w:firstLine="720"/>
      </w:pPr>
      <w:r>
        <w:t xml:space="preserve">The second touches the systems-engineering line that underwrites the whole modularity argument. The theoretical claim that modularity shields programs by penning rework inside tightly bound blocks and by letting parallel build across loosely bound interfaces is no first for this dissertation. It is the central proposition of Baldwin and Clark’s design-rules handling of modularity</w:t>
      </w:r>
      <w:r>
        <w:t xml:space="preserve"> </w:t>
      </w:r>
      <w:hyperlink w:anchor="ref-11">
        <w:r>
          <w:rPr>
            <w:rStyle w:val="Hyperlink"/>
          </w:rPr>
          <w:t xml:space="preserve">[11]</w:t>
        </w:r>
      </w:hyperlink>
      <w:r>
        <w:t xml:space="preserve"> </w:t>
      </w:r>
      <w:r>
        <w:t xml:space="preserve">and a long-standing tenet of the operational systems-engineering writing. The offering of the present work is empirical rather than theoretical. It tests whether the design-rules proposition, argued mainly on conceptual and case-study grounds, outlasts a sound counted test on the NASA panel. The Paper 1 finding backs the proposition; the Paper 2 finding neither backs nor sinks it on a different result. Governance bodies that have hung back from acting on the design-rules proposition because the empirical base ran thin now hold one sound point estimate against which to weigh their hanging back.</w:t>
      </w:r>
    </w:p>
    <w:p>
      <w:pPr>
        <w:pStyle w:val="BodyText"/>
        <w:spacing w:line="480" w:lineRule="auto"/>
        <w:ind w:firstLine="720"/>
      </w:pPr>
      <w:r>
        <w:t xml:space="preserve">The third touches the policy-born activities the architectural socio-technological upheaval writing has started to layer onto the WBS for analytic ends</w:t>
      </w:r>
      <w:r>
        <w:t xml:space="preserve"> </w:t>
      </w:r>
      <w:hyperlink w:anchor="ref-3">
        <w:r>
          <w:rPr>
            <w:rStyle w:val="Hyperlink"/>
          </w:rPr>
          <w:t xml:space="preserve">[3]</w:t>
        </w:r>
      </w:hyperlink>
      <w:r>
        <w:t xml:space="preserve">. The framing in that writing is normative and structural; the WBS gets handled as a surface onto which policy worries can be cast. The findings here argue that the same surface carries gaugeable execution content. A policy body that puts forward a new call, whether for cybersecurity, sustainability, or international cooperation, onto the WBS of a NASA major program is stepping straight into the shape of the carving. The modularity finding implies that those steps run not topologically neutral and that the policy body owes the program office an account of how the step is looked for to move the modularity score and, by extension, the realized slip ratio at delivery.</w:t>
      </w:r>
    </w:p>
    <w:bookmarkEnd w:id="146"/>
    <w:bookmarkStart w:id="147" w:name="limitations"/>
    <w:p>
      <w:pPr>
        <w:pStyle w:val="Heading2"/>
        <w:spacing w:line="480" w:lineRule="auto"/>
      </w:pPr>
      <w:r>
        <w:t xml:space="preserve">7.5 Limitations</w:t>
      </w:r>
    </w:p>
    <w:p>
      <w:pPr>
        <w:pStyle w:val="FirstParagraph"/>
        <w:spacing w:line="480" w:lineRule="auto"/>
      </w:pPr>
      <w:r>
        <w:t xml:space="preserve">Five limits bear on the read of the findings and on the strength of the policy reads drawn above.</w:t>
      </w:r>
    </w:p>
    <w:p>
      <w:pPr>
        <w:pStyle w:val="BodyText"/>
        <w:spacing w:line="480" w:lineRule="auto"/>
        <w:ind w:firstLine="720"/>
      </w:pPr>
      <w:r>
        <w:t xml:space="preserve">The first is panel size. The pooled regression in Paper 1 and the Cox model in Paper 2 both get gauged on the same n equal to thirty-two NASA major programs. That sample size sits at the lower edge of what the fitting estimators can reliably bear</w:t>
      </w:r>
      <w:r>
        <w:t xml:space="preserve"> </w:t>
      </w:r>
      <w:hyperlink w:anchor="ref-12">
        <w:r>
          <w:rPr>
            <w:rStyle w:val="Hyperlink"/>
          </w:rPr>
          <w:t xml:space="preserve">[12]</w:t>
        </w:r>
      </w:hyperlink>
      <w:r>
        <w:t xml:space="preserve">. The pooled fit carries degrees of freedom enough to draw a precisely gauged modularity coefficient, but it cannot bear a within-prime fixed-effects fit that would soak up time-invariant prime-specific factors. The Cox fit, with sixteen seen rebaseline events for three covariates, sits at the conventional rule-of-thumb floor of ten events per covariate and hands back standard errors correspondingly wide. The composite read is that the Paper 1 estimate should be read as a partial tie rather than a causal estimand, and that the Paper 2 null should be read as a power-limited failure to settle rather than as positive proof against the modularity proposition.</w:t>
      </w:r>
    </w:p>
    <w:p>
      <w:pPr>
        <w:pStyle w:val="BodyText"/>
        <w:spacing w:line="480" w:lineRule="auto"/>
        <w:ind w:firstLine="720"/>
      </w:pPr>
      <w:r>
        <w:t xml:space="preserve">The second is the build of the modularity metric itself. Newman-Girvan modularity computes on the undirected throw of the level-1 through level-3 WBS, and it turns sensitive to whether declared inter-element interfaces get folded in or left out. The robustness checks put forward in the prospectus, which swap mean second-level out-degree and mean depth for modularity, answer this sensitivity in principle, but the panel size pens the precision with which the substantive close can be called on to outlast on at least two of the three structural gauges. A finer-grained modularity measure, computed on working-level interface registers rather than top-level dictionaries, is one of the natural stretches named in Paper 2.</w:t>
      </w:r>
    </w:p>
    <w:p>
      <w:pPr>
        <w:pStyle w:val="BodyText"/>
        <w:spacing w:line="480" w:lineRule="auto"/>
        <w:ind w:firstLine="720"/>
      </w:pPr>
      <w:r>
        <w:t xml:space="preserve">The third is the entanglement of the WBS choice. The WBS is chosen, not handed. Program offices facing higher expected danger may on purpose pick more modular carvings to ride that danger. This would tilt the Paper 1 coefficient toward zero, that is, against catching the foretold effect. A finding for H1, as drawn in Paper 1, is thus cautious under this entanglement. A finding against H1 cannot split a true null from a strategic-carving confound. The Paper 2 null lands in exactly that hazy zone, and the chapter does not try to wring more interpretive content from it than the data bear.</w:t>
      </w:r>
    </w:p>
    <w:p>
      <w:pPr>
        <w:pStyle w:val="BodyText"/>
        <w:spacing w:line="480" w:lineRule="auto"/>
        <w:ind w:firstLine="720"/>
      </w:pPr>
      <w:r>
        <w:t xml:space="preserve">The fourth is sample-frame selection. The GAO Major Project Assessment series favors programs that live to baseline confirmation and that clear the major-project bar. The panel thus under-shows programs that failed earlier in the formulation phase and programs that fall below the bar. The post-2000 NPR 7120.5F cohort cut makes CADRe completion and GAO inclusion a near-universal look for in-scope programs</w:t>
      </w:r>
      <w:r>
        <w:t xml:space="preserve"> </w:t>
      </w:r>
      <w:hyperlink w:anchor="ref-7">
        <w:r>
          <w:rPr>
            <w:rStyle w:val="Hyperlink"/>
          </w:rPr>
          <w:t xml:space="preserve">[7]</w:t>
        </w:r>
      </w:hyperlink>
      <w:r>
        <w:t xml:space="preserve">, which part-pens the threat, but residual survivorship bias toward wrapped programs holds. The estimate conditions on having hit Key Decision Point C.</w:t>
      </w:r>
    </w:p>
    <w:p>
      <w:pPr>
        <w:pStyle w:val="BodyText"/>
        <w:spacing w:line="480" w:lineRule="auto"/>
        <w:ind w:firstLine="720"/>
      </w:pPr>
      <w:r>
        <w:t xml:space="preserve">The fifth is reach. The estimand is conditional on the NASA reporting regime and on the cultural and institutional setting of the United States civil space program. It does not stretch, on the present evidence, to Department of War major-defense-acquisition programs, to intelligence-community programs whose schedule data sits unpublished, or to commercial small-satellite constellation programs whose carving choices get ruled by a different mix of incentives</w:t>
      </w:r>
      <w:r>
        <w:t xml:space="preserve"> </w:t>
      </w:r>
      <w:hyperlink w:anchor="ref-4">
        <w:r>
          <w:rPr>
            <w:rStyle w:val="Hyperlink"/>
          </w:rPr>
          <w:t xml:space="preserve">[4]</w:t>
        </w:r>
      </w:hyperlink>
      <w:r>
        <w:t xml:space="preserve">. The threats register owns this limit. A future stretch using the Defense Acquisition Visibility Environment and the Selected Acquisition Report corpus is a follow-on study, no part of the present dissertation.</w:t>
      </w:r>
    </w:p>
    <w:bookmarkEnd w:id="147"/>
    <w:bookmarkStart w:id="148" w:name="future-research"/>
    <w:p>
      <w:pPr>
        <w:pStyle w:val="Heading2"/>
        <w:spacing w:line="480" w:lineRule="auto"/>
      </w:pPr>
      <w:r>
        <w:t xml:space="preserve">7.6 Future Research</w:t>
      </w:r>
    </w:p>
    <w:p>
      <w:pPr>
        <w:pStyle w:val="FirstParagraph"/>
        <w:spacing w:line="480" w:lineRule="auto"/>
      </w:pPr>
      <w:r>
        <w:t xml:space="preserve">The findings open four research lines the present panel cannot itself close.</w:t>
      </w:r>
    </w:p>
    <w:p>
      <w:pPr>
        <w:pStyle w:val="BodyText"/>
        <w:spacing w:line="480" w:lineRule="auto"/>
        <w:ind w:firstLine="720"/>
      </w:pPr>
      <w:r>
        <w:t xml:space="preserve">The first is replication on a larger panel. The natural targets are the Department of War major-defense-acquisition programs logged in the Selected Acquisition Reports and the European Space Agency cost-at-completion archive. Both populations hold WBS carvings that can be read into directed acyclic graphs, both populations log baseline and outcome schedules, and both populations run large enough to bear the within-organization fixed-effects plan the NASA panel cannot. A replay of the Paper 1 fit on those panels would turn the partial tie logged here into a causal estimand or sink it.</w:t>
      </w:r>
    </w:p>
    <w:p>
      <w:pPr>
        <w:pStyle w:val="BodyText"/>
        <w:spacing w:line="480" w:lineRule="auto"/>
        <w:ind w:firstLine="720"/>
      </w:pPr>
      <w:r>
        <w:t xml:space="preserve">The second is a honing of the modularity metric. The Newman-Girvan algorithm is one of several community-detection routines, and the top-level WBS dictionary is one of several surfaces on which the modularity score can compute. A working-level modularity, computed on the interface register the program office keeps between subsystem teams, would carry more granular word about the actual coupling the systems-engineering line argues is the working mechanism</w:t>
      </w:r>
      <w:r>
        <w:t xml:space="preserve"> </w:t>
      </w:r>
      <w:hyperlink w:anchor="ref-11">
        <w:r>
          <w:rPr>
            <w:rStyle w:val="Hyperlink"/>
          </w:rPr>
          <w:t xml:space="preserve">[11]</w:t>
        </w:r>
      </w:hyperlink>
      <w:r>
        <w:t xml:space="preserve">. Recent infrastructure work on modular and scalable data transforms in the space-domain-awareness community hands over one solid worked case of a working-level interface register from which a honed modularity score could compute</w:t>
      </w:r>
      <w:r>
        <w:t xml:space="preserve"> </w:t>
      </w:r>
      <w:hyperlink w:anchor="ref-18">
        <w:r>
          <w:rPr>
            <w:rStyle w:val="Hyperlink"/>
          </w:rPr>
          <w:t xml:space="preserve">[18]</w:t>
        </w:r>
      </w:hyperlink>
      <w:r>
        <w:t xml:space="preserve">. The infrastructure-design writing on modular planetary-exploration mechatronics hands over another</w:t>
      </w:r>
      <w:r>
        <w:t xml:space="preserve"> </w:t>
      </w:r>
      <w:hyperlink w:anchor="ref-22">
        <w:r>
          <w:rPr>
            <w:rStyle w:val="Hyperlink"/>
          </w:rPr>
          <w:t xml:space="preserve">[22]</w:t>
        </w:r>
      </w:hyperlink>
      <w:r>
        <w:t xml:space="preserve">. The build of a working-level modularity tool is a natural follow-on dissertation in its own right.</w:t>
      </w:r>
    </w:p>
    <w:p>
      <w:pPr>
        <w:pStyle w:val="BodyText"/>
        <w:spacing w:line="480" w:lineRule="auto"/>
        <w:ind w:firstLine="720"/>
      </w:pPr>
      <w:r>
        <w:t xml:space="preserve">The third is mechanism. Paper 1 logs a partial tie without splitting out the mechanism through which modularity shields programs from slip. Three candidate mechanisms sit theoretically apart. The first is the rework-localization mechanism, in which modular carvings pen the cascade effect of a lone subsystem jolt to within-block teams. The second is the parallel-build mechanism, in which modular carvings let simultaneous maturing of loosely bound subsystems and shorten the critical path. The third is the interface-renegotiation mechanism, in which modular carvings cut the count of inter-block seams across which schedule-eating renegotiations have to run. A future study that sees the rework, parallel-build, and interface-renegotiation events straight, perhaps through program-office milestone records or through cognitive-systems-engineering instrumentation of program review meetings</w:t>
      </w:r>
      <w:r>
        <w:t xml:space="preserve"> </w:t>
      </w:r>
      <w:hyperlink w:anchor="ref-13">
        <w:r>
          <w:rPr>
            <w:rStyle w:val="Hyperlink"/>
          </w:rPr>
          <w:t xml:space="preserve">[13]</w:t>
        </w:r>
      </w:hyperlink>
      <w:r>
        <w:t xml:space="preserve">, could split the headline coefficient into mechanism-specific slices.</w:t>
      </w:r>
    </w:p>
    <w:p>
      <w:pPr>
        <w:pStyle w:val="BodyText"/>
        <w:spacing w:line="480" w:lineRule="auto"/>
        <w:ind w:firstLine="720"/>
      </w:pPr>
      <w:r>
        <w:t xml:space="preserve">The fourth is the play of modularity against technology readiness. The systems-engineering argument in its sharper form foretells that modularity shields programs mainly when the readiness of the lowest-TRL critical element runs low, since that is the setup under which the rework modularity is meant to pen runs likeliest to happen</w:t>
      </w:r>
      <w:r>
        <w:t xml:space="preserve"> </w:t>
      </w:r>
      <w:hyperlink w:anchor="ref-6">
        <w:r>
          <w:rPr>
            <w:rStyle w:val="Hyperlink"/>
          </w:rPr>
          <w:t xml:space="preserve">[6]</w:t>
        </w:r>
      </w:hyperlink>
      <w:r>
        <w:t xml:space="preserve">. The pooled regression in Paper 1 tests no such play, and the Cox fit in Paper 2 runs too underpowered to test it. A larger-panel replay that does test the play would hone the headline finding into a conditional claim. The conditional claim, if it outlasts, would carry stronger policy content than the unconditional point estimate the present dissertation logs.</w:t>
      </w:r>
    </w:p>
    <w:p>
      <w:pPr>
        <w:pStyle w:val="BodyText"/>
        <w:spacing w:line="480" w:lineRule="auto"/>
        <w:ind w:firstLine="720"/>
      </w:pPr>
      <w:r>
        <w:t xml:space="preserve">A fifth line, more speculative, touches the spread of modularity effects across constellation architectures. Constellation programs face carving choices whose effects travel across many near-twin bus builds, and the operational small-satellite writing has started to take carving as an out-and-out design choice [1, 2, 4, 14]. A constellation-level stretch of the modularity frame would test whether the shielding tie drawn on the NASA panel of single missions outlasts in a constellation setting where the same WBS shape gets copied across tens or hundreds of buses. The swelling infrastructure that props up cataloguing and operations in the low-Earth-orbit regime hands over a candidate empirical surface for that stretch [15, 16, 17].</w:t>
      </w:r>
    </w:p>
    <w:bookmarkEnd w:id="148"/>
    <w:bookmarkStart w:id="149" w:name="closing"/>
    <w:p>
      <w:pPr>
        <w:pStyle w:val="Heading2"/>
        <w:spacing w:line="480" w:lineRule="auto"/>
      </w:pPr>
      <w:r>
        <w:t xml:space="preserve">7.7 Closing</w:t>
      </w:r>
    </w:p>
    <w:p>
      <w:pPr>
        <w:pStyle w:val="FirstParagraph"/>
        <w:spacing w:line="480" w:lineRule="auto"/>
      </w:pPr>
      <w:r>
        <w:t xml:space="preserve">The dissertation set out to put one question. It was whether the topological modularity of a NASA major program’s work-breakdown structure, computed on the day the baseline is signed, forecasts realized schedule slip at delivery. The pooled finding in Paper 1 backs the proposition on a panel of thirty-two NASA major programs, with a coefficient large enough to matter for program-management practice and a standard error small enough to knock down the null at the conventional five-percent level [10, 11]. The Cox finding in Paper 2 settles nothing about the related but split question of whether modularity forecasts the timing of the first formal rebaseline event, and the chapter has argued that rebaseline timing is the wrong result on which to hunt the modularity signal because the threshold mechanics of NPR 7120.5F set the timing through institutional channels the WBS shape does not catch [7, 12]. The composite read is that modularity is an early read of piled slip size, that NASA program management should treat it accordingly, that JPL sits uniquely placed to run it inside its own portfolio, and that the wider oversight community should weigh adding modularity to the GAO portfolio-reporting standard once the replication agenda sketched above has been carried through. The findings run conditional and the panel runs small, but the offering is a lone sound empirical point. The work-breakdown structure is no mere planning artifact. It is a gauged thing whose shape holds forecasting content for the schedule result the program will report at delivery, and the field already holds, but has yet to work, the tool with which that content can be read.</w:t>
      </w:r>
    </w:p>
    <w:bookmarkEnd w:id="149"/>
    <w:bookmarkEnd w:id="150"/>
    <w:bookmarkStart w:id="198" w:name="chapter-8.-conclusion"/>
    <w:p>
      <w:pPr>
        <w:pStyle w:val="Heading1"/>
        <w:spacing w:line="480" w:lineRule="auto"/>
      </w:pPr>
      <w:r>
        <w:t xml:space="preserve">Chapter 8. Conclusion</w:t>
      </w:r>
    </w:p>
    <w:bookmarkStart w:id="151" w:name="the-argument-in-one-movement"/>
    <w:p>
      <w:pPr>
        <w:pStyle w:val="Heading2"/>
        <w:spacing w:line="480" w:lineRule="auto"/>
      </w:pPr>
      <w:r>
        <w:t xml:space="preserve">8.1 The Argument in One Movement</w:t>
      </w:r>
    </w:p>
    <w:p>
      <w:pPr>
        <w:pStyle w:val="FirstParagraph"/>
        <w:spacing w:line="480" w:lineRule="auto"/>
      </w:pPr>
      <w:r>
        <w:t xml:space="preserve">This dissertation has put forward and tested one claim: that the topological modularity of a space program’s work-breakdown structure, gauged at the moment the baseline is signed, holds seeable forecasting content for the schedule the program will report at delivery. The driving premise is that the field of space program execution management already holds, but has yet to work, an early read of execution danger computable on the day a Key Decision Point C package wins approval. The stock explanatory variables the program-management writing reaches for, namely hardware readiness, requirements churn, and funding instability, run either trailing or out of view at baseline confirmation, and they leave program managers and oversight bodies without a sound, forward-looking gauge of the slip the program will one day realize [5, 9]. The work-breakdown structure, by contrast, is a structured artifact whose graph traits fall out of the baseline paperwork itself, and the central wager of this dissertation has been that those traits are no mere artifacts of design taste but gauged quantities that condition the schedule result.</w:t>
      </w:r>
    </w:p>
    <w:p>
      <w:pPr>
        <w:pStyle w:val="BodyText"/>
        <w:spacing w:line="480" w:lineRule="auto"/>
        <w:ind w:firstLine="720"/>
      </w:pPr>
      <w:r>
        <w:t xml:space="preserve">The argument runs in three movements. The first pins that the WBS reads best as a graph rather than as an outline. A program carves its scope into a hierarchy of deliverables, and the parent-child edges of that hierarchy, filled out by the declared inter-element interfaces the baseline logs, admit an undirected throw on which Newman-Girvan modularity holds well set [10, 11]. Read this way, the WBS turns into a thing of measurement rather than a paper of convenience. The second movement argues, on systems-engineering grounds, that high modularity should shield. A WBS whose blocks bind tightly within and loosely between admits parallel build, pens rework when a lone subsystem runs into trouble, and blocks the cascade of any lone interface renegotiation from swallowing the clusters around it</w:t>
      </w:r>
      <w:r>
        <w:t xml:space="preserve"> </w:t>
      </w:r>
      <w:hyperlink w:anchor="ref-11">
        <w:r>
          <w:rPr>
            <w:rStyle w:val="Hyperlink"/>
          </w:rPr>
          <w:t xml:space="preserve">[11]</w:t>
        </w:r>
      </w:hyperlink>
      <w:r>
        <w:t xml:space="preserve">. Low modularity, by contrast, smears coupling across the graph so delay in any element travels wide through the program network. The third movement is empirical. It tests the implied forecast on a panel of NASA major programs whose baselines and outcomes sit logged in the Government Accountability Office yearly portfolio reviews [5, 6].</w:t>
      </w:r>
    </w:p>
    <w:p>
      <w:pPr>
        <w:pStyle w:val="BodyText"/>
        <w:spacing w:line="480" w:lineRule="auto"/>
        <w:ind w:firstLine="720"/>
      </w:pPr>
      <w:r>
        <w:t xml:space="preserve">The empirical test got built on purpose in two matching registers.</w:t>
      </w:r>
    </w:p>
    <w:p>
      <w:pPr>
        <w:pStyle w:val="BodyText"/>
        <w:spacing w:line="480" w:lineRule="auto"/>
        <w:ind w:firstLine="720"/>
      </w:pPr>
      <w:r>
        <w:t xml:space="preserve">Paper 1 gauged a pooled ordinary-least-squares regression of the realized slip ratio on baseline modularity, conditioning on the natural logarithm of life-cycle contract value and on the readiness level of the lowest-TRL critical element at baseline. Paper 2 gauged a Cox proportional-hazards model of time from authority-to-proceed to first formal rebaseline, conditioning on the same two control variables and using the same panel of thirty-two NASA major projects. The two estimators put related but split questions. The regression asks whether modularity walks with the piled size of slip realized between baseline and delivery. The hazard model asks whether modularity walks with the timing of the first formal breach. Read together, the two papers got built to triangulate the same underlying claim across two outcome builds and two estimator families.</w:t>
      </w:r>
    </w:p>
    <w:bookmarkEnd w:id="151"/>
    <w:bookmarkStart w:id="152" w:name="Xf37f30553b7020bdf586d726b38059d1f5cf44a"/>
    <w:p>
      <w:pPr>
        <w:pStyle w:val="Heading2"/>
        <w:spacing w:line="480" w:lineRule="auto"/>
      </w:pPr>
      <w:r>
        <w:t xml:space="preserve">8.2 What the Evidence Says, and What It Does Not</w:t>
      </w:r>
    </w:p>
    <w:p>
      <w:pPr>
        <w:pStyle w:val="FirstParagraph"/>
        <w:spacing w:line="480" w:lineRule="auto"/>
      </w:pPr>
      <w:r>
        <w:t xml:space="preserve">The headline empirical result of Paper 1 is the knock-down of the null hypothesis of no association between WBS modularity and realized schedule slip. On thirty-two NASA major-program observations the fitted model draws an adjusted R-squared of 0.55 with a model p-value below 0.001, and the coefficient on Newman-Girvan modularity is minus 2.10 with a standard error of 0.36. The point estimate runs large in size, signs in the direction the systems-engineering argument foretells, and stands apart from zero on statistical terms at the conventional five-percent level. The economic read is that a one-tenth rise in modularity, moving for instance from 0.40 to 0.50 on the Newman-Girvan scale, walks with roughly a 21-percentage-point cut in realized slip ratio, holding contract value and baseline TRL fixed. The two control variables stand no apart from zero on their own in this sample, itself a finding worth flagging. Log contract value and baseline TRL have been the ruling correlates of cost swell in the GAO portfolio reviews for over a decade [4, 9], and the fact that modularity rules them in this fit argues that the shape of the carving holds word the two stock controls do not swallow.</w:t>
      </w:r>
    </w:p>
    <w:p>
      <w:pPr>
        <w:pStyle w:val="BodyText"/>
        <w:spacing w:line="480" w:lineRule="auto"/>
        <w:ind w:firstLine="720"/>
      </w:pPr>
      <w:r>
        <w:t xml:space="preserve">The headline result of Paper 2 runs more cautious, and the chapter logs it in those terms. On the same thirty-two-project panel with sixteen seen rebaseline events, the Cox proportional-hazards model hands back a coefficient on WBS modularity of 6.6567 with a p-value of 0.5702, and neither of the two control variables, log baseline cost and mean baseline TRL, stands apart from zero either</w:t>
      </w:r>
      <w:r>
        <w:t xml:space="preserve"> </w:t>
      </w:r>
      <w:hyperlink w:anchor="ref-12">
        <w:r>
          <w:rPr>
            <w:rStyle w:val="Hyperlink"/>
          </w:rPr>
          <w:t xml:space="preserve">[12]</w:t>
        </w:r>
      </w:hyperlink>
      <w:r>
        <w:t xml:space="preserve">. The point estimate on modularity is positive and large in size, the opposite sign from the one the shielding-modularity argument foretells, and the matching hazard ratio runs above one. The honest read is that the data settle the timing question neither way. The panel of sixteen events across three covariates barely clears the rule of thumb of ten events per covariate, the modularity measure raised from published WBS dictionaries is a coarse tool that may miss working-level coupling, and the GAO portfolio is itself picked on visibility, which squeezes the swing in both modularity and breach timing.</w:t>
      </w:r>
    </w:p>
    <w:p>
      <w:pPr>
        <w:pStyle w:val="BodyText"/>
        <w:spacing w:line="480" w:lineRule="auto"/>
        <w:ind w:firstLine="720"/>
      </w:pPr>
      <w:r>
        <w:t xml:space="preserve">The two findings sit in no tension once read with care. Paper 1 pins a cross-sectional tie between a topological trait of the baseline and the piled slip realized at delivery, and on that result the panel hands over a clean knock-down of the null in the foretold direction. Paper 2 pins the instant hazard of the first formal threshold breach, and on that result the panel runs underpowered to split modularity from a flat null, which squares with the slim event count rather than with a true flip of sign. The dissertation thus closes, with calibrated confidence, that WBS modularity holds forecasting content for the size of realized schedule slip on the NASA major-program panel, and that the further question of whether that forecasting content also shows in the timing of the first formal breach waits on a larger panel and a finer measurement tool.</w:t>
      </w:r>
    </w:p>
    <w:bookmarkEnd w:id="152"/>
    <w:bookmarkStart w:id="153" w:name="contribution-to-knowledge"/>
    <w:p>
      <w:pPr>
        <w:pStyle w:val="Heading2"/>
        <w:spacing w:line="480" w:lineRule="auto"/>
      </w:pPr>
      <w:r>
        <w:t xml:space="preserve">8.3 Contribution to Knowledge</w:t>
      </w:r>
    </w:p>
    <w:p>
      <w:pPr>
        <w:pStyle w:val="FirstParagraph"/>
        <w:spacing w:line="480" w:lineRule="auto"/>
      </w:pPr>
      <w:r>
        <w:t xml:space="preserve">The dissertation’s offering to knowledge reads best put narrow, since the field has piled loose claims about carving enough that a tightly penned offering serves better than an expansive one. Four pieces get put forward for the writing.</w:t>
      </w:r>
    </w:p>
    <w:p>
      <w:pPr>
        <w:pStyle w:val="BodyText"/>
        <w:spacing w:line="480" w:lineRule="auto"/>
        <w:ind w:firstLine="720"/>
      </w:pPr>
      <w:r>
        <w:t xml:space="preserve">The first offering is conceptual. The dissertation recasts the WBS from a planning artifact into a gauged thing. The program-management writing has long handled the WBS as a paper prescribing how to arrange work, and the standard texts that voice that prescription theorize no WBS as a structural forecaster of results. By throwing the WBS onto an undirected graph and computing Newman-Girvan modularity on the throw, the dissertation ports a measurement rig out of network science</w:t>
      </w:r>
      <w:r>
        <w:t xml:space="preserve"> </w:t>
      </w:r>
      <w:hyperlink w:anchor="ref-10">
        <w:r>
          <w:rPr>
            <w:rStyle w:val="Hyperlink"/>
          </w:rPr>
          <w:t xml:space="preserve">[10]</w:t>
        </w:r>
      </w:hyperlink>
      <w:r>
        <w:t xml:space="preserve"> </w:t>
      </w:r>
      <w:r>
        <w:t xml:space="preserve">into a domain that had not before handled its own planning artifacts as things of measurement. The recast runs small in conceptual cost and large in analytic payoff, since once the WBS is a gauged thing it can enter regressions, hazard models, and fits fixed in advance on the same terms as any other covariate.</w:t>
      </w:r>
    </w:p>
    <w:p>
      <w:pPr>
        <w:pStyle w:val="BodyText"/>
        <w:spacing w:line="480" w:lineRule="auto"/>
        <w:ind w:firstLine="720"/>
      </w:pPr>
      <w:r>
        <w:t xml:space="preserve">The second offering is empirical. The dissertation turns out, so far as the candidate can tell, the first published estimate of the partial tie between WBS modularity and realized schedule slip on a sound panel of NASA major programs, with an estimator fixed in advance and with sources that run public and reproducible [5, 6]. The estimate signs in the direction the systems-engineering line foretells, runs large enough to matter for practice, and outlasts the folding-in of the two stock controls. The estimate is a partial tie rather than a causal effect, and the dissertation minds to tag it that way, but the turning-out of the estimate itself is an offering because the field held none before.</w:t>
      </w:r>
    </w:p>
    <w:p>
      <w:pPr>
        <w:pStyle w:val="BodyText"/>
        <w:spacing w:line="480" w:lineRule="auto"/>
        <w:ind w:firstLine="720"/>
      </w:pPr>
      <w:r>
        <w:t xml:space="preserve">The third offering is methodological. The dissertation shows that two matching estimator families, namely pooled ordinary-least-squares regression on the piled slip ratio and Cox proportional-hazards estimation on time to first rebaseline</w:t>
      </w:r>
      <w:r>
        <w:t xml:space="preserve"> </w:t>
      </w:r>
      <w:hyperlink w:anchor="ref-12">
        <w:r>
          <w:rPr>
            <w:rStyle w:val="Hyperlink"/>
          </w:rPr>
          <w:t xml:space="preserve">[12]</w:t>
        </w:r>
      </w:hyperlink>
      <w:r>
        <w:t xml:space="preserve">, can run in concert to triangulate the same underlying claim across two outcome builds. The two papers get logged with their findings intact, the underpowered hazard estimate among them, since the joint logging is itself part of the methodological argument. A field that takes up only the estimator that hands over significance tosses word about its own evidentiary edges. So the dissertation models a publication norm in which an underpowered result gets logged alongside a powered one, and the joint pattern gets read for what it actually says.</w:t>
      </w:r>
    </w:p>
    <w:p>
      <w:pPr>
        <w:pStyle w:val="BodyText"/>
        <w:spacing w:line="480" w:lineRule="auto"/>
        <w:ind w:firstLine="720"/>
      </w:pPr>
      <w:r>
        <w:t xml:space="preserve">The fourth offering is practical. The estimate names an early read of execution danger computable on the day the baseline is signed and wanting no new instrumentation, no new collection load, and no change to standing NASA reporting practice under NPR 7120.5</w:t>
      </w:r>
      <w:r>
        <w:t xml:space="preserve"> </w:t>
      </w:r>
      <w:hyperlink w:anchor="ref-7">
        <w:r>
          <w:rPr>
            <w:rStyle w:val="Hyperlink"/>
          </w:rPr>
          <w:t xml:space="preserve">[7]</w:t>
        </w:r>
      </w:hyperlink>
      <w:r>
        <w:t xml:space="preserve">. A program office that wishes to compute the Newman-Girvan modularity of its baseline WBS can do so from papers the program is already called on to turn out, and an oversight body that wishes to fold WBS modularity into its own review can do so from the same papers. So the wall to practical uptake is the conceptual wall of handling the WBS as a gauged thing, and the dissertation has lowered that wall. The applied read is no read that program offices should mechanically max out modularity, since the entanglement threat owned in the prospectus warns that program offices facing higher expected danger may on purpose pick more modular carvings to ride that danger, and the resulting tilt would thin the H1 coefficient toward zero. The applied read is rather that WBS shape is an actionable lever whose bite on schedule is now gaugeable, and that program management should treat it accordingly.</w:t>
      </w:r>
    </w:p>
    <w:bookmarkEnd w:id="153"/>
    <w:bookmarkStart w:id="154" w:name="boundaries-of-the-claim"/>
    <w:p>
      <w:pPr>
        <w:pStyle w:val="Heading2"/>
        <w:spacing w:line="480" w:lineRule="auto"/>
      </w:pPr>
      <w:r>
        <w:t xml:space="preserve">8.4 Boundaries of the Claim</w:t>
      </w:r>
    </w:p>
    <w:p>
      <w:pPr>
        <w:pStyle w:val="FirstParagraph"/>
        <w:spacing w:line="480" w:lineRule="auto"/>
      </w:pPr>
      <w:r>
        <w:t xml:space="preserve">The dissertation runs penned in five ways future work must honor. Selection on observables holds as a residual threat, since the panel runs too small to bear the within-prime fixed-effects fit that would soak up time-invariant prime-specific factors, so unseen program tangle cannot be ruled out. Measurement of modularity turns sensitive to whether declared inter-element interfaces get folded in or left out, and a robustness check that moves the interface set is owed in any follow-on study. Sample-frame bias arises because the GAO Major Project Assessment series favors programs that live to baseline confirmation, so the panel under-shows programs that failed in formulation. Entanglement of WBS choice tilts the H1 coefficient toward zero under the strategic-carving read, so the finding for H1 runs cautious and a finding against H1 cannot split a true null from a strategic-carving confound. Reach past the NASA reporting regime draws no claim, and the natural stretch to the Department of War Major Defense Acquisition Programs and to the European Space Agency cost-at-completion datasets gets flagged as the next step rather than as part of the present offering.</w:t>
      </w:r>
    </w:p>
    <w:bookmarkEnd w:id="154"/>
    <w:bookmarkStart w:id="155" w:name="closing-statement"/>
    <w:p>
      <w:pPr>
        <w:pStyle w:val="Heading2"/>
        <w:spacing w:line="480" w:lineRule="auto"/>
      </w:pPr>
      <w:r>
        <w:t xml:space="preserve">8.5 Closing Statement</w:t>
      </w:r>
    </w:p>
    <w:p>
      <w:pPr>
        <w:pStyle w:val="FirstParagraph"/>
        <w:spacing w:line="480" w:lineRule="auto"/>
      </w:pPr>
      <w:r>
        <w:t xml:space="preserve">The field of space program execution management holds a long memory of slip and a short list of early reads. This dissertation adds one to the list. The work-breakdown structure that every program already turns out at baseline confirmation, handled not as a planning outline but as a graph and gauged with the modularity statistic network science has long since settled [10, 11], holds forecasting content for the schedule the program will one day report at delivery. The evidence is one knocked-down null, one underpowered hazard, and one panel of thirty-two NASA major programs raised from public sources [5, 6]. The claim runs single, signed, and disprovable, and it got tested in the manner the prospectus fixed in advance. The upshot is that program managers and oversight bodies now hold, on the day the baseline is signed, a gaugeable read they did not hold before, and the field now holds an empirical anchor for the long-pressed hunch that the shape of carving matters for execution. The further work of widening the panel, honing the measurement, and settling the timing question runs open. The first step of handling the WBS as a gauged thing is taken.</w:t>
      </w:r>
    </w:p>
    <w:bookmarkEnd w:id="155"/>
    <w:bookmarkStart w:id="197" w:name="references"/>
    <w:p>
      <w:pPr>
        <w:pStyle w:val="Heading2"/>
        <w:spacing w:line="480" w:lineRule="auto"/>
      </w:pPr>
      <w:r>
        <w:t xml:space="preserve">References</w:t>
      </w:r>
    </w:p>
    <w:p>
      <w:pPr>
        <w:pStyle w:val="FirstParagraph"/>
        <w:spacing w:line="480" w:lineRule="auto"/>
      </w:pPr>
      <w:bookmarkStart w:id="156" w:name="ref-1"/>
      <w:bookmarkEnd w:id="156"/>
      <w:r>
        <w:t xml:space="preserve">1. K. Lee, D. Kim, and S. Lee,</w:t>
      </w:r>
      <w:r>
        <w:t xml:space="preserve"> </w:t>
      </w:r>
      <w:r>
        <w:t xml:space="preserve">“Conceptual Design of Mission Scheduling Software for Small Satellite Constellation,”</w:t>
      </w:r>
      <w:r>
        <w:t xml:space="preserve"> </w:t>
      </w:r>
      <w:r>
        <w:t xml:space="preserve">in Proc. Advanced Maui Optical and Space Surveillance Technologies (AMOS) Conference, 2024. doi:</w:t>
      </w:r>
      <w:r>
        <w:t xml:space="preserve"> </w:t>
      </w:r>
      <w:hyperlink r:id="rId157">
        <w:r>
          <w:rPr>
            <w:rStyle w:val="Hyperlink"/>
          </w:rPr>
          <w:t xml:space="preserve">10.64861/WVJD1391</w:t>
        </w:r>
      </w:hyperlink>
    </w:p>
    <w:p>
      <w:pPr>
        <w:pStyle w:val="BodyText"/>
        <w:spacing w:line="480" w:lineRule="auto"/>
        <w:ind w:firstLine="720"/>
      </w:pPr>
      <w:bookmarkStart w:id="158" w:name="ref-2"/>
      <w:bookmarkEnd w:id="158"/>
      <w:r>
        <w:t xml:space="preserve">2. M. Kirshner and E. Pearce,</w:t>
      </w:r>
      <w:r>
        <w:t xml:space="preserve"> </w:t>
      </w:r>
      <w:r>
        <w:t xml:space="preserve">“Developing Optical Sensor Constellation Architectures for Space Domain Awareness through Model-Based Trade Studies,”</w:t>
      </w:r>
      <w:r>
        <w:t xml:space="preserve"> </w:t>
      </w:r>
      <w:r>
        <w:t xml:space="preserve">in Proc. Advanced Maui Optical and Space Surveillance Technologies (AMOS) Conference, 2024. doi:</w:t>
      </w:r>
      <w:r>
        <w:t xml:space="preserve"> </w:t>
      </w:r>
      <w:hyperlink r:id="rId159">
        <w:r>
          <w:rPr>
            <w:rStyle w:val="Hyperlink"/>
          </w:rPr>
          <w:t xml:space="preserve">10.64861/FHSX9637</w:t>
        </w:r>
      </w:hyperlink>
    </w:p>
    <w:p>
      <w:pPr>
        <w:pStyle w:val="BodyText"/>
        <w:spacing w:line="480" w:lineRule="auto"/>
        <w:ind w:firstLine="720"/>
      </w:pPr>
      <w:bookmarkStart w:id="160" w:name="ref-3"/>
      <w:bookmarkEnd w:id="160"/>
      <w:r>
        <w:t xml:space="preserve">3. Space Economy Papers source SD03,</w:t>
      </w:r>
      <w:r>
        <w:t xml:space="preserve"> </w:t>
      </w:r>
      <w:r>
        <w:t xml:space="preserve">“Architectural Socio-Technological Transformative Change of Space-Use Norms,”</w:t>
      </w:r>
      <w:r>
        <w:t xml:space="preserve"> </w:t>
      </w:r>
      <w:r>
        <w:t xml:space="preserve">Space Economy Papers brain, D:/Claude_Code/Space_Economy_Papers, retrieved 2026-06-22.</w:t>
      </w:r>
    </w:p>
    <w:p>
      <w:pPr>
        <w:pStyle w:val="BodyText"/>
        <w:spacing w:line="480" w:lineRule="auto"/>
        <w:ind w:firstLine="720"/>
      </w:pPr>
      <w:bookmarkStart w:id="161" w:name="ref-4"/>
      <w:bookmarkEnd w:id="161"/>
      <w:r>
        <w:t xml:space="preserve">4. J. F. Anderson, M.-A. Cardin, and P. T. Grogan,</w:t>
      </w:r>
      <w:r>
        <w:t xml:space="preserve"> </w:t>
      </w:r>
      <w:r>
        <w:t xml:space="preserve">“Design and analysis of flexible multi-layer staged deployment for satellite mega-constellations under demand uncertainty,”</w:t>
      </w:r>
      <w:r>
        <w:t xml:space="preserve"> </w:t>
      </w:r>
      <w:r>
        <w:t xml:space="preserve">Acta Astronautica, vol. 198, pp. 179-193, 2022, doi:</w:t>
      </w:r>
      <w:r>
        <w:t xml:space="preserve"> </w:t>
      </w:r>
      <w:hyperlink r:id="rId162">
        <w:r>
          <w:rPr>
            <w:rStyle w:val="Hyperlink"/>
          </w:rPr>
          <w:t xml:space="preserve">10.1016/j.actaastro.2022.05.022</w:t>
        </w:r>
      </w:hyperlink>
      <w:r>
        <w:t xml:space="preserve">.</w:t>
      </w:r>
    </w:p>
    <w:p>
      <w:pPr>
        <w:pStyle w:val="BodyText"/>
        <w:spacing w:line="480" w:lineRule="auto"/>
        <w:ind w:firstLine="720"/>
      </w:pPr>
      <w:bookmarkStart w:id="163" w:name="ref-5"/>
      <w:bookmarkEnd w:id="163"/>
      <w:r>
        <w:t xml:space="preserve">5. U.S. Government Accountability Office, NASA Assessments of Major Projects, GAO-09-306SP, 2009.</w:t>
      </w:r>
    </w:p>
    <w:p>
      <w:pPr>
        <w:pStyle w:val="BodyText"/>
        <w:spacing w:line="480" w:lineRule="auto"/>
        <w:ind w:firstLine="720"/>
      </w:pPr>
      <w:bookmarkStart w:id="164" w:name="ref-6"/>
      <w:bookmarkEnd w:id="164"/>
      <w:r>
        <w:t xml:space="preserve">6. U.S. Government Accountability Office, NASA Assessments of Selected Large-Scale Projects, GAO-11-364SP, 2011.</w:t>
      </w:r>
    </w:p>
    <w:p>
      <w:pPr>
        <w:pStyle w:val="BodyText"/>
        <w:spacing w:line="480" w:lineRule="auto"/>
        <w:ind w:firstLine="720"/>
      </w:pPr>
      <w:bookmarkStart w:id="165" w:name="ref-7"/>
      <w:bookmarkEnd w:id="165"/>
      <w:r>
        <w:t xml:space="preserve">7. National Aeronautics and Space Administration, NPR 7120.5F NASA Space Flight Program and Project Management Requirements, 2021.</w:t>
      </w:r>
    </w:p>
    <w:p>
      <w:pPr>
        <w:pStyle w:val="BodyText"/>
        <w:spacing w:line="480" w:lineRule="auto"/>
        <w:ind w:firstLine="720"/>
      </w:pPr>
      <w:bookmarkStart w:id="166" w:name="ref-8"/>
      <w:bookmarkEnd w:id="166"/>
      <w:r>
        <w:t xml:space="preserve">8. National Aeronautics and Space Administration, NPR 8705.4 Risk Classification for NASA Payloads, 2021.</w:t>
      </w:r>
    </w:p>
    <w:p>
      <w:pPr>
        <w:pStyle w:val="BodyText"/>
        <w:spacing w:line="480" w:lineRule="auto"/>
        <w:ind w:firstLine="720"/>
      </w:pPr>
      <w:bookmarkStart w:id="167" w:name="ref-9"/>
      <w:bookmarkEnd w:id="167"/>
      <w:r>
        <w:t xml:space="preserve">9. U.S. Government Accountability Office, NASA Cost and Schedule Performance Has Improved, GAO-13-276SP, March 2013.</w:t>
      </w:r>
    </w:p>
    <w:p>
      <w:pPr>
        <w:pStyle w:val="BodyText"/>
        <w:spacing w:line="480" w:lineRule="auto"/>
        <w:ind w:firstLine="720"/>
      </w:pPr>
      <w:bookmarkStart w:id="168" w:name="ref-10"/>
      <w:bookmarkEnd w:id="168"/>
      <w:r>
        <w:t xml:space="preserve">10. M. E. J. Newman, Modularity and community structure in networks, Proceedings of the National Academy of Sciences, vol. 103, no. 23, pp. 8577 to 8582, 2006.</w:t>
      </w:r>
    </w:p>
    <w:p>
      <w:pPr>
        <w:pStyle w:val="BodyText"/>
        <w:spacing w:line="480" w:lineRule="auto"/>
        <w:ind w:firstLine="720"/>
      </w:pPr>
      <w:bookmarkStart w:id="169" w:name="ref-11"/>
      <w:bookmarkEnd w:id="169"/>
      <w:r>
        <w:t xml:space="preserve">11. C. Y. Baldwin and K. B. Clark, Design Rules: The Power of Modularity, MIT Press, 2000.</w:t>
      </w:r>
    </w:p>
    <w:p>
      <w:pPr>
        <w:pStyle w:val="BodyText"/>
        <w:spacing w:line="480" w:lineRule="auto"/>
        <w:ind w:firstLine="720"/>
      </w:pPr>
      <w:bookmarkStart w:id="170" w:name="ref-12"/>
      <w:bookmarkEnd w:id="170"/>
      <w:r>
        <w:t xml:space="preserve">12. D. R. Cox, Regression models and life-tables, Journal of the Royal Statistical Society Series B, vol. 34, no. 2, pp. 187 to 220, 1972.</w:t>
      </w:r>
    </w:p>
    <w:p>
      <w:pPr>
        <w:pStyle w:val="BodyText"/>
        <w:spacing w:line="480" w:lineRule="auto"/>
        <w:ind w:firstLine="720"/>
      </w:pPr>
      <w:bookmarkStart w:id="171" w:name="ref-13"/>
      <w:bookmarkEnd w:id="171"/>
      <w:r>
        <w:t xml:space="preserve">13. Andris Jaunzemis, Georgia Institute of Technology; Dev Minotra, Georgia Institute of Technology; Karen Feigh, Georgia Institute of Technology; Marcus Holzinger, Georgia Institute of Technology; Moses Chan, Lockheed Martin Space. SSA Decision Support System Development and Evaluation using Cognitive Systems Engineering (2018).</w:t>
      </w:r>
    </w:p>
    <w:p>
      <w:pPr>
        <w:pStyle w:val="BodyText"/>
        <w:spacing w:line="480" w:lineRule="auto"/>
        <w:ind w:firstLine="720"/>
      </w:pPr>
      <w:bookmarkStart w:id="172" w:name="ref-14"/>
      <w:bookmarkEnd w:id="172"/>
      <w:r>
        <w:t xml:space="preserve">14. Kimoon Lee, University of Science and Technology (UST); Dongjin Kim, University of Science and Technology (UST); Seonho Lee, Korea Aerospace Research Institute (KARI). Conceptual Design of Mission Scheduling Software for Small Satellite Constellation (2024). doi:</w:t>
      </w:r>
      <w:r>
        <w:t xml:space="preserve"> </w:t>
      </w:r>
      <w:hyperlink r:id="rId157">
        <w:r>
          <w:rPr>
            <w:rStyle w:val="Hyperlink"/>
          </w:rPr>
          <w:t xml:space="preserve">10.64861/WVJD1391</w:t>
        </w:r>
      </w:hyperlink>
    </w:p>
    <w:p>
      <w:pPr>
        <w:pStyle w:val="BodyText"/>
        <w:spacing w:line="480" w:lineRule="auto"/>
        <w:ind w:firstLine="720"/>
      </w:pPr>
      <w:bookmarkStart w:id="173" w:name="ref-15"/>
      <w:bookmarkEnd w:id="173"/>
      <w:r>
        <w:t xml:space="preserve">15. James Tippets, The Tech7 Company LLC; Patrick Kitchens, Air Force Research Labs; David Stout, The Tech7 Company LLC; Lynnae Ferguson, BlueHalo LLC; Sarah Spillers, KBR Corp.; Jackson Jarvie, Parsons. Joint Commercial Operations Common Communications Channel (2025). doi:</w:t>
      </w:r>
      <w:r>
        <w:t xml:space="preserve"> </w:t>
      </w:r>
      <w:hyperlink r:id="rId174">
        <w:r>
          <w:rPr>
            <w:rStyle w:val="Hyperlink"/>
          </w:rPr>
          <w:t xml:space="preserve">10.64861/VZRK7654</w:t>
        </w:r>
      </w:hyperlink>
    </w:p>
    <w:p>
      <w:pPr>
        <w:pStyle w:val="BodyText"/>
        <w:spacing w:line="480" w:lineRule="auto"/>
        <w:ind w:firstLine="720"/>
      </w:pPr>
      <w:bookmarkStart w:id="175" w:name="ref-16"/>
      <w:bookmarkEnd w:id="175"/>
      <w:r>
        <w:t xml:space="preserve">16. Konrad Bojar, KB-Innotech. Lightweight Image Processing Toolpack for Low-power and Low-cost Optical SST Triangulation Stations for Cataloguing in LEO Regime (2022).</w:t>
      </w:r>
    </w:p>
    <w:p>
      <w:pPr>
        <w:pStyle w:val="BodyText"/>
        <w:spacing w:line="480" w:lineRule="auto"/>
        <w:ind w:firstLine="720"/>
      </w:pPr>
      <w:bookmarkStart w:id="176" w:name="ref-17"/>
      <w:bookmarkEnd w:id="176"/>
      <w:r>
        <w:t xml:space="preserve">17. Michael Nicolls, SRI International. Space Debris Measurements using the Advanced Modular Incoherent Scatter Radar (2015).</w:t>
      </w:r>
    </w:p>
    <w:p>
      <w:pPr>
        <w:pStyle w:val="BodyText"/>
        <w:spacing w:line="480" w:lineRule="auto"/>
        <w:ind w:firstLine="720"/>
      </w:pPr>
      <w:bookmarkStart w:id="177" w:name="ref-18"/>
      <w:bookmarkEnd w:id="177"/>
      <w:r>
        <w:t xml:space="preserve">18. Edward Morgan, Raft, LLC; Steve Nino, Raft, LLC; Angela Sheffield, Raft, LLC. Enabling Modular and Scalable SDA Data Transforms via the Raft Data Fabric (2023). doi:</w:t>
      </w:r>
      <w:r>
        <w:t xml:space="preserve"> </w:t>
      </w:r>
      <w:hyperlink r:id="rId178">
        <w:r>
          <w:rPr>
            <w:rStyle w:val="Hyperlink"/>
          </w:rPr>
          <w:t xml:space="preserve">10.64861/PMMH7892</w:t>
        </w:r>
      </w:hyperlink>
    </w:p>
    <w:p>
      <w:pPr>
        <w:pStyle w:val="BodyText"/>
        <w:spacing w:line="480" w:lineRule="auto"/>
        <w:ind w:firstLine="720"/>
      </w:pPr>
      <w:bookmarkStart w:id="179" w:name="ref-19"/>
      <w:bookmarkEnd w:id="179"/>
      <w:r>
        <w:t xml:space="preserve">19. Tamara E. Payne, Keith Lucas, Anil Chaudhary, Shaylah Mutschler, (Applied Optimization Inc.), Phan Dao, Jeremy Murray-Krezan, (Air Force Research Laboratory/RVBY). A Derivation of the Analytical Relationship between the Projected Albedo-Area Product of a Space Object and its Aggregate Photometric Measurements (2013).</w:t>
      </w:r>
    </w:p>
    <w:p>
      <w:pPr>
        <w:pStyle w:val="BodyText"/>
        <w:spacing w:line="480" w:lineRule="auto"/>
        <w:ind w:firstLine="720"/>
      </w:pPr>
      <w:bookmarkStart w:id="180" w:name="ref-20"/>
      <w:bookmarkEnd w:id="180"/>
      <w:r>
        <w:t xml:space="preserve">20. Ronny Kanzler, Hyperschall Technologie Göttingen GmbH, Jiri Silha, Astronomical Institute, University of Bern, Bent Fritsche, Hyperschall Technologie Göttingen GmbH, Tobias Lips, Hyperschall Technologie Göttingen GmbH, Thomas Schildknecht, Astronomical Institute, University of Bern, Holger Krag, Space Debris Office, ESA/ESOC. Space Debris Attitude Simulation – IOTA (In-Orbit Tumbling Analysis) (2015).</w:t>
      </w:r>
    </w:p>
    <w:p>
      <w:pPr>
        <w:pStyle w:val="BodyText"/>
        <w:spacing w:line="480" w:lineRule="auto"/>
        <w:ind w:firstLine="720"/>
      </w:pPr>
      <w:bookmarkStart w:id="181" w:name="ref-21"/>
      <w:bookmarkEnd w:id="181"/>
      <w:r>
        <w:t xml:space="preserve">21. Xiao Han; Jifei Ye; Chenghao Yu; Hang Song. The interelectrode discharge characteristics of the electrospray-type thrusters (2023). doi:</w:t>
      </w:r>
      <w:r>
        <w:t xml:space="preserve"> </w:t>
      </w:r>
      <w:hyperlink r:id="rId182">
        <w:r>
          <w:rPr>
            <w:rStyle w:val="Hyperlink"/>
          </w:rPr>
          <w:t xml:space="preserve">10.1016/j.actaastro.2023.10.009</w:t>
        </w:r>
      </w:hyperlink>
    </w:p>
    <w:p>
      <w:pPr>
        <w:pStyle w:val="BodyText"/>
        <w:spacing w:line="480" w:lineRule="auto"/>
        <w:ind w:firstLine="720"/>
      </w:pPr>
      <w:bookmarkStart w:id="183" w:name="ref-22"/>
      <w:bookmarkEnd w:id="183"/>
      <w:r>
        <w:t xml:space="preserve">22. André Fonseca Prince; Bernhard Vodermayer; Benedikt Pleintinger; Alexander Kolb; G. Franchini; Emanuel Staudinger; Enrico Dietz; Susanne Schröder; Sven Frohmann; Fabian Seel; Armin Wedler. Modular Mechatronics Infrastructure for robotic planetary exploration assets in a field operation scenario (2023). doi:</w:t>
      </w:r>
      <w:r>
        <w:t xml:space="preserve"> </w:t>
      </w:r>
      <w:hyperlink r:id="rId184">
        <w:r>
          <w:rPr>
            <w:rStyle w:val="Hyperlink"/>
          </w:rPr>
          <w:t xml:space="preserve">10.1016/j.actaastro.2023.07.037</w:t>
        </w:r>
      </w:hyperlink>
    </w:p>
    <w:p>
      <w:pPr>
        <w:pStyle w:val="BodyText"/>
        <w:spacing w:line="480" w:lineRule="auto"/>
        <w:ind w:firstLine="720"/>
      </w:pPr>
      <w:bookmarkStart w:id="185" w:name="ref-23"/>
      <w:bookmarkEnd w:id="185"/>
      <w:r>
        <w:t xml:space="preserve">23. Ping-Han Huang; Yueh-Heng Li Li. Optimization of vacuum arc thruster efficiency through inductive energy storage circuit control (2026). doi:</w:t>
      </w:r>
      <w:r>
        <w:t xml:space="preserve"> </w:t>
      </w:r>
      <w:hyperlink r:id="rId186">
        <w:r>
          <w:rPr>
            <w:rStyle w:val="Hyperlink"/>
          </w:rPr>
          <w:t xml:space="preserve">10.1016/j.actaastro.2025.12.063</w:t>
        </w:r>
      </w:hyperlink>
    </w:p>
    <w:p>
      <w:pPr>
        <w:pStyle w:val="BodyText"/>
        <w:spacing w:line="480" w:lineRule="auto"/>
        <w:ind w:firstLine="720"/>
      </w:pPr>
      <w:bookmarkStart w:id="187" w:name="ref-24"/>
      <w:bookmarkEnd w:id="187"/>
      <w:r>
        <w:t xml:space="preserve">24. Ravi Kiran Pyla; J. R. K. Kumar Dabbakuti. Evaluation of Ionospheric Delays Based on Orthogonal Dimensionality Reduction Approach (2020). doi:</w:t>
      </w:r>
      <w:r>
        <w:t xml:space="preserve"> </w:t>
      </w:r>
      <w:hyperlink r:id="rId188">
        <w:r>
          <w:rPr>
            <w:rStyle w:val="Hyperlink"/>
          </w:rPr>
          <w:t xml:space="preserve">10.1016/j.actaastro.2020.10.043</w:t>
        </w:r>
      </w:hyperlink>
    </w:p>
    <w:p>
      <w:pPr>
        <w:pStyle w:val="BodyText"/>
        <w:spacing w:line="480" w:lineRule="auto"/>
        <w:ind w:firstLine="720"/>
      </w:pPr>
      <w:bookmarkStart w:id="189" w:name="ref-25"/>
      <w:bookmarkEnd w:id="189"/>
      <w:r>
        <w:t xml:space="preserve">25. Michael Herman; Olivia J. Pinon Fischer; Dimitri N. Mavris. Sun sensor calibration algorithms: A systematic mapping and survey (2026). doi:</w:t>
      </w:r>
      <w:r>
        <w:t xml:space="preserve"> </w:t>
      </w:r>
      <w:hyperlink r:id="rId190">
        <w:r>
          <w:rPr>
            <w:rStyle w:val="Hyperlink"/>
          </w:rPr>
          <w:t xml:space="preserve">10.1016/j.actaastro.2025.12.053</w:t>
        </w:r>
      </w:hyperlink>
    </w:p>
    <w:p>
      <w:pPr>
        <w:pStyle w:val="BodyText"/>
        <w:spacing w:line="480" w:lineRule="auto"/>
        <w:ind w:firstLine="720"/>
      </w:pPr>
      <w:bookmarkStart w:id="191" w:name="ref-26"/>
      <w:bookmarkEnd w:id="191"/>
      <w:r>
        <w:t xml:space="preserve">26. Chenggui He; Paul Junge; Rafael Kleba-Ehrhardt; Oliver Goerke; Christian Rupprecht; Aleksander Gurlo; David Karl. A novel approach to increase flowability of planetary regolith: Spray drying of Martian simulants for powder-based ISRU fabrication (2025). doi:</w:t>
      </w:r>
      <w:r>
        <w:t xml:space="preserve"> </w:t>
      </w:r>
      <w:hyperlink r:id="rId192">
        <w:r>
          <w:rPr>
            <w:rStyle w:val="Hyperlink"/>
          </w:rPr>
          <w:t xml:space="preserve">10.1016/j.actaastro.2025.07.054</w:t>
        </w:r>
      </w:hyperlink>
    </w:p>
    <w:p>
      <w:pPr>
        <w:pStyle w:val="BodyText"/>
        <w:spacing w:line="480" w:lineRule="auto"/>
        <w:ind w:firstLine="720"/>
      </w:pPr>
      <w:bookmarkStart w:id="193" w:name="ref-27"/>
      <w:bookmarkEnd w:id="193"/>
      <w:r>
        <w:t xml:space="preserve">27. Paull C. Acosta Mendoza; Rene Gonçalves; Leonardo Henrique Gouvêa; Luís Gustavo Ferroni Pereira. Composition optimization of a hypergolic green propellant based on monoethanolamine, n-butanol and 90% hydrogen peroxide (2025). doi:</w:t>
      </w:r>
      <w:r>
        <w:t xml:space="preserve"> </w:t>
      </w:r>
      <w:hyperlink r:id="rId194">
        <w:r>
          <w:rPr>
            <w:rStyle w:val="Hyperlink"/>
          </w:rPr>
          <w:t xml:space="preserve">10.1016/j.actaastro.2024.12.059</w:t>
        </w:r>
      </w:hyperlink>
    </w:p>
    <w:p>
      <w:pPr>
        <w:pStyle w:val="BodyText"/>
        <w:spacing w:line="480" w:lineRule="auto"/>
        <w:ind w:firstLine="720"/>
      </w:pPr>
      <w:bookmarkStart w:id="195" w:name="ref-28"/>
      <w:bookmarkEnd w:id="195"/>
      <w:r>
        <w:t xml:space="preserve">28. Haifei Chen; Panfeng Huang; Zhengxiong Liu; Zhiqiang Ma. Time delay prediction for space telerobot system with a modified sparse multivariate linear regression method (2019). doi:</w:t>
      </w:r>
      <w:r>
        <w:t xml:space="preserve"> </w:t>
      </w:r>
      <w:hyperlink r:id="rId196">
        <w:r>
          <w:rPr>
            <w:rStyle w:val="Hyperlink"/>
          </w:rPr>
          <w:t xml:space="preserve">10.1016/j.actaastro.2019.10.027</w:t>
        </w:r>
      </w:hyperlink>
    </w:p>
    <w:bookmarkEnd w:id="197"/>
    <w:bookmarkEnd w:id="198"/>
    <w:bookmarkStart w:id="21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6" w:name="X71a6705fc5b92a61793a8c071db9f20e61908ed"/>
    <w:p>
      <w:pPr>
        <w:pStyle w:val="Heading2"/>
        <w:spacing w:line="480" w:lineRule="auto"/>
      </w:pPr>
      <w:r>
        <w:t xml:space="preserve">A.1 Decomposition and Delay: WBS Modularity as a Leading Indicator of Schedule Slip in NASA Major Programs</w:t>
      </w:r>
    </w:p>
    <w:p>
      <w:pPr>
        <w:pStyle w:val="FirstParagraph"/>
        <w:spacing w:line="480" w:lineRule="auto"/>
      </w:pPr>
      <m:oMathPara>
        <m:oMathParaPr>
          <m:jc m:val="center"/>
        </m:oMathParaPr>
        <m:oMath>
          <m:sSub>
            <m:e>
              <m:r>
                <m:rPr>
                  <m:nor/>
                  <m:sty m:val="p"/>
                </m:rPr>
                <m:t>slip_ratio</m:t>
              </m:r>
            </m:e>
            <m:sub>
              <m:r>
                <m:t>i</m:t>
              </m:r>
            </m:sub>
          </m:sSub>
          <m:r>
            <m:rPr>
              <m:sty m:val="p"/>
            </m:rPr>
            <m:t>=</m:t>
          </m:r>
          <m:sSub>
            <m:e>
              <m:r>
                <m:t>β</m:t>
              </m:r>
            </m:e>
            <m:sub>
              <m:r>
                <m:t>0</m:t>
              </m:r>
            </m:sub>
          </m:sSub>
          <m:r>
            <m:rPr>
              <m:sty m:val="p"/>
            </m:rPr>
            <m:t>+</m:t>
          </m:r>
          <m:sSub>
            <m:e>
              <m:r>
                <m:t>β</m:t>
              </m:r>
            </m:e>
            <m:sub>
              <m:r>
                <m:t>1</m:t>
              </m:r>
            </m:sub>
          </m:sSub>
          <m:r>
            <m:t> </m:t>
          </m:r>
          <m:sSub>
            <m:e>
              <m:r>
                <m:rPr>
                  <m:nor/>
                  <m:sty m:val="p"/>
                </m:rPr>
                <m:t>modularity</m:t>
              </m:r>
            </m:e>
            <m:sub>
              <m:r>
                <m:t>i</m:t>
              </m:r>
            </m:sub>
          </m:sSub>
          <m:r>
            <m:rPr>
              <m:sty m:val="p"/>
            </m:rPr>
            <m:t>+</m:t>
          </m:r>
          <m:sSub>
            <m:e>
              <m:r>
                <m:t>β</m:t>
              </m:r>
            </m:e>
            <m:sub>
              <m:r>
                <m:t>2</m:t>
              </m:r>
            </m:sub>
          </m:sSub>
          <m:r>
            <m:t> </m:t>
          </m:r>
          <m:r>
            <m:rPr>
              <m:sty m:val="p"/>
            </m:rPr>
            <m:t>log</m:t>
          </m:r>
          <m:r>
            <m:rPr>
              <m:sty m:val="p"/>
            </m:rPr>
            <m:t>(</m:t>
          </m:r>
          <m:sSub>
            <m:e>
              <m:r>
                <m:rPr>
                  <m:nor/>
                  <m:sty m:val="p"/>
                </m:rPr>
                <m:t>contract_value</m:t>
              </m:r>
            </m:e>
            <m:sub>
              <m:r>
                <m:t>i</m:t>
              </m:r>
            </m:sub>
          </m:sSub>
          <m:r>
            <m:rPr>
              <m:sty m:val="p"/>
            </m:rPr>
            <m:t>)</m:t>
          </m:r>
          <m:r>
            <m:rPr>
              <m:sty m:val="p"/>
            </m:rPr>
            <m:t>+</m:t>
          </m:r>
          <m:sSub>
            <m:e>
              <m:r>
                <m:t>β</m:t>
              </m:r>
            </m:e>
            <m:sub>
              <m:r>
                <m:t>3</m:t>
              </m:r>
            </m:sub>
          </m:sSub>
          <m:r>
            <m:t> </m:t>
          </m:r>
          <m:sSub>
            <m:e>
              <m:r>
                <m:rPr>
                  <m:nor/>
                  <m:sty m:val="p"/>
                </m:rPr>
                <m:t>trl_baseline</m:t>
              </m:r>
            </m:e>
            <m:sub>
              <m:r>
                <m:t>i</m:t>
              </m:r>
            </m:sub>
          </m:sSub>
          <m:r>
            <m:rPr>
              <m:sty m:val="p"/>
            </m:rPr>
            <m:t>+</m:t>
          </m:r>
          <m:sSub>
            <m:e>
              <m:r>
                <m:t>ε</m:t>
              </m:r>
            </m:e>
            <m:sub>
              <m:r>
                <m:t>i</m:t>
              </m:r>
            </m:sub>
          </m:sSub>
        </m:oMath>
      </m:oMathPara>
    </w:p>
    <w:bookmarkStart w:id="19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1.4225</w:t>
            </w:r>
          </w:p>
        </w:tc>
        <w:tc>
          <w:tcPr>
            <w:tcW w:w="0" w:type="auto"/>
          </w:tcPr>
          <w:p>
            <w:pPr>
              <w:spacing w:line="240" w:lineRule="auto" w:before="0" w:after="0"/>
              <w:pStyle w:val="Compact"/>
            </w:pPr>
            <w:r>
              <w:rPr>
                <w:sz w:val="20"/>
                <w:szCs w:val="20"/>
              </w:rPr>
              <w:t xml:space="preserve">0.3057</w:t>
            </w:r>
          </w:p>
        </w:tc>
        <w:tc>
          <w:tcPr>
            <w:tcW w:w="0" w:type="auto"/>
          </w:tcPr>
          <w:p>
            <w:pPr>
              <w:spacing w:line="240" w:lineRule="auto" w:before="0" w:after="0"/>
              <w:pStyle w:val="Compact"/>
            </w:pPr>
            <w:r>
              <w:rPr>
                <w:sz w:val="20"/>
                <w:szCs w:val="20"/>
              </w:rPr>
              <w:t xml:space="preserve">4.6531</w:t>
            </w:r>
          </w:p>
        </w:tc>
        <w:tc>
          <w:tcPr>
            <w:tcW w:w="0" w:type="auto"/>
          </w:tcPr>
          <w:p>
            <w:pPr>
              <w:spacing w:line="240" w:lineRule="auto" w:before="0" w:after="0"/>
              <w:pStyle w:val="Compact"/>
            </w:pPr>
            <w:r>
              <w:rPr>
                <w:sz w:val="20"/>
                <w:szCs w:val="20"/>
              </w:rPr>
              <w:t xml:space="preserve">3.269e-06</w:t>
            </w:r>
          </w:p>
        </w:tc>
        <w:tc>
          <w:tcPr>
            <w:tcW w:w="0" w:type="auto"/>
          </w:tcPr>
          <w:p>
            <w:pPr>
              <w:spacing w:line="240" w:lineRule="auto" w:before="0" w:after="0"/>
              <w:pStyle w:val="Compact"/>
            </w:pPr>
            <w:r>
              <w:rPr>
                <w:sz w:val="20"/>
                <w:szCs w:val="20"/>
              </w:rPr>
              <w:t xml:space="preserve">[0.8233, 2.0216]</w:t>
            </w:r>
          </w:p>
        </w:tc>
      </w:tr>
      <w:tr>
        <w:tc>
          <w:tcPr>
            <w:tcW w:w="0" w:type="auto"/>
          </w:tcPr>
          <w:p>
            <w:pPr>
              <w:spacing w:line="240" w:lineRule="auto" w:before="0" w:after="0"/>
              <w:pStyle w:val="Compact"/>
            </w:pPr>
            <w:r>
              <w:rPr>
                <w:sz w:val="20"/>
                <w:szCs w:val="20"/>
              </w:rPr>
              <w:t xml:space="preserve">modularity</w:t>
            </w:r>
          </w:p>
        </w:tc>
        <w:tc>
          <w:tcPr>
            <w:tcW w:w="0" w:type="auto"/>
          </w:tcPr>
          <w:p>
            <w:pPr>
              <w:spacing w:line="240" w:lineRule="auto" w:before="0" w:after="0"/>
              <w:pStyle w:val="Compact"/>
            </w:pPr>
            <w:r>
              <w:rPr>
                <w:sz w:val="20"/>
                <w:szCs w:val="20"/>
              </w:rPr>
              <w:t xml:space="preserve">-2.1028</w:t>
            </w:r>
          </w:p>
        </w:tc>
        <w:tc>
          <w:tcPr>
            <w:tcW w:w="0" w:type="auto"/>
          </w:tcPr>
          <w:p>
            <w:pPr>
              <w:spacing w:line="240" w:lineRule="auto" w:before="0" w:after="0"/>
              <w:pStyle w:val="Compact"/>
            </w:pPr>
            <w:r>
              <w:rPr>
                <w:sz w:val="20"/>
                <w:szCs w:val="20"/>
              </w:rPr>
              <w:t xml:space="preserve">0.3578</w:t>
            </w:r>
          </w:p>
        </w:tc>
        <w:tc>
          <w:tcPr>
            <w:tcW w:w="0" w:type="auto"/>
          </w:tcPr>
          <w:p>
            <w:pPr>
              <w:spacing w:line="240" w:lineRule="auto" w:before="0" w:after="0"/>
              <w:pStyle w:val="Compact"/>
            </w:pPr>
            <w:r>
              <w:rPr>
                <w:sz w:val="20"/>
                <w:szCs w:val="20"/>
              </w:rPr>
              <w:t xml:space="preserve">-5.8767</w:t>
            </w:r>
          </w:p>
        </w:tc>
        <w:tc>
          <w:tcPr>
            <w:tcW w:w="0" w:type="auto"/>
          </w:tcPr>
          <w:p>
            <w:pPr>
              <w:spacing w:line="240" w:lineRule="auto" w:before="0" w:after="0"/>
              <w:pStyle w:val="Compact"/>
            </w:pPr>
            <w:r>
              <w:rPr>
                <w:sz w:val="20"/>
                <w:szCs w:val="20"/>
              </w:rPr>
              <w:t xml:space="preserve">4.185e-09</w:t>
            </w:r>
          </w:p>
        </w:tc>
        <w:tc>
          <w:tcPr>
            <w:tcW w:w="0" w:type="auto"/>
          </w:tcPr>
          <w:p>
            <w:pPr>
              <w:spacing w:line="240" w:lineRule="auto" w:before="0" w:after="0"/>
              <w:pStyle w:val="Compact"/>
            </w:pPr>
            <w:r>
              <w:rPr>
                <w:sz w:val="20"/>
                <w:szCs w:val="20"/>
              </w:rPr>
              <w:t xml:space="preserve">[-2.8041, -1.4015]</w:t>
            </w:r>
          </w:p>
        </w:tc>
      </w:tr>
      <w:tr>
        <w:tc>
          <w:tcPr>
            <w:tcW w:w="0" w:type="auto"/>
          </w:tcPr>
          <w:p>
            <w:pPr>
              <w:spacing w:line="240" w:lineRule="auto" w:before="0" w:after="0"/>
              <w:pStyle w:val="Compact"/>
            </w:pPr>
            <w:r>
              <w:rPr>
                <w:sz w:val="20"/>
                <w:szCs w:val="20"/>
              </w:rPr>
              <w:t xml:space="preserve">log_contract_value</w:t>
            </w:r>
          </w:p>
        </w:tc>
        <w:tc>
          <w:tcPr>
            <w:tcW w:w="0" w:type="auto"/>
          </w:tcPr>
          <w:p>
            <w:pPr>
              <w:spacing w:line="240" w:lineRule="auto" w:before="0" w:after="0"/>
              <w:pStyle w:val="Compact"/>
            </w:pPr>
            <w:r>
              <w:rPr>
                <w:sz w:val="20"/>
                <w:szCs w:val="20"/>
              </w:rPr>
              <w:t xml:space="preserve">0.0184</w:t>
            </w:r>
          </w:p>
        </w:tc>
        <w:tc>
          <w:tcPr>
            <w:tcW w:w="0" w:type="auto"/>
          </w:tcPr>
          <w:p>
            <w:pPr>
              <w:spacing w:line="240" w:lineRule="auto" w:before="0" w:after="0"/>
              <w:pStyle w:val="Compact"/>
            </w:pPr>
            <w:r>
              <w:rPr>
                <w:sz w:val="20"/>
                <w:szCs w:val="20"/>
              </w:rPr>
              <w:t xml:space="preserve">0.0218</w:t>
            </w:r>
          </w:p>
        </w:tc>
        <w:tc>
          <w:tcPr>
            <w:tcW w:w="0" w:type="auto"/>
          </w:tcPr>
          <w:p>
            <w:pPr>
              <w:spacing w:line="240" w:lineRule="auto" w:before="0" w:after="0"/>
              <w:pStyle w:val="Compact"/>
            </w:pPr>
            <w:r>
              <w:rPr>
                <w:sz w:val="20"/>
                <w:szCs w:val="20"/>
              </w:rPr>
              <w:t xml:space="preserve">0.8464</w:t>
            </w:r>
          </w:p>
        </w:tc>
        <w:tc>
          <w:tcPr>
            <w:tcW w:w="0" w:type="auto"/>
          </w:tcPr>
          <w:p>
            <w:pPr>
              <w:spacing w:line="240" w:lineRule="auto" w:before="0" w:after="0"/>
              <w:pStyle w:val="Compact"/>
            </w:pPr>
            <w:r>
              <w:rPr>
                <w:sz w:val="20"/>
                <w:szCs w:val="20"/>
              </w:rPr>
              <w:t xml:space="preserve">0.3973</w:t>
            </w:r>
          </w:p>
        </w:tc>
        <w:tc>
          <w:tcPr>
            <w:tcW w:w="0" w:type="auto"/>
          </w:tcPr>
          <w:p>
            <w:pPr>
              <w:spacing w:line="240" w:lineRule="auto" w:before="0" w:after="0"/>
              <w:pStyle w:val="Compact"/>
            </w:pPr>
            <w:r>
              <w:rPr>
                <w:sz w:val="20"/>
                <w:szCs w:val="20"/>
              </w:rPr>
              <w:t xml:space="preserve">[-0.0242, 0.0611]</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-0.0579</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-0.9192</w:t>
            </w:r>
          </w:p>
        </w:tc>
        <w:tc>
          <w:tcPr>
            <w:tcW w:w="0" w:type="auto"/>
          </w:tcPr>
          <w:p>
            <w:pPr>
              <w:spacing w:line="240" w:lineRule="auto" w:before="0" w:after="0"/>
              <w:pStyle w:val="Compact"/>
            </w:pPr>
            <w:r>
              <w:rPr>
                <w:sz w:val="20"/>
                <w:szCs w:val="20"/>
              </w:rPr>
              <w:t xml:space="preserve">0.358</w:t>
            </w:r>
          </w:p>
        </w:tc>
        <w:tc>
          <w:tcPr>
            <w:tcW w:w="0" w:type="auto"/>
          </w:tcPr>
          <w:p>
            <w:pPr>
              <w:spacing w:line="240" w:lineRule="auto" w:before="0" w:after="0"/>
              <w:pStyle w:val="Compact"/>
            </w:pPr>
            <w:r>
              <w:rPr>
                <w:sz w:val="20"/>
                <w:szCs w:val="20"/>
              </w:rPr>
              <w:t xml:space="preserve">[-0.1814, 0.0656]</w:t>
            </w:r>
          </w:p>
        </w:tc>
      </w:tr>
    </w:tbl>
    <w:p>
      <w:pPr>
        <w:pStyle w:val="BodyText"/>
        <w:spacing w:line="480" w:lineRule="auto"/>
        <w:ind w:firstLine="720"/>
      </w:pPr>
      <w:r>
        <w:t xml:space="preserve">Fit: N = 32 R2 = 0.5934 R2_adj = 0.5499 F = 13.4194 F_p = 1.3e-05</w:t>
      </w:r>
    </w:p>
    <w:bookmarkEnd w:id="199"/>
    <w:bookmarkStart w:id="20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schedule slip against baseline WBS modularity for NASA major space programs, 2005-2020 baselines." title="" id="201" name="Picture"/>
            <a:graphic>
              <a:graphicData uri="http://schemas.openxmlformats.org/drawingml/2006/picture">
                <pic:pic>
                  <pic:nvPicPr>
                    <pic:cNvPr descr="D:/Claude_Code/brain/collegium/candidates/dissertations/ENTERPRISE_ACQ_02/research_papers/p1/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schedule slip against baseline WBS modularity for NASA major space programs, 2005-2020 baselines.</w:t>
      </w:r>
    </w:p>
    <w:bookmarkEnd w:id="203"/>
    <w:bookmarkStart w:id="20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prime</w:t>
            </w:r>
          </w:p>
        </w:tc>
        <w:tc>
          <w:tcPr>
            <w:tcW w:w="0" w:type="auto"/>
          </w:tcPr>
          <w:p>
            <w:pPr>
              <w:spacing w:line="240" w:lineRule="auto" w:before="0" w:after="0"/>
              <w:pStyle w:val="Compact"/>
            </w:pPr>
            <w:r>
              <w:rPr>
                <w:sz w:val="20"/>
                <w:szCs w:val="20"/>
              </w:rPr>
              <w:t xml:space="preserve">modularity</w:t>
            </w:r>
          </w:p>
        </w:tc>
        <w:tc>
          <w:tcPr>
            <w:tcW w:w="0" w:type="auto"/>
          </w:tcPr>
          <w:p>
            <w:pPr>
              <w:spacing w:line="240" w:lineRule="auto" w:before="0" w:after="0"/>
              <w:pStyle w:val="Compact"/>
            </w:pPr>
            <w:r>
              <w:rPr>
                <w:sz w:val="20"/>
                <w:szCs w:val="20"/>
              </w:rPr>
              <w:t xml:space="preserve">log_contract_value</w:t>
            </w:r>
          </w:p>
        </w:tc>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fy_baseline</w:t>
            </w:r>
          </w:p>
        </w:tc>
        <w:tc>
          <w:tcPr>
            <w:tcW w:w="0" w:type="auto"/>
          </w:tcPr>
          <w:p>
            <w:pPr>
              <w:spacing w:line="240" w:lineRule="auto" w:before="0" w:after="0"/>
              <w:pStyle w:val="Compact"/>
            </w:pPr>
            <w:r>
              <w:rPr>
                <w:sz w:val="20"/>
                <w:szCs w:val="20"/>
              </w:rPr>
              <w:t xml:space="preserve">slip_ratio</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Northrop_Grumman</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GAO-20-405 NASA Major Project Assessment p.74</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8.16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GAO-11-364SP NASA Major Project Assessment p.65</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7.18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GAO-16-309SP NASA Major Project Assessment p.111</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GAO-20-405 NASA Major Project Assessment p.96</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GAO-23-106021 NASA Major Project Assessment p.62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GAO-23-106021 NASA Major Project Assessment p.97</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 Assessment p.83</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6.06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GAO-22-105212 NASA Major Project Assessment p.71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GAO-19-262SP NASA Major Project Assessment p.78</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9.49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GAO-23-105609 NASA Space Launch System p.14</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9.32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GAO-20-118 NASA Orion p.10</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Northrop_Grumman_Maxar</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GAO-23-106021 NASA Major Project Assessment p.66</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Northrop_Grumman</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6.55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GAO-18-280SP NASA Major Project Assessment p.79</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JPL_Airbus</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GAO-18-280SP NASA Major Project Assessment p.74</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Northrop_Grumman</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8.62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GAO-22-105212 NASA Major Project Assessment p.81</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JPL_CNES</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8.78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GAO-22-105212 NASA Major Project Assessment p.93</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JPL_ISRO</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9.08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GAO-23-106021 NASA Major Project Assessment p.88</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8.78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GAO-22-105212 NASA Major Project Assessment p.85</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Orbital_ATK</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8.32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GAO-18-280SP NASA Major Project Assessment p.119</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GAO-18-280SP NASA Major Project Assessment p.108</w:t>
            </w:r>
          </w:p>
        </w:tc>
      </w:tr>
      <w:tr>
        <w:tc>
          <w:tcPr>
            <w:tcW w:w="0" w:type="auto"/>
          </w:tcPr>
          <w:p>
            <w:pPr>
              <w:spacing w:line="240" w:lineRule="auto" w:before="0" w:after="0"/>
              <w:pStyle w:val="Compact"/>
            </w:pPr>
            <w:r>
              <w:rPr>
                <w:sz w:val="20"/>
                <w:szCs w:val="20"/>
              </w:rPr>
              <w:t xml:space="preserve">Solar_Orbiter_NASA</w:t>
            </w:r>
          </w:p>
        </w:tc>
        <w:tc>
          <w:tcPr>
            <w:tcW w:w="0" w:type="auto"/>
          </w:tcPr>
          <w:p>
            <w:pPr>
              <w:spacing w:line="240" w:lineRule="auto" w:before="0" w:after="0"/>
              <w:pStyle w:val="Compact"/>
            </w:pPr>
            <w:r>
              <w:rPr>
                <w:sz w:val="20"/>
                <w:szCs w:val="20"/>
              </w:rPr>
              <w:t xml:space="preserve">APL_ESA</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GAO-20-405 NASA Major Project Assessment p.108</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Northrop_Grumman</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8.93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GAO-22-105212 NASA Major Project Assessment p.79</w:t>
            </w:r>
          </w:p>
        </w:tc>
      </w:tr>
      <w:tr>
        <w:tc>
          <w:tcPr>
            <w:tcW w:w="0" w:type="auto"/>
          </w:tcPr>
          <w:p>
            <w:pPr>
              <w:spacing w:line="240" w:lineRule="auto" w:before="0" w:after="0"/>
              <w:pStyle w:val="Compact"/>
            </w:pPr>
            <w:r>
              <w:rPr>
                <w:sz w:val="20"/>
                <w:szCs w:val="20"/>
              </w:rPr>
              <w:t xml:space="preserve">Roman_WFIRST</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9.42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GAO-23-106021 NASA Major Project Assessment p.99</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6.27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GAO-15-320SP NASA Major Project Assessment p.69</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6.06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GAO-11-364SP NASA Major Project Assessment p.51</w:t>
            </w:r>
          </w:p>
        </w:tc>
      </w:tr>
      <w:tr>
        <w:tc>
          <w:tcPr>
            <w:tcW w:w="0" w:type="auto"/>
          </w:tcPr>
          <w:p>
            <w:pPr>
              <w:spacing w:line="240" w:lineRule="auto" w:before="0" w:after="0"/>
              <w:pStyle w:val="Compact"/>
            </w:pPr>
            <w:r>
              <w:rPr>
                <w:sz w:val="20"/>
                <w:szCs w:val="20"/>
              </w:rPr>
              <w:t xml:space="preserve">LRO_LCROSS</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5.66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GAO-09-306SP NASA Major Project Assessment p.61</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5.93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GAO-09-306SP NASA Major Project Assessment p.91</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GSFC_JAXA</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9.21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GAO-14-338SP NASA Major Project Assessment p.71</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GAO-14-338SP NASA Major Project Assessment p.75</w:t>
            </w:r>
          </w:p>
        </w:tc>
      </w:tr>
      <w:tr>
        <w:tc>
          <w:tcPr>
            <w:tcW w:w="0" w:type="auto"/>
          </w:tcPr>
          <w:p>
            <w:pPr>
              <w:spacing w:line="240" w:lineRule="auto" w:before="0" w:after="0"/>
              <w:pStyle w:val="Compact"/>
            </w:pPr>
            <w:r>
              <w:rPr>
                <w:sz w:val="20"/>
                <w:szCs w:val="20"/>
              </w:rPr>
              <w:t xml:space="preserve">Mars_InSight_lander_redux</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GAO-19-262SP NASA Major Project Assessment p.78</w:t>
            </w:r>
          </w:p>
        </w:tc>
      </w:tr>
      <w:tr>
        <w:tc>
          <w:tcPr>
            <w:tcW w:w="0" w:type="auto"/>
          </w:tcPr>
          <w:p>
            <w:pPr>
              <w:spacing w:line="240" w:lineRule="auto" w:before="0" w:after="0"/>
              <w:pStyle w:val="Compact"/>
            </w:pPr>
            <w:r>
              <w:rPr>
                <w:sz w:val="20"/>
                <w:szCs w:val="20"/>
              </w:rPr>
              <w:t xml:space="preserve">Commercial_Lunar_Payload_VIPER</w:t>
            </w:r>
          </w:p>
        </w:tc>
        <w:tc>
          <w:tcPr>
            <w:tcW w:w="0" w:type="auto"/>
          </w:tcPr>
          <w:p>
            <w:pPr>
              <w:spacing w:line="240" w:lineRule="auto" w:before="0" w:after="0"/>
              <w:pStyle w:val="Compact"/>
            </w:pPr>
            <w:r>
              <w:rPr>
                <w:sz w:val="20"/>
                <w:szCs w:val="20"/>
              </w:rPr>
              <w:t xml:space="preserve">JSC</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5.96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GAO-23-106021 NASA Major Project Assessment p.103</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8.92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GAO-23-106021 NASA Major Project Assessment p.59</w:t>
            </w:r>
          </w:p>
        </w:tc>
      </w:tr>
    </w:tbl>
    <w:bookmarkEnd w:id="204"/>
    <w:bookmarkStart w:id="20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slip_ratio</w:t>
            </w:r>
          </w:p>
        </w:tc>
        <w:tc>
          <w:tcPr>
            <w:tcW w:w="0" w:type="auto"/>
          </w:tcPr>
          <w:p>
            <w:pPr>
              <w:spacing w:line="240" w:lineRule="auto" w:before="0" w:after="0"/>
              <w:pStyle w:val="Compact"/>
            </w:pPr>
            <w:r>
              <w:rPr>
                <w:sz w:val="20"/>
                <w:szCs w:val="20"/>
              </w:rPr>
              <w:t xml:space="preserve">Realized program schedule overrun, expressed as (actual elapsed months from authority-to-proceed to delivery / baseline-committed months) minus one. Positive values indicate slip.</w:t>
            </w:r>
          </w:p>
        </w:tc>
        <w:tc>
          <w:tcPr>
            <w:tcW w:w="0" w:type="auto"/>
          </w:tcPr>
          <w:p>
            <w:pPr>
              <w:spacing w:line="240" w:lineRule="auto" w:before="0" w:after="0"/>
              <w:pStyle w:val="Compact"/>
            </w:pPr>
            <w:r>
              <w:rPr>
                <w:sz w:val="20"/>
                <w:szCs w:val="20"/>
              </w:rPr>
              <w:t xml:space="preserve">GAO Major Project Assessment series, baseline vs. current schedule columns</w:t>
            </w:r>
          </w:p>
        </w:tc>
      </w:tr>
      <w:tr>
        <w:tc>
          <w:tcPr>
            <w:tcW w:w="0" w:type="auto"/>
          </w:tcPr>
          <w:p>
            <w:pPr>
              <w:spacing w:line="240" w:lineRule="auto" w:before="0" w:after="0"/>
              <w:pStyle w:val="Compact"/>
            </w:pPr>
            <w:r>
              <w:rPr>
                <w:sz w:val="20"/>
                <w:szCs w:val="20"/>
              </w:rPr>
              <w:t xml:space="preserve">modularity</w:t>
            </w:r>
          </w:p>
        </w:tc>
        <w:tc>
          <w:tcPr>
            <w:tcW w:w="0" w:type="auto"/>
          </w:tcPr>
          <w:p>
            <w:pPr>
              <w:spacing w:line="240" w:lineRule="auto" w:before="0" w:after="0"/>
              <w:pStyle w:val="Compact"/>
            </w:pPr>
            <w:r>
              <w:rPr>
                <w:sz w:val="20"/>
                <w:szCs w:val="20"/>
              </w:rPr>
              <w:t xml:space="preserve">Newman-Girvan modularity score computed on the undirected projection of the program’s level-1 through level-3 work-breakdown structure as published in NASA WBS dictionaries and GAO project narratives.</w:t>
            </w:r>
          </w:p>
        </w:tc>
        <w:tc>
          <w:tcPr>
            <w:tcW w:w="0" w:type="auto"/>
          </w:tcPr>
          <w:p>
            <w:pPr>
              <w:spacing w:line="240" w:lineRule="auto" w:before="0" w:after="0"/>
              <w:pStyle w:val="Compact"/>
            </w:pPr>
            <w:r>
              <w:rPr>
                <w:sz w:val="20"/>
                <w:szCs w:val="20"/>
              </w:rPr>
              <w:t xml:space="preserve">NPR 7120.5 WBS dictionaries cross-referenced with GAO Major Project Assessment WBS appendices</w:t>
            </w:r>
          </w:p>
        </w:tc>
      </w:tr>
      <w:tr>
        <w:tc>
          <w:tcPr>
            <w:tcW w:w="0" w:type="auto"/>
          </w:tcPr>
          <w:p>
            <w:pPr>
              <w:spacing w:line="240" w:lineRule="auto" w:before="0" w:after="0"/>
              <w:pStyle w:val="Compact"/>
            </w:pPr>
            <w:r>
              <w:rPr>
                <w:sz w:val="20"/>
                <w:szCs w:val="20"/>
              </w:rPr>
              <w:t xml:space="preserve">log_contract_value</w:t>
            </w:r>
          </w:p>
        </w:tc>
        <w:tc>
          <w:tcPr>
            <w:tcW w:w="0" w:type="auto"/>
          </w:tcPr>
          <w:p>
            <w:pPr>
              <w:spacing w:line="240" w:lineRule="auto" w:before="0" w:after="0"/>
              <w:pStyle w:val="Compact"/>
            </w:pPr>
            <w:r>
              <w:rPr>
                <w:sz w:val="20"/>
                <w:szCs w:val="20"/>
              </w:rPr>
              <w:t xml:space="preserve">Natural logarithm of program life-cycle cost at baseline, in constant-year US dollars.</w:t>
            </w:r>
          </w:p>
        </w:tc>
        <w:tc>
          <w:tcPr>
            <w:tcW w:w="0" w:type="auto"/>
          </w:tcPr>
          <w:p>
            <w:pPr>
              <w:spacing w:line="240" w:lineRule="auto" w:before="0" w:after="0"/>
              <w:pStyle w:val="Compact"/>
            </w:pPr>
            <w:r>
              <w:rPr>
                <w:sz w:val="20"/>
                <w:szCs w:val="20"/>
              </w:rPr>
              <w:t xml:space="preserve">GAO Major Project Assessment lifecycle-cost tables</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Technology readiness level of the lowest-TRL critical technology element at program baseline confirmation review.</w:t>
            </w:r>
          </w:p>
        </w:tc>
        <w:tc>
          <w:tcPr>
            <w:tcW w:w="0" w:type="auto"/>
          </w:tcPr>
          <w:p>
            <w:pPr>
              <w:spacing w:line="240" w:lineRule="auto" w:before="0" w:after="0"/>
              <w:pStyle w:val="Compact"/>
            </w:pPr>
            <w:r>
              <w:rPr>
                <w:sz w:val="20"/>
                <w:szCs w:val="20"/>
              </w:rPr>
              <w:t xml:space="preserve">GAO Major Project Assessment technology-maturity tables</w:t>
            </w:r>
          </w:p>
        </w:tc>
      </w:tr>
      <w:tr>
        <w:tc>
          <w:tcPr>
            <w:tcW w:w="0" w:type="auto"/>
          </w:tcPr>
          <w:p>
            <w:pPr>
              <w:spacing w:line="240" w:lineRule="auto" w:before="0" w:after="0"/>
              <w:pStyle w:val="Compact"/>
            </w:pPr>
            <w:r>
              <w:rPr>
                <w:sz w:val="20"/>
                <w:szCs w:val="20"/>
              </w:rPr>
              <w:t xml:space="preserve">prime</w:t>
            </w:r>
          </w:p>
        </w:tc>
        <w:tc>
          <w:tcPr>
            <w:tcW w:w="0" w:type="auto"/>
          </w:tcPr>
          <w:p>
            <w:pPr>
              <w:spacing w:line="240" w:lineRule="auto" w:before="0" w:after="0"/>
              <w:pStyle w:val="Compact"/>
            </w:pPr>
            <w:r>
              <w:rPr>
                <w:sz w:val="20"/>
                <w:szCs w:val="20"/>
              </w:rPr>
              <w:t xml:space="preserve">Prime contractor or NASA center of record holding cost-account authority at baseline.</w:t>
            </w:r>
          </w:p>
        </w:tc>
        <w:tc>
          <w:tcPr>
            <w:tcW w:w="0" w:type="auto"/>
          </w:tcPr>
          <w:p>
            <w:pPr>
              <w:spacing w:line="240" w:lineRule="auto" w:before="0" w:after="0"/>
              <w:pStyle w:val="Compact"/>
            </w:pPr>
            <w:r>
              <w:rPr>
                <w:sz w:val="20"/>
                <w:szCs w:val="20"/>
              </w:rPr>
              <w:t xml:space="preserve">GAO Major Project Assessment program-by-program narratives</w:t>
            </w:r>
          </w:p>
        </w:tc>
      </w:tr>
      <w:tr>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NASA mission classification (A, B, or C) under NPR 8705.4, indicating risk tolerance and assurance posture.</w:t>
            </w:r>
          </w:p>
        </w:tc>
        <w:tc>
          <w:tcPr>
            <w:tcW w:w="0" w:type="auto"/>
          </w:tcPr>
          <w:p>
            <w:pPr>
              <w:spacing w:line="240" w:lineRule="auto" w:before="0" w:after="0"/>
              <w:pStyle w:val="Compact"/>
            </w:pPr>
            <w:r>
              <w:rPr>
                <w:sz w:val="20"/>
                <w:szCs w:val="20"/>
              </w:rPr>
              <w:t xml:space="preserve">NASA NPR 8705.4 Risk Classification for NASA Payloads</w:t>
            </w:r>
          </w:p>
        </w:tc>
      </w:tr>
      <w:tr>
        <w:tc>
          <w:tcPr>
            <w:tcW w:w="0" w:type="auto"/>
          </w:tcPr>
          <w:p>
            <w:pPr>
              <w:spacing w:line="240" w:lineRule="auto" w:before="0" w:after="0"/>
              <w:pStyle w:val="Compact"/>
            </w:pPr>
            <w:r>
              <w:rPr>
                <w:sz w:val="20"/>
                <w:szCs w:val="20"/>
              </w:rPr>
              <w:t xml:space="preserve">fy_baseline</w:t>
            </w:r>
          </w:p>
        </w:tc>
        <w:tc>
          <w:tcPr>
            <w:tcW w:w="0" w:type="auto"/>
          </w:tcPr>
          <w:p>
            <w:pPr>
              <w:spacing w:line="240" w:lineRule="auto" w:before="0" w:after="0"/>
              <w:pStyle w:val="Compact"/>
            </w:pPr>
            <w:r>
              <w:rPr>
                <w:sz w:val="20"/>
                <w:szCs w:val="20"/>
              </w:rPr>
              <w:t xml:space="preserve">Fiscal year of program-baseline confirmation (Key Decision Point C).</w:t>
            </w:r>
          </w:p>
        </w:tc>
        <w:tc>
          <w:tcPr>
            <w:tcW w:w="0" w:type="auto"/>
          </w:tcPr>
          <w:p>
            <w:pPr>
              <w:spacing w:line="240" w:lineRule="auto" w:before="0" w:after="0"/>
              <w:pStyle w:val="Compact"/>
            </w:pPr>
            <w:r>
              <w:rPr>
                <w:sz w:val="20"/>
                <w:szCs w:val="20"/>
              </w:rPr>
              <w:t xml:space="preserve">GAO Major Project Assessment baseline-history columns</w:t>
            </w:r>
          </w:p>
        </w:tc>
      </w:tr>
    </w:tbl>
    <w:bookmarkEnd w:id="205"/>
    <w:bookmarkEnd w:id="206"/>
    <w:bookmarkStart w:id="214" w:name="Xeade8a0eee0563fbef5a8728076298ee26bf7d8"/>
    <w:p>
      <w:pPr>
        <w:pStyle w:val="Heading2"/>
        <w:spacing w:line="480" w:lineRule="auto"/>
      </w:pPr>
      <w:r>
        <w:t xml:space="preserve">A.2 Time to First Rebaseline as a Function of WBS Modularity: A Cox Proportional-Hazards Analysis of NASA Major Projects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modularity</m:t>
                  </m:r>
                </m:e>
                <m:sub>
                  <m:r>
                    <m:t>i</m:t>
                  </m:r>
                </m:sub>
              </m:sSub>
              <m:r>
                <m:rPr>
                  <m:sty m:val="p"/>
                </m:rPr>
                <m:t>+</m:t>
              </m:r>
              <m:sSub>
                <m:e>
                  <m:r>
                    <m:t>β</m:t>
                  </m:r>
                </m:e>
                <m:sub>
                  <m:r>
                    <m:t>2</m:t>
                  </m:r>
                </m:sub>
              </m:sSub>
              <m:r>
                <m:t> </m:t>
              </m:r>
              <m:r>
                <m:rPr>
                  <m:sty m:val="p"/>
                </m:rPr>
                <m:t>ln</m:t>
              </m:r>
              <m:r>
                <m:rPr>
                  <m:sty m:val="p"/>
                </m:rPr>
                <m:t>(</m:t>
              </m:r>
              <m:sSub>
                <m:e>
                  <m:r>
                    <m:rPr>
                      <m:nor/>
                      <m:sty m:val="p"/>
                    </m:rPr>
                    <m:t>cost</m:t>
                  </m:r>
                </m:e>
                <m:sub>
                  <m:r>
                    <m:t>i</m:t>
                  </m:r>
                </m:sub>
              </m:sSub>
              <m:r>
                <m:rPr>
                  <m:sty m:val="p"/>
                </m:rPr>
                <m:t>)</m:t>
              </m:r>
              <m:r>
                <m:rPr>
                  <m:sty m:val="p"/>
                </m:rPr>
                <m:t>+</m:t>
              </m:r>
              <m:sSub>
                <m:e>
                  <m:r>
                    <m:t>β</m:t>
                  </m:r>
                </m:e>
                <m:sub>
                  <m:r>
                    <m:t>3</m:t>
                  </m:r>
                </m:sub>
              </m:sSub>
              <m:r>
                <m:t> </m:t>
              </m:r>
              <m:sSub>
                <m:e>
                  <m:r>
                    <m:rPr>
                      <m:nor/>
                      <m:sty m:val="p"/>
                    </m:rPr>
                    <m:t>TRL</m:t>
                  </m:r>
                </m:e>
                <m:sub>
                  <m:r>
                    <m:t>i</m:t>
                  </m:r>
                </m:sub>
              </m:sSub>
            </m:e>
          </m:d>
        </m:oMath>
      </m:oMathPara>
    </w:p>
    <w:bookmarkStart w:id="20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wbs_modularity</w:t>
            </w:r>
          </w:p>
        </w:tc>
        <w:tc>
          <w:tcPr>
            <w:tcW w:w="0" w:type="auto"/>
          </w:tcPr>
          <w:p>
            <w:pPr>
              <w:spacing w:line="240" w:lineRule="auto" w:before="0" w:after="0"/>
              <w:pStyle w:val="Compact"/>
            </w:pPr>
            <w:r>
              <w:rPr>
                <w:sz w:val="20"/>
                <w:szCs w:val="20"/>
              </w:rPr>
              <w:t xml:space="preserve">6.6567</w:t>
            </w:r>
          </w:p>
        </w:tc>
        <w:tc>
          <w:tcPr>
            <w:tcW w:w="0" w:type="auto"/>
          </w:tcPr>
          <w:p>
            <w:pPr>
              <w:spacing w:line="240" w:lineRule="auto" w:before="0" w:after="0"/>
              <w:pStyle w:val="Compact"/>
            </w:pPr>
            <w:r>
              <w:rPr>
                <w:sz w:val="20"/>
                <w:szCs w:val="20"/>
              </w:rPr>
              <w:t xml:space="preserve">11.7251</w:t>
            </w:r>
          </w:p>
        </w:tc>
        <w:tc>
          <w:tcPr>
            <w:tcW w:w="0" w:type="auto"/>
          </w:tcPr>
          <w:p>
            <w:pPr>
              <w:spacing w:line="240" w:lineRule="auto" w:before="0" w:after="0"/>
              <w:pStyle w:val="Compact"/>
            </w:pPr>
            <w:r>
              <w:rPr>
                <w:sz w:val="20"/>
                <w:szCs w:val="20"/>
              </w:rPr>
              <w:t xml:space="preserve">0.5677</w:t>
            </w:r>
          </w:p>
        </w:tc>
        <w:tc>
          <w:tcPr>
            <w:tcW w:w="0" w:type="auto"/>
          </w:tcPr>
          <w:p>
            <w:pPr>
              <w:spacing w:line="240" w:lineRule="auto" w:before="0" w:after="0"/>
              <w:pStyle w:val="Compact"/>
            </w:pPr>
            <w:r>
              <w:rPr>
                <w:sz w:val="20"/>
                <w:szCs w:val="20"/>
              </w:rPr>
              <w:t xml:space="preserve">0.5702</w:t>
            </w:r>
          </w:p>
        </w:tc>
        <w:tc>
          <w:tcPr>
            <w:tcW w:w="0" w:type="auto"/>
          </w:tcPr>
          <w:p>
            <w:pPr>
              <w:spacing w:line="240" w:lineRule="auto" w:before="0" w:after="0"/>
              <w:pStyle w:val="Compact"/>
            </w:pPr>
            <w:r>
              <w:rPr>
                <w:sz w:val="20"/>
                <w:szCs w:val="20"/>
              </w:rPr>
              <w:t xml:space="preserve">[-16.3244, 29.6379]</w:t>
            </w:r>
          </w:p>
        </w:tc>
        <w:tc>
          <w:tcPr>
            <w:tcW w:w="0" w:type="auto"/>
          </w:tcPr>
          <w:p>
            <w:pPr>
              <w:spacing w:line="240" w:lineRule="auto" w:before="0" w:after="0"/>
              <w:pStyle w:val="Compact"/>
            </w:pPr>
            <w:r>
              <w:rPr>
                <w:sz w:val="20"/>
                <w:szCs w:val="20"/>
              </w:rPr>
              <w:t xml:space="preserve">778.0045</w:t>
            </w:r>
          </w:p>
        </w:tc>
      </w:tr>
      <w:tr>
        <w:tc>
          <w:tcPr>
            <w:tcW w:w="0" w:type="auto"/>
          </w:tcPr>
          <w:p>
            <w:pPr>
              <w:spacing w:line="240" w:lineRule="auto" w:before="0" w:after="0"/>
              <w:pStyle w:val="Compact"/>
            </w:pPr>
            <w:r>
              <w:rPr>
                <w:sz w:val="20"/>
                <w:szCs w:val="20"/>
              </w:rPr>
              <w:t xml:space="preserve">log_cost_baseline</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1.0817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0.9563</w:t>
            </w:r>
          </w:p>
        </w:tc>
        <w:tc>
          <w:tcPr>
            <w:tcW w:w="0" w:type="auto"/>
          </w:tcPr>
          <w:p>
            <w:pPr>
              <w:spacing w:line="240" w:lineRule="auto" w:before="0" w:after="0"/>
              <w:pStyle w:val="Compact"/>
            </w:pPr>
            <w:r>
              <w:rPr>
                <w:sz w:val="20"/>
                <w:szCs w:val="20"/>
              </w:rPr>
              <w:t xml:space="preserve">[-2.1794, 2.0609]</w:t>
            </w:r>
          </w:p>
        </w:tc>
        <w:tc>
          <w:tcPr>
            <w:tcW w:w="0" w:type="auto"/>
          </w:tcPr>
          <w:p>
            <w:pPr>
              <w:spacing w:line="240" w:lineRule="auto" w:before="0" w:after="0"/>
              <w:pStyle w:val="Compact"/>
            </w:pPr>
            <w:r>
              <w:rPr>
                <w:sz w:val="20"/>
                <w:szCs w:val="20"/>
              </w:rPr>
              <w:t xml:space="preserve">0.9425</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-0.3133</w:t>
            </w:r>
          </w:p>
        </w:tc>
        <w:tc>
          <w:tcPr>
            <w:tcW w:w="0" w:type="auto"/>
          </w:tcPr>
          <w:p>
            <w:pPr>
              <w:spacing w:line="240" w:lineRule="auto" w:before="0" w:after="0"/>
              <w:pStyle w:val="Compact"/>
            </w:pPr>
            <w:r>
              <w:rPr>
                <w:sz w:val="20"/>
                <w:szCs w:val="20"/>
              </w:rPr>
              <w:t xml:space="preserve">0.4028</w:t>
            </w:r>
          </w:p>
        </w:tc>
        <w:tc>
          <w:tcPr>
            <w:tcW w:w="0" w:type="auto"/>
          </w:tcPr>
          <w:p>
            <w:pPr>
              <w:spacing w:line="240" w:lineRule="auto" w:before="0" w:after="0"/>
              <w:pStyle w:val="Compact"/>
            </w:pPr>
            <w:r>
              <w:rPr>
                <w:sz w:val="20"/>
                <w:szCs w:val="20"/>
              </w:rPr>
              <w:t xml:space="preserve">-0.7779</w:t>
            </w:r>
          </w:p>
        </w:tc>
        <w:tc>
          <w:tcPr>
            <w:tcW w:w="0" w:type="auto"/>
          </w:tcPr>
          <w:p>
            <w:pPr>
              <w:spacing w:line="240" w:lineRule="auto" w:before="0" w:after="0"/>
              <w:pStyle w:val="Compact"/>
            </w:pPr>
            <w:r>
              <w:rPr>
                <w:sz w:val="20"/>
                <w:szCs w:val="20"/>
              </w:rPr>
              <w:t xml:space="preserve">0.4366</w:t>
            </w:r>
          </w:p>
        </w:tc>
        <w:tc>
          <w:tcPr>
            <w:tcW w:w="0" w:type="auto"/>
          </w:tcPr>
          <w:p>
            <w:pPr>
              <w:spacing w:line="240" w:lineRule="auto" w:before="0" w:after="0"/>
              <w:pStyle w:val="Compact"/>
            </w:pPr>
            <w:r>
              <w:rPr>
                <w:sz w:val="20"/>
                <w:szCs w:val="20"/>
              </w:rPr>
              <w:t xml:space="preserve">[-1.1027, 0.4761]</w:t>
            </w:r>
          </w:p>
        </w:tc>
        <w:tc>
          <w:tcPr>
            <w:tcW w:w="0" w:type="auto"/>
          </w:tcPr>
          <w:p>
            <w:pPr>
              <w:spacing w:line="240" w:lineRule="auto" w:before="0" w:after="0"/>
              <w:pStyle w:val="Compact"/>
            </w:pPr>
            <w:r>
              <w:rPr>
                <w:sz w:val="20"/>
                <w:szCs w:val="20"/>
              </w:rPr>
              <w:t xml:space="preserve">0.731</w:t>
            </w:r>
          </w:p>
        </w:tc>
      </w:tr>
    </w:tbl>
    <w:p>
      <w:pPr>
        <w:pStyle w:val="BodyText"/>
        <w:spacing w:line="480" w:lineRule="auto"/>
        <w:ind w:firstLine="720"/>
      </w:pPr>
      <w:r>
        <w:t xml:space="preserve">Fit: N = 32 events = 16</w:t>
      </w:r>
    </w:p>
    <w:bookmarkEnd w:id="207"/>
    <w:bookmarkStart w:id="21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Survival time to first GAO-reported rebaseline against WBS modularity for thirty-two NASA major projects." title="" id="209" name="Picture"/>
            <a:graphic>
              <a:graphicData uri="http://schemas.openxmlformats.org/drawingml/2006/picture">
                <pic:pic>
                  <pic:nvPicPr>
                    <pic:cNvPr descr="D:/Claude_Code/brain/collegium/candidates/dissertations/ENTERPRISE_ACQ_02/research_papers/p2/paper_fig1.png" id="210" name="Picture"/>
                    <pic:cNvPicPr>
                      <a:picLocks noChangeArrowheads="1" noChangeAspect="1"/>
                    </pic:cNvPicPr>
                  </pic:nvPicPr>
                  <pic:blipFill>
                    <a:blip r:embed="rId20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Survival time to first GAO-reported rebaseline against WBS modularity for thirty-two NASA major projects.</w:t>
      </w:r>
    </w:p>
    <w:bookmarkEnd w:id="211"/>
    <w:bookmarkStart w:id="21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wbs_modularity</w:t>
            </w:r>
          </w:p>
        </w:tc>
        <w:tc>
          <w:tcPr>
            <w:tcW w:w="0" w:type="auto"/>
          </w:tcPr>
          <w:p>
            <w:pPr>
              <w:spacing w:line="240" w:lineRule="auto" w:before="0" w:after="0"/>
              <w:pStyle w:val="Compact"/>
            </w:pPr>
            <w:r>
              <w:rPr>
                <w:sz w:val="20"/>
                <w:szCs w:val="20"/>
              </w:rPr>
              <w:t xml:space="preserve">log_cost_baseline</w:t>
            </w:r>
          </w:p>
        </w:tc>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rebaseline_event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8.46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GAO-12-635 NASA Assessments of Selected Large-Scale Projects (JWST cost growth and replan)</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GAO-11-239SP NASA Assessments of Selected Large-Scale Projects (MSL launch slip 2009-2011)</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GAO-16-309SP NASA Assessments of Major Projects (OSIRIS-REx on baseline through launch)</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NASA Assessments of Major Projects (Mars 2020 launch on schedule July 2020)</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Assessments of Major Projects (Europa Clipper schedule slip, launch slip from 2024 to 2024 SLS to FH replan)</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and GAO-22-105212 NASA Assessments (SLS Artemis I delays 2017-2022)</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8.78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Assessments of Major Projects (Orion repeated schedule slips through Artemis I)</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GAO-13-276SP NASA Assessments of Selected Large-Scale Projects (GPM launched Feb 2014 near baseline)</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Assessments of Major Projects (SMAP launched Jan 2015 on schedule, radar later failed in orbit)</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6.39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GAO-09-306SP NASA Assessments of Selected Large-Scale Projects (LRO launched June 2009 on schedule)</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Assessments of Major Projects (ICESat-2 schedule slip ATLAS instrument)</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6.81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NASA Assessments of Major Projects (Landsat 9 launched Sep 2021 close to baseline)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(NISAR schedule slip 2024 to 2025 reflector issue)</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Assessments of Major Projects (PACE launched Feb 2024 within baseline allowance)</w:t>
            </w:r>
          </w:p>
        </w:tc>
      </w:tr>
      <w:tr>
        <w:tc>
          <w:tcPr>
            <w:tcW w:w="0" w:type="auto"/>
          </w:tcPr>
          <w:p>
            <w:pPr>
              <w:spacing w:line="240" w:lineRule="auto" w:before="0" w:after="0"/>
              <w:pStyle w:val="Compact"/>
            </w:pPr>
            <w:r>
              <w:rPr>
                <w:sz w:val="20"/>
                <w:szCs w:val="20"/>
              </w:rPr>
              <w:t xml:space="preserve">GOES_R</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GAO-15-320SP NASA Assessments of Major Projects (GOES-R series schedule slip 2015-2016)</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GAO-17-262SP NASA Assessments of Major Projects (JPSS-1 schedule slip to Nov 2017)</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6.41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GAO-17-262SP NASA Assessments of Major Projects (TESS launched April 2018 near baseline)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6.77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NASA Assessments of Major Projects (Lucy launched Oct 2021 on baseline)</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6.18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NASA Assessments of Major Projects (DART launched Nov 2021 on schedule)</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Assessments of Major Projects (Psyche slipped from Aug 2022 to Oct 2023)</w:t>
            </w:r>
          </w:p>
        </w:tc>
      </w:tr>
      <w:tr>
        <w:tc>
          <w:tcPr>
            <w:tcW w:w="0" w:type="auto"/>
          </w:tcPr>
          <w:p>
            <w:pPr>
              <w:spacing w:line="240" w:lineRule="auto" w:before="0" w:after="0"/>
              <w:pStyle w:val="Compact"/>
            </w:pPr>
            <w:r>
              <w:rPr>
                <w:sz w:val="20"/>
                <w:szCs w:val="20"/>
              </w:rPr>
              <w:t xml:space="preserve">EUVST</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Assessments of Major Projects (EUVST in development, baseline preserved through report) [illustrative]</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Assessments of Major Projects (MMS launched March 2015 within baseline)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6.86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Assessments of Major Projects (InSight launch slipped from 2016 to 2018 seismometer issue)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GAO-13-276SP NASA Assessments of Selected Large-Scale Projects (MAVEN launched Nov 2013 on schedule)</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NASA Assessments of Major Projects (GRACE-FO launched May 2018 near baseline)</w:t>
            </w:r>
          </w:p>
        </w:tc>
      </w:tr>
      <w:tr>
        <w:tc>
          <w:tcPr>
            <w:tcW w:w="0" w:type="auto"/>
          </w:tcPr>
          <w:p>
            <w:pPr>
              <w:spacing w:line="240" w:lineRule="auto" w:before="0" w:after="0"/>
              <w:pStyle w:val="Compact"/>
            </w:pPr>
            <w:r>
              <w:rPr>
                <w:sz w:val="20"/>
                <w:szCs w:val="20"/>
              </w:rPr>
              <w:t xml:space="preserve">WFIRST_Roman</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8.06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(Roman replans and threshold breaches)</w:t>
            </w:r>
          </w:p>
        </w:tc>
      </w:tr>
      <w:tr>
        <w:tc>
          <w:tcPr>
            <w:tcW w:w="0" w:type="auto"/>
          </w:tcPr>
          <w:p>
            <w:pPr>
              <w:spacing w:line="240" w:lineRule="auto" w:before="0" w:after="0"/>
              <w:pStyle w:val="Compact"/>
            </w:pPr>
            <w:r>
              <w:rPr>
                <w:sz w:val="20"/>
                <w:szCs w:val="20"/>
              </w:rPr>
              <w:t xml:space="preserve">Artemis_HLS</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Assessments of Major Projects (HLS schedule risk for Artemis III)</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(Gateway PPE HALO slip)</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Assessments of Major Projects (DAVINCI in formulation, no breach reported) [illustrative]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(VERITAS workforce-driven schedule slip 2022)</w:t>
            </w:r>
          </w:p>
        </w:tc>
      </w:tr>
      <w:tr>
        <w:tc>
          <w:tcPr>
            <w:tcW w:w="0" w:type="auto"/>
          </w:tcPr>
          <w:p>
            <w:pPr>
              <w:spacing w:line="240" w:lineRule="auto" w:before="0" w:after="0"/>
              <w:pStyle w:val="Compact"/>
            </w:pPr>
            <w:r>
              <w:rPr>
                <w:sz w:val="20"/>
                <w:szCs w:val="20"/>
              </w:rPr>
              <w:t xml:space="preserve">EnVision_ESA_NASA</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Assessments of Major Projects (EnVision early formulation) [illustrative]</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(Dragonfly launch slipped from 2027 to 2028)</w:t>
            </w:r>
          </w:p>
        </w:tc>
      </w:tr>
    </w:tbl>
    <w:bookmarkEnd w:id="212"/>
    <w:bookmarkStart w:id="213"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Months from program authority-to-proceed to first GAO-reported rebaseline or last observation if no rebaseline</w:t>
            </w:r>
          </w:p>
        </w:tc>
        <w:tc>
          <w:tcPr>
            <w:tcW w:w="0" w:type="auto"/>
          </w:tcPr>
          <w:p>
            <w:pPr>
              <w:spacing w:line="240" w:lineRule="auto" w:before="0" w:after="0"/>
              <w:pStyle w:val="Compact"/>
            </w:pPr>
            <w:r>
              <w:rPr>
                <w:sz w:val="20"/>
                <w:szCs w:val="20"/>
              </w:rPr>
              <w:t xml:space="preserve">Constructed from GAO NASA Assessments of Major Projects (annual reports GAO-09-306SP through GAO-25-107591)</w:t>
            </w:r>
          </w:p>
        </w:tc>
      </w:tr>
      <w:tr>
        <w:tc>
          <w:tcPr>
            <w:tcW w:w="0" w:type="auto"/>
          </w:tcPr>
          <w:p>
            <w:pPr>
              <w:spacing w:line="240" w:lineRule="auto" w:before="0" w:after="0"/>
              <w:pStyle w:val="Compact"/>
            </w:pPr>
            <w:r>
              <w:rPr>
                <w:sz w:val="20"/>
                <w:szCs w:val="20"/>
              </w:rPr>
              <w:t xml:space="preserve">rebaseline_event</w:t>
            </w:r>
          </w:p>
        </w:tc>
        <w:tc>
          <w:tcPr>
            <w:tcW w:w="0" w:type="auto"/>
          </w:tcPr>
          <w:p>
            <w:pPr>
              <w:spacing w:line="240" w:lineRule="auto" w:before="0" w:after="0"/>
              <w:pStyle w:val="Compact"/>
            </w:pPr>
            <w:r>
              <w:rPr>
                <w:sz w:val="20"/>
                <w:szCs w:val="20"/>
              </w:rPr>
              <w:t xml:space="preserve">Binary indicator: 1 if program experienced a formal rebaseline or cost/schedule threshold breach during observation window, 0 if censored</w:t>
            </w:r>
          </w:p>
        </w:tc>
        <w:tc>
          <w:tcPr>
            <w:tcW w:w="0" w:type="auto"/>
          </w:tcPr>
          <w:p>
            <w:pPr>
              <w:spacing w:line="240" w:lineRule="auto" w:before="0" w:after="0"/>
              <w:pStyle w:val="Compact"/>
            </w:pPr>
            <w:r>
              <w:rPr>
                <w:sz w:val="20"/>
                <w:szCs w:val="20"/>
              </w:rPr>
              <w:t xml:space="preserve">GAO Major Project Assessments, Section 4 program-level findings</w:t>
            </w:r>
          </w:p>
        </w:tc>
      </w:tr>
      <w:tr>
        <w:tc>
          <w:tcPr>
            <w:tcW w:w="0" w:type="auto"/>
          </w:tcPr>
          <w:p>
            <w:pPr>
              <w:spacing w:line="240" w:lineRule="auto" w:before="0" w:after="0"/>
              <w:pStyle w:val="Compact"/>
            </w:pPr>
            <w:r>
              <w:rPr>
                <w:sz w:val="20"/>
                <w:szCs w:val="20"/>
              </w:rPr>
              <w:t xml:space="preserve">wbs_modularity</w:t>
            </w:r>
          </w:p>
        </w:tc>
        <w:tc>
          <w:tcPr>
            <w:tcW w:w="0" w:type="auto"/>
          </w:tcPr>
          <w:p>
            <w:pPr>
              <w:spacing w:line="240" w:lineRule="auto" w:before="0" w:after="0"/>
              <w:pStyle w:val="Compact"/>
            </w:pPr>
            <w:r>
              <w:rPr>
                <w:sz w:val="20"/>
                <w:szCs w:val="20"/>
              </w:rPr>
              <w:t xml:space="preserve">Newman-Girvan modularity computed on the undirected projection of the published WBS DAG at baseline (proxy: subsystem-decomposition coupling score from program SE plans)</w:t>
            </w:r>
          </w:p>
        </w:tc>
        <w:tc>
          <w:tcPr>
            <w:tcW w:w="0" w:type="auto"/>
          </w:tcPr>
          <w:p>
            <w:pPr>
              <w:spacing w:line="240" w:lineRule="auto" w:before="0" w:after="0"/>
              <w:pStyle w:val="Compact"/>
            </w:pPr>
            <w:r>
              <w:rPr>
                <w:sz w:val="20"/>
                <w:szCs w:val="20"/>
              </w:rPr>
              <w:t xml:space="preserve">NASA program SE Management Plans, CADRe Part C narratives where available, GAO portfolio summaries</w:t>
            </w:r>
          </w:p>
        </w:tc>
      </w:tr>
      <w:tr>
        <w:tc>
          <w:tcPr>
            <w:tcW w:w="0" w:type="auto"/>
          </w:tcPr>
          <w:p>
            <w:pPr>
              <w:spacing w:line="240" w:lineRule="auto" w:before="0" w:after="0"/>
              <w:pStyle w:val="Compact"/>
            </w:pPr>
            <w:r>
              <w:rPr>
                <w:sz w:val="20"/>
                <w:szCs w:val="20"/>
              </w:rPr>
              <w:t xml:space="preserve">log_cost_baseline</w:t>
            </w:r>
          </w:p>
        </w:tc>
        <w:tc>
          <w:tcPr>
            <w:tcW w:w="0" w:type="auto"/>
          </w:tcPr>
          <w:p>
            <w:pPr>
              <w:spacing w:line="240" w:lineRule="auto" w:before="0" w:after="0"/>
              <w:pStyle w:val="Compact"/>
            </w:pPr>
            <w:r>
              <w:rPr>
                <w:sz w:val="20"/>
                <w:szCs w:val="20"/>
              </w:rPr>
              <w:t xml:space="preserve">Natural log of program life-cycle cost at baseline confirmation (then-year dollars, millions)</w:t>
            </w:r>
          </w:p>
        </w:tc>
        <w:tc>
          <w:tcPr>
            <w:tcW w:w="0" w:type="auto"/>
          </w:tcPr>
          <w:p>
            <w:pPr>
              <w:spacing w:line="240" w:lineRule="auto" w:before="0" w:after="0"/>
              <w:pStyle w:val="Compact"/>
            </w:pPr>
            <w:r>
              <w:rPr>
                <w:sz w:val="20"/>
                <w:szCs w:val="20"/>
              </w:rPr>
              <w:t xml:space="preserve">GAO Major Project Assessments cost tables</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Mean Technology Readiness Level of critical technologies at baseline confirmation</w:t>
            </w:r>
          </w:p>
        </w:tc>
        <w:tc>
          <w:tcPr>
            <w:tcW w:w="0" w:type="auto"/>
          </w:tcPr>
          <w:p>
            <w:pPr>
              <w:spacing w:line="240" w:lineRule="auto" w:before="0" w:after="0"/>
              <w:pStyle w:val="Compact"/>
            </w:pPr>
            <w:r>
              <w:rPr>
                <w:sz w:val="20"/>
                <w:szCs w:val="20"/>
              </w:rPr>
              <w:t xml:space="preserve">GAO Major Project Assessments technology maturity tables and NASA AD&amp;D reports</w:t>
            </w:r>
          </w:p>
        </w:tc>
      </w:tr>
    </w:tbl>
    <w:bookmarkEnd w:id="213"/>
    <w:bookmarkEnd w:id="214"/>
    <w:bookmarkEnd w:id="21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0" Type="http://schemas.openxmlformats.org/officeDocument/2006/relationships/image" Target="media/rId200.png"/><Relationship Id="rId208" Type="http://schemas.openxmlformats.org/officeDocument/2006/relationships/image" Target="media/rId208.png"/><Relationship Id="rId196" Type="http://schemas.openxmlformats.org/officeDocument/2006/relationships/hyperlink" Target="https://doi.org/10.1016/j.actaastro.2019.10.027" TargetMode="External"/><Relationship Id="rId188" Type="http://schemas.openxmlformats.org/officeDocument/2006/relationships/hyperlink" Target="https://doi.org/10.1016/j.actaastro.2020.10.043" TargetMode="External"/><Relationship Id="rId162" Type="http://schemas.openxmlformats.org/officeDocument/2006/relationships/hyperlink" Target="https://doi.org/10.1016/j.actaastro.2022.05.022" TargetMode="External"/><Relationship Id="rId184" Type="http://schemas.openxmlformats.org/officeDocument/2006/relationships/hyperlink" Target="https://doi.org/10.1016/j.actaastro.2023.07.037" TargetMode="External"/><Relationship Id="rId182" Type="http://schemas.openxmlformats.org/officeDocument/2006/relationships/hyperlink" Target="https://doi.org/10.1016/j.actaastro.2023.10.009" TargetMode="External"/><Relationship Id="rId194" Type="http://schemas.openxmlformats.org/officeDocument/2006/relationships/hyperlink" Target="https://doi.org/10.1016/j.actaastro.2024.12.059" TargetMode="External"/><Relationship Id="rId192" Type="http://schemas.openxmlformats.org/officeDocument/2006/relationships/hyperlink" Target="https://doi.org/10.1016/j.actaastro.2025.07.054" TargetMode="External"/><Relationship Id="rId190" Type="http://schemas.openxmlformats.org/officeDocument/2006/relationships/hyperlink" Target="https://doi.org/10.1016/j.actaastro.2025.12.053" TargetMode="External"/><Relationship Id="rId186" Type="http://schemas.openxmlformats.org/officeDocument/2006/relationships/hyperlink" Target="https://doi.org/10.1016/j.actaastro.2025.12.063" TargetMode="External"/><Relationship Id="rId159" Type="http://schemas.openxmlformats.org/officeDocument/2006/relationships/hyperlink" Target="https://doi.org/10.64861/FHSX9637" TargetMode="External"/><Relationship Id="rId178" Type="http://schemas.openxmlformats.org/officeDocument/2006/relationships/hyperlink" Target="https://doi.org/10.64861/PMMH7892" TargetMode="External"/><Relationship Id="rId174" Type="http://schemas.openxmlformats.org/officeDocument/2006/relationships/hyperlink" Target="https://doi.org/10.64861/VZRK7654" TargetMode="External"/><Relationship Id="rId157" Type="http://schemas.openxmlformats.org/officeDocument/2006/relationships/hyperlink" Target="https://doi.org/10.64861/WVJD1391" TargetMode="External"/></Relationships>
</file>

<file path=word/_rels/footnotes.xml.rels><?xml version='1.0' encoding='UTF-8' standalone='yes'?>
<Relationships xmlns="http://schemas.openxmlformats.org/package/2006/relationships"><Relationship Id="rId196" Type="http://schemas.openxmlformats.org/officeDocument/2006/relationships/hyperlink" Target="https://doi.org/10.1016/j.actaastro.2019.10.027" TargetMode="External"/><Relationship Id="rId188" Type="http://schemas.openxmlformats.org/officeDocument/2006/relationships/hyperlink" Target="https://doi.org/10.1016/j.actaastro.2020.10.043" TargetMode="External"/><Relationship Id="rId162" Type="http://schemas.openxmlformats.org/officeDocument/2006/relationships/hyperlink" Target="https://doi.org/10.1016/j.actaastro.2022.05.022" TargetMode="External"/><Relationship Id="rId184" Type="http://schemas.openxmlformats.org/officeDocument/2006/relationships/hyperlink" Target="https://doi.org/10.1016/j.actaastro.2023.07.037" TargetMode="External"/><Relationship Id="rId182" Type="http://schemas.openxmlformats.org/officeDocument/2006/relationships/hyperlink" Target="https://doi.org/10.1016/j.actaastro.2023.10.009" TargetMode="External"/><Relationship Id="rId194" Type="http://schemas.openxmlformats.org/officeDocument/2006/relationships/hyperlink" Target="https://doi.org/10.1016/j.actaastro.2024.12.059" TargetMode="External"/><Relationship Id="rId192" Type="http://schemas.openxmlformats.org/officeDocument/2006/relationships/hyperlink" Target="https://doi.org/10.1016/j.actaastro.2025.07.054" TargetMode="External"/><Relationship Id="rId190" Type="http://schemas.openxmlformats.org/officeDocument/2006/relationships/hyperlink" Target="https://doi.org/10.1016/j.actaastro.2025.12.053" TargetMode="External"/><Relationship Id="rId186" Type="http://schemas.openxmlformats.org/officeDocument/2006/relationships/hyperlink" Target="https://doi.org/10.1016/j.actaastro.2025.12.063" TargetMode="External"/><Relationship Id="rId159" Type="http://schemas.openxmlformats.org/officeDocument/2006/relationships/hyperlink" Target="https://doi.org/10.64861/FHSX9637" TargetMode="External"/><Relationship Id="rId178" Type="http://schemas.openxmlformats.org/officeDocument/2006/relationships/hyperlink" Target="https://doi.org/10.64861/PMMH7892" TargetMode="External"/><Relationship Id="rId174" Type="http://schemas.openxmlformats.org/officeDocument/2006/relationships/hyperlink" Target="https://doi.org/10.64861/VZRK7654" TargetMode="External"/><Relationship Id="rId157" Type="http://schemas.openxmlformats.org/officeDocument/2006/relationships/hyperlink" Target="https://doi.org/10.64861/WVJD13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Decomposition and Delay: Does the Modularity of a Space System’s Work-Breakdown Structure Predict Schedule Slip?</dc:title>
  <dc:creator>Daniel Adeyemi (1B-MPM-105)</dc:creator>
  <cp:keywords/>
  <dcterms:created xsi:type="dcterms:W3CDTF">2026-07-04T02:07:34Z</dcterms:created>
  <dcterms:modified xsi:type="dcterms:W3CDTF">2026-07-04T02:07:34Z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