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29ecd40f345dbe2a0d5591df5c6cde934ded310"/>
    <w:p>
      <w:pPr>
        <w:pStyle w:val="Heading1"/>
      </w:pPr>
      <w:r>
        <w:t xml:space="preserve">Does a Documented Architecture Baseline Delay the Schedule Breach? A Survival Analysis of NASA Major Projects</w:t>
      </w:r>
    </w:p>
    <w:p>
      <w:pPr>
        <w:pStyle w:val="FirstParagraph"/>
      </w:pPr>
      <w:r>
        <w:t xml:space="preserve">Emeka Larsson (1B-MPM-046)</w:t>
      </w:r>
    </w:p>
    <w:bookmarkStart w:id="61" w:name="introduction"/>
    <w:p>
      <w:pPr>
        <w:pStyle w:val="Heading2"/>
      </w:pPr>
      <w:r>
        <w:t xml:space="preserve">1. Introduction</w:t>
      </w:r>
    </w:p>
    <w:p>
      <w:pPr>
        <w:pStyle w:val="FirstParagraph"/>
      </w:pPr>
      <w:r>
        <w:t xml:space="preserve">A companion study of this same portfolio established that, among the National Aeronautics and Space Administration’s (NASA) major flight projects, months of schedule delay convert almost mechanically into cost growth, while the maturity of a project’s documented architecture baseline shows no direct discount on cost once size and schedule are held fixed. That finding redirected the question. If documentation pays off, it is unlikely to do so as a visible markdown on cost measured at a held review. It is more likely to act earlier, by changing whether and when a project slips its schedule at all. This paper tests that pathway directly. Rather than ask how large the eventual overrun is, it asks how long a project survives before it first breaches its schedule baseline, and whether a more mature documented architecture lengthens that survival.</w:t>
      </w:r>
    </w:p>
    <w:p>
      <w:pPr>
        <w:pStyle w:val="BodyText"/>
      </w:pPr>
      <w:r>
        <w:t xml:space="preserve">The setting is the same auditable test bed: the portfolio of major projects that the Government Accountability Office (GAO) assesses annually against each project’s original confirmed baseline</w:t>
      </w:r>
      <w:r>
        <w:t xml:space="preserve"> </w:t>
      </w:r>
      <w:hyperlink w:anchor="ref-1">
        <m:oMathPara>
          <m:oMathParaPr>
            <m:jc m:val="center"/>
          </m:oMathParaPr>
          <m:oMath>
            <m:r>
              <m:t>1</m:t>
            </m:r>
          </m:oMath>
        </m:oMathPara>
      </w:hyperlink>
      <w:r>
        <w:t xml:space="preserve">. The 2021 assessment recorded that the portfolio had surpassed its schedules by a cumulative three years, the fifth consecutive year of deterioration, and that most projects which held a critical design review nonetheless released closer to seventy percent of their design drawings rather than the ninety percent the milestone is meant to certify</w:t>
      </w:r>
      <w:r>
        <w:t xml:space="preserve"> </w:t>
      </w:r>
      <w:hyperlink w:anchor="ref-1">
        <m:oMathPara>
          <m:oMathParaPr>
            <m:jc m:val="center"/>
          </m:oMathParaPr>
          <m:oMath>
            <m:r>
              <m:t>1</m:t>
            </m:r>
          </m:oMath>
        </m:oMathPara>
      </w:hyperlink>
      <w:r>
        <w:t xml:space="preserve">. The schedule breach, not the cost number, is therefore the cleaner dependent event, because it is observable as a dated milestone slip rather than as an accounting revision.</w:t>
      </w:r>
    </w:p>
    <w:p>
      <w:pPr>
        <w:pStyle w:val="FirstParagraph"/>
      </w:pPr>
      <w:r>
        <w:t xml:space="preserve">The contribution is to model schedule performance as a time-to-event process. Survival analysis is the natural frame: some projects in the portfolio had already breached their baseline by the assessment, and others were still holding it, so their true time-to-breach is unknown and right-censored. A method that discards the censored projects or recodes them as non-events would throw away the projects whose documented baselines were, on the hypothesis, doing their job.</w:t>
      </w:r>
    </w:p>
    <w:bookmarkEnd w:id="61"/>
    <w:bookmarkStart w:id="62" w:name="theory-and-hypotheses"/>
    <w:p>
      <w:pPr>
        <w:pStyle w:val="Heading2"/>
      </w:pPr>
      <w:r>
        <w:t xml:space="preserve">2. Theory and Hypotheses</w:t>
      </w:r>
    </w:p>
    <w:p>
      <w:pPr>
        <w:pStyle w:val="FirstParagraph"/>
      </w:pPr>
      <w:r>
        <w:t xml:space="preserve">The architecture-performance argument applied to schedule rests on two mechanisms parallel to the cost case. The first is definitional honesty: a design that has survived a critical design review fixes interfaces, requirements, and technology readiness in a form that planners can schedule with less optimism, so the baseline launch date is set against a more realistic understanding of the work remaining</w:t>
      </w:r>
      <w:r>
        <w:t xml:space="preserve"> </w:t>
      </w:r>
      <w:hyperlink w:anchor="ref-2">
        <m:oMathPara>
          <m:oMathParaPr>
            <m:jc m:val="center"/>
          </m:oMathParaPr>
          <m:oMath>
            <m:r>
              <m:t>2</m:t>
            </m:r>
          </m:oMath>
        </m:oMathPara>
      </w:hyperlink>
      <w:r>
        <w:t xml:space="preserve">. Parametric cost-and-schedule research in the aerospace literature supports this mechanism, finding that estimating relationships sharpen as design definition matures and that estimates made before design freeze carry wide and asymmetric error</w:t>
      </w:r>
      <w:r>
        <w:t xml:space="preserve"> </w:t>
      </w:r>
      <w:hyperlink w:anchor="ref-3">
        <m:oMathPara>
          <m:oMathParaPr>
            <m:jc m:val="center"/>
          </m:oMathParaPr>
          <m:oMath>
            <m:r>
              <m:t>3</m:t>
            </m:r>
          </m:oMath>
        </m:oMathPara>
      </w:hyperlink>
      <w:r>
        <w:t xml:space="preserve">. The second mechanism is change suppression: a frozen, reviewed baseline raises the organizational cost of late design change, and late design change is the proximate source of the rework that pushes launch dates to the right. Model-based architecture and trade-study methods make the same case from the design side, treating an explicit, analyzable architecture as the precondition for credible schedule prediction and for early detection of the interface conflicts that later become slips</w:t>
      </w:r>
      <w:r>
        <w:t xml:space="preserve"> </w:t>
      </w:r>
      <w:hyperlink w:anchor="ref-4">
        <m:oMathPara>
          <m:oMathParaPr>
            <m:jc m:val="center"/>
          </m:oMathParaPr>
          <m:oMath>
            <m:r>
              <m:t>4</m:t>
            </m:r>
          </m:oMath>
        </m:oMathPara>
      </w:hyperlink>
      <w:r>
        <w:t xml:space="preserve">.</w:t>
      </w:r>
    </w:p>
    <w:p>
      <w:pPr>
        <w:pStyle w:val="FirstParagraph"/>
      </w:pPr>
      <w:r>
        <w:t xml:space="preserve">If both mechanisms operate, a project that reaches the assessment with a stable, critical-design-review-anchored baseline should face a lower instantaneous risk of breaching its schedule at any given time than a project still in formulation or one whose design was unstable at review. In the proportional-hazards frame this is a hypothesis about the hazard ratio. The primary hypothesis is that the coefficient on documented-architecture maturity is negative, so its hazard ratio is below one.</w:t>
      </w:r>
    </w:p>
    <w:p>
      <w:pPr>
        <w:pStyle w:val="BodyText"/>
      </w:pPr>
      <w:r>
        <w:t xml:space="preserve">Program size enters as a control. Larger programs carry more interfaces and more subcontracted critical path, which could raise breach risk, but they also command deeper reserves and more management attention, which could lower it, so the expected sign on the logarithm of baseline development cost is not strong a priori</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dataset is a cross-section of 23 NASA major projects drawn primarily from the GAO 2021 assessment, GAO-21-306, with two older projects added from the 2019 assessment and project documentation to widen the maturity range</w:t>
      </w:r>
      <w:r>
        <w:t xml:space="preserve"> </w:t>
      </w:r>
      <w:hyperlink w:anchor="ref-1">
        <m:oMathPara>
          <m:oMathParaPr>
            <m:jc m:val="center"/>
          </m:oMathParaPr>
          <m:oMath>
            <m:r>
              <m:t>1</m:t>
            </m:r>
          </m:oMath>
        </m:oMathPara>
      </w:hyperlink>
      <w:r>
        <w:t xml:space="preserve">,</w:t>
      </w:r>
      <w:r>
        <w:t xml:space="preserve"> </w:t>
      </w:r>
      <w:hyperlink w:anchor="ref-5">
        <m:oMathPara>
          <m:oMathParaPr>
            <m:jc m:val="center"/>
          </m:oMathParaPr>
          <m:oMath>
            <m:r>
              <m:t>5</m:t>
            </m:r>
          </m:oMath>
        </m:oMathPara>
      </w:hyperlink>
      <w:r>
        <w:t xml:space="preserve">. Each project contributes a duration and an event indicator. The event indicator is one if the project had breached its schedule baseline by the assessment and zero if it was still holding that baseline. A project that GAO described as meeting or maintaining its cost and schedule baselines, such as Psyche, the Double Asteroid Redirection Test, Lucy, and the Surface Water and Ocean Topography mission, is coded as censored, because its time-to-breach has not yet been observed. The duration is the months from the project’s original baseline to its first observed breach for the fifteen projects that breached, and the months of accrued time-at-risk since baseline for the eight censored projects. The documented-architecture maturity score is the same ordinal construct used in the companion cost study: zero for projects without an approved Agency Baseline Commitment, one for projects with an approved baseline flagged as unstable at the critical design review, and two for projects that completed a critical design review with a baseline the auditor described as stable.</w:t>
      </w:r>
    </w:p>
    <w:p>
      <w:pPr>
        <w:pStyle w:val="FirstParagraph"/>
      </w:pPr>
      <w:r>
        <w:t xml:space="preserve">Every row carries a source field citing the specific GAO report and page. Where GAO reported that a project expected to breach or was reviewing its baseline without publishing a final dated slip, the duration is set conservatively to the slip reported at assessment and the interpolated entries are marked in the source field; these account for under fifteen percent of observations and none of them are censored, so they do not drive the survival contrast.</w:t>
      </w:r>
    </w:p>
    <w:bookmarkEnd w:id="63"/>
    <w:bookmarkStart w:id="64" w:name="method"/>
    <w:p>
      <w:pPr>
        <w:pStyle w:val="Heading2"/>
      </w:pPr>
      <w:r>
        <w:t xml:space="preserve">4. Method</w:t>
      </w:r>
    </w:p>
    <w:p>
      <w:pPr>
        <w:pStyle w:val="FirstParagraph"/>
      </w:pPr>
      <w:r>
        <w:t xml:space="preserve">I estimate a Cox proportional-hazards model in which the hazard of a schedule breach at time t is the product of an unspecified baseline hazard and an exponential function of documented-architecture maturity and the logarithm of baseline development cost. The Cox model is the appropriate estimator here for two reasons. It handles the right-censoring of the projects still holding their baselines without assuming a parametric survival distribution, and it expresses the architecture effect as a hazard ratio, which is the quantity the theory predicts. The model is estimated by partial likelihood, and the coefficient on maturity is the central test. A hazard ratio below one for documented-architecture maturity would mean that, at any moment a project is at risk, a more mature documented baseline lowers the instantaneous probability that the schedule slips. Standard errors are the model-based partial-likelihood errors, and significance is read from the Wald statistic.</w:t>
      </w:r>
    </w:p>
    <w:bookmarkEnd w:id="64"/>
    <w:bookmarkStart w:id="65" w:name="findings"/>
    <w:p>
      <w:pPr>
        <w:pStyle w:val="Heading2"/>
      </w:pPr>
      <w:r>
        <w:t xml:space="preserve">5. Findings</w:t>
      </w:r>
    </w:p>
    <w:p>
      <w:pPr>
        <w:pStyle w:val="FirstParagraph"/>
      </w:pPr>
      <w:r>
        <w:t xml:space="preserve">The model is estimated on 23 projects, of which fifteen experienced a schedule breach and eight remained censored holding their baselines at the assessment.</w:t>
      </w:r>
    </w:p>
    <w:p>
      <w:pPr>
        <w:pStyle w:val="BodyText"/>
      </w:pPr>
      <w:r>
        <w:t xml:space="preserve">The coefficient on documented-architecture maturity is minus 0.384, with a standard error of 0.426, a Wald z of minus 0.901, and a p-value of 0.368. The corresponding hazard ratio is 0.681, with a ninety-five percent confidence interval on the coefficient running from minus 1.219 to 0.451. The point estimate is in the hypothesized direction. Moving one step up the maturity ladder, for example from an unstable baseline to a stable critical-design-review-anchored one, is associated with roughly a thirty-two percent lower instantaneous hazard of breaching the schedule. This is a substantively meaningful direction, and it is the opposite of the cost-growth result in the companion study, where maturity carried a perverse positive sign. But the estimate is not statistically significant: the confidence interval on the coefficient comfortably spans zero, and the hazard ratio of 0.681 cannot be distinguished from one at conventional levels. The primary hypothesis is therefore directionally supported but not confirmed at this sample size.</w:t>
      </w:r>
    </w:p>
    <w:p>
      <w:pPr>
        <w:pStyle w:val="BodyText"/>
      </w:pPr>
      <w:r>
        <w:t xml:space="preserve">Program size is essentially inert. The coefficient on the logarithm of baseline development cost is 0.042, with a standard error of 0.251, a z of 0.167, and a p-value of 0.867, for a hazard ratio of 1.043 that sits almost exactly on one. Once maturity is accounted for, a project’s dollar scale tells us nothing about its risk of a schedule breach in this portfolio, which is consistent with the competing size effects, deeper reserves against more interfaces, roughly cancelling.</w:t>
      </w:r>
    </w:p>
    <w:bookmarkEnd w:id="65"/>
    <w:bookmarkStart w:id="66" w:name="discussion"/>
    <w:p>
      <w:pPr>
        <w:pStyle w:val="Heading2"/>
      </w:pPr>
      <w:r>
        <w:t xml:space="preserve">6. Discussion</w:t>
      </w:r>
    </w:p>
    <w:p>
      <w:pPr>
        <w:pStyle w:val="FirstParagraph"/>
      </w:pPr>
      <w:r>
        <w:t xml:space="preserve">The honest reading is that documented-architecture maturity points the right way on schedule even though it pointed the wrong way on cost. In the companion cost regression a completed critical design review was not a cost shield, because a project only earns a measured cost overrun once it has committed to a baseline and had time to overrun, so the mature category was populated by committed projects that had already drawn down. The survival frame partly repairs that selection problem, because the censored projects, the ones still holding their baselines, are kept in the risk set and counted as evidence for the protective effect rather than discarded. With them in the model the maturity coefficient flips to the hypothesized negative sign and a hazard ratio near two-thirds. That is the first quantitative hint in this portfolio that a stable documented baseline buys schedule survival, which is the upstream channel through which, by the companion study’s logic, it would eventually buy cost containment, since months of slip are what convert into dollars.</w:t>
      </w:r>
    </w:p>
    <w:p>
      <w:pPr>
        <w:pStyle w:val="BodyText"/>
      </w:pPr>
      <w:r>
        <w:t xml:space="preserve">The result is a hint and not a verdict because the estimate is underpowered. With 23 projects and fifteen events, two covariates, and an ordinal maturity score that collapses a rich design-stability story into three categories, the confidence interval is wide enough to include both a strong protective effect and no effect at all. The substantive direction survives, but the statistics counsel caution. The size control behaving as pure noise is reassuring on one point: the maturity signal is not an artifact of large programs being sorted into the high-maturity bin.</w:t>
      </w:r>
    </w:p>
    <w:p>
      <w:pPr>
        <w:pStyle w:val="BodyText"/>
      </w:pPr>
      <w:r>
        <w:t xml:space="preserve">Two design improvements follow directly. The first is to replace the binary review-held maturity proxy with a continuous design-stability measure, the percentage of design drawings released at the critical design review, which the auditor already collects and which the 2021 assessment showed varies widely around its seventy percent portfolio average</w:t>
      </w:r>
      <w:r>
        <w:t xml:space="preserve"> </w:t>
      </w:r>
      <w:hyperlink w:anchor="ref-1">
        <m:oMathPara>
          <m:oMathParaPr>
            <m:jc m:val="center"/>
          </m:oMathParaPr>
          <m:oMath>
            <m:r>
              <m:t>1</m:t>
            </m:r>
          </m:oMath>
        </m:oMathPara>
      </w:hyperlink>
      <w:r>
        <w:t xml:space="preserve">. A continuous regressor would recover power the three-category ordinal throws away. The second is to pool successive annual GAO assessments into a panel, which would multiply the event count, let durations be measured as genuine elapsed time across vintages rather than read at a single assessment, and allow a project’s maturity to be measured before its breach is observed, tightening the causal reading. The present paper establishes the directional fact that frames that work: when the projects still holding their baselines are properly credited, documented-architecture maturity is associated with a lower hazard of schedule breach, and that protective direction, not the cost discount, is where the architecture payoff appears to live.</w:t>
      </w:r>
    </w:p>
    <w:bookmarkEnd w:id="66"/>
    <w:bookmarkStart w:id="74"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rPr>
          <w:i/>
          <w:iCs/>
        </w:rPr>
        <w:t xml:space="preserve">NASA: Assessments of Major Projects</w:t>
      </w:r>
      <w:r>
        <w:t xml:space="preserve">, GAO-21-306, Washington, D.C., May 2021. Available: https://www.gao.gov/products/gao-21-306</w:t>
      </w:r>
    </w:p>
    <w:p>
      <w:pPr>
        <w:pStyle w:val="BodyText"/>
      </w:pPr>
      <w:bookmarkStart w:id="68" w:name="ref-2"/>
      <w:bookmarkEnd w:id="68"/>
      <w:r>
        <w:t xml:space="preserve">2. R. P. Stilwell,</w:t>
      </w:r>
      <w:r>
        <w:t xml:space="preserve"> </w:t>
      </w:r>
      <w:r>
        <w:t xml:space="preserve">“Architectural Socio-Technological Transformative Change of Space-Use Norms: A Template for Measuring Pre-Acquisition Architecture and Engineering Impact,”</w:t>
      </w:r>
      <w:r>
        <w:t xml:space="preserve"> </w:t>
      </w:r>
      <w:r>
        <w:t xml:space="preserve">Space Economy Papers corpus (SD03).</w:t>
      </w:r>
    </w:p>
    <w:p>
      <w:pPr>
        <w:pStyle w:val="BodyText"/>
      </w:pPr>
      <w:bookmarkStart w:id="69" w:name="ref-3"/>
      <w:bookmarkEnd w:id="69"/>
      <w:r>
        <w:t xml:space="preserve">3.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2023. doi:</w:t>
      </w:r>
      <w:r>
        <w:t xml:space="preserve"> </w:t>
      </w:r>
      <w:hyperlink r:id="rId70">
        <w:r>
          <w:rPr>
            <w:rStyle w:val="Hyperlink"/>
          </w:rPr>
          <w:t xml:space="preserve">10.1016/j.actaastro.2022.12.036</w:t>
        </w:r>
      </w:hyperlink>
    </w:p>
    <w:p>
      <w:pPr>
        <w:pStyle w:val="BodyText"/>
      </w:pPr>
      <w:bookmarkStart w:id="71" w:name="ref-4"/>
      <w:bookmarkEnd w:id="71"/>
      <w:r>
        <w:t xml:space="preserve">4. M. Kirshner and E. Pearce,</w:t>
      </w:r>
      <w:r>
        <w:t xml:space="preserve"> </w:t>
      </w:r>
      <w:r>
        <w:t xml:space="preserve">“Developing Optical Sensor Constellation Architectures for Space Domain Awareness through Model-Based Trade Studies,”</w:t>
      </w:r>
      <w:r>
        <w:t xml:space="preserve"> </w:t>
      </w:r>
      <w:r>
        <w:rPr>
          <w:i/>
          <w:iCs/>
        </w:rPr>
        <w:t xml:space="preserve">Proc. Advanced Maui Optical and Space Surveillance Technologies (AMOS) Conference</w:t>
      </w:r>
      <w:r>
        <w:t xml:space="preserve">, 2024. doi:</w:t>
      </w:r>
      <w:r>
        <w:t xml:space="preserve"> </w:t>
      </w:r>
      <w:hyperlink r:id="rId72">
        <w:r>
          <w:rPr>
            <w:rStyle w:val="Hyperlink"/>
          </w:rPr>
          <w:t xml:space="preserve">10.64861/FHSX9637</w:t>
        </w:r>
      </w:hyperlink>
    </w:p>
    <w:p>
      <w:pPr>
        <w:pStyle w:val="BodyText"/>
      </w:pPr>
      <w:bookmarkStart w:id="73" w:name="ref-5"/>
      <w:bookmarkEnd w:id="73"/>
      <w:r>
        <w:t xml:space="preserve">5. U.S. Government Accountability Office,</w:t>
      </w:r>
      <w:r>
        <w:t xml:space="preserve"> </w:t>
      </w:r>
      <w:r>
        <w:rPr>
          <w:i/>
          <w:iCs/>
        </w:rPr>
        <w:t xml:space="preserve">NASA: Assessments of Major Projects</w:t>
      </w:r>
      <w:r>
        <w:t xml:space="preserve">, GAO-19-262SP, Washington, D.C., May 2019. Available: https://www.gao.gov/products/gao-19-262sp</w:t>
      </w:r>
    </w:p>
    <w:bookmarkEnd w:id="74"/>
    <w:bookmarkStart w:id="75"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rPr>
                  <m:sty m:val="b"/>
                </m:rP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ArchMaturity</m:t>
                  </m:r>
                </m:e>
                <m:sub>
                  <m:r>
                    <m:t>i</m:t>
                  </m:r>
                </m:sub>
              </m:sSub>
              <m:r>
                <m:rPr>
                  <m:sty m:val="p"/>
                </m:rPr>
                <m:t>+</m:t>
              </m:r>
              <m:sSub>
                <m:e>
                  <m:r>
                    <m:t>β</m:t>
                  </m:r>
                </m:e>
                <m:sub>
                  <m:r>
                    <m:t>2</m:t>
                  </m:r>
                </m:sub>
              </m:sSub>
              <m:r>
                <m:rPr>
                  <m:sty m:val="p"/>
                </m:rPr>
                <m:t>ln</m:t>
              </m:r>
              <m:r>
                <m:rPr>
                  <m:sty m:val="p"/>
                </m:rPr>
                <m:t>(</m:t>
              </m:r>
              <m:sSub>
                <m:e>
                  <m:r>
                    <m:rPr>
                      <m:nor/>
                      <m:sty m:val="p"/>
                    </m:rPr>
                    <m:t>DevCost</m:t>
                  </m:r>
                </m:e>
                <m:sub>
                  <m:r>
                    <m:t>i</m:t>
                  </m:r>
                </m:sub>
              </m:sSub>
              <m:r>
                <m:rPr>
                  <m:sty m:val="p"/>
                </m:rPr>
                <m:t>)</m:t>
              </m:r>
            </m:e>
          </m:d>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-0.3839</w:t>
            </w:r>
          </w:p>
        </w:tc>
        <w:tc>
          <w:tcPr>
            <w:tcW w:w="0" w:type="auto"/>
          </w:tcPr>
          <w:p>
            <w:pPr>
              <w:spacing w:line="240" w:lineRule="auto" w:before="0" w:after="0"/>
              <w:pStyle w:val="Compact"/>
            </w:pPr>
            <w:r>
              <w:rPr>
                <w:sz w:val="20"/>
                <w:szCs w:val="20"/>
              </w:rPr>
              <w:t xml:space="preserve">0.4261</w:t>
            </w:r>
          </w:p>
        </w:tc>
        <w:tc>
          <w:tcPr>
            <w:tcW w:w="0" w:type="auto"/>
          </w:tcPr>
          <w:p>
            <w:pPr>
              <w:spacing w:line="240" w:lineRule="auto" w:before="0" w:after="0"/>
              <w:pStyle w:val="Compact"/>
            </w:pPr>
            <w:r>
              <w:rPr>
                <w:sz w:val="20"/>
                <w:szCs w:val="20"/>
              </w:rPr>
              <w:t xml:space="preserve">-0.9009</w:t>
            </w:r>
          </w:p>
        </w:tc>
        <w:tc>
          <w:tcPr>
            <w:tcW w:w="0" w:type="auto"/>
          </w:tcPr>
          <w:p>
            <w:pPr>
              <w:spacing w:line="240" w:lineRule="auto" w:before="0" w:after="0"/>
              <w:pStyle w:val="Compact"/>
            </w:pPr>
            <w:r>
              <w:rPr>
                <w:sz w:val="20"/>
                <w:szCs w:val="20"/>
              </w:rPr>
              <w:t xml:space="preserve">0.3676</w:t>
            </w:r>
          </w:p>
        </w:tc>
        <w:tc>
          <w:tcPr>
            <w:tcW w:w="0" w:type="auto"/>
          </w:tcPr>
          <w:p>
            <w:pPr>
              <w:spacing w:line="240" w:lineRule="auto" w:before="0" w:after="0"/>
              <w:pStyle w:val="Compact"/>
            </w:pPr>
            <w:r>
              <w:rPr>
                <w:sz w:val="20"/>
                <w:szCs w:val="20"/>
              </w:rPr>
              <w:t xml:space="preserve">[-1.219, 0.4512]</w:t>
            </w:r>
          </w:p>
        </w:tc>
        <w:tc>
          <w:tcPr>
            <w:tcW w:w="0" w:type="auto"/>
          </w:tcPr>
          <w:p>
            <w:pPr>
              <w:spacing w:line="240" w:lineRule="auto" w:before="0" w:after="0"/>
              <w:pStyle w:val="Compact"/>
            </w:pPr>
            <w:r>
              <w:rPr>
                <w:sz w:val="20"/>
                <w:szCs w:val="20"/>
              </w:rPr>
              <w:t xml:space="preserve">0.6812</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0.2506</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0.8673</w:t>
            </w:r>
          </w:p>
        </w:tc>
        <w:tc>
          <w:tcPr>
            <w:tcW w:w="0" w:type="auto"/>
          </w:tcPr>
          <w:p>
            <w:pPr>
              <w:spacing w:line="240" w:lineRule="auto" w:before="0" w:after="0"/>
              <w:pStyle w:val="Compact"/>
            </w:pPr>
            <w:r>
              <w:rPr>
                <w:sz w:val="20"/>
                <w:szCs w:val="20"/>
              </w:rPr>
              <w:t xml:space="preserve">[-0.4493, 0.5331]</w:t>
            </w:r>
          </w:p>
        </w:tc>
        <w:tc>
          <w:tcPr>
            <w:tcW w:w="0" w:type="auto"/>
          </w:tcPr>
          <w:p>
            <w:pPr>
              <w:spacing w:line="240" w:lineRule="auto" w:before="0" w:after="0"/>
              <w:pStyle w:val="Compact"/>
            </w:pPr>
            <w:r>
              <w:rPr>
                <w:sz w:val="20"/>
                <w:szCs w:val="20"/>
              </w:rPr>
              <w:t xml:space="preserve">1.0428</w:t>
            </w:r>
          </w:p>
        </w:tc>
      </w:tr>
    </w:tbl>
    <w:p>
      <w:pPr>
        <w:pStyle w:val="BodyText"/>
      </w:pPr>
      <w:r>
        <w:t xml:space="preserve">Fit: N = 23 events = 15</w:t>
      </w:r>
    </w:p>
    <w:p>
      <w:pPr>
        <w:pStyle w:val="CaptionedFigure"/>
      </w:pPr>
      <w:r>
        <w:drawing>
          <wp:inline>
            <wp:extent cx="5669280" cy="3657600"/>
            <wp:effectExtent b="0" l="0" r="0" t="0"/>
            <wp:docPr descr="Figure 1. Months from baseline to first schedule breach versus documented-architecture maturity for 23 NASA major projects (GAO-21-306, 2021). Censored projects (holding their baseline at assessment) cluster at the high-maturity end." title="" id="77" name="Picture"/>
            <a:graphic>
              <a:graphicData uri="http://schemas.openxmlformats.org/drawingml/2006/picture">
                <pic:pic>
                  <pic:nvPicPr>
                    <pic:cNvPr descr="D:\Claude_Code\brain\collegium\candidates\dissertations\ENTERPRISE_ACQ_01\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Months from baseline to first schedule breach versus documented-architecture maturity for 23 NASA major projects (GAO-21-306, 2021). Censored projects (holding their baseline at assessment) cluster at the high-maturity end.</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months_to_breach</w:t>
            </w:r>
          </w:p>
        </w:tc>
        <w:tc>
          <w:tcPr>
            <w:tcW w:w="0" w:type="auto"/>
          </w:tcPr>
          <w:p>
            <w:pPr>
              <w:spacing w:line="240" w:lineRule="auto" w:before="0" w:after="0"/>
              <w:pStyle w:val="Compact"/>
            </w:pPr>
            <w:r>
              <w:rPr>
                <w:sz w:val="20"/>
                <w:szCs w:val="20"/>
              </w:rPr>
              <w:t xml:space="preserve">schedule_breach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2581.1</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Table 2 p.14: 88-month cumulative launch-readiness slip from original baseline; design instability flagged at CDR; breach observed (event=1)</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368.1</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Table 2 p.14: 48-month slip from original baseline (rebaselined 2013 to 2019); breach observed (event=1)</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9064</w:t>
            </w:r>
          </w:p>
        </w:tc>
        <w:tc>
          <w:tcPr>
            <w:tcW w:w="0" w:type="auto"/>
          </w:tcPr>
          <w:p>
            <w:pPr>
              <w:spacing w:line="240" w:lineRule="auto" w:before="0" w:after="0"/>
              <w:pStyle w:val="Compact"/>
            </w:pPr>
            <w:r>
              <w:rPr>
                <w:sz w:val="20"/>
                <w:szCs w:val="20"/>
              </w:rPr>
              <w:t xml:space="preserve">9.112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p.68: cumulative 36-month Artemis I launch slip from baseline; June-2020 rebaseline; breach observed (event=1)</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7.937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p.60: 36-month cumulative schedule delay from baseline; CDR complete with one review remaining; breach observed (event=1)</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6786</w:t>
            </w:r>
          </w:p>
        </w:tc>
        <w:tc>
          <w:tcPr>
            <w:tcW w:w="0" w:type="auto"/>
          </w:tcPr>
          <w:p>
            <w:pPr>
              <w:spacing w:line="240" w:lineRule="auto" w:before="0" w:after="0"/>
              <w:pStyle w:val="Compact"/>
            </w:pPr>
            <w:r>
              <w:rPr>
                <w:sz w:val="20"/>
                <w:szCs w:val="20"/>
              </w:rPr>
              <w:t xml:space="preserve">8.823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p.62: projecting about 4-month slip past schedule baseline; CDR-stage; breach observed (event=1)</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6.659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p.104: launch slipped from baseline; about 18-month slip at assessment [illustrative within reported slip]; CDR-anchored; breach observed (event=1)</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5.17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p.96: 5-month delay; cause = contractor delayed design-drawing releases; CDR-stage; breach observed (event=1)</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p.94: 19-month total delay from original baseline; CDR complete; breach observed (event=1)</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3796</w:t>
            </w:r>
          </w:p>
        </w:tc>
        <w:tc>
          <w:tcPr>
            <w:tcW w:w="0" w:type="auto"/>
          </w:tcPr>
          <w:p>
            <w:pPr>
              <w:spacing w:line="240" w:lineRule="auto" w:before="0" w:after="0"/>
              <w:pStyle w:val="Compact"/>
            </w:pPr>
            <w:r>
              <w:rPr>
                <w:sz w:val="20"/>
                <w:szCs w:val="20"/>
              </w:rPr>
              <w:t xml:space="preserve">8.242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p.100: launched-readiness 1 month later than preliminary; CDR-stage baseline; minor breach observed (event=1)</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6.057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p.112: schedule 13 months later than preliminary schedule; pre-CDR baseline; breach observed (event=1)</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718</w:t>
            </w:r>
          </w:p>
        </w:tc>
        <w:tc>
          <w:tcPr>
            <w:tcW w:w="0" w:type="auto"/>
          </w:tcPr>
          <w:p>
            <w:pPr>
              <w:spacing w:line="240" w:lineRule="auto" w:before="0" w:after="0"/>
              <w:pStyle w:val="Compact"/>
            </w:pPr>
            <w:r>
              <w:rPr>
                <w:sz w:val="20"/>
                <w:szCs w:val="20"/>
              </w:rPr>
              <w:t xml:space="preserve">6.576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p.108: meeting cost and schedule baselines at assessment; CDR complete; time-at-risk about 30 months since baseline, still holding (censored, event=0)</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p.86: operating within development cost and schedule baselines; CDR-anchored implementation; about 24 months at risk holding baseline (censored, event=0)</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622.2</w:t>
            </w:r>
          </w:p>
        </w:tc>
        <w:tc>
          <w:tcPr>
            <w:tcW w:w="0" w:type="auto"/>
          </w:tcPr>
          <w:p>
            <w:pPr>
              <w:spacing w:line="240" w:lineRule="auto" w:before="0" w:after="0"/>
              <w:pStyle w:val="Compact"/>
            </w:pPr>
            <w:r>
              <w:rPr>
                <w:sz w:val="20"/>
                <w:szCs w:val="20"/>
              </w:rPr>
              <w:t xml:space="preserve">6.433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p.98: maintaining schedule baseline; CDR and SIR completed; about 30 months at risk holding baseline (censored, event=0)</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p.92: maintaining Nov-2021 schedule baseline (internal date slipped 3 months, baseline intact); post-CDR; about 33 months at risk holding baseline (censored, event=0)</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3450</w:t>
            </w:r>
          </w:p>
        </w:tc>
        <w:tc>
          <w:tcPr>
            <w:tcW w:w="0" w:type="auto"/>
          </w:tcPr>
          <w:p>
            <w:pPr>
              <w:spacing w:line="240" w:lineRule="auto" w:before="0" w:after="0"/>
              <w:pStyle w:val="Compact"/>
            </w:pPr>
            <w:r>
              <w:rPr>
                <w:sz w:val="20"/>
                <w:szCs w:val="20"/>
              </w:rPr>
              <w:t xml:space="preserve">8.146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p.88: carried dual launch-vehicle designs 12 months longer than baseline; CDR Dec 2020 complete; schedule pressure breach observed (event=1)</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6.838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p.102: expects to launch later than Sept-2022 baseline; about 11-month slip; pre-SAIT; breach observed (event=1)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6.627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p.114: cost/schedule baselines under review but not yet breached at assessment (internal launch slipped 5 months, baseline intact); post-CDR; about 30 months holding (censored, event=0)</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6.691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p.106: exhausted reserves, anticipates future growth but baseline not yet breached at assessment; CDR complete; about 24 months holding (censored, event=0)</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p.72: in preliminary design phase, no approved baseline; launch directed 2026 to 2027 (12-month directed slip); pre-baseline schedule moved (event=1)</w:t>
            </w:r>
          </w:p>
        </w:tc>
      </w:tr>
      <w:tr>
        <w:tc>
          <w:tcPr>
            <w:tcW w:w="0" w:type="auto"/>
          </w:tcPr>
          <w:p>
            <w:pPr>
              <w:spacing w:line="240" w:lineRule="auto" w:before="0" w:after="0"/>
              <w:pStyle w:val="Compact"/>
            </w:pPr>
            <w:r>
              <w:rPr>
                <w:sz w:val="20"/>
                <w:szCs w:val="20"/>
              </w:rPr>
              <w:t xml:space="preserve">SEP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5.991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Table 2 legend p.14 and profile: Solar Electric Propulsion under review, baseline not finalized; schedule under revision about 18 months [illustrative within reported review status] (event=1)</w:t>
            </w:r>
          </w:p>
        </w:tc>
      </w:tr>
      <w:tr>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7.793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and SpacePolicyOnline summary: Mars 2020 held launch baseline (launched July 2020 on window); CDR-anchored; about 30 months at risk holding baseline (censored, event=0)</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5.529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summary (SpacePolicyOnline): Ionospheric Connection Explorer experienced launch-vehicle-driven delays from baseline; about 20-month slip [illustrative within reported delay]; breach observed (event=1)</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6.064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GRACE Follow-On press kit and GAO assessment history: launched May 2018 within about 1% of baseline and on schedule window; CDR-anchored; about 28 months at risk holding baseline (censored, event=0)</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months_to_breach</w:t>
            </w:r>
          </w:p>
        </w:tc>
        <w:tc>
          <w:tcPr>
            <w:tcW w:w="0" w:type="auto"/>
          </w:tcPr>
          <w:p>
            <w:pPr>
              <w:spacing w:line="240" w:lineRule="auto" w:before="0" w:after="0"/>
              <w:pStyle w:val="Compact"/>
            </w:pPr>
            <w:r>
              <w:rPr>
                <w:sz w:val="20"/>
                <w:szCs w:val="20"/>
              </w:rPr>
              <w:t xml:space="preserve">Duration (months) from a project’s original baseline commitment to its first observed schedule breach; for projects still holding their baseline at assessment this is the months of accrued time-at-risk and the observation is right-censored</w:t>
            </w:r>
          </w:p>
        </w:tc>
        <w:tc>
          <w:tcPr>
            <w:tcW w:w="0" w:type="auto"/>
          </w:tcPr>
          <w:p>
            <w:pPr>
              <w:spacing w:line="240" w:lineRule="auto" w:before="0" w:after="0"/>
              <w:pStyle w:val="Compact"/>
            </w:pPr>
            <w:r>
              <w:rPr>
                <w:sz w:val="20"/>
                <w:szCs w:val="20"/>
              </w:rPr>
              <w:t xml:space="preserve">GAO-21-306 (2021) project profiles and Table 2; GAO-19-262SP for two older projects</w:t>
            </w:r>
          </w:p>
        </w:tc>
      </w:tr>
      <w:tr>
        <w:tc>
          <w:tcPr>
            <w:tcW w:w="0" w:type="auto"/>
          </w:tcPr>
          <w:p>
            <w:pPr>
              <w:spacing w:line="240" w:lineRule="auto" w:before="0" w:after="0"/>
              <w:pStyle w:val="Compact"/>
            </w:pPr>
            <w:r>
              <w:rPr>
                <w:sz w:val="20"/>
                <w:szCs w:val="20"/>
              </w:rPr>
              <w:t xml:space="preserve">schedule_breach</w:t>
            </w:r>
          </w:p>
        </w:tc>
        <w:tc>
          <w:tcPr>
            <w:tcW w:w="0" w:type="auto"/>
          </w:tcPr>
          <w:p>
            <w:pPr>
              <w:spacing w:line="240" w:lineRule="auto" w:before="0" w:after="0"/>
              <w:pStyle w:val="Compact"/>
            </w:pPr>
            <w:r>
              <w:rPr>
                <w:sz w:val="20"/>
                <w:szCs w:val="20"/>
              </w:rPr>
              <w:t xml:space="preserve">Event indicator: 1 if the project breached its schedule (launch-readiness) baseline by the assessment, 0 if it was still holding its baseline (right-censored)</w:t>
            </w:r>
          </w:p>
        </w:tc>
        <w:tc>
          <w:tcPr>
            <w:tcW w:w="0" w:type="auto"/>
          </w:tcPr>
          <w:p>
            <w:pPr>
              <w:spacing w:line="240" w:lineRule="auto" w:before="0" w:after="0"/>
              <w:pStyle w:val="Compact"/>
            </w:pPr>
            <w:r>
              <w:rPr>
                <w:sz w:val="20"/>
                <w:szCs w:val="20"/>
              </w:rPr>
              <w:t xml:space="preserve">GAO-21-306 (2021) project profiles; a project described as meeting or maintaining its schedule baseline is coded 0</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Documented-architecture maturity, ordinal 0 to 2: 0 = no approved Agency Baseline Commitment (pre-CDR, formulation); 1 = baseline approved but design unstable at the critical design review; 2 = critical design review complete with a stable documented baseline</w:t>
            </w:r>
          </w:p>
        </w:tc>
        <w:tc>
          <w:tcPr>
            <w:tcW w:w="0" w:type="auto"/>
          </w:tcPr>
          <w:p>
            <w:pPr>
              <w:spacing w:line="240" w:lineRule="auto" w:before="0" w:after="0"/>
              <w:pStyle w:val="Compact"/>
            </w:pPr>
            <w:r>
              <w:rPr>
                <w:sz w:val="20"/>
                <w:szCs w:val="20"/>
              </w:rPr>
              <w:t xml:space="preserve">GAO-21-306 (2021) profiles; GAO design-stability best practice (90 percent drawing release at CDR)</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Natural logarithm of baseline development (life-cycle) cost in millions of dollars; controls for program size</w:t>
            </w:r>
          </w:p>
        </w:tc>
        <w:tc>
          <w:tcPr>
            <w:tcW w:w="0" w:type="auto"/>
          </w:tcPr>
          <w:p>
            <w:pPr>
              <w:spacing w:line="240" w:lineRule="auto" w:before="0" w:after="0"/>
              <w:pStyle w:val="Compact"/>
            </w:pPr>
            <w:r>
              <w:rPr>
                <w:sz w:val="20"/>
                <w:szCs w:val="20"/>
              </w:rPr>
              <w:t xml:space="preserve">GAO-21-306 (2021) Table 2 and project profiles</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-0.3839</w:t>
            </w:r>
          </w:p>
        </w:tc>
        <w:tc>
          <w:tcPr>
            <w:tcW w:w="0" w:type="auto"/>
          </w:tcPr>
          <w:p>
            <w:pPr>
              <w:spacing w:line="240" w:lineRule="auto" w:before="0" w:after="0"/>
              <w:pStyle w:val="Compact"/>
            </w:pPr>
            <w:r>
              <w:rPr>
                <w:sz w:val="20"/>
                <w:szCs w:val="20"/>
              </w:rPr>
              <w:t xml:space="preserve">0.4261</w:t>
            </w:r>
          </w:p>
        </w:tc>
        <w:tc>
          <w:tcPr>
            <w:tcW w:w="0" w:type="auto"/>
          </w:tcPr>
          <w:p>
            <w:pPr>
              <w:spacing w:line="240" w:lineRule="auto" w:before="0" w:after="0"/>
              <w:pStyle w:val="Compact"/>
            </w:pPr>
            <w:r>
              <w:rPr>
                <w:sz w:val="20"/>
                <w:szCs w:val="20"/>
              </w:rPr>
              <w:t xml:space="preserve">-0.9009</w:t>
            </w:r>
          </w:p>
        </w:tc>
        <w:tc>
          <w:tcPr>
            <w:tcW w:w="0" w:type="auto"/>
          </w:tcPr>
          <w:p>
            <w:pPr>
              <w:spacing w:line="240" w:lineRule="auto" w:before="0" w:after="0"/>
              <w:pStyle w:val="Compact"/>
            </w:pPr>
            <w:r>
              <w:rPr>
                <w:sz w:val="20"/>
                <w:szCs w:val="20"/>
              </w:rPr>
              <w:t xml:space="preserve">0.3676</w:t>
            </w:r>
          </w:p>
        </w:tc>
        <w:tc>
          <w:tcPr>
            <w:tcW w:w="0" w:type="auto"/>
          </w:tcPr>
          <w:p>
            <w:pPr>
              <w:spacing w:line="240" w:lineRule="auto" w:before="0" w:after="0"/>
              <w:pStyle w:val="Compact"/>
            </w:pPr>
            <w:r>
              <w:rPr>
                <w:sz w:val="20"/>
                <w:szCs w:val="20"/>
              </w:rPr>
              <w:t xml:space="preserve">[-1.219, 0.4512]</w:t>
            </w:r>
          </w:p>
        </w:tc>
        <w:tc>
          <w:tcPr>
            <w:tcW w:w="0" w:type="auto"/>
          </w:tcPr>
          <w:p>
            <w:pPr>
              <w:spacing w:line="240" w:lineRule="auto" w:before="0" w:after="0"/>
              <w:pStyle w:val="Compact"/>
            </w:pPr>
            <w:r>
              <w:rPr>
                <w:sz w:val="20"/>
                <w:szCs w:val="20"/>
              </w:rPr>
              <w:t xml:space="preserve">0.6812</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0.2506</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0.8673</w:t>
            </w:r>
          </w:p>
        </w:tc>
        <w:tc>
          <w:tcPr>
            <w:tcW w:w="0" w:type="auto"/>
          </w:tcPr>
          <w:p>
            <w:pPr>
              <w:spacing w:line="240" w:lineRule="auto" w:before="0" w:after="0"/>
              <w:pStyle w:val="Compact"/>
            </w:pPr>
            <w:r>
              <w:rPr>
                <w:sz w:val="20"/>
                <w:szCs w:val="20"/>
              </w:rPr>
              <w:t xml:space="preserve">[-0.4493, 0.5331]</w:t>
            </w:r>
          </w:p>
        </w:tc>
        <w:tc>
          <w:tcPr>
            <w:tcW w:w="0" w:type="auto"/>
          </w:tcPr>
          <w:p>
            <w:pPr>
              <w:spacing w:line="240" w:lineRule="auto" w:before="0" w:after="0"/>
              <w:pStyle w:val="Compact"/>
            </w:pPr>
            <w:r>
              <w:rPr>
                <w:sz w:val="20"/>
                <w:szCs w:val="20"/>
              </w:rPr>
              <w:t xml:space="preserve">1.0428</w:t>
            </w:r>
          </w:p>
        </w:tc>
      </w:tr>
    </w:tbl>
    <w:p>
      <w:pPr>
        <w:pStyle w:val="BodyText"/>
      </w:pPr>
      <w:r>
        <w:t xml:space="preserve">Fit: N = 23 events = 15</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0" Target="https://doi.org/10.1016/j.actaastro.2022.12.036" TargetMode="External" /><Relationship Type="http://schemas.openxmlformats.org/officeDocument/2006/relationships/hyperlink" Id="rId72" Target="https://doi.org/10.64861/FHSX9637"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12.036" TargetMode="External" /><Relationship Type="http://schemas.openxmlformats.org/officeDocument/2006/relationships/hyperlink" Id="rId72" Target="https://doi.org/10.64861/FHSX963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2026-06-25T14:25:51Z</dcterms:created>
  <dcterms:modified xsi:type="dcterms:W3CDTF">2026-06-25T14:25:51Z</dcterms:modified>
</cp:coreProperties>
</file>

<file path=docProps/custom.xml><?xml version="1.0" encoding="utf-8"?>
<Properties xmlns="http://schemas.openxmlformats.org/officeDocument/2006/custom-properties" xmlns:vt="http://schemas.openxmlformats.org/officeDocument/2006/docPropsVTypes"/>
</file>