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ed7f3285f78cf9c0a05f7dfe6324539c08bb388"/>
    <w:p>
      <w:pPr>
        <w:pStyle w:val="Heading1"/>
      </w:pPr>
      <w:r>
        <w:t xml:space="preserve">Does a Documented Architecture Baseline Predict Cost Growth? Evidence from NASA Major Projects</w:t>
      </w:r>
    </w:p>
    <w:p>
      <w:pPr>
        <w:pStyle w:val="FirstParagraph"/>
      </w:pPr>
      <w:r>
        <w:t xml:space="preserve">Emeka Larsson (1B-MPM-046)</w:t>
      </w:r>
    </w:p>
    <w:bookmarkStart w:id="61" w:name="introduction"/>
    <w:p>
      <w:pPr>
        <w:pStyle w:val="Heading2"/>
      </w:pPr>
      <w:r>
        <w:t xml:space="preserve">1. Introduction</w:t>
      </w:r>
    </w:p>
    <w:p>
      <w:pPr>
        <w:pStyle w:val="FirstParagraph"/>
      </w:pPr>
      <w:r>
        <w:t xml:space="preserve">The motivating claim of enterprise architecture practice is that a project which has documented and frozen its design before it commits public money will hold its cost and schedule better than one that has not. Architecture frameworks promise that a stable, reviewed baseline converts ambiguity into a managed plan, and that managed plans overrun less. This paper tests the cost half of that claim directly. It asks whether the maturity of a project’s documented architecture baseline, measured at the point where the National Aeronautics and Space Administration (NASA) confirms a project’s design through its critical design review, predicts the percentage by which the project’s development cost later grows.</w:t>
      </w:r>
    </w:p>
    <w:p>
      <w:pPr>
        <w:pStyle w:val="BodyText"/>
      </w:pPr>
      <w:r>
        <w:t xml:space="preserve">The setting is NASA’s portfolio of major flight projects, which the Government Accountability Office (GAO) assesses annually against each project’s original confirmed baseline</w:t>
      </w:r>
      <w:r>
        <w:t xml:space="preserve"> </w:t>
      </w:r>
      <w:hyperlink w:anchor="ref-1">
        <m:oMathPara>
          <m:oMathParaPr>
            <m:jc m:val="center"/>
          </m:oMathParaPr>
          <m:oMath>
            <m:r>
              <m:t>1</m:t>
            </m:r>
          </m:oMath>
        </m:oMathPara>
      </w:hyperlink>
      <w:r>
        <w:t xml:space="preserve">. The portfolio is an unusually clean test bed: every project passes through the same gated life cycle, every project’s cost growth is measured against a common definition of baseline, and an external auditor publishes the numbers. The 2020 assessment reported that portfolio development cost growth had risen to approximately 31 percent, the third consecutive year of deterioration, and the GAO has repeatedly noted that projects holding a critical design review often fall short of the best practice of releasing ninety percent of design drawings at that review</w:t>
      </w:r>
      <w:r>
        <w:t xml:space="preserve"> </w:t>
      </w:r>
      <w:hyperlink w:anchor="ref-1">
        <m:oMathPara>
          <m:oMathParaPr>
            <m:jc m:val="center"/>
          </m:oMathParaPr>
          <m:oMath>
            <m:r>
              <m:t>1</m:t>
            </m:r>
          </m:oMath>
        </m:oMathPara>
      </w:hyperlink>
      <w:r>
        <w:t xml:space="preserve">. That gap between a review held and a design genuinely stabilized is the variation this paper exploits.</w:t>
      </w:r>
    </w:p>
    <w:p>
      <w:pPr>
        <w:pStyle w:val="FirstParagraph"/>
      </w:pPr>
      <w:r>
        <w:t xml:space="preserve">The contribution is to move the architecture-and-performance question from assertion to estimation. Rather than argue that documentation helps, I regress observed cost growth on a graded measure of documented-architecture maturity, holding program size and schedule execution constant, and report what the data say even where they cut against the practitioner intuition.</w:t>
      </w:r>
    </w:p>
    <w:bookmarkEnd w:id="61"/>
    <w:bookmarkStart w:id="62" w:name="theory-and-hypotheses"/>
    <w:p>
      <w:pPr>
        <w:pStyle w:val="Heading2"/>
      </w:pPr>
      <w:r>
        <w:t xml:space="preserve">2. Theory and Hypotheses</w:t>
      </w:r>
    </w:p>
    <w:p>
      <w:pPr>
        <w:pStyle w:val="FirstParagraph"/>
      </w:pPr>
      <w:r>
        <w:t xml:space="preserve">The architecture-performance hypothesis rests on two linked mechanisms. The first is information: a documented design that has survived a critical design review encodes interfaces, requirements, and technology readiness in a form that estimators can cost with less error, so the baseline against which growth is later measured is itself more honest</w:t>
      </w:r>
      <w:r>
        <w:t xml:space="preserve"> </w:t>
      </w:r>
      <w:hyperlink w:anchor="ref-2">
        <m:oMathPara>
          <m:oMathParaPr>
            <m:jc m:val="center"/>
          </m:oMathParaPr>
          <m:oMath>
            <m:r>
              <m:t>2</m:t>
            </m:r>
          </m:oMath>
        </m:oMathPara>
      </w:hyperlink>
      <w:r>
        <w:t xml:space="preserve">. The second is commitment: a frozen, reviewed baseline raises the organizational cost of late design change, which is the proximate source of rework and overrun in complex aerospace programs</w:t>
      </w:r>
      <w:r>
        <w:t xml:space="preserve"> </w:t>
      </w:r>
      <w:hyperlink w:anchor="ref-3">
        <m:oMathPara>
          <m:oMathParaPr>
            <m:jc m:val="center"/>
          </m:oMathParaPr>
          <m:oMath>
            <m:r>
              <m:t>3</m:t>
            </m:r>
          </m:oMath>
        </m:oMathPara>
      </w:hyperlink>
      <w:r>
        <w:t xml:space="preserve">. Parametric cost research in the aerospace literature reinforces the first mechanism, showing that cost-estimating relationships sharpen as design definition matures and that estimates made before design freeze carry wide and asymmetric error bands</w:t>
      </w:r>
      <w:r>
        <w:t xml:space="preserve"> </w:t>
      </w:r>
      <w:hyperlink w:anchor="ref-3">
        <m:oMathPara>
          <m:oMathParaPr>
            <m:jc m:val="center"/>
          </m:oMathParaPr>
          <m:oMath>
            <m:r>
              <m:t>3</m:t>
            </m:r>
          </m:oMath>
        </m:oMathPara>
      </w:hyperlink>
      <w:r>
        <w:t xml:space="preserve">. Model-based architecture and trade-study methods make the same argument from the design side, treating an explicit, analyzable architecture as the precondition for credible cost and schedule prediction</w:t>
      </w:r>
      <w:r>
        <w:t xml:space="preserve"> </w:t>
      </w:r>
      <w:hyperlink w:anchor="ref-4">
        <m:oMathPara>
          <m:oMathParaPr>
            <m:jc m:val="center"/>
          </m:oMathParaPr>
          <m:oMath>
            <m:r>
              <m:t>4</m:t>
            </m:r>
          </m:oMath>
        </m:oMathPara>
      </w:hyperlink>
      <w:r>
        <w:t xml:space="preserve">.</w:t>
      </w:r>
    </w:p>
    <w:p>
      <w:pPr>
        <w:pStyle w:val="FirstParagraph"/>
      </w:pPr>
      <w:r>
        <w:t xml:space="preserve">If both mechanisms operate, then projects that reach my study with a stable, critical-design-review-anchored baseline should display lower percentage cost growth than projects still in formulation or projects whose designs were unstable at review. This yields the primary hypothesis: the coefficient on documented-architecture maturity is negative.</w:t>
      </w:r>
    </w:p>
    <w:p>
      <w:pPr>
        <w:pStyle w:val="BodyText"/>
      </w:pPr>
      <w:r>
        <w:t xml:space="preserve">Two control relationships are expected. Larger programs, measured by the logarithm of baseline development cost, may show lower percentage growth because a fixed dollar surprise is a smaller share of a large base, even though their absolute overruns dominate the portfolio</w:t>
      </w:r>
      <w:r>
        <w:t xml:space="preserve"> </w:t>
      </w:r>
      <w:hyperlink w:anchor="ref-1">
        <m:oMathPara>
          <m:oMathParaPr>
            <m:jc m:val="center"/>
          </m:oMathParaPr>
          <m:oMath>
            <m:r>
              <m:t>1</m:t>
            </m:r>
          </m:oMath>
        </m:oMathPara>
      </w:hyperlink>
      <w:r>
        <w:t xml:space="preserve">. Schedule delay is expected to carry a positive sign, because in cost-reimbursable aerospace work the standing army of engineers continues to draw salary while the launch date slips, so months of delay mechanically convert into cost growth</w:t>
      </w:r>
      <w:r>
        <w:t xml:space="preserve"> </w:t>
      </w:r>
      <w:hyperlink w:anchor="ref-1">
        <m:oMathPara>
          <m:oMathParaPr>
            <m:jc m:val="center"/>
          </m:oMathParaPr>
          <m:oMath>
            <m:r>
              <m:t>1</m:t>
            </m:r>
          </m:oMath>
        </m:oMathPara>
      </w:hyperlink>
      <w:r>
        <w:t xml:space="preserve">.</w:t>
      </w:r>
    </w:p>
    <w:bookmarkEnd w:id="62"/>
    <w:bookmarkStart w:id="63" w:name="data"/>
    <w:p>
      <w:pPr>
        <w:pStyle w:val="Heading2"/>
      </w:pPr>
      <w:r>
        <w:t xml:space="preserve">3. Data</w:t>
      </w:r>
    </w:p>
    <w:p>
      <w:pPr>
        <w:pStyle w:val="FirstParagraph"/>
      </w:pPr>
      <w:r>
        <w:t xml:space="preserve">The dataset is a cross-section of 23 NASA major projects. Sixteen are drawn from the project profiles and portfolio table of the GAO 2020 assessment, GAO-20-405, which publishes each project’s confirmation date, critical design review date, baseline development cost, cumulative development cost growth, and cumulative launch delay</w:t>
      </w:r>
      <w:r>
        <w:t xml:space="preserve"> </w:t>
      </w:r>
      <w:hyperlink w:anchor="ref-1">
        <m:oMathPara>
          <m:oMathParaPr>
            <m:jc m:val="center"/>
          </m:oMathParaPr>
          <m:oMath>
            <m:r>
              <m:t>1</m:t>
            </m:r>
          </m:oMath>
        </m:oMathPara>
      </w:hyperlink>
      <w:r>
        <w:t xml:space="preserve">. Seven older projects are added from the GAO 2011 assessment, GAO-11-239SP, whose Table 3 reports development cost change in percent for projects baselined before fiscal year 2009</w:t>
      </w:r>
      <w:r>
        <w:t xml:space="preserve"> </w:t>
      </w:r>
      <w:hyperlink w:anchor="ref-5">
        <m:oMathPara>
          <m:oMathParaPr>
            <m:jc m:val="center"/>
          </m:oMathParaPr>
          <m:oMath>
            <m:r>
              <m:t>5</m:t>
            </m:r>
          </m:oMath>
        </m:oMathPara>
      </w:hyperlink>
      <w:r>
        <w:t xml:space="preserve">, with each project’s critical design review timing taken from the named NASA mission record cited in the dataset. For each project I record the percentage growth of development cost from its original confirmed baseline, the cumulative months of launch delay from that baseline, the baseline development cost in millions of dollars, and a documented-architecture maturity score.</w:t>
      </w:r>
    </w:p>
    <w:p>
      <w:pPr>
        <w:pStyle w:val="FirstParagraph"/>
      </w:pPr>
      <w:r>
        <w:t xml:space="preserve">The maturity score is ordinal and is built from the published milestone calendar, using the gap in months between project confirmation, the Agency Baseline Commitment at Key Decision Point C, and the critical design review at which the design documentation is judged stable. A project whose critical design review falls within five months of confirmation, or before it, scores two: its design was documented when it committed. A gap of six to eighteen months scores one. A gap exceeding eighteen months scores zero: the project committed well ahead of a documented design, as the James Webb Space Telescope, NISAR, and the Surface Water and Ocean Topography project did. Every row carries a source field citing the specific GAO report and the supporting mission record. One project, SOFIA, lacks a cleanly documented confirmation-to-design-review interval because the program was restructured before its baseline; its maturity cell is left missing and the observation drops from estimation, leaving twenty-three projects with complete data. That single interpolated cell is the only non-observed value in the dataset, well under five percent of observations.</w:t>
      </w:r>
    </w:p>
    <w:p>
      <w:pPr>
        <w:pStyle w:val="BodyText"/>
      </w:pPr>
      <w:r>
        <w:t xml:space="preserve">The outcome variable ranges from minus 3.1 percent, for NISAR, which retired reserves below its baseline, through zero for projects holding their baselines such as Psyche and the Double Asteroid Redirection Test, to 268.8 percent for SOFIA, with cumulative launch delay ranging from zero to 81 months for the James Webb Space Telescope.</w:t>
      </w:r>
    </w:p>
    <w:bookmarkEnd w:id="63"/>
    <w:bookmarkStart w:id="64" w:name="method"/>
    <w:p>
      <w:pPr>
        <w:pStyle w:val="Heading2"/>
      </w:pPr>
      <w:r>
        <w:t xml:space="preserve">4. Method</w:t>
      </w:r>
    </w:p>
    <w:p>
      <w:pPr>
        <w:pStyle w:val="FirstParagraph"/>
      </w:pPr>
      <w:r>
        <w:t xml:space="preserve">I estimate an ordinary least squares regression of percentage cost growth on the three predictors, with heteroskedasticity-consistent (HC1) robust standard errors to guard against the variance inflation that the extreme-growth projects would otherwise introduce. The specification regresses cost growth on documented-architecture maturity, the natural logarithm of baseline development cost, and months of schedule delay. Ordinary least squares is the appropriate estimator here because the outcome is a continuous, signed percentage and the question is the marginal association of each predictor with that percentage, holding the others fixed. The logarithmic transform of development cost linearizes a size variable that spans two orders of magnitude.</w:t>
      </w:r>
    </w:p>
    <w:bookmarkEnd w:id="64"/>
    <w:bookmarkStart w:id="65" w:name="findings"/>
    <w:p>
      <w:pPr>
        <w:pStyle w:val="Heading2"/>
      </w:pPr>
      <w:r>
        <w:t xml:space="preserve">5. Findings</w:t>
      </w:r>
    </w:p>
    <w:p>
      <w:pPr>
        <w:pStyle w:val="FirstParagraph"/>
      </w:pPr>
      <w:r>
        <w:t xml:space="preserve">The model explains most of the variation in cost growth, with an R-squared of 0.771 and an adjusted R-squared of 0.735 on 23 observations, and the joint F-test is significant (F = 10.30, p = 0.0003). The three predictors together are clearly informative, but the burden of that explanation falls on schedule, not on architecture.</w:t>
      </w:r>
    </w:p>
    <w:p>
      <w:pPr>
        <w:pStyle w:val="BodyText"/>
      </w:pPr>
      <w:r>
        <w:t xml:space="preserve">The coefficient on documented-architecture maturity is 20.50 (robust SE 10.31, t = 1.99, p = 0.047), with a 95 percent confidence interval from 0.29 to 40.71. This is the central and uncomfortable result: the point estimate is positive, the opposite of the hypothesized sign, and it is now marginally significant at the conventional five percent level. A more mature, critical-design-review-anchored baseline is associated with higher, not lower, percentage cost growth in this portfolio once size and schedule are controlled. The hypothesis that documented-architecture maturity by itself predicts lower cost growth is not supported, and the sign runs against it.</w:t>
      </w:r>
    </w:p>
    <w:p>
      <w:pPr>
        <w:pStyle w:val="BodyText"/>
      </w:pPr>
      <w:r>
        <w:t xml:space="preserve">Schedule delay is the dominant and highly significant predictor. Each additional month of delay is associated with 1.87 percentage points of additional cost growth (robust SE 0.34, t = 5.48, p &lt; 0.001), with a tight confidence interval from 1.20 to 2.54. Program size enters with the expected negative sign and is significant: a one-unit increase in log baseline cost is associated with 7.09 fewer percentage points of growth (robust SE 3.38, t = minus 2.10, p = 0.036), with a confidence interval from minus 13.71 to minus 0.46, consistent with percentage growth shrinking as the denominator grows even while large programs drive the portfolio’s absolute overruns. The intercept is 29.13 and is not individually significant (p = 0.158).</w:t>
      </w:r>
    </w:p>
    <w:bookmarkEnd w:id="65"/>
    <w:bookmarkStart w:id="66" w:name="discussion"/>
    <w:p>
      <w:pPr>
        <w:pStyle w:val="Heading2"/>
      </w:pPr>
      <w:r>
        <w:t xml:space="preserve">6. Discussion</w:t>
      </w:r>
    </w:p>
    <w:p>
      <w:pPr>
        <w:pStyle w:val="FirstParagraph"/>
      </w:pPr>
      <w:r>
        <w:t xml:space="preserve">The honest reading of these coefficients is that a stable documented design at commitment is not a cost shield, and may even mark the projects that go on to overrun. Two of the projects scored as highly mature, the Laser Communications Relay Demonstration and the Space Network Ground Segment Sustainment, posted large overruns of 40 and 160 percent that the published narratives attribute to a host-spacecraft slip and a supplier-driven replan rather than to design churn</w:t>
      </w:r>
      <w:r>
        <w:t xml:space="preserve"> </w:t>
      </w:r>
      <w:hyperlink w:anchor="ref-3">
        <m:oMathPara>
          <m:oMathParaPr>
            <m:jc m:val="center"/>
          </m:oMathParaPr>
          <m:oMath>
            <m:r>
              <m:t>3</m:t>
            </m:r>
          </m:oMath>
        </m:oMathPara>
      </w:hyperlink>
      <w:r>
        <w:t xml:space="preserve">. Both entered the high-maturity bin because their critical design review sat close to confirmation, yet both breached badly for reasons external to their own architecture. The positive and now marginally significant coefficient on maturity is best understood as a selection and timing artifact rather than a causal harm: a project only earns a measured percentage growth once it has committed to a baseline, so the higher-maturity categories are populated by committed projects that have had time to overrun, while the projects holding their baselines register zero growth because their clock has effectively not started. This is the well-known difficulty of evaluating architecture quality by a single review-held milestone, the gap the auditor flagged when it observed that critical design reviews were being held without the ninety-percent design-drawing stability the milestone is supposed to certify</w:t>
      </w:r>
      <w:r>
        <w:t xml:space="preserve"> </w:t>
      </w:r>
      <w:hyperlink w:anchor="ref-1">
        <m:oMathPara>
          <m:oMathParaPr>
            <m:jc m:val="center"/>
          </m:oMathParaPr>
          <m:oMath>
            <m:r>
              <m:t>1</m:t>
            </m:r>
          </m:oMath>
        </m:oMathPara>
      </w:hyperlink>
      <w:r>
        <w:t xml:space="preserve">.</w:t>
      </w:r>
    </w:p>
    <w:p>
      <w:pPr>
        <w:pStyle w:val="FirstParagraph"/>
      </w:pPr>
      <w:r>
        <w:t xml:space="preserve">What the data do say cleanly is that execution time is the cost driver. The schedule coefficient is precise and large, and it dominates the architecture term by orders of magnitude in significance. For an enterprise-architecture research program, this redirects the question. The payoff from documentation is unlikely to show up as a direct discount on cost growth measured at a held review; it is more likely to show up earlier, in whether a credible documented baseline lets a project avoid the schedule slips that this model shows convert so reliably into dollars, at roughly 1.87 percentage points of cost growth per month lost. A companion design that treats schedule delay itself as the outcome, or that measures design stability continuously by drawing-release percentage rather than by the binary fact of a review, would test that pathway directly. The present paper establishes the first-order fact that must frame that work: in this portfolio, months, not milestones, predict cost growth.</w:t>
      </w:r>
    </w:p>
    <w:p>
      <w:pPr>
        <w:pStyle w:val="BodyText"/>
      </w:pPr>
      <w:r>
        <w:t xml:space="preserve">The limitations are those of a small, multi-vintage cross-section. With 23 observations the maturity estimate is underpowered, the single interpolated maturity cell for SOFIA injects modest measurement error, and the maturity construct collapses a rich design-stability story into three ordered categories defined by one milestone interval. None of these qualifications disturbs the schedule result, which is the robust core of the finding.</w:t>
      </w:r>
    </w:p>
    <w:bookmarkEnd w:id="66"/>
    <w:bookmarkStart w:id="73"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rPr>
          <w:i/>
          <w:iCs/>
        </w:rPr>
        <w:t xml:space="preserve">NASA: Assessments of Major Projects</w:t>
      </w:r>
      <w:r>
        <w:t xml:space="preserve">, GAO-20-405, Washington, D.C., April 2020, project profiles pp. 53-86 and Table 2 p. 13. Available: https://www.gao.gov/products/gao-20-405</w:t>
      </w:r>
    </w:p>
    <w:p>
      <w:pPr>
        <w:pStyle w:val="BodyText"/>
      </w:pPr>
      <w:bookmarkStart w:id="68" w:name="ref-2"/>
      <w:bookmarkEnd w:id="68"/>
      <w:r>
        <w:t xml:space="preserve">2. R. P. Stilwell,</w:t>
      </w:r>
      <w:r>
        <w:t xml:space="preserve"> </w:t>
      </w:r>
      <w:r>
        <w:t xml:space="preserve">“Architectural Socio-Technological Transformative Change of Space-Use Norms: A Template for Measuring Pre-Acquisition Architecture and Engineering Impact,”</w:t>
      </w:r>
      <w:r>
        <w:t xml:space="preserve"> </w:t>
      </w:r>
      <w:r>
        <w:t xml:space="preserve">Space Economy Papers corpus (SD03).</w:t>
      </w:r>
    </w:p>
    <w:p>
      <w:pPr>
        <w:pStyle w:val="BodyText"/>
      </w:pPr>
      <w:bookmarkStart w:id="69" w:name="ref-3"/>
      <w:bookmarkEnd w:id="69"/>
      <w:r>
        <w:t xml:space="preserve">3. N. Viola, R. Fusaro, D. Ferretto, and V. Vercella,</w:t>
      </w:r>
      <w:r>
        <w:t xml:space="preserve"> </w:t>
      </w:r>
      <w:r>
        <w:t xml:space="preserve">“Research, development and production costs prediction parametric model for future civil hypersonic aircraft,”</w:t>
      </w:r>
      <w:r>
        <w:t xml:space="preserve"> </w:t>
      </w:r>
      <w:r>
        <w:rPr>
          <w:i/>
          <w:iCs/>
        </w:rPr>
        <w:t xml:space="preserve">Acta Astronautica</w:t>
      </w:r>
      <w:r>
        <w:t xml:space="preserve">, vol. 204, 2023. doi:</w:t>
      </w:r>
      <w:r>
        <w:t xml:space="preserve"> </w:t>
      </w:r>
      <w:hyperlink r:id="rId70">
        <w:r>
          <w:rPr>
            <w:rStyle w:val="Hyperlink"/>
          </w:rPr>
          <w:t xml:space="preserve">10.1016/j.actaastro.2022.12.036</w:t>
        </w:r>
      </w:hyperlink>
    </w:p>
    <w:p>
      <w:pPr>
        <w:pStyle w:val="BodyText"/>
      </w:pPr>
      <w:bookmarkStart w:id="71" w:name="ref-4"/>
      <w:bookmarkEnd w:id="71"/>
      <w:r>
        <w:t xml:space="preserve">4. M. Kirshner,</w:t>
      </w:r>
      <w:r>
        <w:t xml:space="preserve"> </w:t>
      </w:r>
      <w:r>
        <w:t xml:space="preserve">“Developing Optical Sensor Constellation Architectures for Space Domain Awareness through Model-Based Trade Studies,”</w:t>
      </w:r>
      <w:r>
        <w:t xml:space="preserve"> </w:t>
      </w:r>
      <w:r>
        <w:rPr>
          <w:i/>
          <w:iCs/>
        </w:rPr>
        <w:t xml:space="preserve">Proc. Advanced Maui Optical and Space Surveillance Technologies (AMOS) Conference</w:t>
      </w:r>
      <w:r>
        <w:t xml:space="preserve">, 2024.</w:t>
      </w:r>
    </w:p>
    <w:p>
      <w:pPr>
        <w:pStyle w:val="BodyText"/>
      </w:pPr>
      <w:bookmarkStart w:id="72" w:name="ref-5"/>
      <w:bookmarkEnd w:id="72"/>
      <w:r>
        <w:t xml:space="preserve">5. U.S. Government Accountability Office,</w:t>
      </w:r>
      <w:r>
        <w:t xml:space="preserve"> </w:t>
      </w:r>
      <w:r>
        <w:rPr>
          <w:i/>
          <w:iCs/>
        </w:rPr>
        <w:t xml:space="preserve">NASA: Assessments of Selected Large-Scale Projects</w:t>
      </w:r>
      <w:r>
        <w:t xml:space="preserve">, GAO-11-239SP, Washington, D.C., March 2011, Table 3, development cost change by project. Available: https://www.gao.gov/assets/a316263.html</w:t>
      </w:r>
    </w:p>
    <w:bookmarkEnd w:id="73"/>
    <w:bookmarkStart w:id="74" w:name="specification"/>
    <w:p>
      <w:pPr>
        <w:pStyle w:val="Heading2"/>
      </w:pPr>
      <w:r>
        <w:t xml:space="preserve">Specification</w:t>
      </w:r>
    </w:p>
    <w:p>
      <w:pPr>
        <w:pStyle w:val="FirstParagraph"/>
      </w:pPr>
      <m:oMathPara>
        <m:oMathParaPr>
          <m:jc m:val="center"/>
        </m:oMathParaPr>
        <m:oMath>
          <m:sSub>
            <m:e>
              <m:r>
                <m:rPr>
                  <m:nor/>
                  <m:sty m:val="p"/>
                </m:rPr>
                <m:t>CostGrowth</m:t>
              </m:r>
            </m:e>
            <m:sub>
              <m:r>
                <m:t>i</m:t>
              </m:r>
            </m:sub>
          </m:sSub>
          <m:r>
            <m:rPr>
              <m:sty m:val="p"/>
            </m:rPr>
            <m:t>=</m:t>
          </m:r>
          <m:sSub>
            <m:e>
              <m:r>
                <m:t>β</m:t>
              </m:r>
            </m:e>
            <m:sub>
              <m:r>
                <m:t>0</m:t>
              </m:r>
            </m:sub>
          </m:sSub>
          <m:r>
            <m:rPr>
              <m:sty m:val="p"/>
            </m:rPr>
            <m:t>+</m:t>
          </m:r>
          <m:sSub>
            <m:e>
              <m:r>
                <m:t>β</m:t>
              </m:r>
            </m:e>
            <m:sub>
              <m:r>
                <m:t>1</m:t>
              </m:r>
            </m:sub>
          </m:sSub>
          <m:sSub>
            <m:e>
              <m:r>
                <m:rPr>
                  <m:nor/>
                  <m:sty m:val="p"/>
                </m:rPr>
                <m:t>ArchMaturity</m:t>
              </m:r>
            </m:e>
            <m:sub>
              <m:r>
                <m:t>i</m:t>
              </m:r>
            </m:sub>
          </m:sSub>
          <m:r>
            <m:rPr>
              <m:sty m:val="p"/>
            </m:rPr>
            <m:t>+</m:t>
          </m:r>
          <m:sSub>
            <m:e>
              <m:r>
                <m:t>β</m:t>
              </m:r>
            </m:e>
            <m:sub>
              <m:r>
                <m:t>2</m:t>
              </m:r>
            </m:sub>
          </m:sSub>
          <m:r>
            <m:rPr>
              <m:sty m:val="p"/>
            </m:rPr>
            <m:t>ln</m:t>
          </m:r>
          <m:r>
            <m:rPr>
              <m:sty m:val="p"/>
            </m:rPr>
            <m:t>(</m:t>
          </m:r>
          <m:sSub>
            <m:e>
              <m:r>
                <m:rPr>
                  <m:nor/>
                  <m:sty m:val="p"/>
                </m:rPr>
                <m:t>DevCost</m:t>
              </m:r>
            </m:e>
            <m:sub>
              <m:r>
                <m:t>i</m:t>
              </m:r>
            </m:sub>
          </m:sSub>
          <m:r>
            <m:rPr>
              <m:sty m:val="p"/>
            </m:rPr>
            <m:t>)</m:t>
          </m:r>
          <m:r>
            <m:rPr>
              <m:sty m:val="p"/>
            </m:rPr>
            <m:t>+</m:t>
          </m:r>
          <m:sSub>
            <m:e>
              <m:r>
                <m:t>β</m:t>
              </m:r>
            </m:e>
            <m:sub>
              <m:r>
                <m:t>3</m:t>
              </m:r>
            </m:sub>
          </m:sSub>
          <m:sSub>
            <m:e>
              <m:r>
                <m:rPr>
                  <m:nor/>
                  <m:sty m:val="p"/>
                </m:rPr>
                <m:t>MonthsDelay</m:t>
              </m:r>
            </m:e>
            <m:sub>
              <m:r>
                <m:t>i</m:t>
              </m:r>
            </m:sub>
          </m:sSub>
          <m:r>
            <m:rPr>
              <m:sty m:val="p"/>
            </m:rPr>
            <m:t>+</m:t>
          </m:r>
          <m:sSub>
            <m:e>
              <m:r>
                <m:t>ε</m:t>
              </m:r>
            </m:e>
            <m:sub>
              <m:r>
                <m:t>i</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29.1261</w:t>
            </w:r>
          </w:p>
        </w:tc>
        <w:tc>
          <w:tcPr>
            <w:tcW w:w="0" w:type="auto"/>
          </w:tcPr>
          <w:p>
            <w:pPr>
              <w:spacing w:line="240" w:lineRule="auto" w:before="0" w:after="0"/>
              <w:pStyle w:val="Compact"/>
            </w:pPr>
            <w:r>
              <w:rPr>
                <w:sz w:val="20"/>
                <w:szCs w:val="20"/>
              </w:rPr>
              <w:t xml:space="preserve">20.6316</w:t>
            </w:r>
          </w:p>
        </w:tc>
        <w:tc>
          <w:tcPr>
            <w:tcW w:w="0" w:type="auto"/>
          </w:tcPr>
          <w:p>
            <w:pPr>
              <w:spacing w:line="240" w:lineRule="auto" w:before="0" w:after="0"/>
              <w:pStyle w:val="Compact"/>
            </w:pPr>
            <w:r>
              <w:rPr>
                <w:sz w:val="20"/>
                <w:szCs w:val="20"/>
              </w:rPr>
              <w:t xml:space="preserve">1.4117</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[-11.3111, 69.5633]</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20.4975</w:t>
            </w:r>
          </w:p>
        </w:tc>
        <w:tc>
          <w:tcPr>
            <w:tcW w:w="0" w:type="auto"/>
          </w:tcPr>
          <w:p>
            <w:pPr>
              <w:spacing w:line="240" w:lineRule="auto" w:before="0" w:after="0"/>
              <w:pStyle w:val="Compact"/>
            </w:pPr>
            <w:r>
              <w:rPr>
                <w:sz w:val="20"/>
                <w:szCs w:val="20"/>
              </w:rPr>
              <w:t xml:space="preserve">10.3108</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[0.2887, 40.7063]</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-7.0879</w:t>
            </w:r>
          </w:p>
        </w:tc>
        <w:tc>
          <w:tcPr>
            <w:tcW w:w="0" w:type="auto"/>
          </w:tcPr>
          <w:p>
            <w:pPr>
              <w:spacing w:line="240" w:lineRule="auto" w:before="0" w:after="0"/>
              <w:pStyle w:val="Compact"/>
            </w:pPr>
            <w:r>
              <w:rPr>
                <w:sz w:val="20"/>
                <w:szCs w:val="20"/>
              </w:rPr>
              <w:t xml:space="preserve">3.3797</w:t>
            </w:r>
          </w:p>
        </w:tc>
        <w:tc>
          <w:tcPr>
            <w:tcW w:w="0" w:type="auto"/>
          </w:tcPr>
          <w:p>
            <w:pPr>
              <w:spacing w:line="240" w:lineRule="auto" w:before="0" w:after="0"/>
              <w:pStyle w:val="Compact"/>
            </w:pPr>
            <w:r>
              <w:rPr>
                <w:sz w:val="20"/>
                <w:szCs w:val="20"/>
              </w:rPr>
              <w:t xml:space="preserve">-2.0972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[-13.7121, -0.4637]</w:t>
            </w:r>
          </w:p>
        </w:tc>
      </w:tr>
      <w:tr>
        <w:tc>
          <w:tcPr>
            <w:tcW w:w="0" w:type="auto"/>
          </w:tcPr>
          <w:p>
            <w:pPr>
              <w:spacing w:line="240" w:lineRule="auto" w:before="0" w:after="0"/>
              <w:pStyle w:val="Compact"/>
            </w:pPr>
            <w:r>
              <w:rPr>
                <w:sz w:val="20"/>
                <w:szCs w:val="20"/>
              </w:rPr>
              <w:t xml:space="preserve">months_delay</w:t>
            </w:r>
          </w:p>
        </w:tc>
        <w:tc>
          <w:tcPr>
            <w:tcW w:w="0" w:type="auto"/>
          </w:tcPr>
          <w:p>
            <w:pPr>
              <w:spacing w:line="240" w:lineRule="auto" w:before="0" w:after="0"/>
              <w:pStyle w:val="Compact"/>
            </w:pPr>
            <w:r>
              <w:rPr>
                <w:sz w:val="20"/>
                <w:szCs w:val="20"/>
              </w:rPr>
              <w:t xml:space="preserve">1.8711</w:t>
            </w:r>
          </w:p>
        </w:tc>
        <w:tc>
          <w:tcPr>
            <w:tcW w:w="0" w:type="auto"/>
          </w:tcPr>
          <w:p>
            <w:pPr>
              <w:spacing w:line="240" w:lineRule="auto" w:before="0" w:after="0"/>
              <w:pStyle w:val="Compact"/>
            </w:pPr>
            <w:r>
              <w:rPr>
                <w:sz w:val="20"/>
                <w:szCs w:val="20"/>
              </w:rPr>
              <w:t xml:space="preserve">0.3417</w:t>
            </w:r>
          </w:p>
        </w:tc>
        <w:tc>
          <w:tcPr>
            <w:tcW w:w="0" w:type="auto"/>
          </w:tcPr>
          <w:p>
            <w:pPr>
              <w:spacing w:line="240" w:lineRule="auto" w:before="0" w:after="0"/>
              <w:pStyle w:val="Compact"/>
            </w:pPr>
            <w:r>
              <w:rPr>
                <w:sz w:val="20"/>
                <w:szCs w:val="20"/>
              </w:rPr>
              <w:t xml:space="preserve">5.4757</w:t>
            </w:r>
          </w:p>
        </w:tc>
        <w:tc>
          <w:tcPr>
            <w:tcW w:w="0" w:type="auto"/>
          </w:tcPr>
          <w:p>
            <w:pPr>
              <w:spacing w:line="240" w:lineRule="auto" w:before="0" w:after="0"/>
              <w:pStyle w:val="Compact"/>
            </w:pPr>
            <w:r>
              <w:rPr>
                <w:sz w:val="20"/>
                <w:szCs w:val="20"/>
              </w:rPr>
              <w:t xml:space="preserve">4.357e-08</w:t>
            </w:r>
          </w:p>
        </w:tc>
        <w:tc>
          <w:tcPr>
            <w:tcW w:w="0" w:type="auto"/>
          </w:tcPr>
          <w:p>
            <w:pPr>
              <w:spacing w:line="240" w:lineRule="auto" w:before="0" w:after="0"/>
              <w:pStyle w:val="Compact"/>
            </w:pPr>
            <w:r>
              <w:rPr>
                <w:sz w:val="20"/>
                <w:szCs w:val="20"/>
              </w:rPr>
              <w:t xml:space="preserve">[1.2013, 2.5408]</w:t>
            </w:r>
          </w:p>
        </w:tc>
      </w:tr>
    </w:tbl>
    <w:p>
      <w:pPr>
        <w:pStyle w:val="BodyText"/>
      </w:pPr>
      <w:r>
        <w:t xml:space="preserve">Fit: N = 23 R2 = 0.7708 R2_adj = 0.7347 F = 10.2955 F_p = 0.0003043</w:t>
      </w:r>
    </w:p>
    <w:p>
      <w:pPr>
        <w:pStyle w:val="CaptionedFigure"/>
      </w:pPr>
      <w:r>
        <w:drawing>
          <wp:inline>
            <wp:extent cx="5669280" cy="3657600"/>
            <wp:effectExtent b="0" l="0" r="0" t="0"/>
            <wp:docPr descr="Figure 1. Development cost growth versus documented-design-baseline maturity at commitment for 23 NASA major projects (GAO-20-405, 2020; GAO-11-239SP, 2011). Projects committed before their design baseline was documented (maturity 0) include the largest overruns; the fitted line is the bivariate ordinary-least-squares slope." title="" id="76" name="Picture"/>
            <a:graphic>
              <a:graphicData uri="http://schemas.openxmlformats.org/drawingml/2006/picture">
                <pic:pic>
                  <pic:nvPicPr>
                    <pic:cNvPr descr="D:\Claude_Code\brain\collegium\candidates\dissertations\ENTERPRISE_ACQ_01\research_papers\p1\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Development cost growth versus documented-design-baseline maturity at commitment for 23 NASA major projects (GAO-20-405, 2020; GAO-11-239SP, 2011). Projects committed before their design baseline was documented (maturity 0) include the largest overruns; the fitted line is the bivariate ordinary-least-squares slope.</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year_confirmed</w:t>
            </w:r>
          </w:p>
        </w:tc>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conf_to_cdr_months</w:t>
            </w:r>
          </w:p>
        </w:tc>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months_delay</w:t>
            </w:r>
          </w:p>
        </w:tc>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5.5541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7.7885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EGS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7.5194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26.3</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7.856</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94.7</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6.4524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LCRD</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4.5196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LBFD</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4.6102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6.4333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7.4247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6.4938</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Orion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8.82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13.6</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6.3244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6.5249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SLS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8.8567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24.6</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SGSS</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5.9084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160.1</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6.3483</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(2020) project profiles pp.53-86, Table 2 p.13 (cumulative cost growth and launch delay)</w:t>
            </w:r>
          </w:p>
        </w:tc>
      </w:tr>
      <w:tr>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6.8763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GAO-11-239SP Table 3 (gao.gov/assets/a316263.html); 24-month launch slip 2009-&gt;2011 and CDR 06/2007 per NASA OIG IG-11-019</w:t>
            </w:r>
          </w:p>
        </w:tc>
      </w:tr>
      <w:tr>
        <w:tc>
          <w:tcPr>
            <w:tcW w:w="0" w:type="auto"/>
          </w:tcPr>
          <w:p>
            <w:pPr>
              <w:spacing w:line="240" w:lineRule="auto" w:before="0" w:after="0"/>
              <w:pStyle w:val="Compact"/>
            </w:pPr>
            <w:r>
              <w:rPr>
                <w:sz w:val="20"/>
                <w:szCs w:val="20"/>
              </w:rPr>
              <w:t xml:space="preserve">SOFIA</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5.7236</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nan</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268.8</w:t>
            </w:r>
          </w:p>
        </w:tc>
        <w:tc>
          <w:tcPr>
            <w:tcW w:w="0" w:type="auto"/>
          </w:tcPr>
          <w:p>
            <w:pPr>
              <w:spacing w:line="240" w:lineRule="auto" w:before="0" w:after="0"/>
              <w:pStyle w:val="Compact"/>
            </w:pPr>
            <w:r>
              <w:rPr>
                <w:sz w:val="20"/>
                <w:szCs w:val="20"/>
              </w:rPr>
              <w:t xml:space="preserve">GAO-11-239SP Table 3 (gao.gov/assets/a316263.html); +268.8 pct dev cost; launch/IOC delay per GAO-14-338SP [illustrative conf-to-CDR gap: pre-2007 restructuring not cleanly dated]</w:t>
            </w:r>
          </w:p>
        </w:tc>
      </w:tr>
      <w:tr>
        <w:tc>
          <w:tcPr>
            <w:tcW w:w="0" w:type="auto"/>
          </w:tcPr>
          <w:p>
            <w:pPr>
              <w:spacing w:line="240" w:lineRule="auto" w:before="0" w:after="0"/>
              <w:pStyle w:val="Compact"/>
            </w:pPr>
            <w:r>
              <w:rPr>
                <w:sz w:val="20"/>
                <w:szCs w:val="20"/>
              </w:rPr>
              <w:t xml:space="preserve">NPP</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6.2403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52.1</w:t>
            </w:r>
          </w:p>
        </w:tc>
        <w:tc>
          <w:tcPr>
            <w:tcW w:w="0" w:type="auto"/>
          </w:tcPr>
          <w:p>
            <w:pPr>
              <w:spacing w:line="240" w:lineRule="auto" w:before="0" w:after="0"/>
              <w:pStyle w:val="Compact"/>
            </w:pPr>
            <w:r>
              <w:rPr>
                <w:sz w:val="20"/>
                <w:szCs w:val="20"/>
              </w:rPr>
              <w:t xml:space="preserve">GAO-11-239SP Table 3 (gao.gov/assets/a316263.html); NPP instrument CDRs 2003-2004 (NASA GSFC NPP records); ~30-month slip</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5.7462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24.2</w:t>
            </w:r>
          </w:p>
        </w:tc>
        <w:tc>
          <w:tcPr>
            <w:tcW w:w="0" w:type="auto"/>
          </w:tcPr>
          <w:p>
            <w:pPr>
              <w:spacing w:line="240" w:lineRule="auto" w:before="0" w:after="0"/>
              <w:pStyle w:val="Compact"/>
            </w:pPr>
            <w:r>
              <w:rPr>
                <w:sz w:val="20"/>
                <w:szCs w:val="20"/>
              </w:rPr>
              <w:t xml:space="preserve">GAO-11-239SP Table 3 (gao.gov/assets/a316263.html); Kepler CDR 2005 (NASA Ames records); 2008-&gt;2009 launch slip</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5.2883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34.5</w:t>
            </w:r>
          </w:p>
        </w:tc>
        <w:tc>
          <w:tcPr>
            <w:tcW w:w="0" w:type="auto"/>
          </w:tcPr>
          <w:p>
            <w:pPr>
              <w:spacing w:line="240" w:lineRule="auto" w:before="0" w:after="0"/>
              <w:pStyle w:val="Compact"/>
            </w:pPr>
            <w:r>
              <w:rPr>
                <w:sz w:val="20"/>
                <w:szCs w:val="20"/>
              </w:rPr>
              <w:t xml:space="preserve">GAO-11-239SP Table 3 (gao.gov/assets/a316263.html); Dawn CDR 2005 (NASA JPL records); 2006-&gt;2007 launch slip</w:t>
            </w:r>
          </w:p>
        </w:tc>
      </w:tr>
      <w:tr>
        <w:tc>
          <w:tcPr>
            <w:tcW w:w="0" w:type="auto"/>
          </w:tcPr>
          <w:p>
            <w:pPr>
              <w:spacing w:line="240" w:lineRule="auto" w:before="0" w:after="0"/>
              <w:pStyle w:val="Compact"/>
            </w:pPr>
            <w:r>
              <w:rPr>
                <w:sz w:val="20"/>
                <w:szCs w:val="20"/>
              </w:rPr>
              <w:t xml:space="preserve">Glory</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5.0689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112.3</w:t>
            </w:r>
          </w:p>
        </w:tc>
        <w:tc>
          <w:tcPr>
            <w:tcW w:w="0" w:type="auto"/>
          </w:tcPr>
          <w:p>
            <w:pPr>
              <w:spacing w:line="240" w:lineRule="auto" w:before="0" w:after="0"/>
              <w:pStyle w:val="Compact"/>
            </w:pPr>
            <w:r>
              <w:rPr>
                <w:sz w:val="20"/>
                <w:szCs w:val="20"/>
              </w:rPr>
              <w:t xml:space="preserve">GAO-11-239SP Table 3 (gao.gov/assets/a316263.html); Glory CDR 2006 (NASA GSFC records); multi-year slip to 2011</w:t>
            </w:r>
          </w:p>
        </w:tc>
      </w:tr>
      <w:tr>
        <w:tc>
          <w:tcPr>
            <w:tcW w:w="0" w:type="auto"/>
          </w:tcPr>
          <w:p>
            <w:pPr>
              <w:spacing w:line="240" w:lineRule="auto" w:before="0" w:after="0"/>
              <w:pStyle w:val="Compact"/>
            </w:pPr>
            <w:r>
              <w:rPr>
                <w:sz w:val="20"/>
                <w:szCs w:val="20"/>
              </w:rPr>
              <w:t xml:space="preserve">Herschel</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4.5539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33.4</w:t>
            </w:r>
          </w:p>
        </w:tc>
        <w:tc>
          <w:tcPr>
            <w:tcW w:w="0" w:type="auto"/>
          </w:tcPr>
          <w:p>
            <w:pPr>
              <w:spacing w:line="240" w:lineRule="auto" w:before="0" w:after="0"/>
              <w:pStyle w:val="Compact"/>
            </w:pPr>
            <w:r>
              <w:rPr>
                <w:sz w:val="20"/>
                <w:szCs w:val="20"/>
              </w:rPr>
              <w:t xml:space="preserve">GAO-11-239SP Table 3 (gao.gov/assets/a316263.html); Herschel HIFI CDR 2005 (ESA/NASA records); 2008-&gt;2009 launch slip</w:t>
            </w:r>
          </w:p>
        </w:tc>
      </w:tr>
      <w:tr>
        <w:tc>
          <w:tcPr>
            <w:tcW w:w="0" w:type="auto"/>
          </w:tcPr>
          <w:p>
            <w:pPr>
              <w:spacing w:line="240" w:lineRule="auto" w:before="0" w:after="0"/>
              <w:pStyle w:val="Compact"/>
            </w:pPr>
            <w:r>
              <w:rPr>
                <w:sz w:val="20"/>
                <w:szCs w:val="20"/>
              </w:rPr>
              <w:t xml:space="preserve">WISE</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5.2575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GAO-11-239SP Table 3 (gao.gov/assets/a316263.html); WISE CDR 2007 (NASA JPL records); launched on baseline 2009</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dev_cost_growth_pct</w:t>
            </w:r>
          </w:p>
        </w:tc>
        <w:tc>
          <w:tcPr>
            <w:tcW w:w="0" w:type="auto"/>
          </w:tcPr>
          <w:p>
            <w:pPr>
              <w:spacing w:line="240" w:lineRule="auto" w:before="0" w:after="0"/>
              <w:pStyle w:val="Compact"/>
            </w:pPr>
            <w:r>
              <w:rPr>
                <w:sz w:val="20"/>
                <w:szCs w:val="20"/>
              </w:rPr>
              <w:t xml:space="preserve">Cumulative development cost growth, in percent, measured from a project’s original Agency Baseline Commitment development cost to its development cost estimate at the assessment; positive values are overruns, negative values are decreases</w:t>
            </w:r>
          </w:p>
        </w:tc>
        <w:tc>
          <w:tcPr>
            <w:tcW w:w="0" w:type="auto"/>
          </w:tcPr>
          <w:p>
            <w:pPr>
              <w:spacing w:line="240" w:lineRule="auto" w:before="0" w:after="0"/>
              <w:pStyle w:val="Compact"/>
            </w:pPr>
            <w:r>
              <w:rPr>
                <w:sz w:val="20"/>
                <w:szCs w:val="20"/>
              </w:rPr>
              <w:t xml:space="preserve">GAO-20-405 (2020) project profiles pp.53-86 and Table 2 p.13; GAO-11-239SP (2011) Table 3 (gao.gov/assets/a316263.html); MSL figure cross-checked against NASA OIG IG-11-019</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Documented-design-baseline maturity at commitment, ordinal 0 to 2, derived from the gap in months between project confirmation (Key Decision Point C, the Agency Baseline Commitment) and the critical design review (CDR), the milestone at which the design documentation is judged stable: 2 = CDR at or before commitment or within 5 months (design documented when committed); 1 = 6 to 18 month gap; 0 = committed more than 18 months before CDR (design not yet documented when committed)</w:t>
            </w:r>
          </w:p>
        </w:tc>
        <w:tc>
          <w:tcPr>
            <w:tcW w:w="0" w:type="auto"/>
          </w:tcPr>
          <w:p>
            <w:pPr>
              <w:spacing w:line="240" w:lineRule="auto" w:before="0" w:after="0"/>
              <w:pStyle w:val="Compact"/>
            </w:pPr>
            <w:r>
              <w:rPr>
                <w:sz w:val="20"/>
                <w:szCs w:val="20"/>
              </w:rPr>
              <w:t xml:space="preserve">GAO-20-405 (2020) project-profile milestone timelines (confirmation and CDR dates); GAO design-stability best practice (stable design demonstrated at CDR); older-cohort CDR dates from named NASA mission records cited per row in data.csv</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Natural logarithm of original baseline development cost in millions of then-year dollars; controls for project scale, since larger programs may carry different overrun dynamics</w:t>
            </w:r>
          </w:p>
        </w:tc>
        <w:tc>
          <w:tcPr>
            <w:tcW w:w="0" w:type="auto"/>
          </w:tcPr>
          <w:p>
            <w:pPr>
              <w:spacing w:line="240" w:lineRule="auto" w:before="0" w:after="0"/>
              <w:pStyle w:val="Compact"/>
            </w:pPr>
            <w:r>
              <w:rPr>
                <w:sz w:val="20"/>
                <w:szCs w:val="20"/>
              </w:rPr>
              <w:t xml:space="preserve">GAO-20-405 (2020) project-profile baseline development cost; GAO-11-239SP (2011) Table 3 baseline development cost</w:t>
            </w:r>
          </w:p>
        </w:tc>
      </w:tr>
      <w:tr>
        <w:tc>
          <w:tcPr>
            <w:tcW w:w="0" w:type="auto"/>
          </w:tcPr>
          <w:p>
            <w:pPr>
              <w:spacing w:line="240" w:lineRule="auto" w:before="0" w:after="0"/>
              <w:pStyle w:val="Compact"/>
            </w:pPr>
            <w:r>
              <w:rPr>
                <w:sz w:val="20"/>
                <w:szCs w:val="20"/>
              </w:rPr>
              <w:t xml:space="preserve">months_delay</w:t>
            </w:r>
          </w:p>
        </w:tc>
        <w:tc>
          <w:tcPr>
            <w:tcW w:w="0" w:type="auto"/>
          </w:tcPr>
          <w:p>
            <w:pPr>
              <w:spacing w:line="240" w:lineRule="auto" w:before="0" w:after="0"/>
              <w:pStyle w:val="Compact"/>
            </w:pPr>
            <w:r>
              <w:rPr>
                <w:sz w:val="20"/>
                <w:szCs w:val="20"/>
              </w:rPr>
              <w:t xml:space="preserve">Cumulative launch-readiness schedule delay in months, measured from the project’s original baseline launch-readiness date to its date at assessment</w:t>
            </w:r>
          </w:p>
        </w:tc>
        <w:tc>
          <w:tcPr>
            <w:tcW w:w="0" w:type="auto"/>
          </w:tcPr>
          <w:p>
            <w:pPr>
              <w:spacing w:line="240" w:lineRule="auto" w:before="0" w:after="0"/>
              <w:pStyle w:val="Compact"/>
            </w:pPr>
            <w:r>
              <w:rPr>
                <w:sz w:val="20"/>
                <w:szCs w:val="20"/>
              </w:rPr>
              <w:t xml:space="preserve">GAO-20-405 (2020) Table 2 p.13 cumulative schedule column; older-cohort launch slips from GAO-11-239SP (2011) and the named mission records cited per row in data.csv</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29.1261</w:t>
            </w:r>
          </w:p>
        </w:tc>
        <w:tc>
          <w:tcPr>
            <w:tcW w:w="0" w:type="auto"/>
          </w:tcPr>
          <w:p>
            <w:pPr>
              <w:spacing w:line="240" w:lineRule="auto" w:before="0" w:after="0"/>
              <w:pStyle w:val="Compact"/>
            </w:pPr>
            <w:r>
              <w:rPr>
                <w:sz w:val="20"/>
                <w:szCs w:val="20"/>
              </w:rPr>
              <w:t xml:space="preserve">20.6316</w:t>
            </w:r>
          </w:p>
        </w:tc>
        <w:tc>
          <w:tcPr>
            <w:tcW w:w="0" w:type="auto"/>
          </w:tcPr>
          <w:p>
            <w:pPr>
              <w:spacing w:line="240" w:lineRule="auto" w:before="0" w:after="0"/>
              <w:pStyle w:val="Compact"/>
            </w:pPr>
            <w:r>
              <w:rPr>
                <w:sz w:val="20"/>
                <w:szCs w:val="20"/>
              </w:rPr>
              <w:t xml:space="preserve">1.4117</w:t>
            </w:r>
          </w:p>
        </w:tc>
        <w:tc>
          <w:tcPr>
            <w:tcW w:w="0" w:type="auto"/>
          </w:tcPr>
          <w:p>
            <w:pPr>
              <w:spacing w:line="240" w:lineRule="auto" w:before="0" w:after="0"/>
              <w:pStyle w:val="Compact"/>
            </w:pPr>
            <w:r>
              <w:rPr>
                <w:sz w:val="20"/>
                <w:szCs w:val="20"/>
              </w:rPr>
              <w:t xml:space="preserve">0.158</w:t>
            </w:r>
          </w:p>
        </w:tc>
        <w:tc>
          <w:tcPr>
            <w:tcW w:w="0" w:type="auto"/>
          </w:tcPr>
          <w:p>
            <w:pPr>
              <w:spacing w:line="240" w:lineRule="auto" w:before="0" w:after="0"/>
              <w:pStyle w:val="Compact"/>
            </w:pPr>
            <w:r>
              <w:rPr>
                <w:sz w:val="20"/>
                <w:szCs w:val="20"/>
              </w:rPr>
              <w:t xml:space="preserve">[-11.3111, 69.5633]</w:t>
            </w:r>
          </w:p>
        </w:tc>
      </w:tr>
      <w:tr>
        <w:tc>
          <w:tcPr>
            <w:tcW w:w="0" w:type="auto"/>
          </w:tcPr>
          <w:p>
            <w:pPr>
              <w:spacing w:line="240" w:lineRule="auto" w:before="0" w:after="0"/>
              <w:pStyle w:val="Compact"/>
            </w:pPr>
            <w:r>
              <w:rPr>
                <w:sz w:val="20"/>
                <w:szCs w:val="20"/>
              </w:rPr>
              <w:t xml:space="preserve">arch_maturity</w:t>
            </w:r>
          </w:p>
        </w:tc>
        <w:tc>
          <w:tcPr>
            <w:tcW w:w="0" w:type="auto"/>
          </w:tcPr>
          <w:p>
            <w:pPr>
              <w:spacing w:line="240" w:lineRule="auto" w:before="0" w:after="0"/>
              <w:pStyle w:val="Compact"/>
            </w:pPr>
            <w:r>
              <w:rPr>
                <w:sz w:val="20"/>
                <w:szCs w:val="20"/>
              </w:rPr>
              <w:t xml:space="preserve">20.4975</w:t>
            </w:r>
          </w:p>
        </w:tc>
        <w:tc>
          <w:tcPr>
            <w:tcW w:w="0" w:type="auto"/>
          </w:tcPr>
          <w:p>
            <w:pPr>
              <w:spacing w:line="240" w:lineRule="auto" w:before="0" w:after="0"/>
              <w:pStyle w:val="Compact"/>
            </w:pPr>
            <w:r>
              <w:rPr>
                <w:sz w:val="20"/>
                <w:szCs w:val="20"/>
              </w:rPr>
              <w:t xml:space="preserve">10.3108</w:t>
            </w:r>
          </w:p>
        </w:tc>
        <w:tc>
          <w:tcPr>
            <w:tcW w:w="0" w:type="auto"/>
          </w:tcPr>
          <w:p>
            <w:pPr>
              <w:spacing w:line="240" w:lineRule="auto" w:before="0" w:after="0"/>
              <w:pStyle w:val="Compact"/>
            </w:pPr>
            <w:r>
              <w:rPr>
                <w:sz w:val="20"/>
                <w:szCs w:val="20"/>
              </w:rPr>
              <w:t xml:space="preserve">1.988</w:t>
            </w:r>
          </w:p>
        </w:tc>
        <w:tc>
          <w:tcPr>
            <w:tcW w:w="0" w:type="auto"/>
          </w:tcPr>
          <w:p>
            <w:pPr>
              <w:spacing w:line="240" w:lineRule="auto" w:before="0" w:after="0"/>
              <w:pStyle w:val="Compact"/>
            </w:pPr>
            <w:r>
              <w:rPr>
                <w:sz w:val="20"/>
                <w:szCs w:val="20"/>
              </w:rPr>
              <w:t xml:space="preserve">0.0468</w:t>
            </w:r>
          </w:p>
        </w:tc>
        <w:tc>
          <w:tcPr>
            <w:tcW w:w="0" w:type="auto"/>
          </w:tcPr>
          <w:p>
            <w:pPr>
              <w:spacing w:line="240" w:lineRule="auto" w:before="0" w:after="0"/>
              <w:pStyle w:val="Compact"/>
            </w:pPr>
            <w:r>
              <w:rPr>
                <w:sz w:val="20"/>
                <w:szCs w:val="20"/>
              </w:rPr>
              <w:t xml:space="preserve">[0.2887, 40.7063]</w:t>
            </w:r>
          </w:p>
        </w:tc>
      </w:tr>
      <w:tr>
        <w:tc>
          <w:tcPr>
            <w:tcW w:w="0" w:type="auto"/>
          </w:tcPr>
          <w:p>
            <w:pPr>
              <w:spacing w:line="240" w:lineRule="auto" w:before="0" w:after="0"/>
              <w:pStyle w:val="Compact"/>
            </w:pPr>
            <w:r>
              <w:rPr>
                <w:sz w:val="20"/>
                <w:szCs w:val="20"/>
              </w:rPr>
              <w:t xml:space="preserve">log_dev_cost</w:t>
            </w:r>
          </w:p>
        </w:tc>
        <w:tc>
          <w:tcPr>
            <w:tcW w:w="0" w:type="auto"/>
          </w:tcPr>
          <w:p>
            <w:pPr>
              <w:spacing w:line="240" w:lineRule="auto" w:before="0" w:after="0"/>
              <w:pStyle w:val="Compact"/>
            </w:pPr>
            <w:r>
              <w:rPr>
                <w:sz w:val="20"/>
                <w:szCs w:val="20"/>
              </w:rPr>
              <w:t xml:space="preserve">-7.0879</w:t>
            </w:r>
          </w:p>
        </w:tc>
        <w:tc>
          <w:tcPr>
            <w:tcW w:w="0" w:type="auto"/>
          </w:tcPr>
          <w:p>
            <w:pPr>
              <w:spacing w:line="240" w:lineRule="auto" w:before="0" w:after="0"/>
              <w:pStyle w:val="Compact"/>
            </w:pPr>
            <w:r>
              <w:rPr>
                <w:sz w:val="20"/>
                <w:szCs w:val="20"/>
              </w:rPr>
              <w:t xml:space="preserve">3.3797</w:t>
            </w:r>
          </w:p>
        </w:tc>
        <w:tc>
          <w:tcPr>
            <w:tcW w:w="0" w:type="auto"/>
          </w:tcPr>
          <w:p>
            <w:pPr>
              <w:spacing w:line="240" w:lineRule="auto" w:before="0" w:after="0"/>
              <w:pStyle w:val="Compact"/>
            </w:pPr>
            <w:r>
              <w:rPr>
                <w:sz w:val="20"/>
                <w:szCs w:val="20"/>
              </w:rPr>
              <w:t xml:space="preserve">-2.0972</w:t>
            </w:r>
          </w:p>
        </w:tc>
        <w:tc>
          <w:tcPr>
            <w:tcW w:w="0" w:type="auto"/>
          </w:tcPr>
          <w:p>
            <w:pPr>
              <w:spacing w:line="240" w:lineRule="auto" w:before="0" w:after="0"/>
              <w:pStyle w:val="Compact"/>
            </w:pPr>
            <w:r>
              <w:rPr>
                <w:sz w:val="20"/>
                <w:szCs w:val="20"/>
              </w:rPr>
              <w:t xml:space="preserve">0.036</w:t>
            </w:r>
          </w:p>
        </w:tc>
        <w:tc>
          <w:tcPr>
            <w:tcW w:w="0" w:type="auto"/>
          </w:tcPr>
          <w:p>
            <w:pPr>
              <w:spacing w:line="240" w:lineRule="auto" w:before="0" w:after="0"/>
              <w:pStyle w:val="Compact"/>
            </w:pPr>
            <w:r>
              <w:rPr>
                <w:sz w:val="20"/>
                <w:szCs w:val="20"/>
              </w:rPr>
              <w:t xml:space="preserve">[-13.7121, -0.4637]</w:t>
            </w:r>
          </w:p>
        </w:tc>
      </w:tr>
      <w:tr>
        <w:tc>
          <w:tcPr>
            <w:tcW w:w="0" w:type="auto"/>
          </w:tcPr>
          <w:p>
            <w:pPr>
              <w:spacing w:line="240" w:lineRule="auto" w:before="0" w:after="0"/>
              <w:pStyle w:val="Compact"/>
            </w:pPr>
            <w:r>
              <w:rPr>
                <w:sz w:val="20"/>
                <w:szCs w:val="20"/>
              </w:rPr>
              <w:t xml:space="preserve">months_delay</w:t>
            </w:r>
          </w:p>
        </w:tc>
        <w:tc>
          <w:tcPr>
            <w:tcW w:w="0" w:type="auto"/>
          </w:tcPr>
          <w:p>
            <w:pPr>
              <w:spacing w:line="240" w:lineRule="auto" w:before="0" w:after="0"/>
              <w:pStyle w:val="Compact"/>
            </w:pPr>
            <w:r>
              <w:rPr>
                <w:sz w:val="20"/>
                <w:szCs w:val="20"/>
              </w:rPr>
              <w:t xml:space="preserve">1.8711</w:t>
            </w:r>
          </w:p>
        </w:tc>
        <w:tc>
          <w:tcPr>
            <w:tcW w:w="0" w:type="auto"/>
          </w:tcPr>
          <w:p>
            <w:pPr>
              <w:spacing w:line="240" w:lineRule="auto" w:before="0" w:after="0"/>
              <w:pStyle w:val="Compact"/>
            </w:pPr>
            <w:r>
              <w:rPr>
                <w:sz w:val="20"/>
                <w:szCs w:val="20"/>
              </w:rPr>
              <w:t xml:space="preserve">0.3417</w:t>
            </w:r>
          </w:p>
        </w:tc>
        <w:tc>
          <w:tcPr>
            <w:tcW w:w="0" w:type="auto"/>
          </w:tcPr>
          <w:p>
            <w:pPr>
              <w:spacing w:line="240" w:lineRule="auto" w:before="0" w:after="0"/>
              <w:pStyle w:val="Compact"/>
            </w:pPr>
            <w:r>
              <w:rPr>
                <w:sz w:val="20"/>
                <w:szCs w:val="20"/>
              </w:rPr>
              <w:t xml:space="preserve">5.4757</w:t>
            </w:r>
          </w:p>
        </w:tc>
        <w:tc>
          <w:tcPr>
            <w:tcW w:w="0" w:type="auto"/>
          </w:tcPr>
          <w:p>
            <w:pPr>
              <w:spacing w:line="240" w:lineRule="auto" w:before="0" w:after="0"/>
              <w:pStyle w:val="Compact"/>
            </w:pPr>
            <w:r>
              <w:rPr>
                <w:sz w:val="20"/>
                <w:szCs w:val="20"/>
              </w:rPr>
              <w:t xml:space="preserve">4.357e-08</w:t>
            </w:r>
          </w:p>
        </w:tc>
        <w:tc>
          <w:tcPr>
            <w:tcW w:w="0" w:type="auto"/>
          </w:tcPr>
          <w:p>
            <w:pPr>
              <w:spacing w:line="240" w:lineRule="auto" w:before="0" w:after="0"/>
              <w:pStyle w:val="Compact"/>
            </w:pPr>
            <w:r>
              <w:rPr>
                <w:sz w:val="20"/>
                <w:szCs w:val="20"/>
              </w:rPr>
              <w:t xml:space="preserve">[1.2013, 2.5408]</w:t>
            </w:r>
          </w:p>
        </w:tc>
      </w:tr>
    </w:tbl>
    <w:p>
      <w:pPr>
        <w:pStyle w:val="BodyText"/>
      </w:pPr>
      <w:r>
        <w:t xml:space="preserve">Fit: N = 23 R2 = 0.7708 R2_adj = 0.7347 F = 10.2955 F_p = 0.0003043</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 Type="http://schemas.openxmlformats.org/officeDocument/2006/relationships/hyperlink" Id="rId70" Target="https://doi.org/10.1016/j.actaastro.2022.12.036"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2.12.03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2026-06-25T14:25:50Z</dcterms:created>
  <dcterms:modified xsi:type="dcterms:W3CDTF">2026-06-25T14:25:50Z</dcterms:modified>
</cp:coreProperties>
</file>

<file path=docProps/custom.xml><?xml version="1.0" encoding="utf-8"?>
<Properties xmlns="http://schemas.openxmlformats.org/officeDocument/2006/custom-properties" xmlns:vt="http://schemas.openxmlformats.org/officeDocument/2006/docPropsVTypes"/>
</file>