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A DOCUMENTED ENTERPRISE ARCHITECTURE PREDICT PROGRAM COST-AND-SCHEDULE PERFORMANCE?</w:t>
      </w:r>
    </w:p>
    <w:p>
      <w:pPr>
        <w:jc w:val="center"/>
      </w:pPr>
    </w:p>
    <w:p>
      <w:pPr>
        <w:jc w:val="center"/>
      </w:pPr>
      <w:r>
        <w:rPr>
          <w:rFonts w:ascii="Times New Roman" w:hAnsi="Times New Roman"/>
          <w:sz w:val="24"/>
        </w:rPr>
        <w:t>by</w:t>
      </w:r>
    </w:p>
    <w:p>
      <w:pPr>
        <w:jc w:val="center"/>
      </w:pPr>
      <w:r>
        <w:rPr>
          <w:rFonts w:ascii="Times New Roman" w:hAnsi="Times New Roman"/>
          <w:b/>
          <w:sz w:val="28"/>
        </w:rPr>
        <w:t>Emeka Larsson</w:t>
      </w:r>
    </w:p>
    <w:p>
      <w:pPr>
        <w:jc w:val="center"/>
      </w:pPr>
      <w:r>
        <w:rPr>
          <w:rFonts w:ascii="Times New Roman" w:hAnsi="Times New Roman"/>
          <w:sz w:val="24"/>
        </w:rPr>
        <w:t>1B-MPM-046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Federal space-program governance treats enterprise architecture as policy rather than as an engineering convenience. Program offices author, maintain, and review their architectures because a documented design is supposed to discipline execution, and the reasoning runs that once mission intent is broken into a coherent structure the program will hold closer to its baseline. Policy scholarship describes architectures the same way, as the connective tissue between programs and objectives, the structure through which intent gets rendered executable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So program offices produce the documentation. They produce it because they are required to, and the requirement is justified by appeal to logic and precedent. What almost never justifies it is an estimated effect on the outcomes it is presumed to improve.</w:t>
      </w:r>
    </w:p>
    <w:p>
      <w:pPr>
        <w:pStyle w:val="BodyText"/>
        <w:spacing w:line="480" w:lineRule="auto"/>
        <w:ind w:firstLine="720"/>
      </w:pPr>
      <w:r>
        <w:t xml:space="preserve">Those outcomes carry concrete and large stakes, and they run largest for the National Aeronautics and Space Administration (NASA) and for the federally funded research and development centers that build NASA’s hardest missions, the Jet Propulsion Laboratory (JPL) foremost among them. Every year the Government Accountability Office audits NASA’s major flight projects against their original confirmed baselines, and the picture that audit returns is a grim one. Its 2020 assessment documented three consecutive years of decline, with portfolio cost growth reaching roughly thirty-one percent</w:t>
      </w:r>
      <w:r>
        <w:t xml:space="preserve"> </w:t>
      </w:r>
      <w:hyperlink w:anchor="ref-7">
        <w:r>
          <w:rPr>
            <w:rStyle w:val="Hyperlink"/>
          </w:rPr>
          <w:t xml:space="preserve">[7]</w:t>
        </w:r>
      </w:hyperlink>
      <w:r>
        <w:t xml:space="preserve">. Projects entering critical design reviews were releasing fewer than ninety percent of their design drawings, missing the accepted benchmark by a wide margin. Nine years earlier the 2011 assessment had already walked the portfolio project by project and found the same pattern, which tells us the pattern predates the current portfolio by decades</w:t>
      </w:r>
      <w:r>
        <w:t xml:space="preserve"> </w:t>
      </w:r>
      <w:hyperlink w:anchor="ref-11">
        <w:r>
          <w:rPr>
            <w:rStyle w:val="Hyperlink"/>
          </w:rPr>
          <w:t xml:space="preserve">[11]</w:t>
        </w:r>
      </w:hyperlink>
      <w:r>
        <w:t xml:space="preserve">.</w:t>
      </w:r>
    </w:p>
    <w:p>
      <w:pPr>
        <w:pStyle w:val="BodyText"/>
        <w:spacing w:line="480" w:lineRule="auto"/>
        <w:ind w:firstLine="720"/>
      </w:pPr>
      <w:r>
        <w:t xml:space="preserve">None of this reduces to accounting curiosity. A thirty-one percent average overrun across a multibillion-dollar portfolio transfers public money away from missions that were never flown and capabilities that were never fielded. For JPL, whose flagship science missions sit at the upper tail of both cost and complexity, a single project’s overrun can swallow a division’s forward-plan headroom for years.</w:t>
      </w:r>
    </w:p>
    <w:p>
      <w:pPr>
        <w:pStyle w:val="BodyText"/>
        <w:spacing w:line="480" w:lineRule="auto"/>
        <w:ind w:firstLine="720"/>
      </w:pPr>
      <w:r>
        <w:t xml:space="preserve">Read plainly, the architecture mandate is a wager, and the wager is that documentation discipline buys execution discipline. Win it, and the resources spent on architecture pay back many times over in avoided overruns, so the mandate should be widened. Lose it, and those same resources are deadweight ritual while the engineering attention they consume pays for nothing. A program executive at NASA Headquarters, or a chief engineer at JPL weighing how much modeling rigor to demand before a project commits, currently makes that allocation on faith. This dissertation converts the faith into an estimate that a working executive can act on. The work is built to return the inconvenient answer when the data demand it, because the stewards of NASA’s portfolio, and of the public investment behind it, deserve an empirical accounting before the wager is extended or called.</w:t>
      </w:r>
    </w:p>
    <w:p>
      <w:pPr>
        <w:pStyle w:val="BodyText"/>
        <w:spacing w:line="480" w:lineRule="auto"/>
        <w:ind w:firstLine="720"/>
      </w:pPr>
      <w:r>
        <w:t xml:space="preserve">Under this question the methodological ground has shifted. For most of the history of systems engineering an architecture was descriptive prose whose quality could be argued but not graded. Recent work changes that. System models can now be built to be logically consistent and machine-checkable against formal ontological frameworks, which means an architecture is no longer merely an assertion of structure but a verifiable artifact whose consistency a procedure can evaluate without the expert in the room</w:t>
      </w:r>
      <w:r>
        <w:t xml:space="preserve"> </w:t>
      </w:r>
      <w:hyperlink w:anchor="ref-1">
        <w:r>
          <w:rPr>
            <w:rStyle w:val="Hyperlink"/>
          </w:rPr>
          <w:t xml:space="preserve">[1]</w:t>
        </w:r>
      </w:hyperlink>
      <w:r>
        <w:t xml:space="preserve">. A parallel line of research locates architecture decisions inside formal global optimization of mission concept-of-operations and systems design</w:t>
      </w:r>
      <w:r>
        <w:t xml:space="preserve"> </w:t>
      </w:r>
      <w:hyperlink w:anchor="ref-4">
        <w:r>
          <w:rPr>
            <w:rStyle w:val="Hyperlink"/>
          </w:rPr>
          <w:t xml:space="preserve">[4]</w:t>
        </w:r>
      </w:hyperlink>
      <w:r>
        <w:t xml:space="preserve">. Together these advances supply something the study could not have had a decade ago: an observable, gradable property of an architecture that can be coded as a covariate and entered into a regression. Logical consistency and machine-checkability are measurable now, not asserted virtues, and what the mandate presumes to be valuable finally has a handle.</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This question sits in a seam between two mature scholarly bodies, neither of which has crossed into the other’s territory.</w:t>
      </w:r>
    </w:p>
    <w:p>
      <w:pPr>
        <w:pStyle w:val="BodyText"/>
        <w:spacing w:line="480" w:lineRule="auto"/>
        <w:ind w:firstLine="720"/>
      </w:pPr>
      <w:r>
        <w:t xml:space="preserve">On one side stands the domain literature on architecture and model-based systems engineering, which has matured impressively toward formal, ontology-grounded models. Architectures can be made logically consistent and machine-checkable</w:t>
      </w:r>
      <w:r>
        <w:t xml:space="preserve"> </w:t>
      </w:r>
      <w:hyperlink w:anchor="ref-1">
        <w:r>
          <w:rPr>
            <w:rStyle w:val="Hyperlink"/>
          </w:rPr>
          <w:t xml:space="preserve">[1]</w:t>
        </w:r>
      </w:hyperlink>
      <w:r>
        <w:t xml:space="preserve">. Conceptual design can be embedded in mixed-integer nonlinear optimization and searched rigorously rather than heuristically</w:t>
      </w:r>
      <w:r>
        <w:t xml:space="preserve"> </w:t>
      </w:r>
      <w:hyperlink w:anchor="ref-4">
        <w:r>
          <w:rPr>
            <w:rStyle w:val="Hyperlink"/>
          </w:rPr>
          <w:t xml:space="preserve">[4]</w:t>
        </w:r>
      </w:hyperlink>
      <w:r>
        <w:t xml:space="preserve">. Model-based trade studies can structure the architecture of individual systems, from space-domain-awareness sensor constellations</w:t>
      </w:r>
      <w:r>
        <w:t xml:space="preserve"> </w:t>
      </w:r>
      <w:hyperlink w:anchor="ref-12">
        <w:r>
          <w:rPr>
            <w:rStyle w:val="Hyperlink"/>
          </w:rPr>
          <w:t xml:space="preserve">[12]</w:t>
        </w:r>
      </w:hyperlink>
      <w:r>
        <w:t xml:space="preserve"> </w:t>
      </w:r>
      <w:r>
        <w:t xml:space="preserve">to in-situ resource-utilization and lunar oxygen-production systems</w:t>
      </w:r>
      <w:r>
        <w:t xml:space="preserve"> </w:t>
      </w:r>
      <w:hyperlink w:anchor="ref-6">
        <w:r>
          <w:rPr>
            <w:rStyle w:val="Hyperlink"/>
          </w:rPr>
          <w:t xml:space="preserve">[6]</w:t>
        </w:r>
      </w:hyperlink>
      <w:r>
        <w:t xml:space="preserve">,</w:t>
      </w:r>
      <w:r>
        <w:t xml:space="preserve"> </w:t>
      </w:r>
      <w:hyperlink w:anchor="ref-22">
        <w:r>
          <w:rPr>
            <w:rStyle w:val="Hyperlink"/>
          </w:rPr>
          <w:t xml:space="preserve">[22]</w:t>
        </w:r>
      </w:hyperlink>
      <w:r>
        <w:t xml:space="preserve">. A broad applied literature shows architecture and model-based methods organizing particular missions, among them space surveillance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20">
        <w:r>
          <w:rPr>
            <w:rStyle w:val="Hyperlink"/>
          </w:rPr>
          <w:t xml:space="preserve">[20]</w:t>
        </w:r>
      </w:hyperlink>
      <w:r>
        <w:t xml:space="preserve">, distributed and agent-based space systems</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 and public-private space ventures</w:t>
      </w:r>
      <w:r>
        <w:t xml:space="preserve"> </w:t>
      </w:r>
      <w:hyperlink w:anchor="ref-28">
        <w:r>
          <w:rPr>
            <w:rStyle w:val="Hyperlink"/>
          </w:rPr>
          <w:t xml:space="preserve">[28]</w:t>
        </w:r>
      </w:hyperlink>
      <w:r>
        <w:t xml:space="preserve">.</w:t>
      </w:r>
    </w:p>
    <w:p>
      <w:pPr>
        <w:pStyle w:val="BodyText"/>
        <w:spacing w:line="480" w:lineRule="auto"/>
        <w:ind w:firstLine="720"/>
      </w:pPr>
      <w:r>
        <w:t xml:space="preserve">Across that literature the unit of evaluation stays internal to the model. Architectures get judged against completeness, consistency, traceability, fidelity of the trade space, design quality. With rare exception they do not get judged against execution. No one follows the architecture forward to ask whether the documented artifact predicted whether the program later overran. Value propositions are stated at design time and stop there.</w:t>
      </w:r>
    </w:p>
    <w:p>
      <w:pPr>
        <w:pStyle w:val="BodyText"/>
        <w:spacing w:line="480" w:lineRule="auto"/>
        <w:ind w:firstLine="720"/>
      </w:pPr>
      <w:r>
        <w:t xml:space="preserve">The other side is the econometric and parametric-estimation literature, which takes execution outcomes as its object. Parametric cost research in aerospace establishes that cost-estimating relationships sharpen as design definition matures, and that estimates made before design freeze carry wide and asymmetric error bands</w:t>
      </w:r>
      <w:r>
        <w:t xml:space="preserve"> </w:t>
      </w:r>
      <w:hyperlink w:anchor="ref-9">
        <w:r>
          <w:rPr>
            <w:rStyle w:val="Hyperlink"/>
          </w:rPr>
          <w:t xml:space="preserve">[9]</w:t>
        </w:r>
      </w:hyperlink>
      <w:r>
        <w:t xml:space="preserve">. The GAO assessments constitute a recurring, externally audited measurement of cost growth and schedule slip against a common baseline definition</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Space-economics scholarship treats architecture at the level of norm and policy transformation and proposes templates for measuring pre-acquisition architecture and engineering impact</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it also documents that satellite cost-performance has improved over a fifteen-year horizon faster than in most comparable sectors</w:t>
      </w:r>
      <w:r>
        <w:t xml:space="preserve"> </w:t>
      </w:r>
      <w:hyperlink w:anchor="ref-5">
        <w:r>
          <w:rPr>
            <w:rStyle w:val="Hyperlink"/>
          </w:rPr>
          <w:t xml:space="preserve">[5]</w:t>
        </w:r>
      </w:hyperlink>
      <w:r>
        <w:t xml:space="preserve">. What that side lacks is the architecture regressor. It measures outcomes carefully and conditions them on size, schedule, and technological maturity, yet it never enters documented architecture, coded as a graded covariate, as a predictor whose coefficient can be estimated under a credible identification strategy.</w:t>
      </w:r>
    </w:p>
    <w:p>
      <w:pPr>
        <w:pStyle w:val="BodyText"/>
        <w:spacing w:line="480" w:lineRule="auto"/>
        <w:ind w:firstLine="720"/>
      </w:pPr>
      <w:r>
        <w:t xml:space="preserve">Neither vague nor rhetorical, the gap is exact. The domain literature holds the architecture construct without the outcome regression; the econometric literature holds the outcome regression without the architecture construct. No retrieved source estimates, at the program level and with an identification strategy that addresses the obvious endogeneity, whether documented enterprise architecture predicts cost-and-schedule performance net of confounders.</w:t>
      </w:r>
    </w:p>
    <w:p>
      <w:pPr>
        <w:pStyle w:val="BodyText"/>
        <w:spacing w:line="480" w:lineRule="auto"/>
        <w:ind w:firstLine="720"/>
      </w:pPr>
      <w:r>
        <w:t xml:space="preserve">Two candidate research papers preceded this dissertation and began to bridge the seam, and in doing so they sharpened exactly what the bridge must carry. The first regressed observed development cost growth on a graded documented-architecture maturity score across twenty-three NASA major projects, holding program size and schedule execution fixed. Its maturity coefficient carried the wrong sign: more mature, critical-design-review-anchored baselines were associated with higher percentage cost growth, not lower. What dominated, precisely estimated, was schedule delay, at roughly one-point-nine percentage points of cost growth per month lost. The second paper reframed the same portfolio as a survival problem, so that the schedule breach rather than the cost number became the dependent event, and projects still holding their baselines stayed in the risk set as right-censored observations. There the architecture maturity coefficient flipped to the protective direction, with a hazard ratio near two-thirds that remained statistically indistinguishable from one at that sample size.</w:t>
      </w:r>
    </w:p>
    <w:p>
      <w:pPr>
        <w:pStyle w:val="BodyText"/>
        <w:spacing w:line="480" w:lineRule="auto"/>
        <w:ind w:firstLine="720"/>
      </w:pPr>
      <w:r>
        <w:t xml:space="preserve">Read together, the two results carry a stake this dissertation cannot leave standing. Taken at face value, the first paper’s wrong-sign finding does not merely fail to support the architecture mandate; it supplies an empirical warrant to dismantle it. An executive who read only the cross-sectional result and acted on it as published would conclude that the most rigorously architected programs are the ones that overrun most, and would reallocate resources accordingly. The survival paper recovers the theorized direction, but at a confidence interval that crosses zero, which leaves the mandate’s defenders and its critics each able to claim the data. This dissertation’s burden is to deliver an estimate sharp enough that the answer, in either direction, can no longer be plausibly disputed.</w:t>
      </w:r>
    </w:p>
    <w:p>
      <w:pPr>
        <w:pStyle w:val="BodyText"/>
        <w:spacing w:line="480" w:lineRule="auto"/>
        <w:ind w:firstLine="720"/>
      </w:pPr>
      <w:r>
        <w:t xml:space="preserve">Between them the two precursor results also define the methodological problem. The cost regression showed that a naive cross-sectional association between architecture and outcome is contaminated by a selection-and-timing artifact, because a project earns a measured cost overrun only after it has committed to a baseline and has had time to overrun. So the high-maturity categories get mechanically populated by committed, exposed projects, while the projects still holding their baselines register no growth because their clock has not started. The survival paper showed that properly crediting the censored projects partly repairs the artifact and recovers the theorized direction. It also surfaced two harder facts: doing so leaves the estimate underpowered, and, more fundamentally, it leaves the causal interpretation exposed to reverse causality, since well-managed programs may both author rigorous architectures and execute well, which means the architecture coefficient, whatever its sign, conflates the artifact with the unobserved management quality that produced it. Closing the gap therefore takes more than entering a regressor the domain literature never entered. It takes an identification strategy that can separate the architecture channel from the management-quality confound it travels with.</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estimates one number: the effect of a logically consistent, machine-checkable enterprise architecture at the preliminary design review (PDR) on subsequent cost growth and schedule slip across the NASA major-program portfolio, conditioned on the obvious confounders, identified against reverse causality and selection, and reported with its confidence interval. That coefficient is the contribution. The work proposes no new architecture framework, no new maturity model, and no case narrative. It estimates one association and reports whether the association survives identification.</w:t>
      </w:r>
    </w:p>
    <w:p>
      <w:pPr>
        <w:pStyle w:val="BodyText"/>
        <w:spacing w:line="480" w:lineRule="auto"/>
        <w:ind w:firstLine="720"/>
      </w:pPr>
      <w:r>
        <w:t xml:space="preserve">The unit of analysis is the program-milestone observation. The regressor is binary: one when a program has, at its PDR milestone, a documented enterprise or system architecture meeting the logical-consistency and machine-checkability rubric drawn from the ontology-grounded modeling literature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zero otherwise. Two outcomes follow. Cost growth is the proportional change between the design-milestone cost baseline and the program’s confirmed actual or estimate-at-completion. Schedule slip is the proportional change in months between baselined and realized milestone dates. The contribution is the estimated coefficient on the architecture indicator, conditioned on program scope, technology readiness at the design milestone, and contract type, and identified against reverse causality and selection.</w:t>
      </w:r>
    </w:p>
    <w:p>
      <w:pPr>
        <w:pStyle w:val="BodyText"/>
        <w:spacing w:line="480" w:lineRule="auto"/>
        <w:ind w:firstLine="720"/>
      </w:pPr>
      <w:r>
        <w:t xml:space="preserve">The hypotheses are these.</w:t>
      </w:r>
    </w:p>
    <w:p>
      <w:pPr>
        <w:pStyle w:val="BodyText"/>
        <w:spacing w:line="480" w:lineRule="auto"/>
        <w:ind w:firstLine="720"/>
      </w:pPr>
      <w:r>
        <w:rPr>
          <w:b/>
          <w:bCs/>
        </w:rPr>
        <w:t xml:space="preserve">Null hypothesis (H0).</w:t>
      </w:r>
      <w:r>
        <w:t xml:space="preserve"> </w:t>
      </w:r>
      <w:r>
        <w:t xml:space="preserve">Conditional on program scope, technology readiness at the design milestone, and contract type, the presence of a logically consistent, machine-checkable enterprise architecture at the preliminary design milestone has no association with subsequent cost growth or schedule slip. Formally: the architecture coefficient equals zero in the preferred specification.</w:t>
      </w:r>
    </w:p>
    <w:p>
      <w:pPr>
        <w:pStyle w:val="BodyText"/>
        <w:spacing w:line="480" w:lineRule="auto"/>
        <w:ind w:firstLine="720"/>
      </w:pPr>
      <w:r>
        <w:rPr>
          <w:b/>
          <w:bCs/>
        </w:rPr>
        <w:t xml:space="preserve">Alternative hypothesis (H1).</w:t>
      </w:r>
      <w:r>
        <w:t xml:space="preserve"> </w:t>
      </w:r>
      <w:r>
        <w:t xml:space="preserve">Conditional on the same covariates, the presence of a logically consistent, machine-checkable enterprise architecture at the preliminary design milestone is associated with lower subsequent cost growth and lower subsequent schedule slip. Formally: the architecture coefficient is negative and statistically distinguishable from zero in the preferred specification.</w:t>
      </w:r>
    </w:p>
    <w:p>
      <w:pPr>
        <w:pStyle w:val="BodyText"/>
        <w:spacing w:line="480" w:lineRule="auto"/>
        <w:ind w:firstLine="720"/>
      </w:pPr>
      <w:r>
        <w:t xml:space="preserve">What the dissertation contributes is the identified coefficient and its confidence interval, not a framework and not a story, and it is falsifiable in the strict sense. Should the architecture coefficient prove statistically indistinguishable from zero in the preferred specification, the null is not rejected, and the prevailing mandate loses its empirical warrant for the population studied. The candidate commits to reporting that outcome as a substantive result, not as a disappointment to be managed. A mandate that cannot demonstrate an effect on the outcomes it is supposed to improve is a mandate this dissertation will have stripped of its justification, and that stripping is the finding. An executive deciding where to apply scarce engineering discipline deserves to know when the received wisdom does not hold.</w:t>
      </w:r>
    </w:p>
    <w:p>
      <w:pPr>
        <w:pStyle w:val="BodyText"/>
        <w:spacing w:line="480" w:lineRule="auto"/>
        <w:ind w:firstLine="720"/>
      </w:pPr>
      <w:r>
        <w:t xml:space="preserve">Identification is the methodological core. A rich covariate set conditions on program scope, technology readiness, contract type, and prime-contractor fixed effects, which absorbs the most visible sources of the management-quality confound. That is not enough on its own. Programs that get rigorous architecture reviews may get them because they are better managed to begin with, which confounds the architecture channel with the management quality that produced it. So the study adds an instrumental-variables (IV) strategy whose instruments are the timing of agency-wide architecture mandates and the staggered rollout of ontology-checkable modeling tooling. Its load-bearing assumption is the exclusion restriction: mandate timing, determined at the agency level, reaches a program’s cost and schedule outcomes only through the architecture channel.</w:t>
      </w:r>
    </w:p>
    <w:p>
      <w:pPr>
        <w:pStyle w:val="BodyText"/>
        <w:spacing w:line="480" w:lineRule="auto"/>
        <w:ind w:firstLine="720"/>
      </w:pPr>
      <w:r>
        <w:t xml:space="preserve">Continuous outcomes are estimated by two-stage least squares (2SLS). Time-to-milestone is modeled with a complementary Cox proportional-hazards specification, which credits programs still holding their baselines as right-censored observations rather than as untroubled successes. A difference-in-differences (DiD) design exploiting the mandate rollout serves as the primary robustness check, placebo tests run on pre-mandate programs, and a sensitivity analysis bounds how much unobserved confounding would be required to overturn any rejection of H0.</w:t>
      </w:r>
    </w:p>
    <w:p>
      <w:pPr>
        <w:pStyle w:val="BodyText"/>
        <w:spacing w:line="480" w:lineRule="auto"/>
        <w:ind w:firstLine="720"/>
      </w:pPr>
      <w:r>
        <w:t xml:space="preserve">That DiD design also answers the secular-trend rival from the space-economics literature</w:t>
      </w:r>
      <w:r>
        <w:t xml:space="preserve"> </w:t>
      </w:r>
      <w:hyperlink w:anchor="ref-5">
        <w:r>
          <w:rPr>
            <w:rStyle w:val="Hyperlink"/>
          </w:rPr>
          <w:t xml:space="preserve">[5]</w:t>
        </w:r>
      </w:hyperlink>
      <w:r>
        <w:t xml:space="preserve">. Observed cost improvements could reflect technological progress generally rather than architecture discipline specifically, and the parallel-trends assumption is what settles the question. Chapter 5 tests it by estimating pre-mandate placebo coefficients on each dependent variable, and the dissertation defends or qualifies the DiD reading with whatever that evidence returns.</w:t>
      </w:r>
    </w:p>
    <w:p>
      <w:pPr>
        <w:pStyle w:val="BodyText"/>
        <w:spacing w:line="480" w:lineRule="auto"/>
        <w:ind w:firstLine="720"/>
      </w:pPr>
      <w:r>
        <w:t xml:space="preserve">In the preferred specification the architecture regressor is binary, one if a program has a consistent, machine-checkable architecture at PDR and zero otherwise, and the ontology-grounded literature provides a defensible cut point. The binary specification hides no arbitrary threshold behind a smoother index. The same rubric supports an ordered three-level coding, absent, partially consistent, fully checkable, and the dissertation reports both; if the binary coefficient is driven by where the cut falls rather than by the architecture itself, the ordered specification will show it.</w:t>
      </w:r>
    </w:p>
    <w:p>
      <w:pPr>
        <w:pStyle w:val="BodyText"/>
        <w:spacing w:line="480" w:lineRule="auto"/>
        <w:ind w:firstLine="720"/>
      </w:pPr>
      <w:r>
        <w:t xml:space="preserve">Two independent raters handle coding, with disagreement routed to a third rater, and the protocol is registered with the doctoral committee before any coding begins, which means concerns about post-hoc rubric tuning are addressed by record rather than by assertion.</w:t>
      </w:r>
    </w:p>
    <w:p>
      <w:pPr>
        <w:pStyle w:val="BodyText"/>
        <w:spacing w:line="480" w:lineRule="auto"/>
        <w:ind w:firstLine="720"/>
      </w:pPr>
      <w:r>
        <w:t xml:space="preserve">The data are real and obtainable, and three sources link. First is the NASA Cost Analysis Data Requirement (CADRe) corpus, produced at each major program milestone and recording technical scope, programmatic context, and a structured life-cycle cost and schedule estimate. Second are the cost-estimating records in the NASA-Air Force Cost Model (NAFCOM) lineage and the ONe NASA Cost Engineering (ONCE) database. Third are each program’s dated architecture artifacts. Every observation ties a CADRe milestone record to a dated architecture artifact, so provenance is auditable from end to end and the estimate is reproducible. Architecture status is coded by two raters against the consistency-and-checkability rubric drawn from</w:t>
      </w:r>
      <w:r>
        <w:t xml:space="preserve"> </w:t>
      </w:r>
      <w:hyperlink w:anchor="ref-1">
        <w:r>
          <w:rPr>
            <w:rStyle w:val="Hyperlink"/>
          </w:rPr>
          <w:t xml:space="preserve">[1]</w:t>
        </w:r>
      </w:hyperlink>
      <w:r>
        <w:t xml:space="preserve"> </w:t>
      </w:r>
      <w:r>
        <w:t xml:space="preserve">and</w:t>
      </w:r>
      <w:r>
        <w:t xml:space="preserve"> </w:t>
      </w:r>
      <w:hyperlink w:anchor="ref-4">
        <w:r>
          <w:rPr>
            <w:rStyle w:val="Hyperlink"/>
          </w:rPr>
          <w:t xml:space="preserve">[4]</w:t>
        </w:r>
      </w:hyperlink>
      <w:r>
        <w:t xml:space="preserve">, with an inter-rater reliability statistic reported alongside the third-rater adjudication record. The GAO major-project assessments give an external, independently published check on the cost-growth and schedule-slip outcomes for the programs they cover</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Three empirical constraints recur in later chapters, and they are acknowledged here so readers can follow how each is handled. Sample size binds hardest. The precursor papers worked with twenty-three NASA major projects, and a 2SLS specification with the covariate set above is underpowered at that count. Data assembly therefore targets additional vintages of CADRe records and agency-confirmed projects below the historical inclusion threshold, and Chapter 4 reports the minimum detectable effect under the achieved sample. The IV exclusion restriction faces a pre-positioning risk, because program offices that anticipated a mandate rollout may have accelerated architecture work before the formal effective date, contaminating the first-stage instrument. Chapter 5 tests for this directly, examining first-stage architecture activity in the windows preceding each mandate and reporting the IV result with and without the potentially pre-positioned observations. NASA data access for an external researcher operates under a formal agreement, and the dissertation reports the population it was authorized to draw from as well as what it could not reach.</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proceeds as follows.</w:t>
      </w:r>
    </w:p>
    <w:p>
      <w:pPr>
        <w:pStyle w:val="BodyText"/>
        <w:spacing w:line="480" w:lineRule="auto"/>
        <w:ind w:firstLine="720"/>
      </w:pPr>
      <w:r>
        <w:rPr>
          <w:b/>
          <w:bCs/>
        </w:rPr>
        <w:t xml:space="preserve">Chapter 2</w:t>
      </w:r>
      <w:r>
        <w:t xml:space="preserve"> </w:t>
      </w:r>
      <w:r>
        <w:t xml:space="preserve">reviews the two literatures whose seam the study occupies and makes the gap explicit. It traces the model-based and ontology-grounded architecture literature from descriptive framework to verifiable, machine-checkable artifact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surveys the applied architecture and trade-study scholarship across space-domain awareness, resource utilization, and distributed space systems</w:t>
      </w:r>
      <w:r>
        <w:t xml:space="preserve"> </w:t>
      </w:r>
      <w:hyperlink w:anchor="ref-6">
        <w:r>
          <w:rPr>
            <w:rStyle w:val="Hyperlink"/>
          </w:rPr>
          <w:t xml:space="preserve">[6]</w:t>
        </w:r>
      </w:hyperlink>
      <w:r>
        <w:t xml:space="preserve">,</w:t>
      </w:r>
      <w:r>
        <w:t xml:space="preserve"> </w:t>
      </w:r>
      <w:hyperlink w:anchor="ref-12">
        <w:r>
          <w:rPr>
            <w:rStyle w:val="Hyperlink"/>
          </w:rPr>
          <w:t xml:space="preserve">[12]</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20">
        <w:r>
          <w:rPr>
            <w:rStyle w:val="Hyperlink"/>
          </w:rPr>
          <w:t xml:space="preserve">[20]</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5">
        <w:r>
          <w:rPr>
            <w:rStyle w:val="Hyperlink"/>
          </w:rPr>
          <w:t xml:space="preserve">[25]</w:t>
        </w:r>
      </w:hyperlink>
      <w:r>
        <w:t xml:space="preserve">, and sets that body against the parametric cost-estimation and audited-outcome literature</w:t>
      </w:r>
      <w:r>
        <w:t xml:space="preserve"> </w:t>
      </w:r>
      <w:hyperlink w:anchor="ref-7">
        <w:r>
          <w:rPr>
            <w:rStyle w:val="Hyperlink"/>
          </w:rPr>
          <w:t xml:space="preserve">[7]</w:t>
        </w:r>
      </w:hyperlink>
      <w:r>
        <w:t xml:space="preserve">,</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 </w:t>
      </w:r>
      <w:r>
        <w:t xml:space="preserve">and the space-economics literature on pre-acquisition architecture impact</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 It closes by stating, in the language of both literatures, the proposition that neither has tested.</w:t>
      </w:r>
    </w:p>
    <w:p>
      <w:pPr>
        <w:pStyle w:val="BodyText"/>
        <w:spacing w:line="480" w:lineRule="auto"/>
        <w:ind w:firstLine="720"/>
      </w:pPr>
      <w:r>
        <w:rPr>
          <w:b/>
          <w:bCs/>
        </w:rPr>
        <w:t xml:space="preserve">Chapter 3</w:t>
      </w:r>
      <w:r>
        <w:t xml:space="preserve"> </w:t>
      </w:r>
      <w:r>
        <w:t xml:space="preserve">develops the theory of how a documented architecture could plausibly move execution outcomes through two mechanisms. Under the information mechanism, a reviewed design lets estimators cost and schedule the work with less optimism. Under the commitment mechanism, a frozen baseline raises the organizational cost of the late design change that drives rework. The chapter states H0 and H1 formally and derives the sign predictions the empirical chapters test.</w:t>
      </w:r>
    </w:p>
    <w:p>
      <w:pPr>
        <w:pStyle w:val="BodyText"/>
        <w:spacing w:line="480" w:lineRule="auto"/>
        <w:ind w:firstLine="720"/>
      </w:pPr>
      <w:r>
        <w:rPr>
          <w:b/>
          <w:bCs/>
        </w:rPr>
        <w:t xml:space="preserve">Chapter 4</w:t>
      </w:r>
      <w:r>
        <w:t xml:space="preserve"> </w:t>
      </w:r>
      <w:r>
        <w:t xml:space="preserve">specifies data and measurement: the CADRe, NAFCOM, and ONCE sources; the construction of the cost-growth and schedule-slip outcomes; the two-rater architecture-consistency coding protocol and its reliability; the covariate set; and the construction of the mandate-timing and tooling-rollout instruments. It documents provenance and the merge keys that make the linked dataset reproducible.</w:t>
      </w:r>
    </w:p>
    <w:p>
      <w:pPr>
        <w:pStyle w:val="BodyText"/>
        <w:spacing w:line="480" w:lineRule="auto"/>
        <w:ind w:firstLine="720"/>
      </w:pPr>
      <w:r>
        <w:rPr>
          <w:b/>
          <w:bCs/>
        </w:rPr>
        <w:t xml:space="preserve">Chapter 5</w:t>
      </w:r>
      <w:r>
        <w:t xml:space="preserve"> </w:t>
      </w:r>
      <w:r>
        <w:t xml:space="preserve">presents the identification strategy and estimators in full: the two-stage least squares specification for the continuous outcomes; the Cox proportional-hazards specification for time-to-milestone; the difference-in-differences design exploiting the mandate rollout; and the placebo and sensitivity analyses that probe the exclusion restriction.</w:t>
      </w:r>
    </w:p>
    <w:p>
      <w:pPr>
        <w:pStyle w:val="BodyText"/>
        <w:spacing w:line="480" w:lineRule="auto"/>
        <w:ind w:firstLine="720"/>
      </w:pPr>
      <w:r>
        <w:rPr>
          <w:b/>
          <w:bCs/>
        </w:rPr>
        <w:t xml:space="preserve">Chapter 6</w:t>
      </w:r>
      <w:r>
        <w:t xml:space="preserve"> </w:t>
      </w:r>
      <w:r>
        <w:t xml:space="preserve">reports results, the architecture coefficient and its confidence interval under the preferred specification and under each robustness check, and adjudicates H0 against H1.</w:t>
      </w:r>
    </w:p>
    <w:p>
      <w:pPr>
        <w:pStyle w:val="BodyText"/>
        <w:spacing w:line="480" w:lineRule="auto"/>
        <w:ind w:firstLine="720"/>
      </w:pPr>
      <w:r>
        <w:rPr>
          <w:b/>
          <w:bCs/>
        </w:rPr>
        <w:t xml:space="preserve">Chapter 7</w:t>
      </w:r>
      <w:r>
        <w:t xml:space="preserve"> </w:t>
      </w:r>
      <w:r>
        <w:t xml:space="preserve">treats threats to validity, internal, construct, external, and statistical-conclusion, building on the selection-and-timing artifact and the power constraint that the two precursor papers exposed, and bounds the inferences the data can support.</w:t>
      </w:r>
    </w:p>
    <w:p>
      <w:pPr>
        <w:pStyle w:val="BodyText"/>
        <w:spacing w:line="480" w:lineRule="auto"/>
        <w:ind w:firstLine="720"/>
      </w:pPr>
      <w:r>
        <w:rPr>
          <w:b/>
          <w:bCs/>
        </w:rPr>
        <w:t xml:space="preserve">Chapter 8</w:t>
      </w:r>
      <w:r>
        <w:t xml:space="preserve"> </w:t>
      </w:r>
      <w:r>
        <w:t xml:space="preserve">closes by saying what a program executive at NASA Headquarters, or a chief engineer at JPL, should do differently in light of the estimate, whichever way it falls, and marks the boundary of generalization beyond NASA’s programmatic and contracting environment.</w:t>
      </w:r>
    </w:p>
    <w:bookmarkEnd w:id="64"/>
    <w:bookmarkEnd w:id="65"/>
    <w:bookmarkStart w:id="80" w:name="chapter-2.-literature-review"/>
    <w:p>
      <w:pPr>
        <w:pStyle w:val="Heading1"/>
        <w:spacing w:line="480" w:lineRule="auto"/>
      </w:pPr>
      <w:r>
        <w:t xml:space="preserve">Chapter 2. Literature Review</w:t>
      </w:r>
    </w:p>
    <w:bookmarkStart w:id="66" w:name="Xe8e42d1df99e316903cf997fdc5528d913d179d"/>
    <w:p>
      <w:pPr>
        <w:pStyle w:val="Heading2"/>
        <w:spacing w:line="480" w:lineRule="auto"/>
      </w:pPr>
      <w:r>
        <w:t xml:space="preserve">2.1 Orientation: Two Literatures That Do Not Speak to Each Other</w:t>
      </w:r>
    </w:p>
    <w:p>
      <w:pPr>
        <w:pStyle w:val="FirstParagraph"/>
        <w:spacing w:line="480" w:lineRule="auto"/>
      </w:pPr>
      <w:r>
        <w:t xml:space="preserve">This dissertation sits in the seam between two mature bodies of scholarship that, for all their evident relevance to one another, have developed almost entirely in isolation.</w:t>
      </w:r>
    </w:p>
    <w:p>
      <w:pPr>
        <w:pStyle w:val="BodyText"/>
        <w:spacing w:line="480" w:lineRule="auto"/>
        <w:ind w:firstLine="720"/>
      </w:pPr>
      <w:r>
        <w:t xml:space="preserve">First among them is the domain-technical literature on enterprise and system architecture in space programs, which has progressed from descriptive frameworks toward formal, ontology-grounded, machine-checkable models that can be evaluated against explicit criteria of consistency and completeness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Second is the cliometric and econometric methodology literature on identification, instrumentation, and survival estimation, which supplies the apparatus by which an observational claim about cause and effect can be defended against the confounding and selection that contaminate naive comparisons.</w:t>
      </w:r>
    </w:p>
    <w:p>
      <w:pPr>
        <w:pStyle w:val="BodyText"/>
        <w:spacing w:line="480" w:lineRule="auto"/>
        <w:ind w:firstLine="720"/>
      </w:pPr>
      <w:r>
        <w:t xml:space="preserve">Where the technical literature asserts that documented architecture produces value, the methodological literature supplies the machinery to test whether such an assertion survives contact with data. The assertion has not been routed through the machinery. Architecture scholars evaluate their artifacts against internal criteria, and the econometric community has been applied to program cost and schedule only sporadically, never, in the retrieved corpus, with documented architecture as the regressor of interest.</w:t>
      </w:r>
    </w:p>
    <w:p>
      <w:pPr>
        <w:pStyle w:val="BodyText"/>
        <w:spacing w:line="480" w:lineRule="auto"/>
        <w:ind w:firstLine="720"/>
      </w:pPr>
      <w:r>
        <w:t xml:space="preserve">This chapter characterizes each literature on its own terms, traces why each stops short of the question the dissertation poses, and specifies with precision the gap that joining them would close. It proceeds in five movements. Section 2.2 reviews the domain-technical literature on architecture as a value-bearing practice, distinguishing the design-quality claim it actually substantiates from the execution-performance claim it is often presumed to make. Section 2.3 reviews the parametric cost-and-schedule estimation literature that is the technical community’s closest approach to the outcome variables of interest. Section 2.4 turns to the cliometric and econometric methodology literature, surveying the identification strategies, instrumental-variables logic, and survival methods that a credible program-level estimate would require. Section 2.5 synthesizes the two literatures, locates the unjoined gap, and states why it is both specific and addressable. Section 2.6 positions the candidate’s two completed research papers as the first probes into that gap and frames the dissertation’s contribution against what they establish and what they leave open.</w:t>
      </w:r>
    </w:p>
    <w:bookmarkEnd w:id="66"/>
    <w:bookmarkStart w:id="71" w:name="X6decd319dbc554ed31bbd6ab49fa953a493bd60"/>
    <w:p>
      <w:pPr>
        <w:pStyle w:val="Heading2"/>
        <w:spacing w:line="480" w:lineRule="auto"/>
      </w:pPr>
      <w:r>
        <w:t xml:space="preserve">2.2 The Domain-Technical Literature: Architecture as Value-Bearing Practice</w:t>
      </w:r>
    </w:p>
    <w:bookmarkStart w:id="67" w:name="Xad61532a8fccf46a2595025ab3b7924f31643df"/>
    <w:p>
      <w:pPr>
        <w:pStyle w:val="Heading3"/>
        <w:spacing w:line="480" w:lineRule="auto"/>
      </w:pPr>
      <w:r>
        <w:t xml:space="preserve">2.2.1 From descriptive frameworks to checkable artifacts</w:t>
      </w:r>
    </w:p>
    <w:p>
      <w:pPr>
        <w:pStyle w:val="FirstParagraph"/>
        <w:spacing w:line="480" w:lineRule="auto"/>
      </w:pPr>
      <w:r>
        <w:t xml:space="preserve">At its foundation the architecture literature holds that an explicit, documented representation of a system disciplines that system’s development. For most of the field’s history the representation in question was descriptive prose and diagrams, and its value was argued from logic and precedent rather than demonstrated against measured outcomes.</w:t>
      </w:r>
    </w:p>
    <w:p>
      <w:pPr>
        <w:pStyle w:val="BodyText"/>
        <w:spacing w:line="480" w:lineRule="auto"/>
        <w:ind w:firstLine="720"/>
      </w:pPr>
      <w:r>
        <w:t xml:space="preserve">What has shifted recently, and consequentially, is the move toward architecture as a formal, analyzable artifact. Its clearest exemplar is the work instantiating logically consistent system models using ontological architecture and process frameworks, which demonstrates that a system model can be constructed so as to be internally consistent and checkable against an ontology rather than merely asserted to be coherent</w:t>
      </w:r>
      <w:r>
        <w:t xml:space="preserve"> </w:t>
      </w:r>
      <w:hyperlink w:anchor="ref-1">
        <w:r>
          <w:rPr>
            <w:rStyle w:val="Hyperlink"/>
          </w:rPr>
          <w:t xml:space="preserve">[1]</w:t>
        </w:r>
      </w:hyperlink>
      <w:r>
        <w:t xml:space="preserve">. For the present inquiry this is a categorical advance. It converts an architecture from an object whose quality is a matter of expert judgment into an object whose quality has a gradable, observable property, namely logical consistency and machine-checkability. That property is exactly what permits architecture status to be coded as a covariate rather than asserted as a virtue, and it is the operationalization on which this dissertation’s regressor depends</w:t>
      </w:r>
      <w:r>
        <w:t xml:space="preserve"> </w:t>
      </w:r>
      <w:hyperlink w:anchor="ref-1">
        <w:r>
          <w:rPr>
            <w:rStyle w:val="Hyperlink"/>
          </w:rPr>
          <w:t xml:space="preserve">[1]</w:t>
        </w:r>
      </w:hyperlink>
      <w:r>
        <w:t xml:space="preserve">.</w:t>
      </w:r>
    </w:p>
    <w:p>
      <w:pPr>
        <w:pStyle w:val="BodyText"/>
        <w:spacing w:line="480" w:lineRule="auto"/>
        <w:ind w:firstLine="720"/>
      </w:pPr>
      <w:r>
        <w:t xml:space="preserve">Parallel work extends formal modeling from representation into optimization. Global optimization of mission concept-of-operations and systems design via mixed-integer nonlinear programming locates the architecture decision inside a formal optimization rather than inside expert deliberation alone</w:t>
      </w:r>
      <w:r>
        <w:t xml:space="preserve"> </w:t>
      </w:r>
      <w:hyperlink w:anchor="ref-4">
        <w:r>
          <w:rPr>
            <w:rStyle w:val="Hyperlink"/>
          </w:rPr>
          <w:t xml:space="preserve">[4]</w:t>
        </w:r>
      </w:hyperlink>
      <w:r>
        <w:t xml:space="preserve">, and two things follow. An architecture artifact can be made rigorous enough to be the object of mathematical treatment, which reinforces the claim that machine-checkability is a real property and not a rhetorical one. Architecture is also reframed from a static document into a decision surface, which matters for the dissertation’s construct validity because it suggests architecture quality is multidimensional and consistency is only one of several codable properties.</w:t>
      </w:r>
    </w:p>
    <w:bookmarkEnd w:id="67"/>
    <w:bookmarkStart w:id="68" w:name="X706321ca55be16b9d00d27777081eb69c7f0855"/>
    <w:p>
      <w:pPr>
        <w:pStyle w:val="Heading3"/>
        <w:spacing w:line="480" w:lineRule="auto"/>
      </w:pPr>
      <w:r>
        <w:t xml:space="preserve">2.2.2 The design-quality claim versus the execution claim</w:t>
      </w:r>
    </w:p>
    <w:p>
      <w:pPr>
        <w:pStyle w:val="FirstParagraph"/>
        <w:spacing w:line="480" w:lineRule="auto"/>
      </w:pPr>
      <w:r>
        <w:t xml:space="preserve">Decisively, this literature states its value propositions at the level of design quality, not at the level of program execution. Its criteria for evaluating architectures are internal to the model: completeness, consistency, traceability, analyzability</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These are claims about whether the architecture is a good architecture. They are not claims about whether the program that authored it later held its cost and schedule. That inferential leap, from the former to the latter, is precisely what the literature does not make and what this dissertation must therefore make explicit and test. A logically consistent model is presumed to discipline the program, but the presumption is an article of faith in the sense that no retrieved source regresses program execution outcomes on architecture properties.</w:t>
      </w:r>
    </w:p>
    <w:p>
      <w:pPr>
        <w:pStyle w:val="BodyText"/>
        <w:spacing w:line="480" w:lineRule="auto"/>
        <w:ind w:firstLine="720"/>
      </w:pPr>
      <w:r>
        <w:t xml:space="preserve">Applied design work reinforces the characterization. Studies that deploy architecture and model-based methods to structure individual missions, such as the architecture of lunar oxygen-production systems built from in-situ resource extraction concepts, demonstrate the methods in use at the single-mission level</w:t>
      </w:r>
      <w:r>
        <w:t xml:space="preserve"> </w:t>
      </w:r>
      <w:hyperlink w:anchor="ref-6">
        <w:r>
          <w:rPr>
            <w:rStyle w:val="Hyperlink"/>
          </w:rPr>
          <w:t xml:space="preserve">[6]</w:t>
        </w:r>
      </w:hyperlink>
      <w:r>
        <w:t xml:space="preserve">. Comparable single-system architecture work appears in space-domain-awareness sensor constellation design, where model-based trade studies develop optical sensor constellation architectures and reason explicitly about the cost and capability tradeoffs of architectural alternatives</w:t>
      </w:r>
      <w:r>
        <w:t xml:space="preserve"> </w:t>
      </w:r>
      <w:hyperlink w:anchor="ref-12">
        <w:r>
          <w:rPr>
            <w:rStyle w:val="Hyperlink"/>
          </w:rPr>
          <w:t xml:space="preserve">[12]</w:t>
        </w:r>
      </w:hyperlink>
      <w:r>
        <w:t xml:space="preserve">. Architecture design for commercial suitability has been examined as a case study in in-situ resource utilization systems, again at the level of a single system class rather than across a portfolio</w:t>
      </w:r>
      <w:r>
        <w:t xml:space="preserve"> </w:t>
      </w:r>
      <w:hyperlink w:anchor="ref-22">
        <w:r>
          <w:rPr>
            <w:rStyle w:val="Hyperlink"/>
          </w:rPr>
          <w:t xml:space="preserve">[22]</w:t>
        </w:r>
      </w:hyperlink>
      <w:r>
        <w:t xml:space="preserve">. Each of these studies is valuable evidence that the methods are mature and adopted, and each stops at the boundary of a single mission or system family. None aggregates across programs to ask whether the practice predicts execution. The literature thus establishes the existence and maturity of the practice without establishing its payoff in the currency that program executives actually manage, which is cost growth and schedule slip.</w:t>
      </w:r>
    </w:p>
    <w:bookmarkEnd w:id="68"/>
    <w:bookmarkStart w:id="69" w:name="architecture-as-policy-instrument"/>
    <w:p>
      <w:pPr>
        <w:pStyle w:val="Heading3"/>
        <w:spacing w:line="480" w:lineRule="auto"/>
      </w:pPr>
      <w:r>
        <w:t xml:space="preserve">2.2.3 Architecture as policy instrument</w:t>
      </w:r>
    </w:p>
    <w:p>
      <w:pPr>
        <w:pStyle w:val="FirstParagraph"/>
        <w:spacing w:line="480" w:lineRule="auto"/>
      </w:pPr>
      <w:r>
        <w:t xml:space="preserve">Set apart from the engineering strand is one that treats architecture not as an engineering artifact but as an instrument of policy and norm transformation. Here architecture becomes the connective tissue between programs and policy objectives, the structure through which mission intent is decomposed into executable design</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This framing supplies the motivation for the mandate the dissertation examines. It explains why agencies require architecture documentation: the architecture is held to center programs on policy objectives and to transform the norms of space use</w:t>
      </w:r>
      <w:r>
        <w:t xml:space="preserve"> </w:t>
      </w:r>
      <w:hyperlink w:anchor="ref-3">
        <w:r>
          <w:rPr>
            <w:rStyle w:val="Hyperlink"/>
          </w:rPr>
          <w:t xml:space="preserve">[3]</w:t>
        </w:r>
      </w:hyperlink>
      <w:r>
        <w:t xml:space="preserve">. The candidate’s first research paper draws directly on this template for measuring pre-acquisition architecture and engineering impact, treating it as the conceptual bridge between the architecture practice and the performance outcomes</w:t>
      </w:r>
      <w:r>
        <w:t xml:space="preserve"> </w:t>
      </w:r>
      <w:hyperlink w:anchor="ref-8">
        <w:r>
          <w:rPr>
            <w:rStyle w:val="Hyperlink"/>
          </w:rPr>
          <w:t xml:space="preserve">[8]</w:t>
        </w:r>
      </w:hyperlink>
      <w:r>
        <w:t xml:space="preserve">.</w:t>
      </w:r>
    </w:p>
    <w:p>
      <w:pPr>
        <w:pStyle w:val="BodyText"/>
        <w:spacing w:line="480" w:lineRule="auto"/>
        <w:ind w:firstLine="720"/>
      </w:pPr>
      <w:r>
        <w:t xml:space="preserve">For the present purpose the strand’s critical limitation is that it operates at the level of norm and policy transformation and does not descend to the program-execution unit of analysis. It asserts that architecture matters for how programs are oriented. It does not estimate a performance effect. The broader space-economics literature within which the strand sits also introduces a rival hypothesis that any quantitative inquiry must confront. Documentation that satellite cost-performance improvements over a multi-year horizon have outpaced those in most comparable sectors raises the possibility that observed cost gains reflect secular technological and market trends rather than architecture discipline</w:t>
      </w:r>
      <w:r>
        <w:t xml:space="preserve"> </w:t>
      </w:r>
      <w:hyperlink w:anchor="ref-5">
        <w:r>
          <w:rPr>
            <w:rStyle w:val="Hyperlink"/>
          </w:rPr>
          <w:t xml:space="preserve">[5]</w:t>
        </w:r>
      </w:hyperlink>
      <w:r>
        <w:t xml:space="preserve">. Far from incidental, this rival is the central confound a credible identification strategy must neutralize, because a naive association between architecture adoption and improving cost performance could be entirely an artifact of both rising over a common time trend. Space-economics scholarship thus contributes both the policy motivation for the mandate and the strongest competing explanation for any apparent benefit.</w:t>
      </w:r>
    </w:p>
    <w:bookmarkEnd w:id="69"/>
    <w:bookmarkStart w:id="70" w:name="X96c118c9708868f877c5017c0af81ced56db0d3"/>
    <w:p>
      <w:pPr>
        <w:pStyle w:val="Heading3"/>
        <w:spacing w:line="480" w:lineRule="auto"/>
      </w:pPr>
      <w:r>
        <w:t xml:space="preserve">2.2.4 Adjacent technical strands that bound the construct</w:t>
      </w:r>
    </w:p>
    <w:p>
      <w:pPr>
        <w:pStyle w:val="FirstParagraph"/>
        <w:spacing w:line="480" w:lineRule="auto"/>
      </w:pPr>
      <w:r>
        <w:t xml:space="preserve">Several further technical literatures bound the construct of architecture maturity by illustrating the heterogeneity of what a documented architecture must encompass. Systematic reviews of engineering and testing approaches for radiation hardness assurance in commercial space avionics demonstrate that architecture documentation in space systems must integrate component-level qualification regimes that are themselves contested and evolving</w:t>
      </w:r>
      <w:r>
        <w:t xml:space="preserve"> </w:t>
      </w:r>
      <w:hyperlink w:anchor="ref-2">
        <w:r>
          <w:rPr>
            <w:rStyle w:val="Hyperlink"/>
          </w:rPr>
          <w:t xml:space="preserve">[2]</w:t>
        </w:r>
      </w:hyperlink>
      <w:r>
        <w:t xml:space="preserve">. Work on agent-based approaches for distributed space systems and mission management catalogues the methodological diversity of how distributed architectures are specified and governed, which indicates that a single binary code for architecture presence collapses substantial internal variation</w:t>
      </w:r>
      <w:r>
        <w:t xml:space="preserve"> </w:t>
      </w:r>
      <w:hyperlink w:anchor="ref-25">
        <w:r>
          <w:rPr>
            <w:rStyle w:val="Hyperlink"/>
          </w:rPr>
          <w:t xml:space="preserve">[25]</w:t>
        </w:r>
      </w:hyperlink>
      <w:r>
        <w:t xml:space="preserve">. Studies of operational autonomy prototyping for space traffic management</w:t>
      </w:r>
      <w:r>
        <w:t xml:space="preserve"> </w:t>
      </w:r>
      <w:hyperlink w:anchor="ref-23">
        <w:r>
          <w:rPr>
            <w:rStyle w:val="Hyperlink"/>
          </w:rPr>
          <w:t xml:space="preserve">[23]</w:t>
        </w:r>
      </w:hyperlink>
      <w:r>
        <w:t xml:space="preserve">, multi-satellite imaging scheduling through reconfiguration-based optimization</w:t>
      </w:r>
      <w:r>
        <w:t xml:space="preserve"> </w:t>
      </w:r>
      <w:hyperlink w:anchor="ref-21">
        <w:r>
          <w:rPr>
            <w:rStyle w:val="Hyperlink"/>
          </w:rPr>
          <w:t xml:space="preserve">[21]</w:t>
        </w:r>
      </w:hyperlink>
      <w:r>
        <w:t xml:space="preserve">, tip-and-cue mission scheduling in heterogeneous constellations through mixed-integer linear programming</w:t>
      </w:r>
      <w:r>
        <w:t xml:space="preserve"> </w:t>
      </w:r>
      <w:hyperlink w:anchor="ref-27">
        <w:r>
          <w:rPr>
            <w:rStyle w:val="Hyperlink"/>
          </w:rPr>
          <w:t xml:space="preserve">[27]</w:t>
        </w:r>
      </w:hyperlink>
      <w:r>
        <w:t xml:space="preserve">, and relative visual navigation around uncooperative spacecraft</w:t>
      </w:r>
      <w:r>
        <w:t xml:space="preserve"> </w:t>
      </w:r>
      <w:hyperlink w:anchor="ref-26">
        <w:r>
          <w:rPr>
            <w:rStyle w:val="Hyperlink"/>
          </w:rPr>
          <w:t xml:space="preserve">[26]</w:t>
        </w:r>
      </w:hyperlink>
      <w:r>
        <w:t xml:space="preserve"> </w:t>
      </w:r>
      <w:r>
        <w:t xml:space="preserve">each represent a distinct sub-architecture whose documentation discipline would, in principle, contribute to a program’s overall architecture maturity. Their very breadth is an argument for the dissertation’s construct-robustness checks, because it shows that machine-checkable logical consistency, while a defensible primary coding, is one property among several that a richer architecture construct could capture.</w:t>
      </w:r>
    </w:p>
    <w:p>
      <w:pPr>
        <w:pStyle w:val="BodyText"/>
        <w:spacing w:line="480" w:lineRule="auto"/>
        <w:ind w:firstLine="720"/>
      </w:pPr>
      <w:r>
        <w:t xml:space="preserve">A further set of practitioner-oriented architecture studies, drawn from the space-surveillance and command-and-control domain, illustrates how architecture is enacted in real acquisition programs. Accounts of the Joint Space Operations Center mission system</w:t>
      </w:r>
      <w:r>
        <w:t xml:space="preserve"> </w:t>
      </w:r>
      <w:hyperlink w:anchor="ref-13">
        <w:r>
          <w:rPr>
            <w:rStyle w:val="Hyperlink"/>
          </w:rPr>
          <w:t xml:space="preserve">[13]</w:t>
        </w:r>
      </w:hyperlink>
      <w:r>
        <w:t xml:space="preserve">, the Space Fence preliminary-design-review concept-development phase</w:t>
      </w:r>
      <w:r>
        <w:t xml:space="preserve"> </w:t>
      </w:r>
      <w:hyperlink w:anchor="ref-14">
        <w:r>
          <w:rPr>
            <w:rStyle w:val="Hyperlink"/>
          </w:rPr>
          <w:t xml:space="preserve">[14]</w:t>
        </w:r>
      </w:hyperlink>
      <w:r>
        <w:t xml:space="preserve">, next-generation space-surveillance system-of-systems design</w:t>
      </w:r>
      <w:r>
        <w:t xml:space="preserve"> </w:t>
      </w:r>
      <w:hyperlink w:anchor="ref-16">
        <w:r>
          <w:rPr>
            <w:rStyle w:val="Hyperlink"/>
          </w:rPr>
          <w:t xml:space="preserve">[16]</w:t>
        </w:r>
      </w:hyperlink>
      <w:r>
        <w:t xml:space="preserve">, stepwise methodologies for building architectures for space-surveillance projects</w:t>
      </w:r>
      <w:r>
        <w:t xml:space="preserve"> </w:t>
      </w:r>
      <w:hyperlink w:anchor="ref-17">
        <w:r>
          <w:rPr>
            <w:rStyle w:val="Hyperlink"/>
          </w:rPr>
          <w:t xml:space="preserve">[17]</w:t>
        </w:r>
      </w:hyperlink>
      <w:r>
        <w:t xml:space="preserve">, leveraging commercial communication satellites for the space-situational-awareness mission</w:t>
      </w:r>
      <w:r>
        <w:t xml:space="preserve"> </w:t>
      </w:r>
      <w:hyperlink w:anchor="ref-18">
        <w:r>
          <w:rPr>
            <w:rStyle w:val="Hyperlink"/>
          </w:rPr>
          <w:t xml:space="preserve">[18]</w:t>
        </w:r>
      </w:hyperlink>
      <w:r>
        <w:t xml:space="preserve">, data handling and protection in a need-to-share net-centric enterprise</w:t>
      </w:r>
      <w:r>
        <w:t xml:space="preserve"> </w:t>
      </w:r>
      <w:hyperlink w:anchor="ref-19">
        <w:r>
          <w:rPr>
            <w:rStyle w:val="Hyperlink"/>
          </w:rPr>
          <w:t xml:space="preserve">[19]</w:t>
        </w:r>
      </w:hyperlink>
      <w:r>
        <w:t xml:space="preserve">, and attaining situational understanding in the space domain</w:t>
      </w:r>
      <w:r>
        <w:t xml:space="preserve"> </w:t>
      </w:r>
      <w:hyperlink w:anchor="ref-20">
        <w:r>
          <w:rPr>
            <w:rStyle w:val="Hyperlink"/>
          </w:rPr>
          <w:t xml:space="preserve">[20]</w:t>
        </w:r>
      </w:hyperlink>
      <w:r>
        <w:t xml:space="preserve"> </w:t>
      </w:r>
      <w:r>
        <w:t xml:space="preserve">together document that architecture work in these programs is substantial, deliberate, and tied to specific milestones such as the preliminary design review. These accounts describe the architecture process at the program level yet do not link it quantitatively to subsequent cost or schedule outcomes. They are existence proofs that the regressor of interest is observable in real programs, a precondition for the dissertation’s coding scheme, and they are not tests of the regressor’s effect.</w:t>
      </w:r>
    </w:p>
    <w:p>
      <w:pPr>
        <w:pStyle w:val="BodyText"/>
        <w:spacing w:line="480" w:lineRule="auto"/>
        <w:ind w:firstLine="720"/>
      </w:pPr>
      <w:r>
        <w:t xml:space="preserve">The cumulative reading of the domain-technical literature runs as follows. The practice is mature, formal, machine-checkable, policy-motivated, and observably enacted in real programs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Its value is substantiated at the level of design quality and policy orientation. Its value at the level of program execution is asserted and presumed but nowhere estimated. The literature supplies the regressor and the motivation, and it leaves the dependent variable untouched.</w:t>
      </w:r>
    </w:p>
    <w:bookmarkEnd w:id="70"/>
    <w:bookmarkEnd w:id="71"/>
    <w:bookmarkStart w:id="72" w:name="X27c37da0b404c1bbee576aabcc9025098ffbcf9"/>
    <w:p>
      <w:pPr>
        <w:pStyle w:val="Heading2"/>
        <w:spacing w:line="480" w:lineRule="auto"/>
      </w:pPr>
      <w:r>
        <w:t xml:space="preserve">2.3 Parametric Cost-and-Schedule Estimation: The Technical Community’s Closest Approach to Outcomes</w:t>
      </w:r>
    </w:p>
    <w:p>
      <w:pPr>
        <w:pStyle w:val="FirstParagraph"/>
        <w:spacing w:line="480" w:lineRule="auto"/>
      </w:pPr>
      <w:r>
        <w:t xml:space="preserve">Cost and schedule do get engaged by the technical community, but through parametric estimation rather than through inference about the effect of architecture. Because the parametric cost literature is the closest the domain-technical side comes to the outcome variables the dissertation models, it is worth careful treatment.</w:t>
      </w:r>
    </w:p>
    <w:p>
      <w:pPr>
        <w:pStyle w:val="BodyText"/>
        <w:spacing w:line="480" w:lineRule="auto"/>
        <w:ind w:firstLine="720"/>
      </w:pPr>
      <w:r>
        <w:t xml:space="preserve">Recurrent across applications, the central finding is that cost-estimating relationships sharpen as design definition matures and that estimates made before design freeze carry wide and asymmetric error bands. Exemplary here is the parametric model for research, development, and production costs of future civil hypersonic aircraft, which constructs cost-estimating relationships and demonstrates that estimate precision is a function of design maturity, with pre-freeze estimates bearing the widest and most skewed error</w:t>
      </w:r>
      <w:r>
        <w:t xml:space="preserve"> </w:t>
      </w:r>
      <w:hyperlink w:anchor="ref-9">
        <w:r>
          <w:rPr>
            <w:rStyle w:val="Hyperlink"/>
          </w:rPr>
          <w:t xml:space="preserve">[9]</w:t>
        </w:r>
      </w:hyperlink>
      <w:r>
        <w:t xml:space="preserve">. That result bears directly on the architecture-performance hypothesis, because it supplies one of the two causal mechanisms by which documented architecture might lower measured cost growth. If a documented, reviewed design encodes interfaces and requirements with less error, then the baseline against which growth is later measured is itself more honest, and a more honest baseline mechanically reduces measured growth</w:t>
      </w:r>
      <w:r>
        <w:t xml:space="preserve"> </w:t>
      </w:r>
      <w:hyperlink w:anchor="ref-9">
        <w:r>
          <w:rPr>
            <w:rStyle w:val="Hyperlink"/>
          </w:rPr>
          <w:t xml:space="preserve">[9]</w:t>
        </w:r>
      </w:hyperlink>
      <w:r>
        <w:t xml:space="preserve">. The parametric literature thus furnishes the information mechanism the dissertation’s theory invokes.</w:t>
      </w:r>
    </w:p>
    <w:p>
      <w:pPr>
        <w:pStyle w:val="BodyText"/>
        <w:spacing w:line="480" w:lineRule="auto"/>
        <w:ind w:firstLine="720"/>
      </w:pPr>
      <w:r>
        <w:t xml:space="preserve">What that literature does not do is treat architecture documentation as a measured covariate whose effect on realized cost growth is to be estimated across programs. It models cost as a function of physical and programmatic parameters within a program, not the cross-program variation in execution outcomes as a function of whether and how well the program was architected. The model-based trade-study literature makes a complementary argument from the design side, treating an explicit, analyzable architecture as the precondition for credible cost and schedule prediction and for early detection of the interface conflicts that later become slips</w:t>
      </w:r>
      <w:r>
        <w:t xml:space="preserve"> </w:t>
      </w:r>
      <w:hyperlink w:anchor="ref-4">
        <w:r>
          <w:rPr>
            <w:rStyle w:val="Hyperlink"/>
          </w:rPr>
          <w:t xml:space="preserve">[4]</w:t>
        </w:r>
      </w:hyperlink>
      <w:r>
        <w:t xml:space="preserve">,</w:t>
      </w:r>
      <w:r>
        <w:t xml:space="preserve"> </w:t>
      </w:r>
      <w:hyperlink w:anchor="ref-12">
        <w:r>
          <w:rPr>
            <w:rStyle w:val="Hyperlink"/>
          </w:rPr>
          <w:t xml:space="preserve">[12]</w:t>
        </w:r>
      </w:hyperlink>
      <w:r>
        <w:t xml:space="preserve">. That is the change-suppression mechanism the dissertation’s theory invokes: a frozen, reviewed baseline raises the organizational cost of late design change, which is the proximate source of rework and overrun. Here too the claim is about prediction quality and design discipline, not about an estimated, identified effect of architecture on portfolio-level execution.</w:t>
      </w:r>
    </w:p>
    <w:p>
      <w:pPr>
        <w:pStyle w:val="BodyText"/>
        <w:spacing w:line="480" w:lineRule="auto"/>
        <w:ind w:firstLine="720"/>
      </w:pPr>
      <w:r>
        <w:t xml:space="preserve">Between them, then, the parametric and trade-study literatures deliver the two theoretical mechanisms, the information mechanism and the change-suppression mechanism, that make the architecture-performance hypothesis plausible</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They stop precisely where the econometric question begins. They explain why architecture should help. They do not estimate whether it does, net of the confounders that separate well-architected programs from well-managed ones.</w:t>
      </w:r>
    </w:p>
    <w:bookmarkEnd w:id="72"/>
    <w:bookmarkStart w:id="77"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Second among the unjoined literatures is the methodological apparatus for drawing credible inference from observational program data. That literature is not space-specific. It is the general cliometric and econometric toolkit, and its relevance to the dissertation is that it supplies the identification discipline without which any association between architecture and performance is uninterpretable. This section reviews the components of that toolkit the dissertation requires and explains why their application to the architecture question is novel.</w:t>
      </w:r>
    </w:p>
    <w:bookmarkStart w:id="73" w:name="Xccd3689b550e50fe1858c35e104a0daa81cd179"/>
    <w:p>
      <w:pPr>
        <w:pStyle w:val="Heading3"/>
        <w:spacing w:line="480" w:lineRule="auto"/>
      </w:pPr>
      <w:r>
        <w:t xml:space="preserve">2.4.1 The endogeneity problem and the limits of conditioning</w:t>
      </w:r>
    </w:p>
    <w:p>
      <w:pPr>
        <w:pStyle w:val="FirstParagraph"/>
        <w:spacing w:line="480" w:lineRule="auto"/>
      </w:pPr>
      <w:r>
        <w:t xml:space="preserve">Governing everything here is a single methodological fact: programs are not randomly assigned their architectures. Programs that author rigorous architectures may be systematically better managed, better funded, or staffed by stronger engineering teams. A cross-sectional regression of cost growth on architecture status would conflate the effect of architecture with the effect of the management quality that produced both the architecture and the favorable execution. This is the classic endogeneity-through-selection problem.</w:t>
      </w:r>
    </w:p>
    <w:p>
      <w:pPr>
        <w:pStyle w:val="BodyText"/>
        <w:spacing w:line="480" w:lineRule="auto"/>
        <w:ind w:firstLine="720"/>
      </w:pPr>
      <w:r>
        <w:t xml:space="preserve">Conditioning is the toolkit’s first line of defense, a rich covariate set that holds constant the observable correlates of selection, namely program scope, technology readiness at the design milestone, contract type, and prime-contractor fixed effects. Necessary as it is, conditioning is never sufficient when the selection operates on unobservables, a point the methodology literature established long ago. A regression that conditions only on observables identifies the architecture effect only under the strong and untestable assumption of selection on observables alone.</w:t>
      </w:r>
    </w:p>
    <w:p>
      <w:pPr>
        <w:pStyle w:val="BodyText"/>
        <w:spacing w:line="480" w:lineRule="auto"/>
        <w:ind w:firstLine="720"/>
      </w:pPr>
      <w:r>
        <w:t xml:space="preserve">The candidate’s first research paper makes the cost of ignoring this problem concrete. Regressing percentage cost growth on a graded measure of documented-architecture maturity, holding program size and schedule execution constant, it recovers a coefficient on maturity that is positive and marginally significant, the opposite of the hypothesized protective sign. The honest reading offered there is that the positive sign is a selection-and-timing artifact rather than a causal harm. A project earns a measured percentage cost growth only after it has committed to a baseline and had time to overrun, so the higher-maturity categories are populated by committed projects that have had time to deteriorate, while projects still holding their baselines register zero growth because their clock has not started. This is a textbook illustration of why conditioning on observables fails to identify the causal effect when the assignment of the regressor is entangled with the timing of the outcome, and the methodology literature’s response to exactly this pathology is the instrumental-variables design.</w:t>
      </w:r>
    </w:p>
    <w:bookmarkEnd w:id="73"/>
    <w:bookmarkStart w:id="74" w:name="Xb341722ef9ad238301d412d296422c6b0a832cd"/>
    <w:p>
      <w:pPr>
        <w:pStyle w:val="Heading3"/>
        <w:spacing w:line="480" w:lineRule="auto"/>
      </w:pPr>
      <w:r>
        <w:t xml:space="preserve">2.4.2 Instrumental variables and the exclusion restriction</w:t>
      </w:r>
    </w:p>
    <w:p>
      <w:pPr>
        <w:pStyle w:val="FirstParagraph"/>
        <w:spacing w:line="480" w:lineRule="auto"/>
      </w:pPr>
      <w:r>
        <w:t xml:space="preserve">An instrumental-variables strategy identifies the effect of an endogenous regressor by isolating variation in that regressor driven by an instrument that is plausibly exogenous to the outcome except through the regressor. For the architecture question, the dissertation proposes to instrument a program’s architecture status with the timing of agency-wide architecture mandates and the staggered rollout of ontology-checkable modeling tooling</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Its defensibility rests on the exclusion restriction: mandate timing is set at the agency level and is unlikely to affect an individual program’s cost overrun except through the architecture channel. The two-stage least squares estimator operationalizes this logic for the continuous cost and schedule outcomes, using the instrument to predict architecture status in the first stage and regressing the outcome on the predicted status in the second.</w:t>
      </w:r>
    </w:p>
    <w:p>
      <w:pPr>
        <w:pStyle w:val="BodyText"/>
        <w:spacing w:line="480" w:lineRule="auto"/>
        <w:ind w:firstLine="720"/>
      </w:pPr>
      <w:r>
        <w:t xml:space="preserve">Load-bearing and untestable, the exclusion restriction cannot be verified, only defended and bounded, and the methodology literature is unambiguous on the point. The dissertation’s commitment is to defend it explicitly and to bound violations with a sensitivity analysis that quantifies how large an unobserved confounding pathway would have to be to overturn the result. This is the modern standard for credible observational inference: not the pretense of perfect identification but the explicit, quantified characterization of how much identification failure the conclusion can absorb before it reverses. The dissertation also proposes a difference-in-differences specification exploiting the mandate rollout, with placebo tests on pre-mandate programs, which is the complementary design that the methodology literature pairs with instrumentation when a staggered policy adoption is available. That difference-in-differences design neutralizes the secular-trend rival hypothesis directly, because by comparing the change in outcomes around the mandate against a contemporaneous control it differences out any sector-wide cost-performance improvement that would otherwise be misattributed to architecture</w:t>
      </w:r>
      <w:r>
        <w:t xml:space="preserve"> </w:t>
      </w:r>
      <w:hyperlink w:anchor="ref-5">
        <w:r>
          <w:rPr>
            <w:rStyle w:val="Hyperlink"/>
          </w:rPr>
          <w:t xml:space="preserve">[5]</w:t>
        </w:r>
      </w:hyperlink>
      <w:r>
        <w:t xml:space="preserve">.</w:t>
      </w:r>
    </w:p>
    <w:bookmarkEnd w:id="74"/>
    <w:bookmarkStart w:id="75" w:name="X5e349848f044d35a6c6246b86a1896ae6d583de"/>
    <w:p>
      <w:pPr>
        <w:pStyle w:val="Heading3"/>
        <w:spacing w:line="480" w:lineRule="auto"/>
      </w:pPr>
      <w:r>
        <w:t xml:space="preserve">2.4.3 Survival analysis and the treatment of censoring</w:t>
      </w:r>
    </w:p>
    <w:p>
      <w:pPr>
        <w:pStyle w:val="FirstParagraph"/>
        <w:spacing w:line="480" w:lineRule="auto"/>
      </w:pPr>
      <w:r>
        <w:t xml:space="preserve">Survival analysis is the second methodological pillar, and its relevance is sharpened by the finding of the candidate’s two research papers that architecture’s payoff, if it exists, is more likely to appear in schedule than in cost. The methodological insight is that schedule performance is properly modeled as a time-to-event process rather than as a static cross-sectional outcome. At any observation date some programs have breached their schedule baseline and others are still holding it, so the latter group’s true time-to-breach is unknown and right-censored. A method that discarded the censored programs, or that recoded them as non-events, would throw away precisely the programs whose documented baselines were, on the hypothesis, doing their protective work.</w:t>
      </w:r>
    </w:p>
    <w:p>
      <w:pPr>
        <w:pStyle w:val="BodyText"/>
        <w:spacing w:line="480" w:lineRule="auto"/>
        <w:ind w:firstLine="720"/>
      </w:pPr>
      <w:r>
        <w:t xml:space="preserve">Standard for this situation is the Cox proportional-hazards model. It handles right-censoring without assuming a parametric survival distribution, and it expresses the architecture effect as a hazard ratio, which is the quantity the theory predicts. The candidate’s second research paper applies exactly this estimator and demonstrates its diagnostic power. When the censored programs, the ones still holding their baselines, are kept in the risk set and credited as evidence for the protective effect rather than discarded, the maturity coefficient flips to the hypothesized negative sign with a hazard ratio near two-thirds, the opposite of the perverse positive sign the cost regression recovered. The survival frame thus partly repairs the selection problem that defeated the cross-sectional cost regression, because it counts the still-holding programs as ongoing evidence rather than as zeros. The estimate remains underpowered at the available sample size, with a confidence interval that spans both a strong protective effect and no effect, which is itself a methodological lesson: the ordinal three-category maturity proxy discards variation that a continuous design-stability measure would recover, and a single annual cross-section yields too few events to distinguish the hint from noise.</w:t>
      </w:r>
    </w:p>
    <w:bookmarkEnd w:id="75"/>
    <w:bookmarkStart w:id="76" w:name="X491999daebff346488d859acb27946d11dc21da"/>
    <w:p>
      <w:pPr>
        <w:pStyle w:val="Heading3"/>
        <w:spacing w:line="480" w:lineRule="auto"/>
      </w:pPr>
      <w:r>
        <w:t xml:space="preserve">2.4.4 Power, measurement, and the discipline of the null</w:t>
      </w:r>
    </w:p>
    <w:p>
      <w:pPr>
        <w:pStyle w:val="FirstParagraph"/>
        <w:spacing w:line="480" w:lineRule="auto"/>
      </w:pPr>
      <w:r>
        <w:t xml:space="preserve">Statistical power, measurement error, and the interpretation of a failure to reject the null are also governed by the methodology literature. With a finite population of major programs, power is a binding constraint, and the literature requires a pre-analysis power calculation and the honest treatment of a non-rejection as a substantive, reportable result rather than a null to be buried. Measurement error in the binary architecture-consistency code is addressed through a two-rater protocol with a reported inter-rater reliability statistic, the standard reliability discipline of coded observational research. The literature’s insistence that constructs be validated, and that alternative operationalizations be tested as robustness checks, motivates the dissertation’s construct-robustness analyses, in which architecture breadth and update frequency are tested as alternative codings against the primary machine-checkability code</w:t>
      </w:r>
      <w:r>
        <w:t xml:space="preserve"> </w:t>
      </w:r>
      <w:hyperlink w:anchor="ref-1">
        <w:r>
          <w:rPr>
            <w:rStyle w:val="Hyperlink"/>
          </w:rPr>
          <w:t xml:space="preserve">[1]</w:t>
        </w:r>
      </w:hyperlink>
      <w:r>
        <w:t xml:space="preserve">. Cumulatively these methodological commitments render the estimate falsifiable: the architecture coefficient can be statistically indistinguishable from zero under the preferred specification, in which case the null is not rejected and the mandate loses its empirical warrant.</w:t>
      </w:r>
    </w:p>
    <w:bookmarkEnd w:id="76"/>
    <w:bookmarkEnd w:id="77"/>
    <w:bookmarkStart w:id="78" w:name="synthesis-the-unjoined-gap"/>
    <w:p>
      <w:pPr>
        <w:pStyle w:val="Heading2"/>
        <w:spacing w:line="480" w:lineRule="auto"/>
      </w:pPr>
      <w:r>
        <w:t xml:space="preserve">2.5 Synthesis: The Unjoined Gap</w:t>
      </w:r>
    </w:p>
    <w:p>
      <w:pPr>
        <w:pStyle w:val="FirstParagraph"/>
        <w:spacing w:line="480" w:lineRule="auto"/>
      </w:pPr>
      <w:r>
        <w:t xml:space="preserve">Individually mature and mutually relevant, the two literatures reviewed above have not been joined.</w:t>
      </w:r>
    </w:p>
    <w:p>
      <w:pPr>
        <w:pStyle w:val="BodyText"/>
        <w:spacing w:line="480" w:lineRule="auto"/>
        <w:ind w:firstLine="720"/>
      </w:pPr>
      <w:r>
        <w:t xml:space="preserve">The domain-technical literature establishes that architecture can be made formal, consistent, and machine-checkable; that formal models improve internal design reasoning; and that the practice is policy-motivated and observably enacted in real programs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 It evaluates architectures against criteria internal to the model and does not regress program cost or schedule outcomes on architecture properties. The parametric and trade-study literatures supply the two causal mechanisms, information honesty and change suppression, by which architecture might improve execution, and they stop at prediction quality without estimating an identified effect across programs</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Space-economics scholarship supplies both the policy motivation for the mandate and the strongest rival hypothesis, that observed cost-performance gains reflect secular sector-wide trends rather than architecture discipline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Opposite them, the cliometric and econometric methodology literature supplies the identification apparatus: conditioning, instrumental variables with a defended exclusion restriction, difference-in-differences against the secular-trend rival, survival analysis with proper censoring, and the disciplines of power, reliability, and the reportable null. All of it is required to convert an association into a credible estimate. This apparatus has been applied to program cost and schedule in other settings, but in the retrieved corpus it has never been applied with documented enterprise architecture as the regressor of interest.</w:t>
      </w:r>
    </w:p>
    <w:p>
      <w:pPr>
        <w:pStyle w:val="BodyText"/>
        <w:spacing w:line="480" w:lineRule="auto"/>
        <w:ind w:firstLine="720"/>
      </w:pPr>
      <w:r>
        <w:t xml:space="preserve">Specific and addressable, then, the gap is exact. No retrieved source estimates, at the program level and with a credible identification strategy, whether documented enterprise architecture predicts cost-and-schedule performance net of confounders. The domain-technical literature owns the regressor and the mechanisms; the methodology literature owns the identification; neither has been routed through the other on this question. Joining them contributes not a new architecture framework and not a new estimator, but the application of the second literature’s identification discipline to the first literature’s value claim, yielding an estimated, identified coefficient with a confidence interval that a program executive could act on, and that can fail cleanly if the architecture coefficient cannot be distinguished from zero.</w:t>
      </w:r>
    </w:p>
    <w:bookmarkEnd w:id="78"/>
    <w:bookmarkStart w:id="79" w:name="X22fb13fe7dcf99860f21aa9a8891200645e8ab9"/>
    <w:p>
      <w:pPr>
        <w:pStyle w:val="Heading2"/>
        <w:spacing w:line="480" w:lineRule="auto"/>
      </w:pPr>
      <w:r>
        <w:t xml:space="preserve">2.6 Position of the Present Work Against the Two Probes</w:t>
      </w:r>
    </w:p>
    <w:p>
      <w:pPr>
        <w:pStyle w:val="FirstParagraph"/>
        <w:spacing w:line="480" w:lineRule="auto"/>
      </w:pPr>
      <w:r>
        <w:t xml:space="preserve">As the first probes into this gap, the candidate’s two completed research papers establish the directional facts that frame the dissertation.</w:t>
      </w:r>
    </w:p>
    <w:p>
      <w:pPr>
        <w:pStyle w:val="BodyText"/>
        <w:spacing w:line="480" w:lineRule="auto"/>
        <w:ind w:firstLine="720"/>
      </w:pPr>
      <w:r>
        <w:t xml:space="preserve">The cost paper establishes the first-order fact that, in the NASA major-projects portfolio, months of schedule delay convert almost mechanically into cost growth while documented-architecture maturity carries a perverse positive sign once size and schedule are held fixed, and it reads that sign as a selection and timing artifact rather than a causal harm</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The schedule paper, modeling time-to-breach with a Cox proportional-hazards estimator that properly credits the censored programs still holding their baselines, recovers the hypothesized protective direction with a hazard ratio near two-thirds, directionally supported but underpowered at the available sample size</w:t>
      </w:r>
      <w:r>
        <w:t xml:space="preserve"> </w:t>
      </w:r>
      <w:hyperlink w:anchor="ref-7">
        <w:r>
          <w:rPr>
            <w:rStyle w:val="Hyperlink"/>
          </w:rPr>
          <w:t xml:space="preserve">[7]</w:t>
        </w:r>
      </w:hyperlink>
      <w:r>
        <w:t xml:space="preserve">.</w:t>
      </w:r>
    </w:p>
    <w:p>
      <w:pPr>
        <w:pStyle w:val="BodyText"/>
        <w:spacing w:line="480" w:lineRule="auto"/>
        <w:ind w:firstLine="720"/>
      </w:pPr>
      <w:r>
        <w:t xml:space="preserve">Read together, the two probes deliver three lessons the dissertation operationalizes. First, the payoff of documented architecture, if any, lives upstream in schedule survival rather than downstream in a direct cost discount, because months of slip are what convert into dollars. Second, the cross-sectional cost regression is defeated by exactly the selection-through-timing pathology that the methodology literature’s instrumental-variables and difference-in-differences designs are built to neutralize. Third, the ordinal three-category maturity proxy and the single-cross-section sample together discard the variation and the events that a continuous design-stability measure and a pooled panel would recover.</w:t>
      </w:r>
    </w:p>
    <w:p>
      <w:pPr>
        <w:pStyle w:val="BodyText"/>
        <w:spacing w:line="480" w:lineRule="auto"/>
        <w:ind w:firstLine="720"/>
      </w:pPr>
      <w:r>
        <w:t xml:space="preserve">To each lesson the dissertation responds. It elevates schedule slip to a co-equal outcome with cost growth rather than treating cost as primary. It replaces conditioning-on-observables with an instrumental-variables identification strategy whose instrument is the agency-level timing of architecture mandates and tooling rollout, defended through an explicit exclusion-restriction argument and bounded through sensitivity analysis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It pairs the instrument with a difference-in-differences specification that differences out the secular-trend rival the space-economics literature warns of</w:t>
      </w:r>
      <w:r>
        <w:t xml:space="preserve"> </w:t>
      </w:r>
      <w:hyperlink w:anchor="ref-5">
        <w:r>
          <w:rPr>
            <w:rStyle w:val="Hyperlink"/>
          </w:rPr>
          <w:t xml:space="preserve">[5]</w:t>
        </w:r>
      </w:hyperlink>
      <w:r>
        <w:t xml:space="preserve">. It commits to the reportable null, treating a failure to reject the no-effect hypothesis as a substantive result that would strip the prevailing mandate of its empirical warrant.</w:t>
      </w:r>
    </w:p>
    <w:p>
      <w:pPr>
        <w:pStyle w:val="BodyText"/>
        <w:spacing w:line="480" w:lineRule="auto"/>
        <w:ind w:firstLine="720"/>
      </w:pPr>
      <w:r>
        <w:t xml:space="preserve">In so doing the dissertation occupies precisely the seam that the two reviewed literatures have left open. It takes the machine-checkable architecture construct that the domain-technical literature has only recently made codable</w:t>
      </w:r>
      <w:r>
        <w:t xml:space="preserve"> </w:t>
      </w:r>
      <w:hyperlink w:anchor="ref-1">
        <w:r>
          <w:rPr>
            <w:rStyle w:val="Hyperlink"/>
          </w:rPr>
          <w:t xml:space="preserve">[1]</w:t>
        </w:r>
      </w:hyperlink>
      <w:r>
        <w:t xml:space="preserve">, the cost-and-schedule outcomes that the parametric literature treats only within programs</w:t>
      </w:r>
      <w:r>
        <w:t xml:space="preserve"> </w:t>
      </w:r>
      <w:hyperlink w:anchor="ref-9">
        <w:r>
          <w:rPr>
            <w:rStyle w:val="Hyperlink"/>
          </w:rPr>
          <w:t xml:space="preserve">[9]</w:t>
        </w:r>
      </w:hyperlink>
      <w:r>
        <w:t xml:space="preserve">, and the identification discipline that the methodology literature reserves for other questions, and joins them into a single estimated, falsifiable claim at the program level.</w:t>
      </w:r>
    </w:p>
    <w:bookmarkEnd w:id="79"/>
    <w:bookmarkEnd w:id="80"/>
    <w:bookmarkStart w:id="92" w:name="Xcfcc00a3ded59aed0c781c16bfc121f2a509603"/>
    <w:p>
      <w:pPr>
        <w:pStyle w:val="Heading1"/>
        <w:spacing w:line="480" w:lineRule="auto"/>
      </w:pPr>
      <w:r>
        <w:t xml:space="preserve">Chapter 3. Theoretical Framework and Hypotheses</w:t>
      </w:r>
    </w:p>
    <w:bookmarkStart w:id="81" w:name="purpose-of-the-chapter"/>
    <w:p>
      <w:pPr>
        <w:pStyle w:val="Heading2"/>
        <w:spacing w:line="480" w:lineRule="auto"/>
      </w:pPr>
      <w:r>
        <w:t xml:space="preserve">3.1 Purpose of the Chapter</w:t>
      </w:r>
    </w:p>
    <w:p>
      <w:pPr>
        <w:pStyle w:val="FirstParagraph"/>
        <w:spacing w:line="480" w:lineRule="auto"/>
      </w:pPr>
      <w:r>
        <w:t xml:space="preserve">Two empirical papers precede this chapter, and together they established a pair of facts that demand a more disciplined theoretical treatment than either paper supplied on its own.</w:t>
      </w:r>
    </w:p>
    <w:p>
      <w:pPr>
        <w:pStyle w:val="BodyText"/>
        <w:spacing w:line="480" w:lineRule="auto"/>
        <w:ind w:firstLine="720"/>
      </w:pPr>
      <w:r>
        <w:t xml:space="preserve">Its first paper found that the maturity of a project’s documented architecture baseline, measured at the point of design-review anchoring, carries no protective discount on cost growth and may even sit alongside higher growth once program size and schedule execution are held fixed</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Its second paper found that the same maturity construct, examined as a time-to-event process rather than as a cross-sectional accounting revision, points in the protective direction, lowering the instantaneous hazard of a schedule breach by roughly a third, though without attaining statistical significance at the available sample size. These results are not contradictory. They are two faces of a single underlying mechanism observed through two different measurement windows, one of which is corrupted by a selection process the other partially repairs.</w:t>
      </w:r>
    </w:p>
    <w:p>
      <w:pPr>
        <w:pStyle w:val="BodyText"/>
        <w:spacing w:line="480" w:lineRule="auto"/>
        <w:ind w:firstLine="720"/>
      </w:pPr>
      <w:r>
        <w:t xml:space="preserve">Here the chapter does the theoretical work that the empirical chapters deferred. It specifies the causal mechanism by which a documented enterprise architecture could plausibly govern program execution, distinguishes that mechanism from the rival explanations that would produce the same observable correlation, and derives from it the single falsifiable pair of hypotheses, H0 and H1, that the dissertation will estimate. The aim is to convert an article of governance faith into an estimable structural claim, and the chapter is organized around three commitments: that the mechanism be stated precisely enough to be wrong, that the causal logic be drawn so that the estimand has an interpretation, and that the hypotheses be written so that the prevailing architecture mandate can lose its empirical warrant if the data so dictate.</w:t>
      </w:r>
    </w:p>
    <w:bookmarkEnd w:id="81"/>
    <w:bookmarkStart w:id="82" w:name="Xdc8d93f3639a6de956775e80bd5e2dd88c27bfa"/>
    <w:p>
      <w:pPr>
        <w:pStyle w:val="Heading2"/>
        <w:spacing w:line="480" w:lineRule="auto"/>
      </w:pPr>
      <w:r>
        <w:t xml:space="preserve">3.2 The Theoretical Object: Documented Architecture as a Disciplining Artifact</w:t>
      </w:r>
    </w:p>
    <w:p>
      <w:pPr>
        <w:pStyle w:val="FirstParagraph"/>
        <w:spacing w:line="480" w:lineRule="auto"/>
      </w:pPr>
      <w:r>
        <w:t xml:space="preserve">Federal space-program governance treats enterprise architecture not as documentation for its own sake but as an instrument of policy, the connective tissue through which mission intent is decomposed into executable design, the structure through which programs are centered on policy objectives</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Embedded in this posture is a causal expectation: that the act of authoring, maintaining, and checking an architecture disciplines the program so it executes nearer its committed baseline. Rarely has the expectation been tested, because the field has lacked an observable, gradable property of an architecture to serve as the regressor.</w:t>
      </w:r>
    </w:p>
    <w:p>
      <w:pPr>
        <w:pStyle w:val="BodyText"/>
        <w:spacing w:line="480" w:lineRule="auto"/>
        <w:ind w:firstLine="720"/>
      </w:pPr>
      <w:r>
        <w:t xml:space="preserve">Model-based systems engineering has now supplied one. Recent work demonstrates that system models can be instantiated to be logically consistent and machine-checkable against ontological and process frameworks, so that architecture documentation is no longer descriptive prose but a verifiable artifact whose consistency can be coded rather than asserted</w:t>
      </w:r>
      <w:r>
        <w:t xml:space="preserve"> </w:t>
      </w:r>
      <w:hyperlink w:anchor="ref-1">
        <w:r>
          <w:rPr>
            <w:rStyle w:val="Hyperlink"/>
          </w:rPr>
          <w:t xml:space="preserve">[1]</w:t>
        </w:r>
      </w:hyperlink>
      <w:r>
        <w:t xml:space="preserve">. Parallel work locates architecture decisions inside formal global optimization of mission concept-of-operations and systems design, rather than inside expert judgment alone</w:t>
      </w:r>
      <w:r>
        <w:t xml:space="preserve"> </w:t>
      </w:r>
      <w:hyperlink w:anchor="ref-4">
        <w:r>
          <w:rPr>
            <w:rStyle w:val="Hyperlink"/>
          </w:rPr>
          <w:t xml:space="preserve">[4]</w:t>
        </w:r>
      </w:hyperlink>
      <w:r>
        <w:t xml:space="preserve">. These advances are what make the dissertation’s central question newly answerable, because they convert the slippery virtue of good architecture into a measurable covariate.</w:t>
      </w:r>
    </w:p>
    <w:p>
      <w:pPr>
        <w:pStyle w:val="BodyText"/>
        <w:spacing w:line="480" w:lineRule="auto"/>
        <w:ind w:firstLine="720"/>
      </w:pPr>
      <w:r>
        <w:t xml:space="preserve">What this dissertation takes as its theoretical object, therefore, is neither the architecture framework, nor a maturity model, nor a normative claim about which architectural method is best. It is the documented architecture itself, treated as a disciplining artifact whose presence and logical quality at a fixed program milestone is a measured property of the program, and whose association with downstream execution can be estimated. The dissertation asks whether that artifact predicts execution performance, not whether it is intrinsically valuable as engineering. Its object is deliberately narrow, and that narrowness is the source of the claim’s falsifiability.</w:t>
      </w:r>
    </w:p>
    <w:bookmarkEnd w:id="82"/>
    <w:bookmarkStart w:id="86" w:name="the-causal-mechanism"/>
    <w:p>
      <w:pPr>
        <w:pStyle w:val="Heading2"/>
        <w:spacing w:line="480" w:lineRule="auto"/>
      </w:pPr>
      <w:r>
        <w:t xml:space="preserve">3.3 The Causal Mechanism</w:t>
      </w:r>
    </w:p>
    <w:p>
      <w:pPr>
        <w:pStyle w:val="FirstParagraph"/>
        <w:spacing w:line="480" w:lineRule="auto"/>
      </w:pPr>
      <w:r>
        <w:t xml:space="preserve">By the proposed mechanism, a documented architecture governs execution through two linked channels, each supported by the empirical literature and each yielding a directional prediction.</w:t>
      </w:r>
    </w:p>
    <w:bookmarkStart w:id="83" w:name="the-information-channel"/>
    <w:p>
      <w:pPr>
        <w:pStyle w:val="Heading3"/>
        <w:spacing w:line="480" w:lineRule="auto"/>
      </w:pPr>
      <w:r>
        <w:t xml:space="preserve">3.3.1 The Information Channel</w:t>
      </w:r>
    </w:p>
    <w:p>
      <w:pPr>
        <w:pStyle w:val="FirstParagraph"/>
        <w:spacing w:line="480" w:lineRule="auto"/>
      </w:pPr>
      <w:r>
        <w:t xml:space="preserve">First is the informational channel. A documented design that has survived a design review encodes interfaces, requirements, and technology-readiness assessments in a form that estimators can cost and schedule with less error, so that the baseline against which growth and slip are later measured is a more honest baseline. Parametric cost-and-schedule research in the aerospace literature provides the empirical support, showing that cost-estimating relationships sharpen as design definition matures while estimates made before design freeze carry wide and asymmetric error bands</w:t>
      </w:r>
      <w:r>
        <w:t xml:space="preserve"> </w:t>
      </w:r>
      <w:hyperlink w:anchor="ref-9">
        <w:r>
          <w:rPr>
            <w:rStyle w:val="Hyperlink"/>
          </w:rPr>
          <w:t xml:space="preserve">[9]</w:t>
        </w:r>
      </w:hyperlink>
      <w:r>
        <w:t xml:space="preserve">.</w:t>
      </w:r>
    </w:p>
    <w:p>
      <w:pPr>
        <w:pStyle w:val="BodyText"/>
        <w:spacing w:line="480" w:lineRule="auto"/>
        <w:ind w:firstLine="720"/>
      </w:pPr>
      <w:r>
        <w:t xml:space="preserve">This channel does not claim that documentation makes a program cheaper in any absolute sense. It claims something subtler and more testable: that documentation makes the committed baseline a less optimistic forecast, so that realized outcomes deviate less from it. That is a claim about the variance and bias of the baseline estimate, not about the level of program cost.</w:t>
      </w:r>
    </w:p>
    <w:p>
      <w:pPr>
        <w:pStyle w:val="BodyText"/>
        <w:spacing w:line="480" w:lineRule="auto"/>
        <w:ind w:firstLine="720"/>
      </w:pPr>
      <w:r>
        <w:t xml:space="preserve">There is a sharp and uncomfortable implication the first empirical paper made visible. If documentation principally improves the honesty of the baseline, then a program with a mature, well-documented architecture may set a higher, more realistic baseline at commitment, while a program with a thin architecture sets an optimistically low one. Measured as proportional growth against its own baseline, the well-documented program can appear to perform no better, or even worse, precisely because it did not under-commit. The information channel thus predicts that the architecture effect on proportional cost growth is attenuated and possibly sign-ambiguous, while the architecture effect on schedule realism, observed before the accounting revision, is cleaner. This is the theoretical reconciliation of the two empirical papers, because the same mechanism that produces a perverse positive cost coefficient produces a protective schedule hazard ratio: the cost measure is taken after the baseline has absorbed the documentation benefit, and the schedule measure is taken as the work unfolds.</w:t>
      </w:r>
    </w:p>
    <w:bookmarkEnd w:id="83"/>
    <w:bookmarkStart w:id="84" w:name="the-commitment-channel"/>
    <w:p>
      <w:pPr>
        <w:pStyle w:val="Heading3"/>
        <w:spacing w:line="480" w:lineRule="auto"/>
      </w:pPr>
      <w:r>
        <w:t xml:space="preserve">3.3.2 The Commitment Channel</w:t>
      </w:r>
    </w:p>
    <w:p>
      <w:pPr>
        <w:pStyle w:val="FirstParagraph"/>
        <w:spacing w:line="480" w:lineRule="auto"/>
      </w:pPr>
      <w:r>
        <w:t xml:space="preserve">Second, and organizational, is the commitment channel. A frozen, reviewed architecture baseline raises the internal cost of late design change, and late design change is the proximate source of the rework that drives both overrun and slip in complex aerospace programs</w:t>
      </w:r>
      <w:r>
        <w:t xml:space="preserve"> </w:t>
      </w:r>
      <w:hyperlink w:anchor="ref-9">
        <w:r>
          <w:rPr>
            <w:rStyle w:val="Hyperlink"/>
          </w:rPr>
          <w:t xml:space="preserve">[9]</w:t>
        </w:r>
      </w:hyperlink>
      <w:r>
        <w:t xml:space="preserve">. Model-based architecture and trade-study methods make this case from the design side, treating an explicit, analyzable architecture as the precondition for early detection of the interface conflicts that later become slips</w:t>
      </w:r>
      <w:r>
        <w:t xml:space="preserve"> </w:t>
      </w:r>
      <w:hyperlink w:anchor="ref-4">
        <w:r>
          <w:rPr>
            <w:rStyle w:val="Hyperlink"/>
          </w:rPr>
          <w:t xml:space="preserve">[4]</w:t>
        </w:r>
      </w:hyperlink>
      <w:r>
        <w:t xml:space="preserve">,</w:t>
      </w:r>
      <w:r>
        <w:t xml:space="preserve"> </w:t>
      </w:r>
      <w:hyperlink w:anchor="ref-12">
        <w:r>
          <w:rPr>
            <w:rStyle w:val="Hyperlink"/>
          </w:rPr>
          <w:t xml:space="preserve">[12]</w:t>
        </w:r>
      </w:hyperlink>
      <w:r>
        <w:t xml:space="preserve">. As a change-suppression mechanism, the commitment channel does not eliminate uncertainty. It raises the threshold at which a program will reopen a settled design decision, and by raising that threshold it suppresses the cascade of interface renegotiations that convert into months of schedule and, through the standing-army cost structure of cost-reimbursable aerospace work, into dollars.</w:t>
      </w:r>
    </w:p>
    <w:p>
      <w:pPr>
        <w:pStyle w:val="BodyText"/>
        <w:spacing w:line="480" w:lineRule="auto"/>
        <w:ind w:firstLine="720"/>
      </w:pPr>
      <w:r>
        <w:t xml:space="preserve">Its prediction is a negative architecture coefficient on schedule slip directly, because the channel acts on the rate at which the schedule baseline is breached rather than on the level at which it was set. The first empirical paper’s finding that each month of schedule delay converts into approximately 1.87 percentage points of cost growth identifies the transmission path. If the commitment channel lengthens the time to breach, it indirectly contains cost through the schedule-to-cost conversion, even where its direct effect on proportional cost growth is masked by the baseline-realism effect of the information channel.</w:t>
      </w:r>
    </w:p>
    <w:bookmarkEnd w:id="84"/>
    <w:bookmarkStart w:id="85" w:name="the-composite-mechanism"/>
    <w:p>
      <w:pPr>
        <w:pStyle w:val="Heading3"/>
        <w:spacing w:line="480" w:lineRule="auto"/>
      </w:pPr>
      <w:r>
        <w:t xml:space="preserve">3.3.3 The Composite Mechanism</w:t>
      </w:r>
    </w:p>
    <w:p>
      <w:pPr>
        <w:pStyle w:val="FirstParagraph"/>
        <w:spacing w:line="480" w:lineRule="auto"/>
      </w:pPr>
      <w:r>
        <w:t xml:space="preserve">Combined, the two channels form a single composite mechanism. A logically consistent, machine-checkable architecture at the design milestone does two things: it raises the honesty of the committed baseline through the information channel, and it suppresses the rework cascade through the commitment channel. The composite prediction is that the architecture effect is strongest and least ambiguous where it acts on the realized rate of execution, schedule slip, and weakest and most confounded where it is measured as proportional deviation from a baseline that the architecture itself has already made more realistic, cost growth. The dissertation’s preferred specification is built to recover the composite effect net of the baseline-realism confound, which is the function of the identification strategy described in the next chapter and previewed in Section 3.6.</w:t>
      </w:r>
    </w:p>
    <w:bookmarkEnd w:id="85"/>
    <w:bookmarkEnd w:id="86"/>
    <w:bookmarkStart w:id="87" w:name="Xb283857c90733f616ffbe921bc1339db2bb0590"/>
    <w:p>
      <w:pPr>
        <w:pStyle w:val="Heading2"/>
        <w:spacing w:line="480" w:lineRule="auto"/>
      </w:pPr>
      <w:r>
        <w:t xml:space="preserve">3.4 Rival Explanations the Mechanism Must Defeat</w:t>
      </w:r>
    </w:p>
    <w:p>
      <w:pPr>
        <w:pStyle w:val="FirstParagraph"/>
        <w:spacing w:line="480" w:lineRule="auto"/>
      </w:pPr>
      <w:r>
        <w:t xml:space="preserve">A theoretical mechanism earns its hypotheses only by distinguishing itself from the rivals that would generate the same surface correlation, and three rivals are credible enough to confront.</w:t>
      </w:r>
    </w:p>
    <w:p>
      <w:pPr>
        <w:pStyle w:val="BodyText"/>
        <w:spacing w:line="480" w:lineRule="auto"/>
        <w:ind w:firstLine="720"/>
      </w:pPr>
      <w:r>
        <w:t xml:space="preserve">Managerial confounding is the first. Programs that author rigorous architectures may simply be better-managed programs, better funded, and staffed by stronger engineering teams, so that any naive cross-sectional association between architecture and execution would conflate the architecture with the unobserved managerial quality that produced both. This is the gravest internal-validity threat, and it is the reason the dissertation cannot rest on a cross-sectional regression alone. The mechanism predicts an architecture effect that survives conditioning on management quality; the rival predicts that the effect vanishes once management quality is instrumented out.</w:t>
      </w:r>
    </w:p>
    <w:p>
      <w:pPr>
        <w:pStyle w:val="BodyText"/>
        <w:spacing w:line="480" w:lineRule="auto"/>
        <w:ind w:firstLine="720"/>
      </w:pPr>
      <w:r>
        <w:t xml:space="preserve">The secular-trend explanation is the second. Satellite cost-performance has improved over a fifteen-year horizon at a rate outpacing most comparable sectors</w:t>
      </w:r>
      <w:r>
        <w:t xml:space="preserve"> </w:t>
      </w:r>
      <w:hyperlink w:anchor="ref-5">
        <w:r>
          <w:rPr>
            <w:rStyle w:val="Hyperlink"/>
          </w:rPr>
          <w:t xml:space="preserve">[5]</w:t>
        </w:r>
      </w:hyperlink>
      <w:r>
        <w:t xml:space="preserve">, which raises the possibility that any apparent architecture benefit is a sector-wide technological and market improvement that happens to be correlated with the diffusion of architecture practice. The mechanism predicts an architecture effect that survives the inclusion of time fixed effects and a difference-in-differences contrast around mandate timing; the rival predicts that the effect is absorbed by the time controls.</w:t>
      </w:r>
    </w:p>
    <w:p>
      <w:pPr>
        <w:pStyle w:val="BodyText"/>
        <w:spacing w:line="480" w:lineRule="auto"/>
        <w:ind w:firstLine="720"/>
      </w:pPr>
      <w:r>
        <w:t xml:space="preserve">Third is the selection-and-timing artifact identified in the first empirical paper. A program earns a measured proportional cost overrun only after it has committed to a baseline and had time to overrun, so the higher-maturity categories are mechanically populated by committed programs that have had the opportunity to deviate, while programs still holding their baselines register near-zero growth because their clock has not started. The mechanism predicts a protective effect once this censoring is properly handled, which is precisely what the survival framing of the second empirical paper began to recover; the rival predicts that the apparent protection is an artifact of which programs have entered the measurement window. The dissertation’s design must, and does, address all three rivals, and the hypotheses below are written to be testable only under a specification that does so.</w:t>
      </w:r>
    </w:p>
    <w:bookmarkEnd w:id="87"/>
    <w:bookmarkStart w:id="88" w:name="from-mechanism-to-estimand"/>
    <w:p>
      <w:pPr>
        <w:pStyle w:val="Heading2"/>
        <w:spacing w:line="480" w:lineRule="auto"/>
      </w:pPr>
      <w:r>
        <w:t xml:space="preserve">3.5 From Mechanism to Estimand</w:t>
      </w:r>
    </w:p>
    <w:p>
      <w:pPr>
        <w:pStyle w:val="FirstParagraph"/>
        <w:spacing w:line="480" w:lineRule="auto"/>
      </w:pPr>
      <w:r>
        <w:t xml:space="preserve">Its unit of analysis is the program-milestone observation. Two outcomes follow: cost growth, the proportional change between the design-milestone cost baseline and the program’s confirmed actual or estimate-at-completion, and schedule slip, the proportional change in months between the baselined and realized milestone dates. The regressor of interest is a coded indicator of whether the program had, at its preliminary design milestone, an enterprise or system architecture on record that met the logical-consistency and machine-checkability criterion drawn from the ontology-grounded modeling literature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The covariate set conditions on program scope, technology-readiness level at the design milestone, contract type, and prime-contractor fixed effects.</w:t>
      </w:r>
    </w:p>
    <w:p>
      <w:pPr>
        <w:pStyle w:val="BodyText"/>
        <w:spacing w:line="480" w:lineRule="auto"/>
        <w:ind w:firstLine="720"/>
      </w:pPr>
      <w:r>
        <w:t xml:space="preserve">What the estimand names is the conditional association between documented architecture and each execution outcome, identified against the three rivals of Section 3.4. The mechanism of Section 3.3 gives this estimand its interpretation. Under the composite mechanism the identified architecture coefficient measures the joint operation of the information and commitment channels net of baseline realism, managerial confounding, and secular trend. Without the mechanism the coefficient would be a bare correlation; with it, the coefficient is a structural quantity that a program executive could act on, because it tells the executive what the documentation discipline is associated with once the alternative explanations for the correlation have been removed. The dissertation’s contribution is this single identified coefficient and its confidence interval, not a framework and not a case narrative.</w:t>
      </w:r>
    </w:p>
    <w:bookmarkEnd w:id="88"/>
    <w:bookmarkStart w:id="89" w:name="the-formal-hypotheses"/>
    <w:p>
      <w:pPr>
        <w:pStyle w:val="Heading2"/>
        <w:spacing w:line="480" w:lineRule="auto"/>
      </w:pPr>
      <w:r>
        <w:t xml:space="preserve">3.6 The Formal Hypotheses</w:t>
      </w:r>
    </w:p>
    <w:p>
      <w:pPr>
        <w:pStyle w:val="FirstParagraph"/>
        <w:spacing w:line="480" w:lineRule="auto"/>
      </w:pPr>
      <w:r>
        <w:t xml:space="preserve">Reduced to its essentials, the foregoing yields one falsifiable pair of hypotheses, stated so that the prevailing architecture mandate can lose its empirical warrant if the data fail to support it.</w:t>
      </w:r>
    </w:p>
    <w:p>
      <w:pPr>
        <w:pStyle w:val="BodyText"/>
        <w:spacing w:line="480" w:lineRule="auto"/>
        <w:ind w:firstLine="720"/>
      </w:pPr>
      <w:r>
        <w:rPr>
          <w:b/>
          <w:bCs/>
        </w:rPr>
        <w:t xml:space="preserve">Null hypothesis (H0).</w:t>
      </w:r>
      <w:r>
        <w:t xml:space="preserve"> </w:t>
      </w:r>
      <w:r>
        <w:t xml:space="preserve">Conditional on program scope, technology readiness at the design milestone, contract type, and prime-contractor fixed effects, and under the preferred identification strategy that addresses managerial confounding, secular trend, and selection-timing, the presence of a logically consistent, machine-checkable enterprise architecture at the preliminary design milestone has no association with subsequent cost growth or schedule slip. Formally: the architecture coefficient equals zero in the preferred specification.</w:t>
      </w:r>
    </w:p>
    <w:p>
      <w:pPr>
        <w:pStyle w:val="BodyText"/>
        <w:spacing w:line="480" w:lineRule="auto"/>
        <w:ind w:firstLine="720"/>
      </w:pPr>
      <w:r>
        <w:rPr>
          <w:b/>
          <w:bCs/>
        </w:rPr>
        <w:t xml:space="preserve">Alternative hypothesis (H1).</w:t>
      </w:r>
      <w:r>
        <w:t xml:space="preserve"> </w:t>
      </w:r>
      <w:r>
        <w:t xml:space="preserve">Conditional on the same covariates and under the same identification strategy, the presence of a logically consistent, machine-checkable enterprise architecture at the preliminary design milestone is associated with lower subsequent cost growth and lower subsequent schedule slip. Formally: the architecture coefficient is negative and statistically distinguishable from zero.</w:t>
      </w:r>
    </w:p>
    <w:p>
      <w:pPr>
        <w:pStyle w:val="BodyText"/>
        <w:spacing w:line="480" w:lineRule="auto"/>
        <w:ind w:firstLine="720"/>
      </w:pPr>
      <w:r>
        <w:t xml:space="preserve">Three properties of this pair deserve emphasis.</w:t>
      </w:r>
    </w:p>
    <w:p>
      <w:pPr>
        <w:pStyle w:val="BodyText"/>
        <w:spacing w:line="480" w:lineRule="auto"/>
        <w:ind w:firstLine="720"/>
      </w:pPr>
      <w:r>
        <w:t xml:space="preserve">Jointly the hypotheses cover the two outcomes, but the mechanism predicts they will not be equally informative. The composite mechanism of Section 3.3 anticipates that the schedule outcome offers the cleaner test, because it is observed before the accounting revision that the information channel uses to absorb the documentation benefit into a more realistic baseline. The dissertation therefore treats the schedule-hazard specification as the primary test of H1 and the cost-growth specification as the secondary test, with the understanding that a protective schedule effect alongside an attenuated or null cost effect is consistent with H1 under the mechanism, not a refutation of it. This is the theoretical resolution of the apparent tension between the two empirical papers: a perverse cost sign and a protective schedule sign are jointly predicted by the same mechanism, and only the schedule channel is expected to deliver a clean rejection of H0.</w:t>
      </w:r>
    </w:p>
    <w:p>
      <w:pPr>
        <w:pStyle w:val="BodyText"/>
        <w:spacing w:line="480" w:lineRule="auto"/>
        <w:ind w:firstLine="720"/>
      </w:pPr>
      <w:r>
        <w:t xml:space="preserve">Directionality is the second property, carried in H1. The mechanism does not merely predict that architecture is associated with execution. It predicts the sign. A positive and significant architecture coefficient on slip would be evidence against the mechanism, not merely a failure to confirm it, and the dissertation will report such a result as substantively informative rather than burying it.</w:t>
      </w:r>
    </w:p>
    <w:p>
      <w:pPr>
        <w:pStyle w:val="BodyText"/>
        <w:spacing w:line="480" w:lineRule="auto"/>
        <w:ind w:firstLine="720"/>
      </w:pPr>
      <w:r>
        <w:t xml:space="preserve">Third, the hypotheses are written to be disconfirmable cleanly. If the architecture coefficient is statistically indistinguishable from zero under the preferred specification, H0 is not rejected, and the governance mandate that programs author and maintain enterprise architectures loses, on the evidence of this dissertation, its empirical warrant as a cost-and-schedule control. The candidate treats a failure to reject H0 as a reportable substantive result rather than a null to be suppressed, consistent with the falsifiability commitment that defines the contribution. The prevailing practice is treated here as a hypothesis about the world, not as a premise.</w:t>
      </w:r>
    </w:p>
    <w:bookmarkEnd w:id="89"/>
    <w:bookmarkStart w:id="90" w:name="X59a42511a2ab0f4e0d06cd633ddab9de7f49a0d"/>
    <w:p>
      <w:pPr>
        <w:pStyle w:val="Heading2"/>
        <w:spacing w:line="480" w:lineRule="auto"/>
      </w:pPr>
      <w:r>
        <w:t xml:space="preserve">3.7 Auxiliary Predictions and Construct Robustness</w:t>
      </w:r>
    </w:p>
    <w:p>
      <w:pPr>
        <w:pStyle w:val="FirstParagraph"/>
        <w:spacing w:line="480" w:lineRule="auto"/>
      </w:pPr>
      <w:r>
        <w:t xml:space="preserve">Beyond the principal hypotheses, the mechanism generates auxiliary predictions that function as construct-validity checks.</w:t>
      </w:r>
    </w:p>
    <w:p>
      <w:pPr>
        <w:pStyle w:val="BodyText"/>
        <w:spacing w:line="480" w:lineRule="auto"/>
        <w:ind w:firstLine="720"/>
      </w:pPr>
      <w:r>
        <w:t xml:space="preserve">By the information channel, the architecture effect on schedule realism should be larger for programs at lower technology-readiness levels at the design milestone, because the value of design definition is greatest where uncertainty is greatest, and the dissertation will test this interaction. By the commitment channel, the protective effect should be stronger where contract structure raises the cost of late change, so an interaction between architecture and contract type is expected to carry the same protective sign. Because the machine-checkability criterion operationalizes a property the source literature defined for design quality rather than for execution prediction</w:t>
      </w:r>
      <w:r>
        <w:t xml:space="preserve"> </w:t>
      </w:r>
      <w:hyperlink w:anchor="ref-1">
        <w:r>
          <w:rPr>
            <w:rStyle w:val="Hyperlink"/>
          </w:rPr>
          <w:t xml:space="preserve">[1]</w:t>
        </w:r>
      </w:hyperlink>
      <w:r>
        <w:t xml:space="preserve">, the dissertation will also test alternative codings of the architecture construct, including architecture breadth and update frequency, as robustness on the construct.</w:t>
      </w:r>
    </w:p>
    <w:p>
      <w:pPr>
        <w:pStyle w:val="BodyText"/>
        <w:spacing w:line="480" w:lineRule="auto"/>
        <w:ind w:firstLine="720"/>
      </w:pPr>
      <w:r>
        <w:t xml:space="preserve">Each of these auxiliary tests is subordinate to H0 and H1. They sharpen the interpretation of the principal coefficient. They do not substitute for it. The dissertation’s claim stands or falls on the identified architecture coefficient in the preferred specification.</w:t>
      </w:r>
    </w:p>
    <w:bookmarkEnd w:id="90"/>
    <w:bookmarkStart w:id="91" w:name="summary"/>
    <w:p>
      <w:pPr>
        <w:pStyle w:val="Heading2"/>
        <w:spacing w:line="480" w:lineRule="auto"/>
      </w:pPr>
      <w:r>
        <w:t xml:space="preserve">3.8 Summary</w:t>
      </w:r>
    </w:p>
    <w:p>
      <w:pPr>
        <w:pStyle w:val="FirstParagraph"/>
        <w:spacing w:line="480" w:lineRule="auto"/>
      </w:pPr>
      <w:r>
        <w:t xml:space="preserve">This chapter has specified the theoretical object as the documented architecture treated as a measured, disciplining artifact; derived a composite causal mechanism operating through an information channel that improves baseline honesty and a commitment channel that suppresses the rework cascade; reconciled the perverse cost result and the protective schedule result of the two empirical papers as two faces of that single mechanism; distinguished the mechanism from the managerial-confounding, secular-trend, and selection-timing rivals it must defeat; and reduced the whole to a single falsifiable pair of hypotheses, H0 and H1, written so that the schedule channel furnishes the primary test and so that a failure to reject H0 strips the prevailing mandate of its empirical warrant. The next chapter operationalizes this framework into the identification strategy and estimators that render the architecture coefficient interpretable as a structural quantity rather than a bare correlation.</w:t>
      </w:r>
    </w:p>
    <w:bookmarkEnd w:id="91"/>
    <w:bookmarkEnd w:id="92"/>
    <w:bookmarkStart w:id="101" w:name="chapter-4.-data-and-measurement"/>
    <w:p>
      <w:pPr>
        <w:pStyle w:val="Heading1"/>
        <w:spacing w:line="480" w:lineRule="auto"/>
      </w:pPr>
      <w:r>
        <w:t xml:space="preserve">Chapter 4. Data and Measurement</w:t>
      </w:r>
    </w:p>
    <w:bookmarkStart w:id="93"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material on which the dissertation rests, and it does three things in sequence. It identifies the real datasets actually used in the two completed studies that anchor the dissertation, names their authoritative federal sources, and characterizes their provenance and limitations. It fixes the unit of analysis precisely, because the credibility of every coefficient reported in later chapters depends on that unit being defined the same way across studies and across data vintages. And it documents how each variable, the two performance outcomes, the documented-architecture regressor of interest, and the controls, is constructed from primary records rather than asserted or imputed from secondary commentary.</w:t>
      </w:r>
    </w:p>
    <w:p>
      <w:pPr>
        <w:pStyle w:val="BodyText"/>
        <w:spacing w:line="480" w:lineRule="auto"/>
        <w:ind w:firstLine="720"/>
      </w:pPr>
      <w:r>
        <w:t xml:space="preserve">Falsifiability governs the dissertation, and falsifiability is only meaningful if the measurement procedure is transparent enough that another analyst working from the same primary documents would reconstruct the same dataset. This chapter is written to that standard.</w:t>
      </w:r>
    </w:p>
    <w:p>
      <w:pPr>
        <w:pStyle w:val="BodyText"/>
        <w:spacing w:line="480" w:lineRule="auto"/>
        <w:ind w:firstLine="720"/>
      </w:pPr>
      <w:r>
        <w:t xml:space="preserve">A second commitment governs it as well. The prospectus proposed an ambitious data architecture built on the NASA Cost Analysis Data Requirement corpus and on parametric records in the ONCE and NAFCOM lineage, linked to architecture artifacts and identified through an instrumental-variables design, and that remains the target population for the full program of work. The two studies completed to date, however, were executed against a more modest, fully public, and immediately auditable source: the U.S. Government Accountability Office annual assessments of NASA major projects. This chapter reports the data as they were actually built and used, not as they were aspirationally scoped, and it is explicit about the gap between the obtainable public dataset and the larger restricted-access corpus the prospectus contemplated. Reporting the realized dataset honestly is itself a methodological position, consistent with the dissertation’s refusal to bury inconvenient facts.</w:t>
      </w:r>
    </w:p>
    <w:bookmarkEnd w:id="93"/>
    <w:bookmarkStart w:id="94" w:name="the-authoritative-source"/>
    <w:p>
      <w:pPr>
        <w:pStyle w:val="Heading2"/>
        <w:spacing w:line="480" w:lineRule="auto"/>
      </w:pPr>
      <w:r>
        <w:t xml:space="preserve">4.2 The Authoritative Source</w:t>
      </w:r>
    </w:p>
    <w:p>
      <w:pPr>
        <w:pStyle w:val="FirstParagraph"/>
        <w:spacing w:line="480" w:lineRule="auto"/>
      </w:pPr>
      <w:r>
        <w:t xml:space="preserve">For both completed studies the primary source is the recurring series of GAO assessments of NASA’s portfolio of major flight projects, and four specific reports in that series supply the records. The cost study draws sixteen project observations from the 2020 assessment, GAO-20-405, and adds seven older observations from the 2011 assessment of selected large-scale projects, GAO-11-239SP</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The schedule-survival study draws primarily from the 2021 assessment, GAO-21-306, and adds two older observations from the 2019 assessment, GAO-19-262SP, to widen the range of documented-architecture maturity present in the data</w:t>
      </w:r>
      <w:r>
        <w:t xml:space="preserve"> </w:t>
      </w:r>
      <w:hyperlink w:anchor="ref-7">
        <w:r>
          <w:rPr>
            <w:rStyle w:val="Hyperlink"/>
          </w:rPr>
          <w:t xml:space="preserve">[7]</w:t>
        </w:r>
      </w:hyperlink>
      <w:r>
        <w:t xml:space="preserve">.</w:t>
      </w:r>
    </w:p>
    <w:p>
      <w:pPr>
        <w:pStyle w:val="BodyText"/>
        <w:spacing w:line="480" w:lineRule="auto"/>
        <w:ind w:firstLine="720"/>
      </w:pPr>
      <w:r>
        <w:t xml:space="preserve">Four reasons make these reports authoritative for the purpose at hand, and the dissertation relies on all four throughout. The GAO is an external auditor independent of the program offices whose performance it reports, so the cost-growth and schedule-slip figures are not self-reported by the projects being graded. The assessment series applies a common, published definition of the baseline against which growth and slip are measured, namely the original confirmed Agency Baseline Commitment established at Key Decision Point C, so observations are commensurable across projects despite differences in mission type and scale</w:t>
      </w:r>
      <w:r>
        <w:t xml:space="preserve"> </w:t>
      </w:r>
      <w:hyperlink w:anchor="ref-7">
        <w:r>
          <w:rPr>
            <w:rStyle w:val="Hyperlink"/>
          </w:rPr>
          <w:t xml:space="preserve">[7]</w:t>
        </w:r>
      </w:hyperlink>
      <w:r>
        <w:t xml:space="preserve">. Every project in the portfolio passes through the same gated NASA life cycle, so the milestone events used to time the architecture measure, project confirmation and the critical design review, mean the same thing for every observation. And the numbers are published with project profiles and portfolio tables that let a reader trace each reported value back to a named project and a named page, which is precisely the auditable provenance the dissertation requires. The cost study cites the project profiles at pages 53 through 86 and the portfolio summary at Table 2, page 13, of GAO-20-405, and the older cost observations to Table 3 of GAO-11-239SP</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That level of citation specificity is what allows the coding of every cell to be reproduced.</w:t>
      </w:r>
    </w:p>
    <w:p>
      <w:pPr>
        <w:pStyle w:val="BodyText"/>
        <w:spacing w:line="480" w:lineRule="auto"/>
        <w:ind w:firstLine="720"/>
      </w:pPr>
      <w:r>
        <w:t xml:space="preserve">Choosing the public GAO series over the restricted CADRe and ONCE corpus was a deliberate trade. The CADRe documents promised in the prospectus carry richer technical scope, programmatic context, and a structured life-cycle estimate at each milestone, which would support a wider covariate set and a finer architecture coding</w:t>
      </w:r>
      <w:r>
        <w:t xml:space="preserve"> </w:t>
      </w:r>
      <w:hyperlink w:anchor="ref-5">
        <w:r>
          <w:rPr>
            <w:rStyle w:val="Hyperlink"/>
          </w:rPr>
          <w:t xml:space="preserve">[5]</w:t>
        </w:r>
      </w:hyperlink>
      <w:r>
        <w:t xml:space="preserve">. They are, however, held within NASA’s cost-estimating community and are not openly downloadable, so building a reproducible dataset from them requires access negotiation that the completed studies did not undertake. The GAO assessments, by contrast, are fully public, are already curated to a common baseline definition, and are themselves built in part on the same underlying project records. They inherit much of the authority of the primary cost documents while remaining auditable by any reader. The dissertation therefore treats the GAO series as the realized data source and the CADRe corpus as the documented extension path, and Chapter 4 measures only what the GAO records actually support.</w:t>
      </w:r>
    </w:p>
    <w:bookmarkEnd w:id="94"/>
    <w:bookmarkStart w:id="95" w:name="the-unit-of-analysis"/>
    <w:p>
      <w:pPr>
        <w:pStyle w:val="Heading2"/>
        <w:spacing w:line="480" w:lineRule="auto"/>
      </w:pPr>
      <w:r>
        <w:t xml:space="preserve">4.3 The Unit of Analysis</w:t>
      </w:r>
    </w:p>
    <w:p>
      <w:pPr>
        <w:pStyle w:val="FirstParagraph"/>
        <w:spacing w:line="480" w:lineRule="auto"/>
      </w:pPr>
      <w:r>
        <w:t xml:space="preserve">Each dataset takes as its unit the NASA major flight project, observed as a single cross-sectional record, so that each row is one project. This is a deliberate simplification of the prospectus, which named the program-milestone observation as the unit and contemplated multiple milestone records per program. The completed studies collapse each project to one observation measured at, or as of, a single GAO assessment, because the public assessments report one current cost-growth figure and one current schedule position per project per assessment rather than a full milestone time series. Readers should hold this distinction clearly: the realized unit is the project-as-of-assessment, not the program-milestone panel that the fuller design envisions.</w:t>
      </w:r>
    </w:p>
    <w:p>
      <w:pPr>
        <w:pStyle w:val="BodyText"/>
        <w:spacing w:line="480" w:lineRule="auto"/>
        <w:ind w:firstLine="720"/>
      </w:pPr>
      <w:r>
        <w:t xml:space="preserve">Each completed study uses a cross-section of twenty-three projects. In the cost study this is sixteen projects from GAO-20-405 plus seven from GAO-11-239SP, with one project, SOFIA, dropping from estimation because its restructuring before baseline leaves no clean confirmation-to-design-review interval; its maturity cell is left missing and the observation is excluded, yielding twenty-three projects with complete data on the three predictors. In the schedule study the cross-section is again twenty-three projects, drawn primarily from GAO-21-306 with two older additions from GAO-19-262SP. The two studies are not guaranteed to contain identical project rosters, since each was assembled against a different anchor assessment and a different outcome event, but what they share is the unit definition, the maturity construct, and the common baseline reference.</w:t>
      </w:r>
    </w:p>
    <w:p>
      <w:pPr>
        <w:pStyle w:val="BodyText"/>
        <w:spacing w:line="480" w:lineRule="auto"/>
        <w:ind w:firstLine="720"/>
      </w:pPr>
      <w:r>
        <w:t xml:space="preserve">Its small sample is a structural feature of the population, not a sampling choice, and the dissertation treats it that way. The population of NASA major flight projects in any single assessment vintage is finite and small, on the order of a couple of dozen projects above the major-project dollar threshold. A cross-section of twenty-three is a large share of the relevant population at a point in time, not a thin sample from a large one. This is why the dissertation reports statistical-conclusion-validity concerns as binding throughout and treats a failure to reject the null as a substantive result rather than as a power failure to be explained away. The eventual panel design, pooling successive annual assessments, is the route to a larger event count, and Chapter 4 records the single-assessment cross-section as the current, honestly bounded unit.</w:t>
      </w:r>
    </w:p>
    <w:bookmarkEnd w:id="95"/>
    <w:bookmarkStart w:id="96" w:name="outcome-variables"/>
    <w:p>
      <w:pPr>
        <w:pStyle w:val="Heading2"/>
        <w:spacing w:line="480" w:lineRule="auto"/>
      </w:pPr>
      <w:r>
        <w:t xml:space="preserve">4.4 Outcome Variables</w:t>
      </w:r>
    </w:p>
    <w:p>
      <w:pPr>
        <w:pStyle w:val="FirstParagraph"/>
        <w:spacing w:line="480" w:lineRule="auto"/>
      </w:pPr>
      <w:r>
        <w:t xml:space="preserve">Two performance outcomes serve the dissertation, one per completed study, and each is constructed directly from a primary GAO field rather than computed from secondary summaries.</w:t>
      </w:r>
    </w:p>
    <w:p>
      <w:pPr>
        <w:pStyle w:val="BodyText"/>
        <w:spacing w:line="480" w:lineRule="auto"/>
        <w:ind w:firstLine="720"/>
      </w:pPr>
      <w:r>
        <w:t xml:space="preserve">The cost outcome is the percentage growth of a project’s development cost from its original confirmed baseline. The GAO assessments publish, for each project, the baseline development cost and the cumulative development cost growth against that baseline, so the outcome is read essentially as a published field rather than derived through an analyst’s own accounting</w:t>
      </w:r>
      <w:r>
        <w:t xml:space="preserve"> </w:t>
      </w:r>
      <w:hyperlink w:anchor="ref-7">
        <w:r>
          <w:rPr>
            <w:rStyle w:val="Hyperlink"/>
          </w:rPr>
          <w:t xml:space="preserve">[7]</w:t>
        </w:r>
      </w:hyperlink>
      <w:r>
        <w:t xml:space="preserve">. Its construction is the proportional change between the design-milestone cost baseline and the project’s realized or estimate-at-completion development cost, which is exactly the cost-growth definition the prospectus specified. Realized values span a wide and informative range. In the cost study the outcome runs from minus 3.1 percent, for NISAR, which retired reserves below its baseline, through zero for projects holding their baselines such as Psyche and the Double Asteroid Redirection Test, to 268.8 percent for SOFIA. That the outcome takes a negative value for a project that came in under baseline, a zero for projects exactly on baseline, and an extreme positive for a badly overrun program confirms that the variable is a signed, continuous percentage with genuine variation, which is what the ordinary-least-squares specification of the companion study requires.</w:t>
      </w:r>
    </w:p>
    <w:p>
      <w:pPr>
        <w:pStyle w:val="BodyText"/>
        <w:spacing w:line="480" w:lineRule="auto"/>
        <w:ind w:firstLine="720"/>
      </w:pPr>
      <w:r>
        <w:t xml:space="preserve">Constructed as a time-to-event rather than a level, the schedule outcome carries the central methodological move of the second study. Each project contributes a duration and an event indicator, the indicator equal to one if the project had breached its schedule baseline by the anchor assessment and zero if it was still holding that baseline. Projects that the GAO described as meeting or maintaining their cost and schedule baselines, such as Psyche, the Double Asteroid Redirection Test, Lucy, and the Surface Water and Ocean Topography mission, are coded as censored because their true time-to-breach has not yet been observed</w:t>
      </w:r>
      <w:r>
        <w:t xml:space="preserve"> </w:t>
      </w:r>
      <w:hyperlink w:anchor="ref-7">
        <w:r>
          <w:rPr>
            <w:rStyle w:val="Hyperlink"/>
          </w:rPr>
          <w:t xml:space="preserve">[7]</w:t>
        </w:r>
      </w:hyperlink>
      <w:r>
        <w:t xml:space="preserve">. The duration is the number of months from the project’s original baseline to its first observed breach for the projects that breached, and the months of accrued time-at-risk since baseline for the censored projects. In the realized schedule dataset, fifteen of the twenty-three projects experienced a breach and eight remained censored. That censoring structure is the reason the study uses survival analysis, because a method that discarded the censored projects or recoded them as non-events would throw away precisely the projects whose stable baselines are, on the hypothesis, doing their protective work, and would bias the architecture estimate.</w:t>
      </w:r>
    </w:p>
    <w:p>
      <w:pPr>
        <w:pStyle w:val="BodyText"/>
        <w:spacing w:line="480" w:lineRule="auto"/>
        <w:ind w:firstLine="720"/>
      </w:pPr>
      <w:r>
        <w:t xml:space="preserve">Measurement clarity requires a note on how the two outcomes relate. The cost study also records cumulative launch delay in months as a predictor, ranging from zero to eighty-one months for the James Webb Space Telescope, and it finds that each month of delay converts into roughly 1.87 percentage points of additional cost growth</w:t>
      </w:r>
      <w:r>
        <w:t xml:space="preserve"> </w:t>
      </w:r>
      <w:hyperlink w:anchor="ref-7">
        <w:r>
          <w:rPr>
            <w:rStyle w:val="Hyperlink"/>
          </w:rPr>
          <w:t xml:space="preserve">[7]</w:t>
        </w:r>
      </w:hyperlink>
      <w:r>
        <w:t xml:space="preserve">. The schedule study then promotes the timing of the first schedule breach to the status of dependent event. So the two outcomes are linked: months of slip are the mechanism by which, on the dissertation’s logic, schedule performance eventually becomes cost performance. Measuring them in two separate studies, with cost as a level and schedule as a duration, is what lets the dissertation separate the channel through which documented architecture might act from the channel in which it is conventionally evaluated.</w:t>
      </w:r>
    </w:p>
    <w:bookmarkEnd w:id="96"/>
    <w:bookmarkStart w:id="97" w:name="the-documented-architecture-regressor"/>
    <w:p>
      <w:pPr>
        <w:pStyle w:val="Heading2"/>
        <w:spacing w:line="480" w:lineRule="auto"/>
      </w:pPr>
      <w:r>
        <w:t xml:space="preserve">4.5 The Documented-Architecture Regressor</w:t>
      </w:r>
    </w:p>
    <w:p>
      <w:pPr>
        <w:pStyle w:val="FirstParagraph"/>
        <w:spacing w:line="480" w:lineRule="auto"/>
      </w:pPr>
      <w:r>
        <w:t xml:space="preserve">Documented-architecture maturity is the regressor of interest, and because its construction from primary records is the most consequential measurement decision in the dissertation, it is documented in full.</w:t>
      </w:r>
    </w:p>
    <w:p>
      <w:pPr>
        <w:pStyle w:val="BodyText"/>
        <w:spacing w:line="480" w:lineRule="auto"/>
        <w:ind w:firstLine="720"/>
      </w:pPr>
      <w:r>
        <w:t xml:space="preserve">The maturity score is ordinal with three levels, built from the published milestone calendar that the GAO reports for each project. Its construct rests on the interval, in months, between a project’s confirmation, the Agency Baseline Commitment established at Key Decision Point C, and the critical design review at which the design documentation is judged stable.</w:t>
      </w:r>
    </w:p>
    <w:p>
      <w:pPr>
        <w:pStyle w:val="BodyText"/>
        <w:spacing w:line="480" w:lineRule="auto"/>
        <w:ind w:firstLine="720"/>
      </w:pPr>
      <w:r>
        <w:t xml:space="preserve">Explicit and reproducible, the coding rule in the cost study runs as follows. A project whose critical design review falls within five months of confirmation, or before it, scores two, on the reasoning that its design was documented and stable when it committed public money. A gap of six to eighteen months scores one. A gap exceeding eighteen months scores zero, capturing a project that committed well ahead of a documented, stabilized design, as the James Webb Space Telescope, NISAR, and the Surface Water and Ocean Topography project did. The score is therefore a graded proxy for whether a documented architecture baseline was actually in place and stable at the moment of commitment, derived entirely from dated milestone events that appear in the primary GAO records.</w:t>
      </w:r>
    </w:p>
    <w:p>
      <w:pPr>
        <w:pStyle w:val="BodyText"/>
        <w:spacing w:line="480" w:lineRule="auto"/>
        <w:ind w:firstLine="720"/>
      </w:pPr>
      <w:r>
        <w:t xml:space="preserve">Using the same ordinal construct, the schedule study expresses the three levels in terms of baseline approval and stability. It scores zero for projects without an approved Agency Baseline Commitment, one for projects with an approved baseline that the auditor flagged as unstable at the critical design review, and two for projects that completed a critical design review with a baseline the auditor described as stable. These two phrasings are intended to capture the same underlying property, the presence at the design milestone of a documented, reviewed, and stable architecture baseline, and the dissertation treats them as one construct measured against the same milestone evidence.</w:t>
      </w:r>
    </w:p>
    <w:p>
      <w:pPr>
        <w:pStyle w:val="BodyText"/>
        <w:spacing w:line="480" w:lineRule="auto"/>
        <w:ind w:firstLine="720"/>
      </w:pPr>
      <w:r>
        <w:t xml:space="preserve">Conceptually the construct’s warrant comes from the architecture literature, and it is stated carefully so that the measure is not over-claimed. The model-based systems engineering strand establishes that architectures can be made formal, consistent, and machine-checkable, supplying an observable, gradable property of an architecture rather than a mere assertion of its virtue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The space-economics strand frames pre-acquisition architecture and engineering as a measurable input to program outcomes</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Parametric cost-and-schedule research supplies the mechanism the construct is meant to proxy, that estimating relationships sharpen and error bands narrow as design definition matures, so a stabilized, review-anchored baseline should encode a more honest plan</w:t>
      </w:r>
      <w:r>
        <w:t xml:space="preserve"> </w:t>
      </w:r>
      <w:hyperlink w:anchor="ref-9">
        <w:r>
          <w:rPr>
            <w:rStyle w:val="Hyperlink"/>
          </w:rPr>
          <w:t xml:space="preserve">[9]</w:t>
        </w:r>
      </w:hyperlink>
      <w:r>
        <w:t xml:space="preserve">. Model-based architecture and trade-study methods make the parallel design-side argument that an explicit, analyzable architecture is the precondition for credible cost and schedule prediction and for early detection of the interface conflicts that later become slips</w:t>
      </w:r>
      <w:r>
        <w:t xml:space="preserve"> </w:t>
      </w:r>
      <w:hyperlink w:anchor="ref-12">
        <w:r>
          <w:rPr>
            <w:rStyle w:val="Hyperlink"/>
          </w:rPr>
          <w:t xml:space="preserve">[12]</w:t>
        </w:r>
      </w:hyperlink>
      <w:r>
        <w:t xml:space="preserve">. The milestone-interval score is best understood as a feasible field proxy for that literature’s richer notion of a consistent, stabilized architecture, built from the only architecture-stability evidence the public records reliably timestamp.</w:t>
      </w:r>
    </w:p>
    <w:p>
      <w:pPr>
        <w:pStyle w:val="BodyText"/>
        <w:spacing w:line="480" w:lineRule="auto"/>
        <w:ind w:firstLine="720"/>
      </w:pPr>
      <w:r>
        <w:t xml:space="preserve">Its limitations are stated here rather than deferred, because they bound every estimate that uses the construct. The score collapses a rich, continuous design-stability story into three ordered categories defined by a single milestone interval. The auditor itself has repeatedly observed that a critical design review may be held without the design being genuinely stable, with projects holding the review often releasing closer to seventy percent of design drawings rather than the ninety percent the milestone is meant to certify</w:t>
      </w:r>
      <w:r>
        <w:t xml:space="preserve"> </w:t>
      </w:r>
      <w:hyperlink w:anchor="ref-7">
        <w:r>
          <w:rPr>
            <w:rStyle w:val="Hyperlink"/>
          </w:rPr>
          <w:t xml:space="preserve">[7]</w:t>
        </w:r>
      </w:hyperlink>
      <w:r>
        <w:t xml:space="preserve">. A maturity code anchored on the review-held milestone therefore inherits exactly that slippage between a review conducted and a design stabilized. The dissertation’s documented improvement path, replacing the three-category ordinal with the continuous percentage of design drawings released at the critical design review, which the GAO already collects, is recorded in Chapter 4 as the measurement upgrade that would recover the power the ordinal throws away. For the completed studies, however, the ordinal milestone-interval score is the regressor, and its coding rule is fully specified above.</w:t>
      </w:r>
    </w:p>
    <w:bookmarkEnd w:id="97"/>
    <w:bookmarkStart w:id="98" w:name="control-variables"/>
    <w:p>
      <w:pPr>
        <w:pStyle w:val="Heading2"/>
        <w:spacing w:line="480" w:lineRule="auto"/>
      </w:pPr>
      <w:r>
        <w:t xml:space="preserve">4.6 Control Variables</w:t>
      </w:r>
    </w:p>
    <w:p>
      <w:pPr>
        <w:pStyle w:val="FirstParagraph"/>
        <w:spacing w:line="480" w:lineRule="auto"/>
      </w:pPr>
      <w:r>
        <w:t xml:space="preserve">Two control variables enter the specifications, each constructed from a primary GAO field.</w:t>
      </w:r>
    </w:p>
    <w:p>
      <w:pPr>
        <w:pStyle w:val="BodyText"/>
        <w:spacing w:line="480" w:lineRule="auto"/>
        <w:ind w:firstLine="720"/>
      </w:pPr>
      <w:r>
        <w:t xml:space="preserve">Program size is measured as the natural logarithm of baseline development cost in millions of dollars, read directly from the baseline development cost field in the assessments</w:t>
      </w:r>
      <w:r>
        <w:t xml:space="preserve"> </w:t>
      </w:r>
      <w:hyperlink w:anchor="ref-7">
        <w:r>
          <w:rPr>
            <w:rStyle w:val="Hyperlink"/>
          </w:rPr>
          <w:t xml:space="preserve">[7]</w:t>
        </w:r>
      </w:hyperlink>
      <w:r>
        <w:t xml:space="preserve">. The logarithmic transform is a measurement decision rather than a modeling afterthought, since baseline development cost in this portfolio spans roughly two orders of magnitude; the log transform linearizes the size variable and prevents the largest programs from dominating the fit mechanically. In the cost study size enters with the expected negative sign, consistent with percentage growth shrinking as the denominator grows even while large programs drive the portfolio’s absolute overruns. In the schedule study the same log-size control behaves as near-pure noise, which the dissertation reads as the deeper reserves of large programs roughly cancelling their larger interface burden.</w:t>
      </w:r>
    </w:p>
    <w:p>
      <w:pPr>
        <w:pStyle w:val="BodyText"/>
        <w:spacing w:line="480" w:lineRule="auto"/>
        <w:ind w:firstLine="720"/>
      </w:pPr>
      <w:r>
        <w:t xml:space="preserve">Schedule delay enters the cost study as a control, measured as the cumulative months of launch delay from the original baseline, again a published GAO field. It carries the expected positive sign because, in cost-reimbursable aerospace work, the standing engineering workforce continues to draw salary while the launch date slips, so months of delay mechanically convert into cost growth</w:t>
      </w:r>
      <w:r>
        <w:t xml:space="preserve"> </w:t>
      </w:r>
      <w:hyperlink w:anchor="ref-7">
        <w:r>
          <w:rPr>
            <w:rStyle w:val="Hyperlink"/>
          </w:rPr>
          <w:t xml:space="preserve">[7]</w:t>
        </w:r>
      </w:hyperlink>
      <w:r>
        <w:t xml:space="preserve">. In the schedule-survival study this same quantity is not a control but is promoted to the dependent event, so the variable that is a right-hand-side regressor in one study becomes the timing of the outcome in the other. Recording this explicitly is necessary so that a reader does not mistake the two roles of schedule for a single fixed covariate.</w:t>
      </w:r>
    </w:p>
    <w:bookmarkEnd w:id="98"/>
    <w:bookmarkStart w:id="99" w:name="X8df63bef7a8a507d468d683a9f73f16b8263bb9"/>
    <w:p>
      <w:pPr>
        <w:pStyle w:val="Heading2"/>
        <w:spacing w:line="480" w:lineRule="auto"/>
      </w:pPr>
      <w:r>
        <w:t xml:space="preserve">4.7 Provenance, Missingness, and Reproducibility</w:t>
      </w:r>
    </w:p>
    <w:p>
      <w:pPr>
        <w:pStyle w:val="FirstParagraph"/>
        <w:spacing w:line="480" w:lineRule="auto"/>
      </w:pPr>
      <w:r>
        <w:t xml:space="preserve">Every observation in both datasets carries a source field that cites the specific GAO report and, where relevant, the page or table and the supporting named NASA mission record. In the cost study, the seven older observations from GAO-11-239SP take each project’s critical design review timing from the named NASA mission record cited in the dataset, so that even the imported older rows are traceable to a primary document rather than to a secondary tabulation</w:t>
      </w:r>
      <w:r>
        <w:t xml:space="preserve"> </w:t>
      </w:r>
      <w:hyperlink w:anchor="ref-11">
        <w:r>
          <w:rPr>
            <w:rStyle w:val="Hyperlink"/>
          </w:rPr>
          <w:t xml:space="preserve">[11]</w:t>
        </w:r>
      </w:hyperlink>
      <w:r>
        <w:t xml:space="preserve">. That source-field discipline is what makes the dataset auditable end to end: a reader can take any row, follow its source field to the named report and page, and confirm the outcome value, the milestone dates, and the resulting maturity code.</w:t>
      </w:r>
    </w:p>
    <w:p>
      <w:pPr>
        <w:pStyle w:val="BodyText"/>
        <w:spacing w:line="480" w:lineRule="auto"/>
        <w:ind w:firstLine="720"/>
      </w:pPr>
      <w:r>
        <w:t xml:space="preserve">Small and handled by exclusion rather than imputation wherever a primary value is genuinely absent, missingness is bounded. In the cost study, SOFIA lacks a cleanly documented confirmation-to-design-review interval because the program was restructured before its baseline, so its maturity cell is left missing and the observation drops from estimation. That is the single non-observed value in the dataset, well under five percent of observations. In the schedule study, a small number of projects that the GAO reported as expecting to breach, or as reviewing their baselines without publishing a final dated slip, have their duration set conservatively to the slip reported at the assessment, and those interpolated entries are marked in the source field. They account for under fifteen percent of observations, and none of them are censored, so they cannot drive the survival contrast between breaching and baseline-holding projects. The dissertation’s measurement stance is therefore conservative on both fronts. Genuinely absent values are excluded and visible in the count. Conservatively interpolated durations are flagged and confined to the non-censored rows where they cannot manufacture the protective effect the study is testing for.</w:t>
      </w:r>
    </w:p>
    <w:p>
      <w:pPr>
        <w:pStyle w:val="BodyText"/>
        <w:spacing w:line="480" w:lineRule="auto"/>
        <w:ind w:firstLine="720"/>
      </w:pPr>
      <w:r>
        <w:t xml:space="preserve">Concrete, too, is the reproducibility commitment that closes the chapter. The coding rubric for the maturity score, the field-by-field mapping from GAO report to dataset column, the merge keys linking older and newer assessment vintages, and the named source citation for every cell are archived with the dissertation. Because the underlying assessments are public and individually addressable by report number and page, an independent analyst can reconstruct each twenty-three-project cross-section from the same primary documents and recover the same outcome values, the same milestone intervals, and the same maturity codes. This is the operational meaning of the dissertation’s falsifiability commitment at the level of data: the estimate can be checked because the dataset that produced it can be rebuilt.</w:t>
      </w:r>
    </w:p>
    <w:bookmarkEnd w:id="99"/>
    <w:bookmarkStart w:id="100" w:name="Xc114552300389d492a1316753e3e95a343d3838"/>
    <w:p>
      <w:pPr>
        <w:pStyle w:val="Heading2"/>
        <w:spacing w:line="480" w:lineRule="auto"/>
      </w:pPr>
      <w:r>
        <w:t xml:space="preserve">4.8 From Realized Data to the Prospectus Design</w:t>
      </w:r>
    </w:p>
    <w:p>
      <w:pPr>
        <w:pStyle w:val="FirstParagraph"/>
        <w:spacing w:line="480" w:lineRule="auto"/>
      </w:pPr>
      <w:r>
        <w:t xml:space="preserve">To close, the chapter situates the realized public dataset within the larger data architecture the prospectus set out, because the dissertation’s later identification claims depend on this relationship being stated plainly.</w:t>
      </w:r>
    </w:p>
    <w:p>
      <w:pPr>
        <w:pStyle w:val="BodyText"/>
        <w:spacing w:line="480" w:lineRule="auto"/>
        <w:ind w:firstLine="720"/>
      </w:pPr>
      <w:r>
        <w:t xml:space="preserve">Two first-order facts are established by the completed studies on auditable public data. In this portfolio, months of schedule slip, not the milestone fact of a held design review, predict cost growth. And when the projects still holding their baselines are properly credited as censored observations, documented-architecture maturity is associated with a directionally lower hazard of schedule breach, though not at conventional significance with twenty-three projects. Both facts are measured on data whose every value traces to a named federal audit page.</w:t>
      </w:r>
    </w:p>
    <w:p>
      <w:pPr>
        <w:pStyle w:val="BodyText"/>
        <w:spacing w:line="480" w:lineRule="auto"/>
        <w:ind w:firstLine="720"/>
      </w:pPr>
      <w:r>
        <w:t xml:space="preserve">Recorded here so that the data design is complete, the documented extension path has three components, each a response to a measurement limit named above. The binary or three-category review-held maturity proxy is to be replaced by the continuous percentage of design drawings released at the critical design review, a field the GAO already collects and which the assessments show varying widely around a portfolio average near seventy percent</w:t>
      </w:r>
      <w:r>
        <w:t xml:space="preserve"> </w:t>
      </w:r>
      <w:hyperlink w:anchor="ref-7">
        <w:r>
          <w:rPr>
            <w:rStyle w:val="Hyperlink"/>
          </w:rPr>
          <w:t xml:space="preserve">[7]</w:t>
        </w:r>
      </w:hyperlink>
      <w:r>
        <w:t xml:space="preserve">. The single-assessment cross-section is to be pooled into a panel across successive annual assessments, multiplying the event count, letting durations be measured as genuine elapsed time across vintages, and allowing a project’s maturity to be measured before its breach is observed. And the CADRe corpus and the ONCE and NAFCOM parametric lineage named in the prospectus are the route to the richer technical-scope covariates and the milestone-level unit of analysis that the public GAO records cannot fully support; they are the data foundation on which the prospectus instrumental-variables strategy, using mandate timing and tooling rollout as instruments for architecture status, would eventually rest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This chapter has measured only what the public records support, and has measured it to a reproducible standard. The extension path specifies how the same constructs scale to the fuller design without changing their definitions.</w:t>
      </w:r>
    </w:p>
    <w:bookmarkEnd w:id="100"/>
    <w:bookmarkEnd w:id="101"/>
    <w:bookmarkStart w:id="108" w:name="chapter-5.-methods-and-identification"/>
    <w:p>
      <w:pPr>
        <w:pStyle w:val="Heading1"/>
        <w:spacing w:line="480" w:lineRule="auto"/>
      </w:pPr>
      <w:r>
        <w:t xml:space="preserve">Chapter 5. Methods and Identification</w:t>
      </w:r>
    </w:p>
    <w:p>
      <w:pPr>
        <w:pStyle w:val="FirstParagraph"/>
        <w:spacing w:line="480" w:lineRule="auto"/>
      </w:pPr>
      <w:r>
        <w:t xml:space="preserve">Three things occupy this chapter: the estimators that carry the dissertation’s single falsifiable claim, the identification strategy that licenses reading the architecture coefficient causally, and the validity threats standing between the estimates and that reading. Auditability is the guiding standard. Each estimator appears as an equation a replicator could code, and each identifying assumption gets named, defended, and, where defense fails, bounded.</w:t>
      </w:r>
    </w:p>
    <w:p>
      <w:pPr>
        <w:pStyle w:val="BodyText"/>
        <w:spacing w:line="480" w:lineRule="auto"/>
        <w:ind w:firstLine="720"/>
      </w:pPr>
      <w:r>
        <w:t xml:space="preserve">Two companion papers set the empirical terrain before this chapter opens. Once size and schedule were controlled, the cross-sectional cost regression handed back a perverse positive sign on documented-architecture maturity, alongside a precise and dominant schedule coefficient near 1.87 percentage points of cost growth for every month of delay. By keeping the censored projects that still held their baselines inside the risk set, the survival study pulled back the hypothesized protective direction on schedule, a hazard ratio near two-thirds, though short on power. This chapter has to show why those two results, read jointly, argue for an identification strategy rather than a richer cross-section, and then to lay that strategy out in full.</w:t>
      </w:r>
    </w:p>
    <w:bookmarkStart w:id="102" w:name="estimands-and-the-unit-of-analysis"/>
    <w:p>
      <w:pPr>
        <w:pStyle w:val="Heading2"/>
        <w:spacing w:line="480" w:lineRule="auto"/>
      </w:pPr>
      <w:r>
        <w:t xml:space="preserve">5.1 Estimands and the unit of analysis</w:t>
      </w:r>
    </w:p>
    <w:p>
      <w:pPr>
        <w:pStyle w:val="FirstParagraph"/>
        <w:spacing w:line="480" w:lineRule="auto"/>
      </w:pPr>
      <w:r>
        <w:t xml:space="preserve">At the base of the estimation sits the program-milestone observation. A program joins the sample once it holds a confirmed design-milestone baseline plus an architecture artifact dated to that milestone, and it hands over the two outcomes the prospectus defined: cost growth, the proportional change between the design-milestone cost baseline and the confirmed estimate-at-completion, and schedule slip, the proportional change in months between the baselined and realized milestone dates. Binary architecture status is the regressor of interest, scored one when an enterprise or system architecture stood on record at the design milestone and cleared the logical-consistency and machine-checkability criterion drawn from the ontology-grounded modeling literature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and zero if not.</w:t>
      </w:r>
    </w:p>
    <w:p>
      <w:pPr>
        <w:pStyle w:val="BodyText"/>
        <w:spacing w:line="480" w:lineRule="auto"/>
        <w:ind w:firstLine="720"/>
      </w:pPr>
      <w:r>
        <w:t xml:space="preserve">Two estimands come apart here. One is the population conditional mean effect of architecture status on cost growth and on schedule slip, the parameter a naive regression chases. The other, and the one the dissertation actually claims, is the local average treatment effect of architecture status among the programs whose adoption the instruments below moved.</w:t>
      </w:r>
    </w:p>
    <w:p>
      <w:pPr>
        <w:pStyle w:val="BodyText"/>
        <w:spacing w:line="480" w:lineRule="auto"/>
        <w:ind w:firstLine="720"/>
      </w:pPr>
      <w:r>
        <w:t xml:space="preserve">Nothing makes that distinction sharper than the companion cost paper. There the maturity coefficient came out positive and marginally significant, opposite to theory, and the discussion laid the sign at the feet of selection and timing: a program only books measured percentage growth after committing to a baseline and getting time to overrun, so the high-maturity bins filled mechanically with committed projects already drawing down. Contamination of that kind passes straight into a conditional-mean estimand. It does not reach the local estimand, identified off exogenous variation in adoption, which fences off the marginal program whose architecture status shifted for reasons outside its own management quality.</w:t>
      </w:r>
    </w:p>
    <w:bookmarkEnd w:id="102"/>
    <w:bookmarkStart w:id="103" w:name="the-estimators"/>
    <w:p>
      <w:pPr>
        <w:pStyle w:val="Heading2"/>
        <w:spacing w:line="480" w:lineRule="auto"/>
      </w:pPr>
      <w:r>
        <w:t xml:space="preserve">5.2 The estimators</w:t>
      </w:r>
    </w:p>
    <w:p>
      <w:pPr>
        <w:pStyle w:val="FirstParagraph"/>
        <w:spacing w:line="480" w:lineRule="auto"/>
      </w:pPr>
      <w:r>
        <w:t xml:space="preserve">Three estimators follow, each keyed to a feature of the data.</w:t>
      </w:r>
    </w:p>
    <w:p>
      <w:pPr>
        <w:pStyle w:val="BodyText"/>
        <w:spacing w:line="480" w:lineRule="auto"/>
        <w:ind w:firstLine="720"/>
      </w:pPr>
      <w:r>
        <w:rPr>
          <w:b/>
          <w:bCs/>
        </w:rPr>
        <w:t xml:space="preserve">The continuous-outcome estimator</w:t>
      </w:r>
      <w:r>
        <w:t xml:space="preserve"> </w:t>
      </w:r>
      <w:r>
        <w:t xml:space="preserve">is two-stage least squares. Take the second stage as the structural equation where cost growth, or in the alternative schedule slip, runs as a linear function of architecture status, a covariate vector, and prime-contractor fixed effects. Its first stage projects the endogenous architecture indicator onto the instruments plus the same exogenous covariates. Program scope, technology readiness level at the design milestone, and contract type make up the covariate vector, the confounders the prospectus names and the companion cost paper’s controls anticipate, where taking the logarithm of baseline development cost linearized a size variable spanning two orders of magnitude and entered with the expected negative sign. Standard errors cluster at the instrument’s level, the agency-mandate cohort, since the exogenous variation is dealt at that level and within-cohort errors are not independent. What makes two-stage least squares the right choice here is precisely that the architecture indicator is suspected endogenous, and ordinary least squares, run in the cost companion, stays on only as a benchmark whose distance from the instrumented estimate gauges the selection it cannot strip out.</w:t>
      </w:r>
    </w:p>
    <w:p>
      <w:pPr>
        <w:pStyle w:val="BodyText"/>
        <w:spacing w:line="480" w:lineRule="auto"/>
        <w:ind w:firstLine="720"/>
      </w:pPr>
      <w:r>
        <w:rPr>
          <w:b/>
          <w:bCs/>
        </w:rPr>
        <w:t xml:space="preserve">The duration estimator</w:t>
      </w:r>
      <w:r>
        <w:t xml:space="preserve"> </w:t>
      </w:r>
      <w:r>
        <w:t xml:space="preserve">is a Cox proportional-hazards model for schedule slip cast as time-to-breach, carried over from the survival companion and respecified to soak up the instrument. Breach hazard at time t reads as the product of an unspecified baseline hazard and an exponential function of architecture status and the covariates. This specification earns its place for the very reason the survival companion supplies. It takes in the right-censoring of programs still holding their baselines without forcing a parametric survival law, and it keeps those censored programs in the risk set, where they stand as the evidence for a protective effect instead of discarded non-events. Proof of concept is the companion’s recovery of a hazard ratio near 0.681 once the censored projects were credited. What this chapter adds is to render the architecture term in that hazard exogenous rather than observational: where the instrument comes in, architecture status gives way to its first-stage prediction in a control-function form, and the partial-likelihood standard errors are corrected for the generated regressor.</w:t>
      </w:r>
    </w:p>
    <w:p>
      <w:pPr>
        <w:pStyle w:val="BodyText"/>
        <w:spacing w:line="480" w:lineRule="auto"/>
        <w:ind w:firstLine="720"/>
      </w:pPr>
      <w:r>
        <w:rPr>
          <w:b/>
          <w:bCs/>
        </w:rPr>
        <w:t xml:space="preserve">The difference-in-differences estimator</w:t>
      </w:r>
      <w:r>
        <w:t xml:space="preserve"> </w:t>
      </w:r>
      <w:r>
        <w:t xml:space="preserve">works the staggered rollout of agency-wide architecture mandates and the phased fielding of ontology-checkable modeling tooling. Programs split by whether their design milestone landed before or after the mandate that reached them, and the average outcome change across the mandate threshold for treated cohorts is differenced against the contemporaneous change for cohorts not yet treated. This estimator is the robustness backbone of the design, because it identifies off the timing of an agency decision rather than any property of the individual program, and because the rival secular-trend hypothesis, that observed cost-performance gains reflect sector-wide improvement over a fifteen-year horizon rather than architecture discipline</w:t>
      </w:r>
      <w:r>
        <w:t xml:space="preserve"> </w:t>
      </w:r>
      <w:hyperlink w:anchor="ref-5">
        <w:r>
          <w:rPr>
            <w:rStyle w:val="Hyperlink"/>
          </w:rPr>
          <w:t xml:space="preserve">[5]</w:t>
        </w:r>
      </w:hyperlink>
      <w:r>
        <w:t xml:space="preserve">, is differenced away by the contemporaneous comparison cohort.</w:t>
      </w:r>
    </w:p>
    <w:bookmarkEnd w:id="103"/>
    <w:bookmarkStart w:id="104" w:name="the-identification-strategy"/>
    <w:p>
      <w:pPr>
        <w:pStyle w:val="Heading2"/>
        <w:spacing w:line="480" w:lineRule="auto"/>
      </w:pPr>
      <w:r>
        <w:t xml:space="preserve">5.3 The identification strategy</w:t>
      </w:r>
    </w:p>
    <w:p>
      <w:pPr>
        <w:pStyle w:val="FirstParagraph"/>
        <w:spacing w:line="480" w:lineRule="auto"/>
      </w:pPr>
      <w:r>
        <w:t xml:space="preserve">Laid out plainly in the prospectus and borne out by the cost companion, the identification problem runs thus. Programs that author rigorous architectures may be, across the board, better managed, better funded, or staffed by stronger engineering teams, so any cross-sectional association between architecture and execution blends the architecture channel with the management-quality channel. Conditioning on observables narrows that gap without closing it, because management quality is exactly the sort of confounder that administrative cost records measure poorly. So the strategy leans on instrumental variation.</w:t>
      </w:r>
    </w:p>
    <w:p>
      <w:pPr>
        <w:pStyle w:val="BodyText"/>
        <w:spacing w:line="480" w:lineRule="auto"/>
        <w:ind w:firstLine="720"/>
      </w:pPr>
      <w:r>
        <w:t xml:space="preserve">Serving as instrument is the timing of agency-wide architecture mandates interacted with the staggered rollout of ontology-checkable modeling tooling. A program’s architecture status gets instrumented by whether, at that program’s design milestone, an agency mandate demanding documented machine-checkable architecture already held force and whether the tooling to satisfy it had already been fielded. Relevance follows because mandate-and-tooling availability mechanically lifts the probability that a program carries a conforming architecture at its milestone. That relevance is testable and will be reported as the first-stage F-statistic, with the conventional weak-instrument threshold applied and the Anderson-Rubin confidence set reported as a weak-instrument-robust complement, so inference does not fall apart if the first stage proves weaker than hoped.</w:t>
      </w:r>
    </w:p>
    <w:p>
      <w:pPr>
        <w:pStyle w:val="BodyText"/>
        <w:spacing w:line="480" w:lineRule="auto"/>
        <w:ind w:firstLine="720"/>
      </w:pPr>
      <w:r>
        <w:t xml:space="preserve">Bearing the load is the exclusion restriction: mandate-and-tooling timing touches a program’s cost growth and schedule slip only through the architecture channel, never directly. Its defense is structural. Policy cycles and budget calendars set mandate timing at the agency level, and neither answers to any single program’s prospective overrun, so the instrument is plausibly unrelated to a program’s idiosyncratic execution risk except by way of whether the program was thereby pushed to document a conforming architecture. The tooling-rollout component reinforces this, since the fielding date of an ontology-checking capability answers to software-acquisition schedules exogenous to the science or engineering content of any program that later picks up the tool. Monotonicity, the assumption the local average treatment effect interpretation needs, that the instrument pulls no program away from architecture adoption while pulling others toward it, is credible because a mandate can compel documentation yet cannot plausibly stifle an architecture a program would have authored anyway.</w:t>
      </w:r>
    </w:p>
    <w:bookmarkEnd w:id="104"/>
    <w:bookmarkStart w:id="105" w:name="Xe5767945b15200ba877c31447b0543059d53fd6"/>
    <w:p>
      <w:pPr>
        <w:pStyle w:val="Heading2"/>
        <w:spacing w:line="480" w:lineRule="auto"/>
      </w:pPr>
      <w:r>
        <w:t xml:space="preserve">5.4 Coding the regressor and measurement protocol</w:t>
      </w:r>
    </w:p>
    <w:p>
      <w:pPr>
        <w:pStyle w:val="FirstParagraph"/>
        <w:spacing w:line="480" w:lineRule="auto"/>
      </w:pPr>
      <w:r>
        <w:t xml:space="preserve">Being the object of the claim, the regressor answers to a higher evidentiary standard than the outcomes, which come straight from audited records. Two independent raters code architecture status from each program’s documented architecture artifacts at the design milestone, working off a written rubric, and the inter-rater reliability statistic gets reported.</w:t>
      </w:r>
    </w:p>
    <w:p>
      <w:pPr>
        <w:pStyle w:val="BodyText"/>
        <w:spacing w:line="480" w:lineRule="auto"/>
        <w:ind w:firstLine="720"/>
      </w:pPr>
      <w:r>
        <w:t xml:space="preserve">What the rubric operationalizes is the logical-consistency and machine-checkability criterion of the ontology-grounded literature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not a softer sense of whether documentation merely exists. The companion papers’ ordinal maturity score, built from the milestone-calendar gap between confirmation and a stable critical design review, stays on as a secondary coding and a bridge to the published cost-growth and breach records. What serves as the primary regressor is the consistency-and-checkability binary, since that is the property the source literature actually defines and the property the claim concerns.</w:t>
      </w:r>
    </w:p>
    <w:p>
      <w:pPr>
        <w:pStyle w:val="BodyText"/>
        <w:spacing w:line="480" w:lineRule="auto"/>
        <w:ind w:firstLine="720"/>
      </w:pPr>
      <w:r>
        <w:t xml:space="preserve">Archived, too, are the merge keys. Every observation ties a structured milestone cost-and-schedule record to a dated architecture artifact, and the published GAO project profiles anchoring the outcomes, the development cost change and cumulative launch delay reported against each project’s confirmed baseline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furnish an external, auditor-verified check on the cost and schedule cells. Where a program shows no cleanly documented milestone interval, as the cost companion found for one restructured project, the observation drops rather than getting interpolated on the regressor, and the count of such drops is reported so the analyst sample rebuilds from the source frame.</w:t>
      </w:r>
    </w:p>
    <w:bookmarkEnd w:id="105"/>
    <w:bookmarkStart w:id="106"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To close, the chapter names each threat, files it under a validity type, and states the specific instrument that bounds it. Elimination is claimed nowhere. Each threat is bounded, and the bound is reported.</w:t>
      </w:r>
    </w:p>
    <w:p>
      <w:pPr>
        <w:pStyle w:val="BodyText"/>
        <w:spacing w:line="480" w:lineRule="auto"/>
        <w:ind w:firstLine="720"/>
      </w:pPr>
      <w:r>
        <w:rPr>
          <w:b/>
          <w:bCs/>
        </w:rPr>
        <w:t xml:space="preserve">Internal validity: reverse causality.</w:t>
      </w:r>
      <w:r>
        <w:t xml:space="preserve"> </w:t>
      </w:r>
      <w:r>
        <w:t xml:space="preserve">Gravest of the threats is that well-run programs both turn out good architectures and execute well, so the architecture coefficient soaks up management quality. Primary defense is the instrumental-variables design, and its credibility rides on the exclusion restriction defended in Section 5.3. Since that restriction resists proof, it gets bounded: a sensitivity analysis reports how large a direct, non-architecture effect of mandate timing on execution would have to be to overturn whatever the preferred specification concludes. A second, design-based reading comes from the difference-in-differences specification, which does not lean on the exclusion restriction the same way. Agreement between the two readings would firm up the inference; disagreement would itself be reported.</w:t>
      </w:r>
    </w:p>
    <w:p>
      <w:pPr>
        <w:pStyle w:val="BodyText"/>
        <w:spacing w:line="480" w:lineRule="auto"/>
        <w:ind w:firstLine="720"/>
      </w:pPr>
      <w:r>
        <w:rPr>
          <w:b/>
          <w:bCs/>
        </w:rPr>
        <w:t xml:space="preserve">Internal validity: measurement error in the regressor.</w:t>
      </w:r>
      <w:r>
        <w:t xml:space="preserve"> </w:t>
      </w:r>
      <w:r>
        <w:t xml:space="preserve">Judged by human raters, the binary architecture-consistency code invites classification error, which in a binary regressor attenuates and can warp the coefficient. Prevalence of that error is bounded by the two-rater protocol with its reported reliability statistic, and the alternative codings described below test whether the conclusion hangs on one coding choice. Classical measurement error in the instrumented regressor gets further blunted because the first stage draws only on the exogenous mandate-and-tooling variation, recorded from policy and acquisition dates rather than rater judgment.</w:t>
      </w:r>
    </w:p>
    <w:p>
      <w:pPr>
        <w:pStyle w:val="BodyText"/>
        <w:spacing w:line="480" w:lineRule="auto"/>
        <w:ind w:firstLine="720"/>
      </w:pPr>
      <w:r>
        <w:rPr>
          <w:b/>
          <w:bCs/>
        </w:rPr>
        <w:t xml:space="preserve">Construct validity.</w:t>
      </w:r>
      <w:r>
        <w:t xml:space="preserve"> </w:t>
      </w:r>
      <w:r>
        <w:t xml:space="preserve">Since the source literature defined the machine-checkability criterion for design quality, not for execution prediction</w:t>
      </w:r>
      <w:r>
        <w:t xml:space="preserve"> </w:t>
      </w:r>
      <w:hyperlink w:anchor="ref-1">
        <w:r>
          <w:rPr>
            <w:rStyle w:val="Hyperlink"/>
          </w:rPr>
          <w:t xml:space="preserve">[1]</w:t>
        </w:r>
      </w:hyperlink>
      <w:r>
        <w:t xml:space="preserve">, treating it as the architecture construct imports the assumption that logical consistency is the architecturally relevant property. Construct-robustness checks bound this by re-estimating the model under alternative codings, architecture breadth and update frequency among them, and reporting whether the sign and significance of the architecture term hold steady across them. Should the result hold only under the consistency coding, that fragility gets reported as a finding about the construct, not hidden.</w:t>
      </w:r>
    </w:p>
    <w:p>
      <w:pPr>
        <w:pStyle w:val="BodyText"/>
        <w:spacing w:line="480" w:lineRule="auto"/>
        <w:ind w:firstLine="720"/>
      </w:pPr>
      <w:r>
        <w:rPr>
          <w:b/>
          <w:bCs/>
        </w:rPr>
        <w:t xml:space="preserve">External validity.</w:t>
      </w:r>
      <w:r>
        <w:t xml:space="preserve"> </w:t>
      </w:r>
      <w:r>
        <w:t xml:space="preserve">Conditioned on the agency’s programmatic and contracting environment, the estimate warrants no generalization to commercial or allied programs, and none is claimed. The rival secular-trend hypothesis, that the cost-performance gains visible over a long horizon reflect sector-wide improvement rather than architecture discipline</w:t>
      </w:r>
      <w:r>
        <w:t xml:space="preserve"> </w:t>
      </w:r>
      <w:hyperlink w:anchor="ref-5">
        <w:r>
          <w:rPr>
            <w:rStyle w:val="Hyperlink"/>
          </w:rPr>
          <w:t xml:space="preserve">[5]</w:t>
        </w:r>
      </w:hyperlink>
      <w:r>
        <w:t xml:space="preserve">, is bounded by the time fixed effects in the continuous-outcome estimator and, more forcefully, by the difference-in-differences design, whose contemporaneous not-yet-treated comparison cohort differences out any trend common to the portfolio.</w:t>
      </w:r>
    </w:p>
    <w:p>
      <w:pPr>
        <w:pStyle w:val="BodyText"/>
        <w:spacing w:line="480" w:lineRule="auto"/>
        <w:ind w:firstLine="720"/>
      </w:pPr>
      <w:r>
        <w:rPr>
          <w:b/>
          <w:bCs/>
        </w:rPr>
        <w:t xml:space="preserve">Statistical conclusion validity.</w:t>
      </w:r>
      <w:r>
        <w:t xml:space="preserve"> </w:t>
      </w:r>
      <w:r>
        <w:t xml:space="preserve">With a finite population of major programs, power is the binding constraint, as both companion papers found: the cost study’s maturity estimate ran underpowered at twenty-three observations and the survival study’s protective hazard ratio would not separate from one. Two moves bound this. A pre-analysis power calculation is reported so the probability of catching an effect of policy-relevant size is known before the estimates are read, and the design improvements the companions identified are adopted, namely pooling successive annual assessments into a panel to multiply the event count and to let a program’s architecture status be measured before its breach is observed. A failure to reject the null under the preferred specification is handled as a substantive, reportable result rather than a null to bury, in keeping with the falsifiability commitment that defines the contribution.</w:t>
      </w:r>
    </w:p>
    <w:bookmarkEnd w:id="106"/>
    <w:bookmarkStart w:id="107" w:name="Xed23e23a2975f54fd51a9f9c0ea51860f3a008a"/>
    <w:p>
      <w:pPr>
        <w:pStyle w:val="Heading2"/>
        <w:spacing w:line="480" w:lineRule="auto"/>
      </w:pPr>
      <w:r>
        <w:t xml:space="preserve">5.6 Pre-registration and the disconfirmation rule</w:t>
      </w:r>
    </w:p>
    <w:p>
      <w:pPr>
        <w:pStyle w:val="FirstParagraph"/>
        <w:spacing w:line="480" w:lineRule="auto"/>
      </w:pPr>
      <w:r>
        <w:t xml:space="preserve">Fixed before the instrumented estimates come into view are the estimators, the covariate set, the instrument construction, and the threshold for rejecting the null, and the specification tapped as preferred is named ahead of time. This discipline earns its keep because the cost companion’s surprise, a positive and marginally significant coefficient on a variable theory said should be negative, is exactly the kind of result that tempts specification search after the fact.</w:t>
      </w:r>
    </w:p>
    <w:p>
      <w:pPr>
        <w:pStyle w:val="BodyText"/>
        <w:spacing w:line="480" w:lineRule="auto"/>
        <w:ind w:firstLine="720"/>
      </w:pPr>
      <w:r>
        <w:t xml:space="preserve">By locking the preferred specification before estimation and reporting the weak-instrument-robust confidence set beside the point estimate, the chapter makes sure the dissertation’s single falsifiable claim can fail cleanly. Should the instrumented architecture coefficient prove statistically indistinguishable from zero in the preferred specification, the null holds and the documentation mandate forfeits the empirical warrant the prevailing posture assumes it carries</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methods are built so that this outcome, if it comes, reads as a contribution and not a defeat.</w:t>
      </w:r>
    </w:p>
    <w:bookmarkEnd w:id="107"/>
    <w:bookmarkEnd w:id="108"/>
    <w:bookmarkStart w:id="119" w:name="chapter-6.-results"/>
    <w:p>
      <w:pPr>
        <w:pStyle w:val="Heading1"/>
        <w:spacing w:line="480" w:lineRule="auto"/>
      </w:pPr>
      <w:r>
        <w:t xml:space="preserve">Chapter 6. Results</w:t>
      </w:r>
    </w:p>
    <w:p>
      <w:pPr>
        <w:pStyle w:val="FirstParagraph"/>
        <w:spacing w:line="480" w:lineRule="auto"/>
      </w:pPr>
      <w:r>
        <w:t xml:space="preserve">Here the dissertation’s single falsifiable claim meets the numbers. What the prospectus advanced was one association, together with a promise to report whether it holds up: that a documented, stabilized architecture baseline present at a program’s design milestone forecasts lower subsequent cost growth and schedule slip, once program scope and execution covariates are held constant.</w:t>
      </w:r>
    </w:p>
    <w:p>
      <w:pPr>
        <w:pStyle w:val="BodyText"/>
        <w:spacing w:line="480" w:lineRule="auto"/>
        <w:ind w:firstLine="720"/>
      </w:pPr>
      <w:r>
        <w:t xml:space="preserve">That promise rests on two estimations. One is an ordinary least squares regression of percentage development cost growth on a graded documented-architecture maturity score, program size, and schedule delay, fit across a cross-section of twenty-three NASA major flight projects. The other is a Cox proportional-hazards model of how long a project lasts before its first schedule-baseline breach, with maturity and program size as covariates, fit on the same twenty-three projects, of which fifteen reached the breach event and eight stayed censored.</w:t>
      </w:r>
    </w:p>
    <w:p>
      <w:pPr>
        <w:pStyle w:val="BodyText"/>
        <w:spacing w:line="480" w:lineRule="auto"/>
        <w:ind w:firstLine="720"/>
      </w:pPr>
      <w:r>
        <w:t xml:space="preserve">Their complementarity is by design, and the two approach the question from opposite ends. Cost growth captures the magnitude of an overrun after a baseline has been committed and the calendar has run long enough to overrun it, whereas the survival model captures the instantaneous risk of the upstream event, schedule breach, that the companion cost finding pinned as the proximate route by which dollars leak away. Holding the two in view at once is what this chapter is for, since the architecture coefficient reverses sign across them, and that reversal is the single most telling thing the dissertation surfaces.</w:t>
      </w:r>
    </w:p>
    <w:p>
      <w:pPr>
        <w:pStyle w:val="BodyText"/>
        <w:spacing w:line="480" w:lineRule="auto"/>
        <w:ind w:firstLine="720"/>
      </w:pPr>
      <w:r>
        <w:t xml:space="preserve">Everything below reports the raw estimator output for each specification: point estimates, standard errors, associated p-values, implied effect sizes, and model fit. Appendix A carries the supporting tables, the regression and partial-likelihood equations, the diagnostic charts, and the merged project-level dataset, none of which is repeated here. One discipline holds throughout, that no figure enters the prose unless an estimator produced it. Both models were run against the archived data and configuration files, and every value quoted below is lifted straight from that run.</w:t>
      </w:r>
    </w:p>
    <w:bookmarkStart w:id="113" w:name="the-cost-growth-regression"/>
    <w:p>
      <w:pPr>
        <w:pStyle w:val="Heading2"/>
        <w:spacing w:line="480" w:lineRule="auto"/>
      </w:pPr>
      <w:r>
        <w:t xml:space="preserve">6.1 The Cost-Growth Regression</w:t>
      </w:r>
    </w:p>
    <w:p>
      <w:pPr>
        <w:pStyle w:val="FirstParagraph"/>
        <w:spacing w:line="480" w:lineRule="auto"/>
      </w:pPr>
      <w:r>
        <w:t xml:space="preserve">What this regression explains is the percentage by which a project’s development cost rose above its original confirmed baseline. Ordinary least squares supplies the estimator, paired with heteroskedasticity-consistent HC1 robust standard errors; that pairing suits an outcome that is a continuous, signed percentage running across a wide span, from a project that gave back reserves below its baseline at one extreme to a lone overrun near two hundred seventy percent at the other, and the robust covariance blunts the variance inflation those outliers would otherwise force into the conventional standard errors. Three predictors enter the specification: the ordinal documented-architecture maturity score, the natural logarithm of baseline development cost, and cumulative months of schedule delay. Taking the logarithm of development cost linearizes a size variable that ranges across roughly two orders of magnitude in this portfolio.</w:t>
      </w:r>
    </w:p>
    <w:bookmarkStart w:id="109" w:name="model-fit"/>
    <w:p>
      <w:pPr>
        <w:pStyle w:val="Heading3"/>
        <w:spacing w:line="480" w:lineRule="auto"/>
      </w:pPr>
      <w:r>
        <w:t xml:space="preserve">6.1.1 Model Fit</w:t>
      </w:r>
    </w:p>
    <w:p>
      <w:pPr>
        <w:pStyle w:val="FirstParagraph"/>
        <w:spacing w:line="480" w:lineRule="auto"/>
      </w:pPr>
      <w:r>
        <w:t xml:space="preserve">Across the cross-section the fit is strong. Its coefficient of determination reaches 0.7708, and the adjusted figure, which docks the three estimated slopes against twenty-three observations, settles at 0.7347. Between them the three predictors account for about seventy-seven percent of the observed variance in development cost growth, or about seventy-three percent once the degrees-of-freedom adjustment is applied. A joint F-test throws out the null that all three slopes vanish together, returning an F-statistic of 10.30 at a p-value of 0.0003.</w:t>
      </w:r>
    </w:p>
    <w:p>
      <w:pPr>
        <w:pStyle w:val="BodyText"/>
        <w:spacing w:line="480" w:lineRule="auto"/>
        <w:ind w:firstLine="720"/>
      </w:pPr>
      <w:r>
        <w:t xml:space="preserve">On these conventional yardsticks the specification plainly says something about cost growth. What matters is not whether the model explains variance but where the explanatory weight lands, and there the verdict is plain and gets developed below: schedule execution, not architecture, carries the explained variance.</w:t>
      </w:r>
    </w:p>
    <w:bookmarkEnd w:id="109"/>
    <w:bookmarkStart w:id="110" w:name="the-architecture-coefficient"/>
    <w:p>
      <w:pPr>
        <w:pStyle w:val="Heading3"/>
        <w:spacing w:line="480" w:lineRule="auto"/>
      </w:pPr>
      <w:r>
        <w:t xml:space="preserve">6.1.2 The Architecture Coefficient</w:t>
      </w:r>
    </w:p>
    <w:p>
      <w:pPr>
        <w:pStyle w:val="FirstParagraph"/>
        <w:spacing w:line="480" w:lineRule="auto"/>
      </w:pPr>
      <w:r>
        <w:t xml:space="preserve">For documented-architecture maturity the estimate is 20.4975, attached to a robust standard error of 10.3108, which works out to a t-statistic near 1.99 and a p-value of 0.0468. So the point estimate comes in positive, clearing the conventional five percent bar by a hair.</w:t>
      </w:r>
    </w:p>
    <w:p>
      <w:pPr>
        <w:pStyle w:val="BodyText"/>
        <w:spacing w:line="480" w:lineRule="auto"/>
        <w:ind w:firstLine="720"/>
      </w:pPr>
      <w:r>
        <w:t xml:space="preserve">Reading it is direct and awkward for the practitioner intuition the dissertation meant to probe. A single step up the three-point maturity ladder, say a project shifting from a baseline the auditor judged unstable at its critical design review to one judged stable, tracks an extra 20.50 percentage points of development cost growth, program size and schedule delay held fixed. Worked from the estimate and its robust standard error, the ninety-five percent confidence interval stretches from roughly 0.29 to roughly 40.71 percentage points, so it clears zero only narrowly while tolerating anything from negligible to very large.</w:t>
      </w:r>
    </w:p>
    <w:p>
      <w:pPr>
        <w:pStyle w:val="BodyText"/>
        <w:spacing w:line="480" w:lineRule="auto"/>
        <w:ind w:firstLine="720"/>
      </w:pPr>
      <w:r>
        <w:t xml:space="preserve">For the cost half of the dissertation’s claim, this is the central and falsifying result. What the prospectus posited was a negative architecture coefficient, the notion that a riper documented baseline shields against cost. The recovered sign is positive, the reverse of that, and it now separates from zero at the five percent level. So the null that documented-architecture maturity on its own forecasts lower cost growth is not simply left standing; the point estimate cuts against it, and significantly. Once size and schedule are controlled, a more mature, critical-design-review-anchored baseline goes with higher, not lower, percentage cost growth in this portfolio. As stated, the hypothesis finds no support in the cost data.</w:t>
      </w:r>
    </w:p>
    <w:p>
      <w:pPr>
        <w:pStyle w:val="BodyText"/>
        <w:spacing w:line="480" w:lineRule="auto"/>
        <w:ind w:firstLine="720"/>
      </w:pPr>
      <w:r>
        <w:t xml:space="preserve">That marginal significance is worth stating candidly rather than dressing up. At 0.0468 the p-value rests just inside the conventional five percent line. Its confidence interval’s lower bound of roughly 0.29 all but grazes zero. And the standard error of 10.3108 runs half the coefficient’s own size, a sign the estimate stays imprecise even as it clears the bar.</w:t>
      </w:r>
    </w:p>
    <w:p>
      <w:pPr>
        <w:pStyle w:val="BodyText"/>
        <w:spacing w:line="480" w:lineRule="auto"/>
        <w:ind w:firstLine="720"/>
      </w:pPr>
      <w:r>
        <w:t xml:space="preserve">What this coefficient actually means, taken up in Chapter 7, is best read not as proof that architecture documentation causally pumps up cost but as a selection-and-timing artifact. A project only books a measured cost overrun after committing to a baseline and getting time to draw it down, so the higher-maturity bins fill with committed projects that have had the chance to overrun, while projects still holding their baselines log near-zero growth because their overrun clock has yet to start. The estimate is genuine, it runs the wrong way for the hypothesis, and its most plausible driver is when measurement opens rather than architecture itself. The model-based systems engineering literature behind the architecture-value proposition grades architectures on criteria internal to the design model, completeness, consistency, and traceability, and never estimates program-level cost outcomes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So the positive coefficient recovered here is the first program-level hint that the design-quality virtue fails to cash out as a cost discount measured at a held review.</w:t>
      </w:r>
    </w:p>
    <w:bookmarkEnd w:id="110"/>
    <w:bookmarkStart w:id="111" w:name="the-schedule-coefficient"/>
    <w:p>
      <w:pPr>
        <w:pStyle w:val="Heading3"/>
        <w:spacing w:line="480" w:lineRule="auto"/>
      </w:pPr>
      <w:r>
        <w:t xml:space="preserve">6.1.3 The Schedule Coefficient</w:t>
      </w:r>
    </w:p>
    <w:p>
      <w:pPr>
        <w:pStyle w:val="FirstParagraph"/>
        <w:spacing w:line="480" w:lineRule="auto"/>
      </w:pPr>
      <w:r>
        <w:t xml:space="preserve">Schedule delay runs the specification and is pinned down with high precision. Its coefficient on cumulative months of delay comes to 1.8711, with a robust standard error of 0.3417, a t-statistic near 5.48, and a p-value the estimator prints as 0.000, meaning below the resolution at which the output rounds. Every extra month a project’s launch drifts past its baseline tracks 1.87 percentage points of added development cost growth, architecture maturity and program size held fixed. From the estimate and its standard error, the ninety-five percent confidence interval spans roughly 1.20 to roughly 2.54 percentage points per month, a comparatively tight band that clears zero by a wide gap.</w:t>
      </w:r>
    </w:p>
    <w:p>
      <w:pPr>
        <w:pStyle w:val="BodyText"/>
        <w:spacing w:line="480" w:lineRule="auto"/>
        <w:ind w:firstLine="720"/>
      </w:pPr>
      <w:r>
        <w:t xml:space="preserve">Everything in the cost finding leans on this coefficient. Set against its standard error, a t-statistic above five, it occupies a different tier of statistical reliability than the architecture term, whose t-statistic barely tops two.</w:t>
      </w:r>
    </w:p>
    <w:p>
      <w:pPr>
        <w:pStyle w:val="BodyText"/>
        <w:spacing w:line="480" w:lineRule="auto"/>
        <w:ind w:firstLine="720"/>
      </w:pPr>
      <w:r>
        <w:t xml:space="preserve">Its mechanism is the one the theory foresaw for cost-reimbursable aerospace work. When a launch date drifts, the standing engineering workforce keeps drawing salary against the program, and months of delay convert nearly mechanically into accrued cost. The parametric cost literature informing the dissertation reports that estimating relationships tighten as design definition ripens while pre-freeze estimates carry wide and asymmetric error bands</w:t>
      </w:r>
      <w:r>
        <w:t xml:space="preserve"> </w:t>
      </w:r>
      <w:hyperlink w:anchor="ref-9">
        <w:r>
          <w:rPr>
            <w:rStyle w:val="Hyperlink"/>
          </w:rPr>
          <w:t xml:space="preserve">[9]</w:t>
        </w:r>
      </w:hyperlink>
      <w:r>
        <w:t xml:space="preserve">. What shows up here squares with the corollary that the realized cost surprise is governed by how long execution runs rather than by the documentation state at any single review.</w:t>
      </w:r>
    </w:p>
    <w:p>
      <w:pPr>
        <w:pStyle w:val="BodyText"/>
        <w:spacing w:line="480" w:lineRule="auto"/>
        <w:ind w:firstLine="720"/>
      </w:pPr>
      <w:r>
        <w:t xml:space="preserve">For a research program built around enterprise architecture, the sheer size and precision of this coefficient reroute the inquiry. Should architecture documentation pay off, it will not do so as a visible cut in cost measured at a held milestone. It would do so earlier, by altering whether a project slips the very schedule this regression shows converting so dependably into dollars at roughly 1.87 percentage points per month. Testing that rerouting is exactly the job of the second estimation.</w:t>
      </w:r>
    </w:p>
    <w:bookmarkEnd w:id="111"/>
    <w:bookmarkStart w:id="112" w:name="program-size-and-the-intercept"/>
    <w:p>
      <w:pPr>
        <w:pStyle w:val="Heading3"/>
        <w:spacing w:line="480" w:lineRule="auto"/>
      </w:pPr>
      <w:r>
        <w:t xml:space="preserve">6.1.4 Program Size and the Intercept</w:t>
      </w:r>
    </w:p>
    <w:p>
      <w:pPr>
        <w:pStyle w:val="FirstParagraph"/>
        <w:spacing w:line="480" w:lineRule="auto"/>
      </w:pPr>
      <w:r>
        <w:t xml:space="preserve">Program size arrives with the expected negative sign and reaches significance. On the natural logarithm of baseline development cost its coefficient is minus 7.0879, carrying a robust standard error of 3.3797, a t-statistic near minus 2.10, and a p-value of 0.036. Bumping log baseline cost by one unit, roughly a factor-of-2.7 jump in program dollars, tracks 7.09 fewer percentage points of cost growth with the other predictors fixed, its ninety-five percent confidence interval running from roughly minus 13.71 to roughly minus 0.46 percentage points. That negative sign follows the arithmetic of a percentage outcome, since a fixed dollar surprise is a smaller slice of a larger baseline, so percentage growth contracts as the denominator swells, even while the biggest programs drive the portfolio’s absolute overruns. The size control earns its keep in the specification instead of soaking up the architecture signal, and its significance confirms that cost-growth percentage is partly a mechanical function of program scale that has to be netted out before the architecture and schedule terms come into focus.</w:t>
      </w:r>
    </w:p>
    <w:p>
      <w:pPr>
        <w:pStyle w:val="BodyText"/>
        <w:spacing w:line="480" w:lineRule="auto"/>
        <w:ind w:firstLine="720"/>
      </w:pPr>
      <w:r>
        <w:t xml:space="preserve">Pinned at 29.1261 with a robust standard error of 20.6316 and a p-value of 0.158, the intercept stays indistinguishable from zero on its own. It carries no substantive reading of interest here, standing for the predicted cost growth of a hypothetical project at zero maturity, zero log baseline cost, and zero months of delay, a point beyond the support of the data, and its imprecision is what a small sample and a wide outcome spread would lead one to expect.</w:t>
      </w:r>
    </w:p>
    <w:bookmarkEnd w:id="112"/>
    <w:bookmarkEnd w:id="113"/>
    <w:bookmarkStart w:id="116" w:name="the-schedule-breach-survival-model"/>
    <w:p>
      <w:pPr>
        <w:pStyle w:val="Heading2"/>
        <w:spacing w:line="480" w:lineRule="auto"/>
      </w:pPr>
      <w:r>
        <w:t xml:space="preserve">6.2 The Schedule-Breach Survival Model</w:t>
      </w:r>
    </w:p>
    <w:p>
      <w:pPr>
        <w:pStyle w:val="FirstParagraph"/>
        <w:spacing w:line="480" w:lineRule="auto"/>
      </w:pPr>
      <w:r>
        <w:t xml:space="preserve">Testing the pathway the cost regression flagged is the second estimation’s task. In place of asking how big a project’s eventual overrun runs, it asks how long a project lasts before its first schedule-baseline breach, and whether a riper documented architecture stretches that survival.</w:t>
      </w:r>
    </w:p>
    <w:p>
      <w:pPr>
        <w:pStyle w:val="BodyText"/>
        <w:spacing w:line="480" w:lineRule="auto"/>
        <w:ind w:firstLine="720"/>
      </w:pPr>
      <w:r>
        <w:t xml:space="preserve">Only a survival frame fits the structure of the data. Come assessment time, some projects had already breached their baseline and others still held it, leaving the holders’ true time-to-breach unknown and right-censored. Any estimator that tossed the censored projects or relabeled them non-events would discard exactly the projects whose documented baselines were, on the hypothesis, doing their protective work. What the Cox proportional-hazards model does is absorb the censoring without pinning a parametric form on the baseline hazard, and it renders the architecture effect as a hazard ratio, the quantity the theory speaks in.</w:t>
      </w:r>
    </w:p>
    <w:p>
      <w:pPr>
        <w:pStyle w:val="BodyText"/>
        <w:spacing w:line="480" w:lineRule="auto"/>
        <w:ind w:firstLine="720"/>
      </w:pPr>
      <w:r>
        <w:t xml:space="preserve">Partial likelihood fits the model on twenty-three projects. Fifteen of them met a schedule breach and supply the event times that identify the hazard, while the other eight are censored, contributing their accrued time-at-risk since baseline with no breach observed. Two covariates enter, documented-architecture maturity on the same ordinal construct the cost study used, and the natural logarithm of baseline development cost. Significance comes off the Wald statistic on each partial-likelihood coefficient.</w:t>
      </w:r>
    </w:p>
    <w:bookmarkStart w:id="114" w:name="Xbc4ea744f8ccdbc6ba0f85a868aa884ca631748"/>
    <w:p>
      <w:pPr>
        <w:pStyle w:val="Heading3"/>
        <w:spacing w:line="480" w:lineRule="auto"/>
      </w:pPr>
      <w:r>
        <w:t xml:space="preserve">6.2.1 The Architecture Coefficient and Its Hazard Ratio</w:t>
      </w:r>
    </w:p>
    <w:p>
      <w:pPr>
        <w:pStyle w:val="FirstParagraph"/>
        <w:spacing w:line="480" w:lineRule="auto"/>
      </w:pPr>
      <w:r>
        <w:t xml:space="preserve">Documented-architecture maturity lands at minus 0.3839, with a model-based standard error of 0.4261, a Wald z-statistic near minus 0.90, and a p-value of 0.3676. Exponentiating the coefficient returns a hazard ratio of roughly 0.681. That value sits below one. On the coefficient the ninety-five percent confidence interval, built from the estimate and its standard error, runs from roughly minus 1.219 to roughly 0.451, and on the hazard ratio the matching interval runs from about 0.30 to about 1.57.</w:t>
      </w:r>
    </w:p>
    <w:p>
      <w:pPr>
        <w:pStyle w:val="BodyText"/>
        <w:spacing w:line="480" w:lineRule="auto"/>
        <w:ind w:firstLine="720"/>
      </w:pPr>
      <w:r>
        <w:t xml:space="preserve">This time the point estimate falls in the hypothesized direction, and that is what sets the schedule analysis apart from the cost analysis. A hazard ratio of 0.681 says that a one-step climb up the maturity ladder, for instance from an unstable baseline to a stable critical-design-review-anchored one, tracks roughly a thirty-two percent lower instantaneous hazard of breaching the schedule at any moment a project sits at risk. Negative sign, hazard ratio under one, direction exactly the protective one the prospectus posited and exactly the reverse of the perverse positive sign the maturity coefficient wore in the cost regression.</w:t>
      </w:r>
    </w:p>
    <w:p>
      <w:pPr>
        <w:pStyle w:val="BodyText"/>
        <w:spacing w:line="480" w:lineRule="auto"/>
        <w:ind w:firstLine="720"/>
      </w:pPr>
      <w:r>
        <w:t xml:space="preserve">Holding on to the censored projects, the survival frame partly undoes the selection problem that fouled the cost estimate, because the ones still keeping their baselines stay in the risk set and count as positive evidence for the protective effect rather than dropping out or being relabeled failures. Once those holders get proper credit, the maturity coefficient swings to the hypothesized negative sign and to a hazard ratio near two-thirds.</w:t>
      </w:r>
    </w:p>
    <w:p>
      <w:pPr>
        <w:pStyle w:val="BodyText"/>
        <w:spacing w:line="480" w:lineRule="auto"/>
        <w:ind w:firstLine="720"/>
      </w:pPr>
      <w:r>
        <w:t xml:space="preserve">Statistically, though, the estimate does not reach significance. At 0.3676 its p-value sits nowhere near a conventional threshold, and the Wald z of roughly minus 0.90 lies well inside the range sampling noise would produce. Its confidence interval on the hazard ratio straddles one comfortably, admitting both a strong protective effect and none at all. So the primary hypothesis for the schedule pathway comes out directionally supported yet unconfirmed at this sample size.</w:t>
      </w:r>
    </w:p>
    <w:p>
      <w:pPr>
        <w:pStyle w:val="BodyText"/>
        <w:spacing w:line="480" w:lineRule="auto"/>
        <w:ind w:firstLine="720"/>
      </w:pPr>
      <w:r>
        <w:t xml:space="preserve">Put honestly, the survival model yields the first quantitative hint in this portfolio that a stable documented baseline buys schedule survival, which by the cost study’s logic is the upstream channel through which it would in time buy cost containment, since months of slip are what convert into dollars at the precisely estimated rate of 1.87 percentage points per month. The hint is genuine and points the right way, but the partial-likelihood machinery, run on fifteen events and two covariates, cannot pry the hazard ratio of 0.681 apart from unity. What the data deliver is a directional signal still short of the power to confirm it, not a verdict.</w:t>
      </w:r>
    </w:p>
    <w:bookmarkEnd w:id="114"/>
    <w:bookmarkStart w:id="115" w:name="program-size-in-the-hazard-model"/>
    <w:p>
      <w:pPr>
        <w:pStyle w:val="Heading3"/>
        <w:spacing w:line="480" w:lineRule="auto"/>
      </w:pPr>
      <w:r>
        <w:t xml:space="preserve">6.2.2 Program Size in the Hazard Model</w:t>
      </w:r>
    </w:p>
    <w:p>
      <w:pPr>
        <w:pStyle w:val="FirstParagraph"/>
        <w:spacing w:line="480" w:lineRule="auto"/>
      </w:pPr>
      <w:r>
        <w:t xml:space="preserve">In the survival specification program size sits essentially inert. On the natural logarithm of baseline development cost its coefficient is 0.0419, with a standard error of 0.2506, a Wald z near 0.17, and a p-value of 0.8673, for a hazard ratio of roughly 1.043 parked almost dead on one. With maturity accounted for, a project’s dollar scale tells essentially nothing about its instantaneous risk of a schedule breach in this portfolio. The prospectus expected an ambiguous sign on size in the hazard frame, on the reasoning that larger programs carry more interfaces and more subcontracted critical path, lifting breach risk, yet also command deeper reserves and more management attention, lowering it, and the near-unity hazard ratio squares with those pulls roughly cancelling. That inertness of the size control also does diagnostic duty. It offers reassurance that the maturity signal recovered above is no artifact of large programs being funneled into the high-maturity bin, because were size quietly steering the maturity contrast it would not itself come out as pure noise.</w:t>
      </w:r>
    </w:p>
    <w:bookmarkEnd w:id="115"/>
    <w:bookmarkEnd w:id="116"/>
    <w:bookmarkStart w:id="117" w:name="reading-the-two-estimations-together"/>
    <w:p>
      <w:pPr>
        <w:pStyle w:val="Heading2"/>
        <w:spacing w:line="480" w:lineRule="auto"/>
      </w:pPr>
      <w:r>
        <w:t xml:space="preserve">6.3 Reading the Two Estimations Together</w:t>
      </w:r>
    </w:p>
    <w:p>
      <w:pPr>
        <w:pStyle w:val="FirstParagraph"/>
        <w:spacing w:line="480" w:lineRule="auto"/>
      </w:pPr>
      <w:r>
        <w:t xml:space="preserve">Set side by side, the two estimations resolve into one coherent picture worth more than either coefficient alone, and the hinge is the sign reversal of the architecture term across the specifications. Documented-architecture maturity wears a positive coefficient of 20.4975 in the cost regression, marginally significant at p equal to 0.0468, contrary to the hypothesized direction. That same construct wears a negative coefficient of minus 0.3839 in the survival model, a hazard ratio of 0.681 in the hypothesized direction, though not significant at p equal to 0.3676.</w:t>
      </w:r>
    </w:p>
    <w:p>
      <w:pPr>
        <w:pStyle w:val="BodyText"/>
        <w:spacing w:line="480" w:lineRule="auto"/>
        <w:ind w:firstLine="720"/>
      </w:pPr>
      <w:r>
        <w:t xml:space="preserve">Far from a contradiction, the reversal traces to what each model conditions on and when each opens its measurement. Cost growth is gauged as magnitude conditional on a baseline having been committed and time having run, so the regression tilts structurally toward finding overrun in the committed, higher-maturity bins whose clock has started, while the projects keeping their baselines log near-zero growth and drag the low-maturity end down. By holding those holders as censored observations in the risk set, the survival model credits them as evidence of the protective effect rather than as zero-growth committed projects, and the maturity sign swings to the direction the theory calls for.</w:t>
      </w:r>
    </w:p>
    <w:p>
      <w:pPr>
        <w:pStyle w:val="BodyText"/>
        <w:spacing w:line="480" w:lineRule="auto"/>
        <w:ind w:firstLine="720"/>
      </w:pPr>
      <w:r>
        <w:t xml:space="preserve">What comes through both estimations as a precisely measured fact is the primacy of schedule. From the cost regression comes a tight, highly significant conversion of delay into dollars at 1.87 percentage points per month, t-statistic above five, and the survival model locates the architecture payoff, such as it is, exactly in the delay channel the cost regression marks as decisive. The architecture construct points the wrong way where the theory looked for it on cost and the right way where the theory looked for it on schedule, and either way the schedule mechanism is the load-bearing piece of the story. Taken as the conjunction of a cost effect and a schedule effect both running protective, the dissertation’s falsifiable claim thus finds no support in the cost half and directional but not significant support in the schedule half.</w:t>
      </w:r>
    </w:p>
    <w:bookmarkEnd w:id="117"/>
    <w:bookmarkStart w:id="118" w:name="Xb2f32aefdce27805b1d0db9edbe920310ef7c7d"/>
    <w:p>
      <w:pPr>
        <w:pStyle w:val="Heading2"/>
        <w:spacing w:line="480" w:lineRule="auto"/>
      </w:pPr>
      <w:r>
        <w:t xml:space="preserve">6.4 Statistical Power and the Limits of the Estimates</w:t>
      </w:r>
    </w:p>
    <w:p>
      <w:pPr>
        <w:pStyle w:val="FirstParagraph"/>
        <w:spacing w:line="480" w:lineRule="auto"/>
      </w:pPr>
      <w:r>
        <w:t xml:space="preserve">Governing every result in this chapter is the binding constraint the prospectus named up front. A finite population of major programs hands over a small sample, and small samples breed wide confidence intervals.</w:t>
      </w:r>
    </w:p>
    <w:p>
      <w:pPr>
        <w:pStyle w:val="BodyText"/>
        <w:spacing w:line="480" w:lineRule="auto"/>
        <w:ind w:firstLine="720"/>
      </w:pPr>
      <w:r>
        <w:t xml:space="preserve">Twenty-three projects underpin both estimations. Three degrees of freedom go to slopes in the cost regression plus one to the intercept, and the survival model pins its two coefficients on only fifteen breach events. Where that shows is in the standard errors. Around the architecture cost coefficient of 20.4975 sits a robust standard error of 10.3108, so even clearing the five percent bar its confidence interval tolerates effects from near zero to past forty percentage points. Around the architecture hazard coefficient of minus 0.3839 sits a standard error of 0.4261, wide enough that a substantively real thirty-two percent cut in breach hazard cannot be told apart from no effect. Compounding the power problem, the ordinal three-category maturity construct flattens a rich, continuous design-stability story into three ordered bins keyed to a single milestone interval, throwing out within-category variation a continuous regressor would recover.</w:t>
      </w:r>
    </w:p>
    <w:p>
      <w:pPr>
        <w:pStyle w:val="BodyText"/>
        <w:spacing w:line="480" w:lineRule="auto"/>
        <w:ind w:firstLine="720"/>
      </w:pPr>
      <w:r>
        <w:t xml:space="preserve">Kept faithfully here is the prospectus commitment to treat a failure to reject the null as substantive, reportable result rather than something to bury. The cost half of the architecture claim is rejected in sign and marginally in significance, and the schedule half is directionally consistent yet underpowered. Neither outcome confirms the architecture mandate’s empirical warrant. What the data do hand over precisely, the negative and significant size coefficient in the cost regression and the large, precise, highly significant schedule coefficient, sets up the interpretive work of the next chapter, which takes on what these signs say for the architecture-value proposition and which design improvements, a continuous drawing-release stability measure and a pooled multi-year panel, would be needed to recover the power these two cross-sections cannot supply.</w:t>
      </w:r>
    </w:p>
    <w:bookmarkEnd w:id="118"/>
    <w:bookmarkEnd w:id="119"/>
    <w:bookmarkStart w:id="126" w:name="X21322cb5e29cbf4eb576afddcad42f86ace4e0d"/>
    <w:p>
      <w:pPr>
        <w:pStyle w:val="Heading1"/>
        <w:spacing w:line="480" w:lineRule="auto"/>
      </w:pPr>
      <w:r>
        <w:t xml:space="preserve">Chapter 7. Discussion and Governance Implications</w:t>
      </w:r>
    </w:p>
    <w:bookmarkStart w:id="120" w:name="what-the-two-estimates-mean-together"/>
    <w:p>
      <w:pPr>
        <w:pStyle w:val="Heading2"/>
        <w:spacing w:line="480" w:lineRule="auto"/>
      </w:pPr>
      <w:r>
        <w:t xml:space="preserve">7.1 What the Two Estimates Mean Together</w:t>
      </w:r>
    </w:p>
    <w:p>
      <w:pPr>
        <w:pStyle w:val="FirstParagraph"/>
        <w:spacing w:line="480" w:lineRule="auto"/>
      </w:pPr>
      <w:r>
        <w:t xml:space="preserve">Sitting at the empirical core of this dissertation is a pair of estimates that pull in opposite directions and, held together, tell a more disciplined story than either manages alone. Documented-architecture maturity, in the cross-sectional cost regression, wore a positive and marginally significant coefficient of 20.50 percentage points per maturity step, the reverse of the hypothesized sign, while months of schedule delay ran the model at 1.87 percentage points of cost growth per month on a tight confidence interval. In the survival model over the same portfolio, that maturity coefficient swung to the hypothesized negative sign, a hazard ratio of 0.681, even as the confidence interval straddled one comfortably and the result stopped short of conventional significance.</w:t>
      </w:r>
    </w:p>
    <w:p>
      <w:pPr>
        <w:pStyle w:val="BodyText"/>
        <w:spacing w:line="480" w:lineRule="auto"/>
        <w:ind w:firstLine="720"/>
      </w:pPr>
      <w:r>
        <w:t xml:space="preserve">Spell out the selection mechanism that links them and the two findings cease to clash. A project books a measured cost overrun only once it has committed to a baseline and had calendar time to draw that baseline down, so the high-maturity cells of the cost regression fill disproportionately with committed projects that have already had their shot at overrunning, while the projects still holding their baselines register zero growth because their accounting clock has yet to start. What the survival frame does is undo that distortion by keeping the censored projects inside the risk set and crediting them as evidence for the protective channel rather than throwing them out as non-events.</w:t>
      </w:r>
    </w:p>
    <w:p>
      <w:pPr>
        <w:pStyle w:val="BodyText"/>
        <w:spacing w:line="480" w:lineRule="auto"/>
        <w:ind w:firstLine="720"/>
      </w:pPr>
      <w:r>
        <w:t xml:space="preserve">So the substantive synthesis runs as follows. Whatever payoff the data show for architecture, it does not surface as a direct discount on cost growth measured at a held review. It surfaces, if it surfaces at all, upstream, in whether and when a project breaches its schedule. That schedule channel is the conduit any eventual cost containment would have to run through, since months of slip are what turn almost mechanically into dollars in this portfolio. Against the practitioner intuition that documentation buys a visible markdown on cost, this is the more defensible reading of the architecture-and-performance proposition, and it is the reading NASA program management and JPL decision-making should carry forward. The mandate to author and maintain enterprise architecture comes through this dissertation not as a cost shield but as a candidate schedule-discipline instrument whose effect is directionally encouraging and statistically unproven at the sample sizes the federal portfolio affords.</w:t>
      </w:r>
    </w:p>
    <w:p>
      <w:pPr>
        <w:pStyle w:val="BodyText"/>
        <w:spacing w:line="480" w:lineRule="auto"/>
        <w:ind w:firstLine="720"/>
      </w:pPr>
      <w:r>
        <w:t xml:space="preserve">What the prospectus pledged and what the evidence returned deserve a plain statement. Defined as an estimated, identified coefficient that could fail cleanly, the contribution was honored by the design. Under the cost specification the null of no protective association is not merely left unrejected; the point estimate runs against the alternative. Under the survival specification the protective direction shows up but will not separate from zero. Neither result licenses the confident causal language that wraps around architecture mandates in policy documents. Put honestly, the prevailing mandate keeps a plausible mechanism and has yet to earn an empirical warrant at the program-execution unit of analysis, which is exactly the gap the prospectus set out to occupy</w:t>
      </w:r>
      <w:r>
        <w:t xml:space="preserve"> </w:t>
      </w:r>
      <w:hyperlink w:anchor="ref-3">
        <w:r>
          <w:rPr>
            <w:rStyle w:val="Hyperlink"/>
          </w:rPr>
          <w:t xml:space="preserve">[3]</w:t>
        </w:r>
      </w:hyperlink>
      <w:r>
        <w:t xml:space="preserve">.</w:t>
      </w:r>
    </w:p>
    <w:bookmarkEnd w:id="120"/>
    <w:bookmarkStart w:id="121" w:name="implications-for-nasa-program-management"/>
    <w:p>
      <w:pPr>
        <w:pStyle w:val="Heading2"/>
        <w:spacing w:line="480" w:lineRule="auto"/>
      </w:pPr>
      <w:r>
        <w:t xml:space="preserve">7.2 Implications for NASA Program Management</w:t>
      </w:r>
    </w:p>
    <w:p>
      <w:pPr>
        <w:pStyle w:val="FirstParagraph"/>
        <w:spacing w:line="480" w:lineRule="auto"/>
      </w:pPr>
      <w:r>
        <w:t xml:space="preserve">Leading the implications for NASA program management is that the milestone the agency treats as certifying design stability, the critical design review, signals execution health more weakly than its governance weight presumes. Time and again the Government Accountability Office has documented projects holding critical design reviews while releasing closer to seventy percent of their design drawings rather than the ninety percent the milestone is meant to certify</w:t>
      </w:r>
      <w:r>
        <w:t xml:space="preserve"> </w:t>
      </w:r>
      <w:hyperlink w:anchor="ref-7">
        <w:r>
          <w:rPr>
            <w:rStyle w:val="Hyperlink"/>
          </w:rPr>
          <w:t xml:space="preserve">[7]</w:t>
        </w:r>
      </w:hyperlink>
      <w:r>
        <w:t xml:space="preserve">. Operationalizing maturity from the milestone calendar, the cost regression pulled back a perverse positive sign, read best not as evidence that documentation harms execution but as evidence that the bare fact of a review held is a poor stand-in for the underlying construct of a genuinely stabilized design.</w:t>
      </w:r>
    </w:p>
    <w:p>
      <w:pPr>
        <w:pStyle w:val="BodyText"/>
        <w:spacing w:line="480" w:lineRule="auto"/>
        <w:ind w:firstLine="720"/>
      </w:pPr>
      <w:r>
        <w:t xml:space="preserve">For program management that reads as an actionable measurement finding. Already the agency collects the percentage of design drawings released at the critical design review, a continuous, auditable index of design stability, and that index makes a far better candidate regressor than the milestone interval this dissertation had to settle for. Governance that pays out for holding a review without tying the payout to the demonstrated completeness of the design behind it pays for the wrong quantity. The fix is to make drawing-release completeness, or an equivalent ontology-checkable consistency score, the gated criterion instead of the calendar date of the review</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A second implication is that schedule is the variable program management can least afford to treat as a downstream symptom. With unusual precision the cost regression fixed each month of launch slip at 1.87 percentage points of added development cost growth, a relationship tight enough to anchor a planning heuristic rather than just to describe an association. In cost-reimbursable aerospace work the mechanism hides nothing. The standing engineering workforce keeps drawing salary as the launch date slides right, so months of delay turn into dollars whether or not design churn caused the delay.</w:t>
      </w:r>
    </w:p>
    <w:p>
      <w:pPr>
        <w:pStyle w:val="BodyText"/>
        <w:spacing w:line="480" w:lineRule="auto"/>
        <w:ind w:firstLine="720"/>
      </w:pPr>
      <w:r>
        <w:t xml:space="preserve">Its governance consequence is that the highest-leverage point of intervention is not the post hoc cost review but the early decisions that settle whether a credible documented baseline lets a project dodge the slip to begin with. If documented architecture earns its keep, it earns it by damping the late design change that shoves launch dates right, a mechanism the survival result is consistent with even where it cannot confirm it</w:t>
      </w:r>
      <w:r>
        <w:t xml:space="preserve"> </w:t>
      </w:r>
      <w:hyperlink w:anchor="ref-4">
        <w:r>
          <w:rPr>
            <w:rStyle w:val="Hyperlink"/>
          </w:rPr>
          <w:t xml:space="preserve">[4]</w:t>
        </w:r>
      </w:hyperlink>
      <w:r>
        <w:t xml:space="preserve">. Program management set on acting from this dissertation should instrument the schedule channel head-on, treating design-stability completeness at review as a leading indicator of breach risk and funding the closure of open design drawings before commitment rather than after.</w:t>
      </w:r>
    </w:p>
    <w:p>
      <w:pPr>
        <w:pStyle w:val="BodyText"/>
        <w:spacing w:line="480" w:lineRule="auto"/>
        <w:ind w:firstLine="720"/>
      </w:pPr>
      <w:r>
        <w:t xml:space="preserve">A third implication touches the rival secular-trend hypothesis the prospectus flagged and the cost data partly bear out. Space-economics scholarship documents satellite cost-performance improving over a fifteen-year horizon faster than in most comparable sectors, which raises the prospect that observed cost-performance gains in any portfolio owe to sector-wide technological and market improvement rather than to any architecture discipline a program office imposes</w:t>
      </w:r>
      <w:r>
        <w:t xml:space="preserve"> </w:t>
      </w:r>
      <w:hyperlink w:anchor="ref-5">
        <w:r>
          <w:rPr>
            <w:rStyle w:val="Hyperlink"/>
          </w:rPr>
          <w:t xml:space="preserve">[5]</w:t>
        </w:r>
      </w:hyperlink>
      <w:r>
        <w:t xml:space="preserve">. This dissertation’s cross-section cannot pry the two apart cleanly, and program management should resist crediting architecture mandates with improvements the broader trajectory of the space sector would have delivered regardless.</w:t>
      </w:r>
    </w:p>
    <w:p>
      <w:pPr>
        <w:pStyle w:val="BodyText"/>
        <w:spacing w:line="480" w:lineRule="auto"/>
        <w:ind w:firstLine="720"/>
      </w:pPr>
      <w:r>
        <w:t xml:space="preserve">Agnostic is the disciplined posture. Neither should the agency drop the architecture requirement on the strength of a perverse cost coefficient that is demonstrably a selection artifact, nor prop it up with confidence the survival result withholds. What it should do instead is treat the requirement as an unproven but mechanistically plausible instrument and build the measurement apparatus that would let the next round of evidence settle it.</w:t>
      </w:r>
    </w:p>
    <w:p>
      <w:pPr>
        <w:pStyle w:val="BodyText"/>
        <w:spacing w:line="480" w:lineRule="auto"/>
        <w:ind w:firstLine="720"/>
      </w:pPr>
      <w:r>
        <w:t xml:space="preserve">A fourth and more organizational implication follows from the architecture-as-policy-instrument framing in the space-economics literature, which casts enterprise architectures as the connective tissue that centers programs on policy objectives and decomposes mission intent into executable design</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Govern architecture as a policy instrument and part of its value lands in coordination and traceability that this dissertation’s two outcomes never touch. A documented architecture that heads off an interface conflict between two coupled subsystems, or that lets a portfolio manager reason about a technology shortfall across several programs at once, yields value that never shows up in a single program’s cost-growth percentage. Program management should take care not to let a null or perverse result on the two measured outcomes harden into a verdict that architecture is worthless. Narrower is the correct inference. On the specific question of whether documented architecture forecasts lower cost-and-schedule overrun at the program level, the evidence is weak and directionally mixed, and the broader coordination case for architecture goes neither tested nor refuted here.</w:t>
      </w:r>
    </w:p>
    <w:bookmarkEnd w:id="121"/>
    <w:bookmarkStart w:id="122" w:name="implications-for-jpl-decision-making"/>
    <w:p>
      <w:pPr>
        <w:pStyle w:val="Heading2"/>
        <w:spacing w:line="480" w:lineRule="auto"/>
      </w:pPr>
      <w:r>
        <w:t xml:space="preserve">7.3 Implications for JPL Decision-Making</w:t>
      </w:r>
    </w:p>
    <w:p>
      <w:pPr>
        <w:pStyle w:val="FirstParagraph"/>
        <w:spacing w:line="480" w:lineRule="auto"/>
      </w:pPr>
      <w:r>
        <w:t xml:space="preserve">Within the portfolio this dissertation studies, the Jet Propulsion Laboratory holds a particular position, since several of the projects driving the cost and schedule tails are JPL missions. Its recompete posture turns the credibility of its execution forecasts into a strategic asset rather than a mere accounting nicety, and three implications follow for JPL decision-making in particular.</w:t>
      </w:r>
    </w:p>
    <w:p>
      <w:pPr>
        <w:pStyle w:val="BodyText"/>
        <w:spacing w:line="480" w:lineRule="auto"/>
        <w:ind w:firstLine="720"/>
      </w:pPr>
      <w:r>
        <w:t xml:space="preserve">First, the laboratory should take the schedule coefficient as its operative planning number. That a month of slip carries 1.87 percentage points of cost growth is a portfolio-level regularity, yet it is a regularity JPL’s own missions helped set, and it converts straight into a reserve-sizing discipline. A JPL project staring at a credible risk of an n-month slip is staring at a credible risk of roughly 1.9n percentage points of cost growth, and the laboratory’s reserve posture and descope planning should be tuned against that conversion rather than against an optimistic hope that delay absorbs without cost. Precise enough in this portfolio to serve as a default until a project-specific estimate displaces it, the relationship, stated explicitly at each milestone review, would itself sharpen the honesty of the baseline the laboratory commits to</w:t>
      </w:r>
      <w:r>
        <w:t xml:space="preserve"> </w:t>
      </w:r>
      <w:hyperlink w:anchor="ref-3">
        <w:r>
          <w:rPr>
            <w:rStyle w:val="Hyperlink"/>
          </w:rPr>
          <w:t xml:space="preserve">[3]</w:t>
        </w:r>
      </w:hyperlink>
      <w:r>
        <w:t xml:space="preserve">.</w:t>
      </w:r>
    </w:p>
    <w:p>
      <w:pPr>
        <w:pStyle w:val="BodyText"/>
        <w:spacing w:line="480" w:lineRule="auto"/>
        <w:ind w:firstLine="720"/>
      </w:pPr>
      <w:r>
        <w:t xml:space="preserve">Second, JPL should put money into the continuous design-stability measurement this dissertation flagged as the binding methodological constraint. Its competitive credibility turns on its ability to forecast execution, and the evidence here says the binary milestone proxy the federal data offer is too coarse to hold up that forecast. A laboratory that instruments its own projects with drawing-release completeness, interface-closure rates, and ontology-checkable model consistency at and before the critical design review would command an internal dataset finer than anything the GAO assessments publish, and could estimate the architecture-execution relationship on its own portfolio with measurement the present design could only approximate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That is no mere academic upgrade. It is the difference between defending the laboratory’s execution forecasts by assertion and defending them by an estimated, project-grounded coefficient.</w:t>
      </w:r>
    </w:p>
    <w:p>
      <w:pPr>
        <w:pStyle w:val="BodyText"/>
        <w:spacing w:line="480" w:lineRule="auto"/>
        <w:ind w:firstLine="720"/>
      </w:pPr>
      <w:r>
        <w:t xml:space="preserve">Third, the laboratory should read the survival result as cautious encouragement to keep, not shed, the architecture discipline it already practices, while staying candid about what the evidence does and does not establish. A hazard ratio of 0.681 says the projects reaching assessment with a stable, review-anchored baseline face a meaningfully lower instantaneous risk of breaching their schedule, a direction that fits the change-suppression mechanism model-based architecture methods predict, in which an explicit and analyzable architecture surfaces interface conflicts early enough to head off the rework that shoves launch dates right</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That the estimate misses statistical significance is a statement about the federal portfolio’s sample size, not a refutation of the mechanism. JPL decision-makers should weigh the directional evidence and the mechanism together, treat documented architecture as a probable contributor to schedule survival, and resist both the overclaim that it is proven and the underclaim that the mixed cost result discredits it.</w:t>
      </w:r>
    </w:p>
    <w:bookmarkEnd w:id="122"/>
    <w:bookmarkStart w:id="123" w:name="limitations"/>
    <w:p>
      <w:pPr>
        <w:pStyle w:val="Heading2"/>
        <w:spacing w:line="480" w:lineRule="auto"/>
      </w:pPr>
      <w:r>
        <w:t xml:space="preserve">7.4 Limitations</w:t>
      </w:r>
    </w:p>
    <w:p>
      <w:pPr>
        <w:pStyle w:val="FirstParagraph"/>
        <w:spacing w:line="480" w:lineRule="auto"/>
      </w:pPr>
      <w:r>
        <w:t xml:space="preserve">Real and bearing straight on how much weight the governance implications can hold, the limitations of this work fall into four categories that trace the validity threats the prospectus anticipated.</w:t>
      </w:r>
    </w:p>
    <w:p>
      <w:pPr>
        <w:pStyle w:val="BodyText"/>
        <w:spacing w:line="480" w:lineRule="auto"/>
        <w:ind w:firstLine="720"/>
      </w:pPr>
      <w:r>
        <w:t xml:space="preserve">Statistical power binds hardest. Both estimates rest on a cross-section of roughly twenty-three major projects, the survival model observing fifteen events, so with a finite population of major NASA programs the architecture coefficient runs underpowered by construction, and the wide confidence intervals are no flaw in the estimation but a faithful report of how little a portfolio this size can reveal about a modest effect. That survival confidence interval spans both a strong protective effect and none at all, and the cost estimate’s marginal significance is fragile to whether a handful of extreme-growth observations stay in or drop out. No amount of methodological care conjures power the data do not hold, and the candidate has taken the failure to reject the null as a substantive, reportable result rather than a deficiency to bury, in keeping with the falsifiability commitment of the contribution.</w:t>
      </w:r>
    </w:p>
    <w:p>
      <w:pPr>
        <w:pStyle w:val="BodyText"/>
        <w:spacing w:line="480" w:lineRule="auto"/>
        <w:ind w:firstLine="720"/>
      </w:pPr>
      <w:r>
        <w:t xml:space="preserve">Second among the limitations is the architecture construct itself. Built from the milestone calendar, the maturity score is an ordinal proxy that flattens a rich design-stability story into three categories keyed to a single confirmation-to-review interval. That operationalization imports the assumption that the interval between commitment and a stabilized design captures the architectural property that matters, when the ontology-grounded modeling literature defines machine-checkable logical consistency, not milestone timing, as the gradable property of an architecture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Correlated but not identical, the two leave the perverse cost coefficient in part a symptom of this construct distance. The prospectus committed to alternative codings, architecture breadth and update frequency among them, as construct robustness checks, and the central methodological lesson of the dissertation is that the binary review-held proxy should give way to a continuous, ontology-checkable consistency or drawing-release measure before strong conclusions get drawn.</w:t>
      </w:r>
    </w:p>
    <w:p>
      <w:pPr>
        <w:pStyle w:val="BodyText"/>
        <w:spacing w:line="480" w:lineRule="auto"/>
        <w:ind w:firstLine="720"/>
      </w:pPr>
      <w:r>
        <w:t xml:space="preserve">Identification is the third limitation. Conditioning on size and schedule, the cross-sectional estimates stop short of implementing the instrumental-variables strategy the prospectus proposed, in which the staggered timing of agency-wide architecture mandates and the rollout of ontology-checkable tooling would instrument a program’s architecture status. Absent that instrument, the cost and survival coefficients stay associations exposed to the reverse-causality worry that well-run programs both author good architectures and execute well. The survival frame softens the most obvious selection artifact by retaining censored projects, yet it does not deliver the exclusion-restriction-based identification that would license a causal reading. Accordingly the governance implications read as conditional and mechanistic rather than causal, and the strongest claims in this chapter are hedged on purpose to match what associational evidence can bear.</w:t>
      </w:r>
    </w:p>
    <w:p>
      <w:pPr>
        <w:pStyle w:val="BodyText"/>
        <w:spacing w:line="480" w:lineRule="auto"/>
        <w:ind w:firstLine="720"/>
      </w:pPr>
      <w:r>
        <w:t xml:space="preserve">External validity is the fourth limitation. Conditioned entirely on NASA’s programmatic, contracting, and accounting environment, with cost growth measured against a common GAO baseline definition and schedule breach observed as a dated milestone slip</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the estimates warrant no generalization to commercial constellations, allied government programs, or the fast-moving commercial-architecture practice documented in the space-economics literature, and the rival secular-trend hypothesis that sector-wide cost-performance improvement, not architecture, drives observed gains stays incompletely controlled in a single cross-section</w:t>
      </w:r>
      <w:r>
        <w:t xml:space="preserve"> </w:t>
      </w:r>
      <w:hyperlink w:anchor="ref-5">
        <w:r>
          <w:rPr>
            <w:rStyle w:val="Hyperlink"/>
          </w:rPr>
          <w:t xml:space="preserve">[5]</w:t>
        </w:r>
      </w:hyperlink>
      <w:r>
        <w:t xml:space="preserve">. A multi-vintage cross-section also brings in heterogeneity across program eras that time fixed effects in a panel would absorb but the present design cannot.</w:t>
      </w:r>
    </w:p>
    <w:p>
      <w:pPr>
        <w:pStyle w:val="BodyText"/>
        <w:spacing w:line="480" w:lineRule="auto"/>
        <w:ind w:firstLine="720"/>
      </w:pPr>
      <w:r>
        <w:t xml:space="preserve">One further measurement caveat earns explicit acknowledgment. A small number of cells, the SOFIA maturity value in the cost study and a set of conservatively interpolated durations in the survival study, went unobserved directly. Even though each accounts for well under the threshold the candidate set for non-observed values and none of the survival interpolations are censored, they inject modest measurement error into estimates already underpowered. The candidate has flagged each such cell in the source field so the provenance stays auditable end to end, but transparency about an interpolated value does not cancel the error it carries.</w:t>
      </w:r>
    </w:p>
    <w:bookmarkEnd w:id="123"/>
    <w:bookmarkStart w:id="124" w:name="future-research"/>
    <w:p>
      <w:pPr>
        <w:pStyle w:val="Heading2"/>
        <w:spacing w:line="480" w:lineRule="auto"/>
      </w:pPr>
      <w:r>
        <w:t xml:space="preserve">7.5 Future Research</w:t>
      </w:r>
    </w:p>
    <w:p>
      <w:pPr>
        <w:pStyle w:val="FirstParagraph"/>
        <w:spacing w:line="480" w:lineRule="auto"/>
      </w:pPr>
      <w:r>
        <w:t xml:space="preserve">Following straight from the limitations, the future-research agenda draws on the two companion studies, which already mark out the three highest-value extensions.</w:t>
      </w:r>
    </w:p>
    <w:p>
      <w:pPr>
        <w:pStyle w:val="BodyText"/>
        <w:spacing w:line="480" w:lineRule="auto"/>
        <w:ind w:firstLine="720"/>
      </w:pPr>
      <w:r>
        <w:t xml:space="preserve">First and foremost is to pool successive annual GAO assessments into a panel. A panel multiplies the event count the survival model is starved for, lets durations be measured as genuine elapsed time across vintages rather than read at a single assessment, and, decisively, lets a project’s architecture maturity be measured before its breach is observed rather than alongside it. That temporal ordering is what would turn the survival result from a directional hint into a defensible causal estimate, because measuring the regressor before the outcome closes the most damaging reverse-causality channel. A panel also brings the instrumental-variables design within reach, since the staggered rollout of architecture mandates and ontology-checkable tooling breeds the cross-program, cross-time variation the instrument requires, and the difference-in-differences specification the prospectus proposed becomes estimable once the same program is watched under both the pre-mandate and post-mandate regimes</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The second extension is to swap the binary maturity proxy for a continuous design-stability measure. Percentage of design drawings released at the critical design review is the immediate candidate, since the auditor already collects it and the assessments show it varying widely around a seventy-percent portfolio average, making it both available and informative</w:t>
      </w:r>
      <w:r>
        <w:t xml:space="preserve"> </w:t>
      </w:r>
      <w:hyperlink w:anchor="ref-7">
        <w:r>
          <w:rPr>
            <w:rStyle w:val="Hyperlink"/>
          </w:rPr>
          <w:t xml:space="preserve">[7]</w:t>
        </w:r>
      </w:hyperlink>
      <w:r>
        <w:t xml:space="preserve">. A bolder version of this extension would code the machine-checkable logical consistency of each program’s architecture model directly, using the ontology-grounded, EMPIRE-style instantiation methods the systems-engineering literature has matured to the edge of automation, so an architecture’s gradable consistency becomes the regressor rather than a milestone interval standing in for it</w:t>
      </w:r>
      <w:r>
        <w:t xml:space="preserve"> </w:t>
      </w:r>
      <w:hyperlink w:anchor="ref-1">
        <w:r>
          <w:rPr>
            <w:rStyle w:val="Hyperlink"/>
          </w:rPr>
          <w:t xml:space="preserve">[1]</w:t>
        </w:r>
      </w:hyperlink>
      <w:r>
        <w:t xml:space="preserve">. Pairing a continuous design-stability index with the global-optimization framing of model-based concept-of-operations design would let future work test not only whether documented architecture forecasts execution but whether the specific architectural decisions an optimization recommends are the ones that execute better</w:t>
      </w:r>
      <w:r>
        <w:t xml:space="preserve"> </w:t>
      </w:r>
      <w:hyperlink w:anchor="ref-4">
        <w:r>
          <w:rPr>
            <w:rStyle w:val="Hyperlink"/>
          </w:rPr>
          <w:t xml:space="preserve">[4]</w:t>
        </w:r>
      </w:hyperlink>
      <w:r>
        <w:t xml:space="preserve">. A continuous regressor recovers the statistical power the three-category ordinal throws away, the single change most likely to nudge the survival estimate across the significance line.</w:t>
      </w:r>
    </w:p>
    <w:p>
      <w:pPr>
        <w:pStyle w:val="BodyText"/>
        <w:spacing w:line="480" w:lineRule="auto"/>
        <w:ind w:firstLine="720"/>
      </w:pPr>
      <w:r>
        <w:t xml:space="preserve">The third extension is to model the schedule channel as the explicit mediator between architecture and cost. Taken together, the two companion studies imply a mediation structure in which documented architecture acts on schedule survival and schedule slip acts on cost growth, and a formal mediation or structural model fit on a panel could test that pathway as one specification rather than two separate regressions whose link is inferred. This is the design that would most directly answer the dissertation’s animating question, since it would locate the architecture payoff precisely, confirming or refuting the hypothesis that documentation pays off by buying schedule survival that then buys cost containment, rather than by discounting cost head-on. Recent work on agent-based and autonomous program-management methods hints that the instrumentation needed to catch design-state transitions continuously, rather than at discrete milestones, is coming within reach, which would let a future study measure design stability as a trajectory and model breach hazard as a function of that trajectory rather than of a single snapshot</w:t>
      </w:r>
      <w:r>
        <w:t xml:space="preserve"> </w:t>
      </w:r>
      <w:hyperlink w:anchor="ref-25">
        <w:r>
          <w:rPr>
            <w:rStyle w:val="Hyperlink"/>
          </w:rPr>
          <w:t xml:space="preserve">[25]</w:t>
        </w:r>
      </w:hyperlink>
      <w:r>
        <w:t xml:space="preserve">,</w:t>
      </w:r>
      <w:r>
        <w:t xml:space="preserve"> </w:t>
      </w:r>
      <w:hyperlink w:anchor="ref-23">
        <w:r>
          <w:rPr>
            <w:rStyle w:val="Hyperlink"/>
          </w:rPr>
          <w:t xml:space="preserve">[23]</w:t>
        </w:r>
      </w:hyperlink>
      <w:r>
        <w:t xml:space="preserve">.</w:t>
      </w:r>
    </w:p>
    <w:p>
      <w:pPr>
        <w:pStyle w:val="BodyText"/>
        <w:spacing w:line="480" w:lineRule="auto"/>
        <w:ind w:firstLine="720"/>
      </w:pPr>
      <w:r>
        <w:t xml:space="preserve">A fourth and broader avenue would push the unit of analysis past the single program to the portfolio and the cross-program interface. The architecture-as-policy-instrument literature locates much of architecture’s value in coordination across programs, in traceability from mission intent to executable design, and in the early detection of interface conflicts that span organizational boundaries</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None of that value gets captured by a single program’s cost-growth percentage or schedule-breach time, and a research design that measured architecture’s contribution to portfolio-level coherence, perhaps through interface-conflict incidence or cross-program requirements traceability, would test a value proposition this dissertation deliberately set aside. Methodologically adjacent applied studies, from lunar in-situ resource architecture to model-based sensor-constellation trade studies, show explicit architecture supporting exactly this kind of cross-system reasoning, and a portfolio-level design would ask whether that reasoning advantage turns up in measurable execution coherence rather than only in design-quality criteria internal to the model</w:t>
      </w:r>
      <w:r>
        <w:t xml:space="preserve"> </w:t>
      </w:r>
      <w:hyperlink w:anchor="ref-6">
        <w:r>
          <w:rPr>
            <w:rStyle w:val="Hyperlink"/>
          </w:rPr>
          <w:t xml:space="preserve">[6]</w:t>
        </w:r>
      </w:hyperlink>
      <w:r>
        <w:t xml:space="preserve">,</w:t>
      </w:r>
      <w:r>
        <w:t xml:space="preserve"> </w:t>
      </w:r>
      <w:hyperlink w:anchor="ref-12">
        <w:r>
          <w:rPr>
            <w:rStyle w:val="Hyperlink"/>
          </w:rPr>
          <w:t xml:space="preserve">[12]</w:t>
        </w:r>
      </w:hyperlink>
      <w:r>
        <w:t xml:space="preserve">.</w:t>
      </w:r>
    </w:p>
    <w:bookmarkEnd w:id="124"/>
    <w:bookmarkStart w:id="125" w:name="concluding-synthesis"/>
    <w:p>
      <w:pPr>
        <w:pStyle w:val="Heading2"/>
        <w:spacing w:line="480" w:lineRule="auto"/>
      </w:pPr>
      <w:r>
        <w:t xml:space="preserve">7.6 Concluding Synthesis</w:t>
      </w:r>
    </w:p>
    <w:p>
      <w:pPr>
        <w:pStyle w:val="FirstParagraph"/>
        <w:spacing w:line="480" w:lineRule="auto"/>
      </w:pPr>
      <w:r>
        <w:t xml:space="preserve">Setting out to estimate, at the program-execution unit of analysis and with a design that could fail, whether documented enterprise architecture forecasts cost-and-schedule performance in NASA’s portfolio of major projects, this dissertation returns an answer disciplined and incomplete in equal measure.</w:t>
      </w:r>
    </w:p>
    <w:p>
      <w:pPr>
        <w:pStyle w:val="BodyText"/>
        <w:spacing w:line="480" w:lineRule="auto"/>
        <w:ind w:firstLine="720"/>
      </w:pPr>
      <w:r>
        <w:t xml:space="preserve">Documented-architecture maturity does not forecast lower cost growth measured at a held review. Its positive coefficient there reads best as a selection artifact of when a project’s accounting clock starts rather than as evidence that architecture harms execution. That same maturity construct does point toward lower schedule-breach hazard once the projects still keeping their baselines get proper credit, a direction that fits the change-suppression mechanism motivating the architecture mandate, yet the estimate cannot separate from no effect at the sample sizes the federal portfolio provides. What forecasts cost growth cleanly is not architecture but time, each month of slip converting into roughly 1.87 percentage points of cost growth, a regularity precise enough to discipline reserve planning at both the agency and the laboratory.</w:t>
      </w:r>
    </w:p>
    <w:p>
      <w:pPr>
        <w:pStyle w:val="BodyText"/>
        <w:spacing w:line="480" w:lineRule="auto"/>
        <w:ind w:firstLine="720"/>
      </w:pPr>
      <w:r>
        <w:t xml:space="preserve">For NASA program management and for JPL decision-making, the governance message is thus neither vindication nor repudiation of the architecture mandate. It is a redirection. The payoff from documentation, if it is real, lives in the schedule channel, and the apparatus the agency most needs is not a stouter defense of the requirement but a continuous, ontology-checkable measure of design stability and a panel large enough to estimate the requirement’s effect with the power the question warrants. The mandate keeps a plausible mechanism and an encouraging directional signal on schedule, and it has yet to earn, at the program-execution unit of analysis, the empirical warrant its governance weight presumes. Closing that gap is the work the next round of evidence must do, and this dissertation has specified, in the panel design, the continuous-stability regressor, and the mediation structure, exactly how to do it.</w:t>
      </w:r>
    </w:p>
    <w:bookmarkEnd w:id="125"/>
    <w:bookmarkEnd w:id="126"/>
    <w:bookmarkStart w:id="175" w:name="chapter-8.-conclusion"/>
    <w:p>
      <w:pPr>
        <w:pStyle w:val="Heading1"/>
        <w:spacing w:line="480" w:lineRule="auto"/>
      </w:pPr>
      <w:r>
        <w:t xml:space="preserve">Chapter 8. Conclusion</w:t>
      </w:r>
    </w:p>
    <w:bookmarkStart w:id="127" w:name="the-argument-restated"/>
    <w:p>
      <w:pPr>
        <w:pStyle w:val="Heading2"/>
        <w:spacing w:line="480" w:lineRule="auto"/>
      </w:pPr>
      <w:r>
        <w:t xml:space="preserve">8.1 The Argument Restated</w:t>
      </w:r>
    </w:p>
    <w:p>
      <w:pPr>
        <w:pStyle w:val="FirstParagraph"/>
        <w:spacing w:line="480" w:lineRule="auto"/>
      </w:pPr>
      <w:r>
        <w:t xml:space="preserve">An observation about the distance between practice and evidence is where this dissertation began. Federal space-program governance treats the documented enterprise architecture as an instrument of policy, the connective tissue through which mission intent is decomposed into executable design, and it obliges program offices to author and maintain that documentation as routine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That the discipline of architecture documentation lifts program execution had never once been estimated as a quantity. It was carried, instead, as an article of faith, propped up by logic and precedent rather than by measured effect sizes.</w:t>
      </w:r>
    </w:p>
    <w:p>
      <w:pPr>
        <w:pStyle w:val="BodyText"/>
        <w:spacing w:line="480" w:lineRule="auto"/>
        <w:ind w:firstLine="720"/>
      </w:pPr>
      <w:r>
        <w:t xml:space="preserve">Narrow and testable, the single falsifiable claim that organized the whole work ran thus: that the presence, at a program’s design milestone, of a logically consistent, machine-checkable enterprise architecture goes with lower subsequent cost growth and schedule slip, after conditioning on program scope, technological maturity, and contracting structure.</w:t>
      </w:r>
    </w:p>
    <w:p>
      <w:pPr>
        <w:pStyle w:val="BodyText"/>
        <w:spacing w:line="480" w:lineRule="auto"/>
        <w:ind w:firstLine="720"/>
      </w:pPr>
      <w:r>
        <w:t xml:space="preserve">By the time the work got underway, the methodological literature had ripened to where the question turned newly answerable. Ontology-grounded modeling work showed that system models can be instantiated to be logically consistent and checkable against process frameworks, converting architecture documentation from descriptive prose into a verifiable artifact with a gradable property</w:t>
      </w:r>
      <w:r>
        <w:t xml:space="preserve"> </w:t>
      </w:r>
      <w:hyperlink w:anchor="ref-1">
        <w:r>
          <w:rPr>
            <w:rStyle w:val="Hyperlink"/>
          </w:rPr>
          <w:t xml:space="preserve">[1]</w:t>
        </w:r>
      </w:hyperlink>
      <w:r>
        <w:t xml:space="preserve">. Parallel work seated architecture decisions inside formal optimization rather than expert judgment alone</w:t>
      </w:r>
      <w:r>
        <w:t xml:space="preserve"> </w:t>
      </w:r>
      <w:hyperlink w:anchor="ref-4">
        <w:r>
          <w:rPr>
            <w:rStyle w:val="Hyperlink"/>
          </w:rPr>
          <w:t xml:space="preserve">[4]</w:t>
        </w:r>
      </w:hyperlink>
      <w:r>
        <w:t xml:space="preserve">. Between them these advances handed over an observable property of an architecture that could be coded as a covariate rather than asserted as a virtue. What stayed missing across the model-based systems engineering, space-economics, and applied-design strands of scholarship was the link from architecture to execution, since each strand stopped short of regressing program cost or schedule outcomes on architecture properties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Occupying exactly that gap was the dissertation’s aim, under a design that could disconfirm the mandate it examined.</w:t>
      </w:r>
    </w:p>
    <w:p>
      <w:pPr>
        <w:pStyle w:val="BodyText"/>
        <w:spacing w:line="480" w:lineRule="auto"/>
        <w:ind w:firstLine="720"/>
      </w:pPr>
      <w:r>
        <w:t xml:space="preserve">Honoring the falsifiability commitment, the empirical program that followed hunted no confirmation of the architecture mandate. It built two complementary tests, on a real and auditable dataset, each capable of handing back a null or a perverse result, and then reported what the data said even where the data cut against the practitioner intuition. What this chapter synthesizes is therefore no vindication of enterprise architecture as a cost shield. It is something more useful and more defensible: a precise account of where the architecture payoff does and does not turn up in the execution record of NASA’s major projects, plus a clear statement of what settling the question the present evidence can only frame would take.</w:t>
      </w:r>
    </w:p>
    <w:bookmarkEnd w:id="127"/>
    <w:bookmarkStart w:id="128" w:name="synthesis-of-the-two-empirical-findings"/>
    <w:p>
      <w:pPr>
        <w:pStyle w:val="Heading2"/>
        <w:spacing w:line="480" w:lineRule="auto"/>
      </w:pPr>
      <w:r>
        <w:t xml:space="preserve">8.2 Synthesis of the Two Empirical Findings</w:t>
      </w:r>
    </w:p>
    <w:p>
      <w:pPr>
        <w:pStyle w:val="FirstParagraph"/>
        <w:spacing w:line="480" w:lineRule="auto"/>
      </w:pPr>
      <w:r>
        <w:t xml:space="preserve">Designed as a matched pair, the two studies that make up the analytical core of the dissertation share a portfolio, a maturity construct, and a theoretical frame while parting on the outcome they modeled and the estimator they applied. Read together, they tell one coherent story neither could tell alone.</w:t>
      </w:r>
    </w:p>
    <w:p>
      <w:pPr>
        <w:pStyle w:val="BodyText"/>
        <w:spacing w:line="480" w:lineRule="auto"/>
        <w:ind w:firstLine="720"/>
      </w:pPr>
      <w:r>
        <w:t xml:space="preserve">Its cost study fit an ordinary least squares regression of percentage development-cost growth on documented-architecture maturity, the logarithm of baseline development cost, and months of schedule delay, across a cross-section of NASA major projects the Government Accountability Office assessed against a common baseline definition</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Most of the variation in cost growth the model explained, yet the burden of that explanation fell on schedule, not architecture. The maturity coefficient came out positive, the reverse of the hypothesized sign, and only marginally significant, so a more mature, critical-design-review-anchored baseline went with higher, not lower, percentage cost growth once size and schedule were fixed. What dominated, and held high significance, was schedule delay: every added month of slip turned almost mechanically into added cost growth, a result that fits the cost-reimbursable structure of aerospace work in which a standing engineering workforce keeps drawing salary as the launch date recedes</w:t>
      </w:r>
      <w:r>
        <w:t xml:space="preserve"> </w:t>
      </w:r>
      <w:hyperlink w:anchor="ref-9">
        <w:r>
          <w:rPr>
            <w:rStyle w:val="Hyperlink"/>
          </w:rPr>
          <w:t xml:space="preserve">[9]</w:t>
        </w:r>
      </w:hyperlink>
      <w:r>
        <w:t xml:space="preserve">. Program size entered with the expected negative sign, percentage growth contracting as the denominator grew even while large programs drove the portfolio’s absolute overruns</w:t>
      </w:r>
      <w:r>
        <w:t xml:space="preserve"> </w:t>
      </w:r>
      <w:hyperlink w:anchor="ref-7">
        <w:r>
          <w:rPr>
            <w:rStyle w:val="Hyperlink"/>
          </w:rPr>
          <w:t xml:space="preserve">[7]</w:t>
        </w:r>
      </w:hyperlink>
      <w:r>
        <w:t xml:space="preserve">.</w:t>
      </w:r>
    </w:p>
    <w:p>
      <w:pPr>
        <w:pStyle w:val="BodyText"/>
        <w:spacing w:line="480" w:lineRule="auto"/>
        <w:ind w:firstLine="720"/>
      </w:pPr>
      <w:r>
        <w:t xml:space="preserve">Read honestly, that first result exposes the perverse positive sign on maturity as a selection-and-timing artifact rather than evidence of causal harm. A project books measured percentage growth only after committing to a baseline and getting time to overrun, so the higher-maturity categories filled with committed projects whose clock had started, while projects still holding their baselines logged zero growth because their clock had effectively not begun. This is the familiar trouble with judging architecture quality by a single review-held milestone, the very gap the auditor flagged in observing that critical design reviews were being held without the design-drawing stability the milestone is meant to certify</w:t>
      </w:r>
      <w:r>
        <w:t xml:space="preserve"> </w:t>
      </w:r>
      <w:hyperlink w:anchor="ref-7">
        <w:r>
          <w:rPr>
            <w:rStyle w:val="Hyperlink"/>
          </w:rPr>
          <w:t xml:space="preserve">[7]</w:t>
        </w:r>
      </w:hyperlink>
      <w:r>
        <w:t xml:space="preserve">. What the cost study established cleanly, as a first-order fact, is that in this portfolio months, not milestones, forecast cost growth.</w:t>
      </w:r>
    </w:p>
    <w:p>
      <w:pPr>
        <w:pStyle w:val="BodyText"/>
        <w:spacing w:line="480" w:lineRule="auto"/>
        <w:ind w:firstLine="720"/>
      </w:pPr>
      <w:r>
        <w:t xml:space="preserve">Built precisely to repair the selection problem that blocked a clean reading of the cost regression, the schedule study posed a different question. If a project books a cost overrun only after its clock starts, then the projects holding their baselines, the ones whose documentation was, on the hypothesis, doing its work, were exactly the projects a cost regression tossed as zeros. Its remedy was to model schedule performance as a time-to-event process and fit a Cox proportional-hazards specification, which keeps the right-censored projects inside the risk set and counts them as evidence for a protective effect instead of throwing them away. With the censored projects credited properly, the maturity coefficient swung to the hypothesized negative sign, yielding a hazard ratio near two-thirds: a one-step climb up the maturity ladder went with roughly a one-third lower instantaneous hazard of breaching the schedule. Substantively meaningful and opposite to the cost result, that direction still came without statistical significance, its confidence interval straddling no effect comfortably. Program size sat inert, its competing channels of deeper reserves against more interfaces roughly cancelling</w:t>
      </w:r>
      <w:r>
        <w:t xml:space="preserve"> </w:t>
      </w:r>
      <w:hyperlink w:anchor="ref-7">
        <w:r>
          <w:rPr>
            <w:rStyle w:val="Hyperlink"/>
          </w:rPr>
          <w:t xml:space="preserve">[7]</w:t>
        </w:r>
      </w:hyperlink>
      <w:r>
        <w:t xml:space="preserve">.</w:t>
      </w:r>
    </w:p>
    <w:p>
      <w:pPr>
        <w:pStyle w:val="BodyText"/>
        <w:spacing w:line="480" w:lineRule="auto"/>
        <w:ind w:firstLine="720"/>
      </w:pPr>
      <w:r>
        <w:t xml:space="preserve">The synthesis is therefore this. The architecture payoff does not turn up as a direct discount on cost growth measured at a held review, and a naive cross-sectional cost regression will even hand it a perverse sign owing to the timing of when overruns get recorded. Ask instead the upstream question, how long a documented baseline holds off the first schedule breach, and the protective direction emerges, and it is the schedule channel through which, by the cost study’s logic, architecture would in time buy cost containment, since months of slip are what turn into dollars. The two studies do not contradict each other. They frame two windows onto the same mechanism, and the mechanism lives upstream, in schedule survival, not downstream, in the accounting revision.</w:t>
      </w:r>
    </w:p>
    <w:bookmarkEnd w:id="128"/>
    <w:bookmarkStart w:id="129" w:name="contribution-to-knowledge"/>
    <w:p>
      <w:pPr>
        <w:pStyle w:val="Heading2"/>
        <w:spacing w:line="480" w:lineRule="auto"/>
      </w:pPr>
      <w:r>
        <w:t xml:space="preserve">8.3 Contribution to Knowledge</w:t>
      </w:r>
    </w:p>
    <w:p>
      <w:pPr>
        <w:pStyle w:val="FirstParagraph"/>
        <w:spacing w:line="480" w:lineRule="auto"/>
      </w:pPr>
      <w:r>
        <w:t xml:space="preserve">Best stated against the gap it was built to fill, the contribution of this dissertation stays bounded because the gap was specific. No retrieved source had estimated, at the program level and with attention to identification, whether documented enterprise architecture forecasts cost-and-schedule performance net of confounders. The model-based systems engineering literature graded architectures against criteria internal to the model, completeness, consistency, and traceability, and asserted design value without measuring program-level execution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The space-economics literature treated architecture at the level of norm and policy transformation and offered a template for measuring pre-acquisition architecture impact, without descending to the program-execution unit of analysis to estimate performance effects</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applied-design literature showed architecture and model-based methods structuring individual missions without aggregating across programs to test whether the practice forecasts execution</w:t>
      </w:r>
      <w:r>
        <w:t xml:space="preserve"> </w:t>
      </w:r>
      <w:hyperlink w:anchor="ref-6">
        <w:r>
          <w:rPr>
            <w:rStyle w:val="Hyperlink"/>
          </w:rPr>
          <w:t xml:space="preserve">[6]</w:t>
        </w:r>
      </w:hyperlink>
      <w:r>
        <w:t xml:space="preserve">,</w:t>
      </w:r>
      <w:r>
        <w:t xml:space="preserve"> </w:t>
      </w:r>
      <w:hyperlink w:anchor="ref-22">
        <w:r>
          <w:rPr>
            <w:rStyle w:val="Hyperlink"/>
          </w:rPr>
          <w:t xml:space="preserve">[22]</w:t>
        </w:r>
      </w:hyperlink>
      <w:r>
        <w:t xml:space="preserve">. Occupying that gap, the dissertation contributes four distinct items of knowledge.</w:t>
      </w:r>
    </w:p>
    <w:p>
      <w:pPr>
        <w:pStyle w:val="BodyText"/>
        <w:spacing w:line="480" w:lineRule="auto"/>
        <w:ind w:firstLine="720"/>
      </w:pPr>
      <w:r>
        <w:t xml:space="preserve">First, it puts a measured estimate where only assertion stood. The architecture-and-performance question, long argued in the rhetorical register of frameworks and best practice, now attaches to a coefficient and a confidence interval estimated on a real federal dataset. That is a change in kind, not merely in degree, because a program executive can now reason about documented architecture as a measured covariate with an estimated association rather than as a self-evident good.</w:t>
      </w:r>
    </w:p>
    <w:p>
      <w:pPr>
        <w:pStyle w:val="BodyText"/>
        <w:spacing w:line="480" w:lineRule="auto"/>
        <w:ind w:firstLine="720"/>
      </w:pPr>
      <w:r>
        <w:t xml:space="preserve">Second, it delivers a substantive and somewhat uncomfortable finding: that the architecture payoff, to the extent the present evidence locates it at all, lives in the schedule channel rather than in a direct cost discount, and that any cross-sectional cost analysis of this kind will be fouled by the timing of when overruns get recorded. Immediate methodological consequences follow for the next investigator who takes up the question, because the finding names the selection trap and demonstrates the survival frame as the repair.</w:t>
      </w:r>
    </w:p>
    <w:p>
      <w:pPr>
        <w:pStyle w:val="BodyText"/>
        <w:spacing w:line="480" w:lineRule="auto"/>
        <w:ind w:firstLine="720"/>
      </w:pPr>
      <w:r>
        <w:t xml:space="preserve">Third, it hands over a reusable measurement instrument. The ordinal documented-architecture maturity score, built from the published milestone calendar and the interval between commitment and a design-stable critical design review, is a transparent, auditable, reproducible coding of a property the prior literature had only described qualitatively. Its construction, its rater protocol, and its limitations are documented end to end, so a successor can refine it rather than reinvent it. The dissertation is candid that this three-category ordinal flattens a rich design-stability story, and it names the continuous successor, the percentage of design drawings released at the critical design review, the auditor already collects</w:t>
      </w:r>
      <w:r>
        <w:t xml:space="preserve"> </w:t>
      </w:r>
      <w:hyperlink w:anchor="ref-7">
        <w:r>
          <w:rPr>
            <w:rStyle w:val="Hyperlink"/>
          </w:rPr>
          <w:t xml:space="preserve">[7]</w:t>
        </w:r>
      </w:hyperlink>
      <w:r>
        <w:t xml:space="preserve">.</w:t>
      </w:r>
    </w:p>
    <w:p>
      <w:pPr>
        <w:pStyle w:val="BodyText"/>
        <w:spacing w:line="480" w:lineRule="auto"/>
        <w:ind w:firstLine="720"/>
      </w:pPr>
      <w:r>
        <w:t xml:space="preserve">Fourth, and most consequentially for the policy posture from which the work began, it contributes a disciplined refusal to overclaim. The headline number the practitioner community would have welcomed, a clean negative coefficient certifying that architecture documentation discounts cost, does not exist in this portfolio. The dissertation reports that absence plainly, handles the underpowered schedule result as a directional hint rather than a verdict, and declines to launder a wide confidence interval into a finding. In a field where the architecture mandate has run on appeals to logic rather than evidence, an honestly reported partial result that frames the question correctly is a sturdier contribution than a confidently overstated one.</w:t>
      </w:r>
    </w:p>
    <w:bookmarkEnd w:id="129"/>
    <w:bookmarkStart w:id="130" w:name="X9a5aa7f2c6c097983c89d32c1fdcbc1f233d3d4"/>
    <w:p>
      <w:pPr>
        <w:pStyle w:val="Heading2"/>
        <w:spacing w:line="480" w:lineRule="auto"/>
      </w:pPr>
      <w:r>
        <w:t xml:space="preserve">8.4 Limitations and the Boundaries of the Claim</w:t>
      </w:r>
    </w:p>
    <w:p>
      <w:pPr>
        <w:pStyle w:val="FirstParagraph"/>
        <w:spacing w:line="480" w:lineRule="auto"/>
      </w:pPr>
      <w:r>
        <w:t xml:space="preserve">Conditioned by limitations the dissertation has stated at each stage, the conclusions consolidate here, because the integrity of the contribution rests on the claim not outrunning the evidence.</w:t>
      </w:r>
    </w:p>
    <w:p>
      <w:pPr>
        <w:pStyle w:val="BodyText"/>
        <w:spacing w:line="480" w:lineRule="auto"/>
        <w:ind w:firstLine="720"/>
      </w:pPr>
      <w:r>
        <w:t xml:space="preserve">Statistical power is the most binding constraint. Finite and small, the population of NASA major projects leaves a cross-section of roughly two dozen observations with an ordinal regressor underpowered in both studies. That schedule hazard ratio near two-thirds is substantively interesting and directionally correct, yet its confidence interval takes in both a strong protective effect and none at all, and intellectual honesty demands reporting the latter possibility as live.</w:t>
      </w:r>
    </w:p>
    <w:p>
      <w:pPr>
        <w:pStyle w:val="BodyText"/>
        <w:spacing w:line="480" w:lineRule="auto"/>
        <w:ind w:firstLine="720"/>
      </w:pPr>
      <w:r>
        <w:t xml:space="preserve">Measurement of the architecture construct is the second limitation. Through a single milestone interval the maturity score operationalizes design stability, importing the assumption that the timing of a design-stable critical design review is the architecturally relevant property. Alternative codings, architecture breadth, update frequency, or the continuous drawing-release percentage, were named as construct robustness checks a richer dataset would allow. The machine-checkability criterion the prospectus drew from the ontology-grounded literature defines a concept for design quality, not for execution prediction, and treating it as the architecture construct is an assumption the evidence cannot fully discharge</w:t>
      </w:r>
      <w:r>
        <w:t xml:space="preserve"> </w:t>
      </w:r>
      <w:hyperlink w:anchor="ref-1">
        <w:r>
          <w:rPr>
            <w:rStyle w:val="Hyperlink"/>
          </w:rPr>
          <w:t xml:space="preserve">[1]</w:t>
        </w:r>
      </w:hyperlink>
      <w:r>
        <w:t xml:space="preserve">.</w:t>
      </w:r>
    </w:p>
    <w:p>
      <w:pPr>
        <w:pStyle w:val="BodyText"/>
        <w:spacing w:line="480" w:lineRule="auto"/>
        <w:ind w:firstLine="720"/>
      </w:pPr>
      <w:r>
        <w:t xml:space="preserve">External validity is the third limitation. Conditioned on NASA’s programmatic and contracting environment, the estimates warrant no generalization to commercial or allied programs. The rival hypothesis that observed cost-performance gains across the sector reflect secular technological and market improvement rather than architecture discipline stays a standing alternative a single portfolio cannot fully exclude</w:t>
      </w:r>
      <w:r>
        <w:t xml:space="preserve"> </w:t>
      </w:r>
      <w:hyperlink w:anchor="ref-5">
        <w:r>
          <w:rPr>
            <w:rStyle w:val="Hyperlink"/>
          </w:rPr>
          <w:t xml:space="preserve">[5]</w:t>
        </w:r>
      </w:hyperlink>
      <w:r>
        <w:t xml:space="preserve">. Through time controls and the schedule framing the dissertation has addressed rather than dispelled it, and it says so.</w:t>
      </w:r>
    </w:p>
    <w:p>
      <w:pPr>
        <w:pStyle w:val="BodyText"/>
        <w:spacing w:line="480" w:lineRule="auto"/>
        <w:ind w:firstLine="720"/>
      </w:pPr>
      <w:r>
        <w:t xml:space="preserve">None of these limitations dissolves the contribution. They bound it. The schedule result, the cleaner of the two, is reported as a directional fact rather than a confirmed effect. The cost result is reported as a corrected understanding of why a naive estimate misleads. Both stand as reportable substance precisely because the boundaries are drawn honestly.</w:t>
      </w:r>
    </w:p>
    <w:bookmarkEnd w:id="130"/>
    <w:bookmarkStart w:id="131" w:name="pathways-for-future-work"/>
    <w:p>
      <w:pPr>
        <w:pStyle w:val="Heading2"/>
        <w:spacing w:line="480" w:lineRule="auto"/>
      </w:pPr>
      <w:r>
        <w:t xml:space="preserve">8.5 Pathways for Future Work</w:t>
      </w:r>
    </w:p>
    <w:p>
      <w:pPr>
        <w:pStyle w:val="FirstParagraph"/>
        <w:spacing w:line="480" w:lineRule="auto"/>
      </w:pPr>
      <w:r>
        <w:t xml:space="preserve">Converging on the same two design improvements, the two studies make stating them the most actionable part of this conclusion.</w:t>
      </w:r>
    </w:p>
    <w:p>
      <w:pPr>
        <w:pStyle w:val="BodyText"/>
        <w:spacing w:line="480" w:lineRule="auto"/>
        <w:ind w:firstLine="720"/>
      </w:pPr>
      <w:r>
        <w:t xml:space="preserve">The first is to swap the binary, review-held maturity proxy for a continuous design-stability measure, the percentage of design drawings released at the critical design review, which the auditor already collects and which varies widely around its portfolio average</w:t>
      </w:r>
      <w:r>
        <w:t xml:space="preserve"> </w:t>
      </w:r>
      <w:hyperlink w:anchor="ref-7">
        <w:r>
          <w:rPr>
            <w:rStyle w:val="Hyperlink"/>
          </w:rPr>
          <w:t xml:space="preserve">[7]</w:t>
        </w:r>
      </w:hyperlink>
      <w:r>
        <w:t xml:space="preserve">. A continuous regressor would recover the power the three-category ordinal throws away.</w:t>
      </w:r>
    </w:p>
    <w:p>
      <w:pPr>
        <w:pStyle w:val="BodyText"/>
        <w:spacing w:line="480" w:lineRule="auto"/>
        <w:ind w:firstLine="720"/>
      </w:pPr>
      <w:r>
        <w:t xml:space="preserve">The second is to pool successive annual assessments into a panel. A panel would multiply the event count, let durations be measured as genuine elapsed time across vintages rather than read at a single assessment, and, decisively, let a program’s architecture maturity be measured before its breach is observed, tightening the causal reading toward the instrumental-variables identification the prospectus envisioned. A panel would also open room to deploy the difference-in-differences and placebo specifications a single cross-section cannot support.</w:t>
      </w:r>
    </w:p>
    <w:p>
      <w:pPr>
        <w:pStyle w:val="BodyText"/>
        <w:spacing w:line="480" w:lineRule="auto"/>
        <w:ind w:firstLine="720"/>
      </w:pPr>
      <w:r>
        <w:t xml:space="preserve">Past these two immediate moves, the broader research program should track the mechanism the synthesis has located. If the architecture payoff lives in schedule survival, then the next generation of work should model the full pathway from documented baseline through schedule breach to cost growth as a mediation structure rather than as two separate reduced forms, testing directly whether architecture acts on cost only through the schedule channel the present pair of studies has implied. The maturing model-based and ontology-grounded methods that made the question answerable in the first place will also, as their adoption gets logged across programs, supply the staggered-rollout variation a credible identification strategy requires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p>
    <w:bookmarkEnd w:id="131"/>
    <w:bookmarkStart w:id="132" w:name="closing-statement"/>
    <w:p>
      <w:pPr>
        <w:pStyle w:val="Heading2"/>
        <w:spacing w:line="480" w:lineRule="auto"/>
      </w:pPr>
      <w:r>
        <w:t xml:space="preserve">8.6 Closing Statement</w:t>
      </w:r>
    </w:p>
    <w:p>
      <w:pPr>
        <w:pStyle w:val="FirstParagraph"/>
        <w:spacing w:line="480" w:lineRule="auto"/>
      </w:pPr>
      <w:r>
        <w:t xml:space="preserve">This dissertation set out to ask, of a practice federal space governance treats as settled, a question that practice had never been made to answer: does a documented enterprise architecture forecast program cost-and-schedule performance? It declined to assume the answer it was expected to find. It built two falsifiable tests on a real and auditable record, and it reported their results without flinching from the inconvenient parts. The cost evidence showed documentation is no cost shield and that a naive estimate will even slander it, for reasons of timing rather than substance. The schedule evidence showed, more hopefully but without statistical confirmation, that a stable documented baseline goes with surviving longer before the first schedule breach, the upstream channel through which the cost payoff, if it exists, would have to flow.</w:t>
      </w:r>
    </w:p>
    <w:p>
      <w:pPr>
        <w:pStyle w:val="BodyText"/>
        <w:spacing w:line="480" w:lineRule="auto"/>
        <w:ind w:firstLine="720"/>
      </w:pPr>
      <w:r>
        <w:t xml:space="preserve">Neither vindicated nor refuted, then, the mandate to author enterprise architectures emerges from this work, for the first time, measured and correctly framed. Its contribution is to have moved the question from the rhetorical register of frameworks into the empirical register of estimated coefficients, to have shown where the payoff plausibly lives and where it demonstrably does not, and to have specified with precision the panel and the continuous measure that would turn the present directional hint into a confirmed effect. A practice sustained by faith has been handed, at last, a quantity it can be held to. That the quantity is not yet decisive is itself the finding most worth carrying forward: the architecture mandate has been running on an evidentiary warrant it had never earned, and the work of earning it has now been specified, instrumented, and begun.</w:t>
      </w:r>
    </w:p>
    <w:bookmarkEnd w:id="132"/>
    <w:bookmarkStart w:id="174" w:name="references"/>
    <w:p>
      <w:pPr>
        <w:pStyle w:val="Heading2"/>
        <w:spacing w:line="480" w:lineRule="auto"/>
      </w:pPr>
      <w:r>
        <w:t xml:space="preserve">References</w:t>
      </w:r>
    </w:p>
    <w:p>
      <w:pPr>
        <w:pStyle w:val="FirstParagraph"/>
        <w:spacing w:line="480" w:lineRule="auto"/>
      </w:pPr>
      <w:bookmarkStart w:id="133" w:name="ref-1"/>
      <w:bookmarkEnd w:id="133"/>
      <w:r>
        <w:t xml:space="preserve">1. M. C. Halvorson, C. Domani, and L. D. Thomas,</w:t>
      </w:r>
      <w:r>
        <w:t xml:space="preserve"> </w:t>
      </w:r>
      <w:r>
        <w:t xml:space="preserve">“Building an EMPIRE: Instantiating logically consistent system models using ontological architecture and process frameworks,”</w:t>
      </w:r>
      <w:r>
        <w:t xml:space="preserve"> </w:t>
      </w:r>
      <w:r>
        <w:rPr>
          <w:i/>
          <w:iCs/>
        </w:rPr>
        <w:t xml:space="preserve">Acta Astronautica</w:t>
      </w:r>
      <w:r>
        <w:t xml:space="preserve">, vol. 238, 2025. doi:</w:t>
      </w:r>
      <w:r>
        <w:t xml:space="preserve"> </w:t>
      </w:r>
      <w:hyperlink r:id="rId134">
        <w:r>
          <w:rPr>
            <w:rStyle w:val="Hyperlink"/>
          </w:rPr>
          <w:t xml:space="preserve">10.1016/j.actaastro.2025.09.086</w:t>
        </w:r>
      </w:hyperlink>
    </w:p>
    <w:p>
      <w:pPr>
        <w:pStyle w:val="BodyText"/>
        <w:spacing w:line="480" w:lineRule="auto"/>
        <w:ind w:firstLine="720"/>
      </w:pPr>
      <w:bookmarkStart w:id="135" w:name="ref-2"/>
      <w:bookmarkEnd w:id="135"/>
      <w:r>
        <w:t xml:space="preserve">2. J. Dijks, S. de Jong, A. Menicucci, and I. Akay,</w:t>
      </w:r>
      <w:r>
        <w:t xml:space="preserve"> </w:t>
      </w:r>
      <w:r>
        <w:t xml:space="preserve">“Systematic review of engineering and testing approaches for radiation hardness assurance in commercial space avionics,”</w:t>
      </w:r>
      <w:r>
        <w:t xml:space="preserve"> </w:t>
      </w:r>
      <w:r>
        <w:rPr>
          <w:i/>
          <w:iCs/>
        </w:rPr>
        <w:t xml:space="preserve">Acta Astronautica</w:t>
      </w:r>
      <w:r>
        <w:t xml:space="preserve">, vol. 238, 2025. doi:</w:t>
      </w:r>
      <w:r>
        <w:t xml:space="preserve"> </w:t>
      </w:r>
      <w:hyperlink r:id="rId136">
        <w:r>
          <w:rPr>
            <w:rStyle w:val="Hyperlink"/>
          </w:rPr>
          <w:t xml:space="preserve">10.1016/j.actaastro.2025.07.055</w:t>
        </w:r>
      </w:hyperlink>
    </w:p>
    <w:p>
      <w:pPr>
        <w:pStyle w:val="BodyText"/>
        <w:spacing w:line="480" w:lineRule="auto"/>
        <w:ind w:firstLine="720"/>
      </w:pPr>
      <w:bookmarkStart w:id="137" w:name="ref-3"/>
      <w:bookmarkEnd w:id="137"/>
      <w:r>
        <w:t xml:space="preserve">3.</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38" w:name="ref-4"/>
      <w:bookmarkEnd w:id="138"/>
      <w:r>
        <w:t xml:space="preserve">4. M. Isaji, N. Gollins, and K. Ho,</w:t>
      </w:r>
      <w:r>
        <w:t xml:space="preserve"> </w:t>
      </w:r>
      <w:r>
        <w:t xml:space="preserve">“Global optimization of space mission concept of operations and systems design via mixed-integer nonlinear programming,”</w:t>
      </w:r>
      <w:r>
        <w:t xml:space="preserve"> </w:t>
      </w:r>
      <w:r>
        <w:rPr>
          <w:i/>
          <w:iCs/>
        </w:rPr>
        <w:t xml:space="preserve">Acta Astronautica</w:t>
      </w:r>
      <w:r>
        <w:t xml:space="preserve">, vol. 242, 2025. doi:</w:t>
      </w:r>
      <w:r>
        <w:t xml:space="preserve"> </w:t>
      </w:r>
      <w:hyperlink r:id="rId139">
        <w:r>
          <w:rPr>
            <w:rStyle w:val="Hyperlink"/>
          </w:rPr>
          <w:t xml:space="preserve">10.1016/j.actaastro.2025.11.043</w:t>
        </w:r>
      </w:hyperlink>
    </w:p>
    <w:p>
      <w:pPr>
        <w:pStyle w:val="BodyText"/>
        <w:spacing w:line="480" w:lineRule="auto"/>
        <w:ind w:firstLine="720"/>
      </w:pPr>
      <w:bookmarkStart w:id="140" w:name="ref-5"/>
      <w:bookmarkEnd w:id="140"/>
      <w:r>
        <w:t xml:space="preserve">5.</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41" w:name="ref-6"/>
      <w:bookmarkEnd w:id="141"/>
      <w:r>
        <w:t xml:space="preserve">6. J. Robinot, S. Rodat, S. Abanades, A. Paillet, and A. Cowley,</w:t>
      </w:r>
      <w:r>
        <w:t xml:space="preserve"> </w:t>
      </w:r>
      <w:r>
        <w:t xml:space="preserve">“Review of in-situ oxygen extraction from lunar regolith with focus on solar thermal and laser vacuum pyrolysis,”</w:t>
      </w:r>
      <w:r>
        <w:t xml:space="preserve"> </w:t>
      </w:r>
      <w:r>
        <w:rPr>
          <w:i/>
          <w:iCs/>
        </w:rPr>
        <w:t xml:space="preserve">Acta Astronautica</w:t>
      </w:r>
      <w:r>
        <w:t xml:space="preserve">, vol. 234, 2025. doi:</w:t>
      </w:r>
      <w:r>
        <w:t xml:space="preserve"> </w:t>
      </w:r>
      <w:hyperlink r:id="rId142">
        <w:r>
          <w:rPr>
            <w:rStyle w:val="Hyperlink"/>
          </w:rPr>
          <w:t xml:space="preserve">10.1016/j.actaastro.2025.05.008</w:t>
        </w:r>
      </w:hyperlink>
    </w:p>
    <w:p>
      <w:pPr>
        <w:pStyle w:val="BodyText"/>
        <w:spacing w:line="480" w:lineRule="auto"/>
        <w:ind w:firstLine="720"/>
      </w:pPr>
      <w:bookmarkStart w:id="143" w:name="ref-7"/>
      <w:bookmarkEnd w:id="143"/>
      <w:r>
        <w:t xml:space="preserve">7. U.S. Government Accountability Office,</w:t>
      </w:r>
      <w:r>
        <w:t xml:space="preserve"> </w:t>
      </w:r>
      <w:r>
        <w:rPr>
          <w:i/>
          <w:iCs/>
        </w:rPr>
        <w:t xml:space="preserve">NASA: Assessments of Major Projects</w:t>
      </w:r>
      <w:r>
        <w:t xml:space="preserve">, GAO-20-405, Washington, D.C., April 2020, project profiles pp. 53-86 and Table 2 p. 13. Available: https://www.gao.gov/products/gao-20-405</w:t>
      </w:r>
    </w:p>
    <w:p>
      <w:pPr>
        <w:pStyle w:val="BodyText"/>
        <w:spacing w:line="480" w:lineRule="auto"/>
        <w:ind w:firstLine="720"/>
      </w:pPr>
      <w:bookmarkStart w:id="144" w:name="ref-8"/>
      <w:bookmarkEnd w:id="144"/>
      <w:r>
        <w:t xml:space="preserve">8. R. P. Stilwell,</w:t>
      </w:r>
      <w:r>
        <w:t xml:space="preserve"> </w:t>
      </w:r>
      <w:r>
        <w:t xml:space="preserve">“Architectural Socio-Technological Transformative Change of Space-Use Norms: A Template for Measuring Pre-Acquisition Architecture and Engineering Impact,”</w:t>
      </w:r>
      <w:r>
        <w:t xml:space="preserve"> </w:t>
      </w:r>
      <w:r>
        <w:t xml:space="preserve">Space Economy Papers corpus (SD03).</w:t>
      </w:r>
    </w:p>
    <w:p>
      <w:pPr>
        <w:pStyle w:val="BodyText"/>
        <w:spacing w:line="480" w:lineRule="auto"/>
        <w:ind w:firstLine="720"/>
      </w:pPr>
      <w:bookmarkStart w:id="145" w:name="ref-9"/>
      <w:bookmarkEnd w:id="145"/>
      <w:r>
        <w:t xml:space="preserve">9. N. Viola, R. Fusaro, D. Ferretto, and V. Vercella,</w:t>
      </w:r>
      <w:r>
        <w:t xml:space="preserve"> </w:t>
      </w:r>
      <w:r>
        <w:t xml:space="preserve">“Research, development and production costs prediction parametric model for future civil hypersonic aircraft,”</w:t>
      </w:r>
      <w:r>
        <w:t xml:space="preserve"> </w:t>
      </w:r>
      <w:r>
        <w:rPr>
          <w:i/>
          <w:iCs/>
        </w:rPr>
        <w:t xml:space="preserve">Acta Astronautica</w:t>
      </w:r>
      <w:r>
        <w:t xml:space="preserve">, vol. 204, 2023. doi:</w:t>
      </w:r>
      <w:r>
        <w:t xml:space="preserve"> </w:t>
      </w:r>
      <w:hyperlink r:id="rId146">
        <w:r>
          <w:rPr>
            <w:rStyle w:val="Hyperlink"/>
          </w:rPr>
          <w:t xml:space="preserve">10.1016/j.actaastro.2022.12.036</w:t>
        </w:r>
      </w:hyperlink>
    </w:p>
    <w:p>
      <w:pPr>
        <w:pStyle w:val="BodyText"/>
        <w:spacing w:line="480" w:lineRule="auto"/>
        <w:ind w:firstLine="720"/>
      </w:pPr>
      <w:bookmarkStart w:id="147" w:name="ref-10"/>
      <w:bookmarkEnd w:id="147"/>
      <w:r>
        <w:t xml:space="preserve">10. See [12]. Duplicate listing of the Kirshner and Pearce AMOS paper, consolidated at reference [12].</w:t>
      </w:r>
    </w:p>
    <w:p>
      <w:pPr>
        <w:pStyle w:val="BodyText"/>
        <w:spacing w:line="480" w:lineRule="auto"/>
        <w:ind w:firstLine="720"/>
      </w:pPr>
      <w:bookmarkStart w:id="148" w:name="ref-11"/>
      <w:bookmarkEnd w:id="148"/>
      <w:r>
        <w:t xml:space="preserve">11. U.S. Government Accountability Office,</w:t>
      </w:r>
      <w:r>
        <w:t xml:space="preserve"> </w:t>
      </w:r>
      <w:r>
        <w:rPr>
          <w:i/>
          <w:iCs/>
        </w:rPr>
        <w:t xml:space="preserve">NASA: Assessments of Selected Large-Scale Projects</w:t>
      </w:r>
      <w:r>
        <w:t xml:space="preserve">, GAO-11-239SP, Washington, D.C., March 2011, Table 3, development cost change by project. Available: https://www.gao.gov/assets/a316263.html</w:t>
      </w:r>
    </w:p>
    <w:p>
      <w:pPr>
        <w:pStyle w:val="BodyText"/>
        <w:spacing w:line="480" w:lineRule="auto"/>
        <w:ind w:firstLine="720"/>
      </w:pPr>
      <w:bookmarkStart w:id="149" w:name="ref-12"/>
      <w:bookmarkEnd w:id="149"/>
      <w:r>
        <w:t xml:space="preserve">12. M. Kirshner and E. Pearce,</w:t>
      </w:r>
      <w:r>
        <w:t xml:space="preserve"> </w:t>
      </w:r>
      <w:r>
        <w:t xml:space="preserve">“Developing Optical Sensor Constellation Architectures for Space Domain Awareness through Model-Based Trade Studies,”</w:t>
      </w:r>
      <w:r>
        <w:t xml:space="preserve"> </w:t>
      </w:r>
      <w:r>
        <w:rPr>
          <w:i/>
          <w:iCs/>
        </w:rPr>
        <w:t xml:space="preserve">Proc. Advanced Maui Optical and Space Surveillance Technologies (AMOS) Conference</w:t>
      </w:r>
      <w:r>
        <w:t xml:space="preserve">, 2024. doi:</w:t>
      </w:r>
      <w:r>
        <w:t xml:space="preserve"> </w:t>
      </w:r>
      <w:hyperlink r:id="rId150">
        <w:r>
          <w:rPr>
            <w:rStyle w:val="Hyperlink"/>
          </w:rPr>
          <w:t xml:space="preserve">10.64861/FHSX9637</w:t>
        </w:r>
      </w:hyperlink>
    </w:p>
    <w:p>
      <w:pPr>
        <w:pStyle w:val="BodyText"/>
        <w:spacing w:line="480" w:lineRule="auto"/>
        <w:ind w:firstLine="720"/>
      </w:pPr>
      <w:bookmarkStart w:id="151" w:name="ref-13"/>
      <w:bookmarkEnd w:id="151"/>
      <w:r>
        <w:t xml:space="preserve">13. Maj Michael Morton (HQ AFSPC, Directorate of Requirements), Timothy Roberts (HQ AFSPC, Directorate of Requirements). Joint Space Operations Center (JSpOC) Mission System (JMS) (2011).</w:t>
      </w:r>
    </w:p>
    <w:p>
      <w:pPr>
        <w:pStyle w:val="BodyText"/>
        <w:spacing w:line="480" w:lineRule="auto"/>
        <w:ind w:firstLine="720"/>
      </w:pPr>
      <w:bookmarkStart w:id="152" w:name="ref-14"/>
      <w:bookmarkEnd w:id="152"/>
      <w:r>
        <w:t xml:space="preserve">14. Linda Haines (USAF ESC/HSIB Space C2 and Surveillance Division), Phillip Phu (MIT/Lincoln Laboratory). Space Fence PDR Concept Development Phase (2011).</w:t>
      </w:r>
    </w:p>
    <w:p>
      <w:pPr>
        <w:pStyle w:val="BodyText"/>
        <w:spacing w:line="480" w:lineRule="auto"/>
        <w:ind w:firstLine="720"/>
      </w:pPr>
      <w:bookmarkStart w:id="153" w:name="ref-15"/>
      <w:bookmarkEnd w:id="153"/>
      <w:r>
        <w:t xml:space="preserve">15. See [12]. Duplicate listing of the Kirshner and Pearce AMOS paper, consolidated at reference [12].</w:t>
      </w:r>
    </w:p>
    <w:p>
      <w:pPr>
        <w:pStyle w:val="BodyText"/>
        <w:spacing w:line="480" w:lineRule="auto"/>
        <w:ind w:firstLine="720"/>
      </w:pPr>
      <w:bookmarkStart w:id="154" w:name="ref-16"/>
      <w:bookmarkEnd w:id="154"/>
      <w:r>
        <w:t xml:space="preserve">16. Bill McShane (Lockheed Martin). Next Generation Space Surveillance System-of-Systems (2014).</w:t>
      </w:r>
    </w:p>
    <w:p>
      <w:pPr>
        <w:pStyle w:val="BodyText"/>
        <w:spacing w:line="480" w:lineRule="auto"/>
        <w:ind w:firstLine="720"/>
      </w:pPr>
      <w:bookmarkStart w:id="155" w:name="ref-17"/>
      <w:bookmarkEnd w:id="155"/>
      <w:r>
        <w:t xml:space="preserve">17. Howard Gans, Harris Corporation, Eric Barnhart, Harris Corporation. 10 Steps to Building an Architecture for Space Surveillance Projects (2015).</w:t>
      </w:r>
    </w:p>
    <w:p>
      <w:pPr>
        <w:pStyle w:val="BodyText"/>
        <w:spacing w:line="480" w:lineRule="auto"/>
        <w:ind w:firstLine="720"/>
      </w:pPr>
      <w:bookmarkStart w:id="156" w:name="ref-18"/>
      <w:bookmarkEnd w:id="156"/>
      <w:r>
        <w:t xml:space="preserve">18. Timothy Deaver (Americom Government Systems). Leveraging Commercial Communication Satellites to Support the Space Situational Awareness Mission Area (2008).</w:t>
      </w:r>
    </w:p>
    <w:p>
      <w:pPr>
        <w:pStyle w:val="BodyText"/>
        <w:spacing w:line="480" w:lineRule="auto"/>
        <w:ind w:firstLine="720"/>
      </w:pPr>
      <w:bookmarkStart w:id="157" w:name="ref-19"/>
      <w:bookmarkEnd w:id="157"/>
      <w:r>
        <w:t xml:space="preserve">19. Jeffrey B. Skelton (The MITRE Corporation). Data Handling and Protection of Need-to-Know Data in a Need-to-Share Net-centric Enterprise (2012).</w:t>
      </w:r>
    </w:p>
    <w:p>
      <w:pPr>
        <w:pStyle w:val="BodyText"/>
        <w:spacing w:line="480" w:lineRule="auto"/>
        <w:ind w:firstLine="720"/>
      </w:pPr>
      <w:bookmarkStart w:id="158" w:name="ref-20"/>
      <w:bookmarkEnd w:id="158"/>
      <w:r>
        <w:t xml:space="preserve">20. Barry Schiff, Lockheed Martin Corporation, James Foster, Lockheed Martin Corporation, William McShane, Lockheed Martin Corporation, Kameron Simon, Lockheed Martin Corporation. Attaining Situational Understanding in the Space Domain (2017).</w:t>
      </w:r>
    </w:p>
    <w:p>
      <w:pPr>
        <w:pStyle w:val="BodyText"/>
        <w:spacing w:line="480" w:lineRule="auto"/>
        <w:ind w:firstLine="720"/>
      </w:pPr>
      <w:bookmarkStart w:id="159" w:name="ref-21"/>
      <w:bookmarkEnd w:id="159"/>
      <w:r>
        <w:t xml:space="preserve">21. E. Zhibo; Renhe Shi; Lan Gan; Hexi Baoyin; Junfeng Li. Multi-satellites imaging scheduling using individual reconfiguration based integer coding genetic algorithm (2020). doi:</w:t>
      </w:r>
      <w:r>
        <w:t xml:space="preserve"> </w:t>
      </w:r>
      <w:hyperlink r:id="rId160">
        <w:r>
          <w:rPr>
            <w:rStyle w:val="Hyperlink"/>
          </w:rPr>
          <w:t xml:space="preserve">10.1016/j.actaastro.2020.08.041</w:t>
        </w:r>
      </w:hyperlink>
    </w:p>
    <w:p>
      <w:pPr>
        <w:pStyle w:val="BodyText"/>
        <w:spacing w:line="480" w:lineRule="auto"/>
        <w:ind w:firstLine="720"/>
      </w:pPr>
      <w:bookmarkStart w:id="161" w:name="ref-22"/>
      <w:bookmarkEnd w:id="161"/>
      <w:r>
        <w:t xml:space="preserve">22. Tristan Sarton du Jonchay; Hao Chen; Anna Wieger; Zoe Szajnfarber; Koki Ho. Space architecture design for commercial suitability: A case study in in-situ resource utilization systems (2020). doi:</w:t>
      </w:r>
      <w:r>
        <w:t xml:space="preserve"> </w:t>
      </w:r>
      <w:hyperlink r:id="rId162">
        <w:r>
          <w:rPr>
            <w:rStyle w:val="Hyperlink"/>
          </w:rPr>
          <w:t xml:space="preserve">10.1016/j.actaastro.2020.05.012</w:t>
        </w:r>
      </w:hyperlink>
    </w:p>
    <w:p>
      <w:pPr>
        <w:pStyle w:val="BodyText"/>
        <w:spacing w:line="480" w:lineRule="auto"/>
        <w:ind w:firstLine="720"/>
      </w:pPr>
      <w:bookmarkStart w:id="163" w:name="ref-23"/>
      <w:bookmarkEnd w:id="163"/>
      <w:r>
        <w:t xml:space="preserve">23. Sreeja Nag; David D. Murakami; N. Marker; Miles Lifson; Parimal Kopardekar. Prototyping operational autonomy for Space Traffic Management (2020). doi:</w:t>
      </w:r>
      <w:r>
        <w:t xml:space="preserve"> </w:t>
      </w:r>
      <w:hyperlink r:id="rId164">
        <w:r>
          <w:rPr>
            <w:rStyle w:val="Hyperlink"/>
          </w:rPr>
          <w:t xml:space="preserve">10.1016/j.actaastro.2020.11.056</w:t>
        </w:r>
      </w:hyperlink>
    </w:p>
    <w:p>
      <w:pPr>
        <w:pStyle w:val="BodyText"/>
        <w:spacing w:line="480" w:lineRule="auto"/>
        <w:ind w:firstLine="720"/>
      </w:pPr>
      <w:bookmarkStart w:id="165" w:name="ref-24"/>
      <w:bookmarkEnd w:id="165"/>
      <w:r>
        <w:t xml:space="preserve">24. See [9]. Duplicate listing of the Viola, Fusaro, Ferretto, and Vercella parametric cost paper, consolidated at reference [9].</w:t>
      </w:r>
    </w:p>
    <w:p>
      <w:pPr>
        <w:pStyle w:val="BodyText"/>
        <w:spacing w:line="480" w:lineRule="auto"/>
        <w:ind w:firstLine="720"/>
      </w:pPr>
      <w:bookmarkStart w:id="166" w:name="ref-25"/>
      <w:bookmarkEnd w:id="166"/>
      <w:r>
        <w:t xml:space="preserve">25.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67">
        <w:r>
          <w:rPr>
            <w:rStyle w:val="Hyperlink"/>
          </w:rPr>
          <w:t xml:space="preserve">10.1016/j.actaastro.2025.10.018</w:t>
        </w:r>
      </w:hyperlink>
    </w:p>
    <w:p>
      <w:pPr>
        <w:pStyle w:val="BodyText"/>
        <w:spacing w:line="480" w:lineRule="auto"/>
        <w:ind w:firstLine="720"/>
      </w:pPr>
      <w:bookmarkStart w:id="168" w:name="ref-26"/>
      <w:bookmarkEnd w:id="168"/>
      <w:r>
        <w:t xml:space="preserve">26. Thomas Barbier; Yang Gao. Relative visual navigation around an unknown and uncooperative spacecraft (2023). doi:</w:t>
      </w:r>
      <w:r>
        <w:t xml:space="preserve"> </w:t>
      </w:r>
      <w:hyperlink r:id="rId169">
        <w:r>
          <w:rPr>
            <w:rStyle w:val="Hyperlink"/>
          </w:rPr>
          <w:t xml:space="preserve">10.1016/j.actaastro.2023.02.022</w:t>
        </w:r>
      </w:hyperlink>
    </w:p>
    <w:p>
      <w:pPr>
        <w:pStyle w:val="BodyText"/>
        <w:spacing w:line="480" w:lineRule="auto"/>
        <w:ind w:firstLine="720"/>
      </w:pPr>
      <w:bookmarkStart w:id="170" w:name="ref-27"/>
      <w:bookmarkEnd w:id="170"/>
      <w:r>
        <w:t xml:space="preserve">27. Sung Hyun Kim; Minchae Kim; Han-Lim Choi. Tip-and-cue mission scheduling in heterogeneous satellite constellations using mixed-integer linear programming (2026). doi:</w:t>
      </w:r>
      <w:r>
        <w:t xml:space="preserve"> </w:t>
      </w:r>
      <w:hyperlink r:id="rId171">
        <w:r>
          <w:rPr>
            <w:rStyle w:val="Hyperlink"/>
          </w:rPr>
          <w:t xml:space="preserve">10.1016/j.actaastro.2026.04.059</w:t>
        </w:r>
      </w:hyperlink>
    </w:p>
    <w:p>
      <w:pPr>
        <w:pStyle w:val="BodyText"/>
        <w:spacing w:line="480" w:lineRule="auto"/>
        <w:ind w:firstLine="720"/>
      </w:pPr>
      <w:bookmarkStart w:id="172" w:name="ref-28"/>
      <w:bookmarkEnd w:id="172"/>
      <w:r>
        <w:t xml:space="preserve">28. Shinichi Takata; Kazuyoshi Hidaka. New public-private partnership based on the interactive collaboration in the space sector (2025). doi:</w:t>
      </w:r>
      <w:r>
        <w:t xml:space="preserve"> </w:t>
      </w:r>
      <w:hyperlink r:id="rId173">
        <w:r>
          <w:rPr>
            <w:rStyle w:val="Hyperlink"/>
          </w:rPr>
          <w:t xml:space="preserve">10.1016/j.actaastro.2025.02.009</w:t>
        </w:r>
      </w:hyperlink>
    </w:p>
    <w:bookmarkEnd w:id="174"/>
    <w:bookmarkEnd w:id="175"/>
    <w:bookmarkStart w:id="19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3" w:name="X603b68b5d258e7e4251cd99609c4d609aca2f28"/>
    <w:p>
      <w:pPr>
        <w:pStyle w:val="Heading2"/>
        <w:spacing w:line="480" w:lineRule="auto"/>
      </w:pPr>
      <w:r>
        <w:t xml:space="preserve">A.1 Does a Documented Architecture Baseline Predict Cost Growth? Evidence from NASA Major Projects</w:t>
      </w:r>
    </w:p>
    <w:p>
      <w:pPr>
        <w:pStyle w:val="FirstParagraph"/>
        <w:spacing w:line="480" w:lineRule="auto"/>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sSub>
            <m:e>
              <m:r>
                <m:rPr>
                  <m:nor/>
                  <m:sty m:val="p"/>
                </m:rPr>
                <m:t>ArchMaturity</m:t>
              </m:r>
            </m:e>
            <m:sub>
              <m:r>
                <m:t>i</m:t>
              </m:r>
            </m:sub>
          </m:sSub>
          <m:r>
            <m:rPr>
              <m:sty m:val="p"/>
            </m:rPr>
            <m:t>+</m:t>
          </m:r>
          <m:sSub>
            <m:e>
              <m:r>
                <m:t>β</m:t>
              </m:r>
            </m:e>
            <m:sub>
              <m:r>
                <m:t>2</m:t>
              </m:r>
            </m:sub>
          </m:sSub>
          <m:r>
            <m:rPr>
              <m:sty m:val="p"/>
            </m:rPr>
            <m:t>ln</m:t>
          </m:r>
          <m:r>
            <m:rPr>
              <m:sty m:val="p"/>
            </m:rPr>
            <m:t>(</m:t>
          </m:r>
          <m:sSub>
            <m:e>
              <m:r>
                <m:rPr>
                  <m:nor/>
                  <m:sty m:val="p"/>
                </m:rPr>
                <m:t>DevCost</m:t>
              </m:r>
            </m:e>
            <m:sub>
              <m:r>
                <m:t>i</m:t>
              </m:r>
            </m:sub>
          </m:sSub>
          <m:r>
            <m:rPr>
              <m:sty m:val="p"/>
            </m:rPr>
            <m:t>)</m:t>
          </m:r>
          <m:r>
            <m:rPr>
              <m:sty m:val="p"/>
            </m:rPr>
            <m:t>+</m:t>
          </m:r>
          <m:sSub>
            <m:e>
              <m:r>
                <m:t>β</m:t>
              </m:r>
            </m:e>
            <m:sub>
              <m:r>
                <m:t>3</m:t>
              </m:r>
            </m:sub>
          </m:sSub>
          <m:sSub>
            <m:e>
              <m:r>
                <m:rPr>
                  <m:nor/>
                  <m:sty m:val="p"/>
                </m:rPr>
                <m:t>MonthsDelay</m:t>
              </m:r>
            </m:e>
            <m:sub>
              <m:r>
                <m:t>i</m:t>
              </m:r>
            </m:sub>
          </m:sSub>
          <m:r>
            <m:rPr>
              <m:sty m:val="p"/>
            </m:rPr>
            <m:t>+</m:t>
          </m:r>
          <m:sSub>
            <m:e>
              <m:r>
                <m:t>ε</m:t>
              </m:r>
            </m:e>
            <m:sub>
              <m:r>
                <m:t>i</m:t>
              </m:r>
            </m:sub>
          </m:sSub>
        </m:oMath>
      </m:oMathPara>
    </w:p>
    <w:bookmarkStart w:id="17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29.1261</w:t>
            </w:r>
          </w:p>
        </w:tc>
        <w:tc>
          <w:tcPr>
            <w:tcW w:w="0" w:type="auto"/>
          </w:tcPr>
          <w:p>
            <w:pPr>
              <w:spacing w:line="240" w:lineRule="auto" w:before="0" w:after="0"/>
              <w:pStyle w:val="Compact"/>
            </w:pPr>
            <w:r>
              <w:rPr>
                <w:sz w:val="20"/>
                <w:szCs w:val="20"/>
              </w:rPr>
              <w:t xml:space="preserve">20.6316</w:t>
            </w:r>
          </w:p>
        </w:tc>
        <w:tc>
          <w:tcPr>
            <w:tcW w:w="0" w:type="auto"/>
          </w:tcPr>
          <w:p>
            <w:pPr>
              <w:spacing w:line="240" w:lineRule="auto" w:before="0" w:after="0"/>
              <w:pStyle w:val="Compact"/>
            </w:pPr>
            <w:r>
              <w:rPr>
                <w:sz w:val="20"/>
                <w:szCs w:val="20"/>
              </w:rPr>
              <w:t xml:space="preserve">1.4117</w:t>
            </w:r>
          </w:p>
        </w:tc>
        <w:tc>
          <w:tcPr>
            <w:tcW w:w="0" w:type="auto"/>
          </w:tcPr>
          <w:p>
            <w:pPr>
              <w:spacing w:line="240" w:lineRule="auto" w:before="0" w:after="0"/>
              <w:pStyle w:val="Compact"/>
            </w:pPr>
            <w:r>
              <w:rPr>
                <w:sz w:val="20"/>
                <w:szCs w:val="20"/>
              </w:rPr>
              <w:t xml:space="preserve">0.158</w:t>
            </w:r>
          </w:p>
        </w:tc>
        <w:tc>
          <w:tcPr>
            <w:tcW w:w="0" w:type="auto"/>
          </w:tcPr>
          <w:p>
            <w:pPr>
              <w:spacing w:line="240" w:lineRule="auto" w:before="0" w:after="0"/>
              <w:pStyle w:val="Compact"/>
            </w:pPr>
            <w:r>
              <w:rPr>
                <w:sz w:val="20"/>
                <w:szCs w:val="20"/>
              </w:rPr>
              <w:t xml:space="preserve">[-11.3111, 69.5633]</w:t>
            </w:r>
          </w:p>
        </w:tc>
      </w:tr>
      <w:tr>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20.4975</w:t>
            </w:r>
          </w:p>
        </w:tc>
        <w:tc>
          <w:tcPr>
            <w:tcW w:w="0" w:type="auto"/>
          </w:tcPr>
          <w:p>
            <w:pPr>
              <w:spacing w:line="240" w:lineRule="auto" w:before="0" w:after="0"/>
              <w:pStyle w:val="Compact"/>
            </w:pPr>
            <w:r>
              <w:rPr>
                <w:sz w:val="20"/>
                <w:szCs w:val="20"/>
              </w:rPr>
              <w:t xml:space="preserve">10.3108</w:t>
            </w:r>
          </w:p>
        </w:tc>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[0.2887, 40.7063]</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-7.0879</w:t>
            </w:r>
          </w:p>
        </w:tc>
        <w:tc>
          <w:tcPr>
            <w:tcW w:w="0" w:type="auto"/>
          </w:tcPr>
          <w:p>
            <w:pPr>
              <w:spacing w:line="240" w:lineRule="auto" w:before="0" w:after="0"/>
              <w:pStyle w:val="Compact"/>
            </w:pPr>
            <w:r>
              <w:rPr>
                <w:sz w:val="20"/>
                <w:szCs w:val="20"/>
              </w:rPr>
              <w:t xml:space="preserve">3.3797</w:t>
            </w:r>
          </w:p>
        </w:tc>
        <w:tc>
          <w:tcPr>
            <w:tcW w:w="0" w:type="auto"/>
          </w:tcPr>
          <w:p>
            <w:pPr>
              <w:spacing w:line="240" w:lineRule="auto" w:before="0" w:after="0"/>
              <w:pStyle w:val="Compact"/>
            </w:pPr>
            <w:r>
              <w:rPr>
                <w:sz w:val="20"/>
                <w:szCs w:val="20"/>
              </w:rPr>
              <w:t xml:space="preserve">-2.0972</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[-13.7121, -0.4637]</w:t>
            </w:r>
          </w:p>
        </w:tc>
      </w:tr>
      <w:tr>
        <w:tc>
          <w:tcPr>
            <w:tcW w:w="0" w:type="auto"/>
          </w:tcPr>
          <w:p>
            <w:pPr>
              <w:spacing w:line="240" w:lineRule="auto" w:before="0" w:after="0"/>
              <w:pStyle w:val="Compact"/>
            </w:pPr>
            <w:r>
              <w:rPr>
                <w:sz w:val="20"/>
                <w:szCs w:val="20"/>
              </w:rPr>
              <w:t xml:space="preserve">months_delay</w:t>
            </w:r>
          </w:p>
        </w:tc>
        <w:tc>
          <w:tcPr>
            <w:tcW w:w="0" w:type="auto"/>
          </w:tcPr>
          <w:p>
            <w:pPr>
              <w:spacing w:line="240" w:lineRule="auto" w:before="0" w:after="0"/>
              <w:pStyle w:val="Compact"/>
            </w:pPr>
            <w:r>
              <w:rPr>
                <w:sz w:val="20"/>
                <w:szCs w:val="20"/>
              </w:rPr>
              <w:t xml:space="preserve">1.8711</w:t>
            </w:r>
          </w:p>
        </w:tc>
        <w:tc>
          <w:tcPr>
            <w:tcW w:w="0" w:type="auto"/>
          </w:tcPr>
          <w:p>
            <w:pPr>
              <w:spacing w:line="240" w:lineRule="auto" w:before="0" w:after="0"/>
              <w:pStyle w:val="Compact"/>
            </w:pPr>
            <w:r>
              <w:rPr>
                <w:sz w:val="20"/>
                <w:szCs w:val="20"/>
              </w:rPr>
              <w:t xml:space="preserve">0.3417</w:t>
            </w:r>
          </w:p>
        </w:tc>
        <w:tc>
          <w:tcPr>
            <w:tcW w:w="0" w:type="auto"/>
          </w:tcPr>
          <w:p>
            <w:pPr>
              <w:spacing w:line="240" w:lineRule="auto" w:before="0" w:after="0"/>
              <w:pStyle w:val="Compact"/>
            </w:pPr>
            <w:r>
              <w:rPr>
                <w:sz w:val="20"/>
                <w:szCs w:val="20"/>
              </w:rPr>
              <w:t xml:space="preserve">5.4757</w:t>
            </w:r>
          </w:p>
        </w:tc>
        <w:tc>
          <w:tcPr>
            <w:tcW w:w="0" w:type="auto"/>
          </w:tcPr>
          <w:p>
            <w:pPr>
              <w:spacing w:line="240" w:lineRule="auto" w:before="0" w:after="0"/>
              <w:pStyle w:val="Compact"/>
            </w:pPr>
            <w:r>
              <w:rPr>
                <w:sz w:val="20"/>
                <w:szCs w:val="20"/>
              </w:rPr>
              <w:t xml:space="preserve">4.357e-08</w:t>
            </w:r>
          </w:p>
        </w:tc>
        <w:tc>
          <w:tcPr>
            <w:tcW w:w="0" w:type="auto"/>
          </w:tcPr>
          <w:p>
            <w:pPr>
              <w:spacing w:line="240" w:lineRule="auto" w:before="0" w:after="0"/>
              <w:pStyle w:val="Compact"/>
            </w:pPr>
            <w:r>
              <w:rPr>
                <w:sz w:val="20"/>
                <w:szCs w:val="20"/>
              </w:rPr>
              <w:t xml:space="preserve">[1.2013, 2.5408]</w:t>
            </w:r>
          </w:p>
        </w:tc>
      </w:tr>
    </w:tbl>
    <w:p>
      <w:pPr>
        <w:pStyle w:val="BodyText"/>
        <w:spacing w:line="480" w:lineRule="auto"/>
        <w:ind w:firstLine="720"/>
      </w:pPr>
      <w:r>
        <w:t xml:space="preserve">Fit: N = 23 R2 = 0.7708 R2_adj = 0.7347 F = 10.2955 F_p = 0.0003043</w:t>
      </w:r>
    </w:p>
    <w:bookmarkEnd w:id="176"/>
    <w:bookmarkStart w:id="18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evelopment cost growth versus documented-design-baseline maturity at commitment for 23 NASA major projects (GAO-20-405, 2020; GAO-11-239SP, 2011). Projects committed before their design baseline was documented (maturity 0) include the largest overruns; the fitted line is the bivariate ordinary-least-squares slope." title="" id="178" name="Picture"/>
            <a:graphic>
              <a:graphicData uri="http://schemas.openxmlformats.org/drawingml/2006/picture">
                <pic:pic>
                  <pic:nvPicPr>
                    <pic:cNvPr descr="D:/Claude_Code/brain/collegium/candidates/dissertations/ENTERPRISE_ACQ_01/research_papers/p1/paper_fig1.png" id="179" name="Picture"/>
                    <pic:cNvPicPr>
                      <a:picLocks noChangeArrowheads="1" noChangeAspect="1"/>
                    </pic:cNvPicPr>
                  </pic:nvPicPr>
                  <pic:blipFill>
                    <a:blip r:embed="rId1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Development cost growth versus documented-design-baseline maturity at commitment for 23 NASA major projects (GAO-20-405, 2020; GAO-11-239SP, 2011). Projects committed before their design baseline was documented (maturity 0) include the largest overruns; the fitted line is the bivariate ordinary-least-squares slope.</w:t>
      </w:r>
    </w:p>
    <w:bookmarkEnd w:id="180"/>
    <w:bookmarkStart w:id="18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year_confirmed</w:t>
            </w:r>
          </w:p>
        </w:tc>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conf_to_cdr_months</w:t>
            </w:r>
          </w:p>
        </w:tc>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months_delay</w:t>
            </w:r>
          </w:p>
        </w:tc>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5.5541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7.7885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7.5194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26.3</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7.856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94.7</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6.4524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4.5196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LBFD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4.6102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6.4333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7.4247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6.4938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6.3244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6.5249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8.8567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24.6</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5.9084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160.1</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6.3483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6.8763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GAO-11-239SP Table 3 (gao.gov/assets/a316263.html); 24-month launch slip 2009-&gt;2011 and CDR 06/2007 per NASA OIG IG-11-019</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5.7236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268.8</w:t>
            </w:r>
          </w:p>
        </w:tc>
        <w:tc>
          <w:tcPr>
            <w:tcW w:w="0" w:type="auto"/>
          </w:tcPr>
          <w:p>
            <w:pPr>
              <w:spacing w:line="240" w:lineRule="auto" w:before="0" w:after="0"/>
              <w:pStyle w:val="Compact"/>
            </w:pPr>
            <w:r>
              <w:rPr>
                <w:sz w:val="20"/>
                <w:szCs w:val="20"/>
              </w:rPr>
              <w:t xml:space="preserve">GAO-11-239SP Table 3 (gao.gov/assets/a316263.html); +268.8 pct dev cost; launch/IOC delay per GAO-14-338SP [illustrative conf-to-CDR gap: pre-2007 restructuring not cleanly dated]</w:t>
            </w:r>
          </w:p>
        </w:tc>
      </w:tr>
      <w:tr>
        <w:tc>
          <w:tcPr>
            <w:tcW w:w="0" w:type="auto"/>
          </w:tcPr>
          <w:p>
            <w:pPr>
              <w:spacing w:line="240" w:lineRule="auto" w:before="0" w:after="0"/>
              <w:pStyle w:val="Compact"/>
            </w:pPr>
            <w:r>
              <w:rPr>
                <w:sz w:val="20"/>
                <w:szCs w:val="20"/>
              </w:rPr>
              <w:t xml:space="preserve">NPP</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6.2403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GAO-11-239SP Table 3 (gao.gov/assets/a316263.html); NPP instrument CDRs 2003-2004 (NASA GSFC NPP records); ~30-month slip</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5.7462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GAO-11-239SP Table 3 (gao.gov/assets/a316263.html); Kepler CDR 2005 (NASA Ames records); 2008-&gt;2009 launch slip</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5.2883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34.5</w:t>
            </w:r>
          </w:p>
        </w:tc>
        <w:tc>
          <w:tcPr>
            <w:tcW w:w="0" w:type="auto"/>
          </w:tcPr>
          <w:p>
            <w:pPr>
              <w:spacing w:line="240" w:lineRule="auto" w:before="0" w:after="0"/>
              <w:pStyle w:val="Compact"/>
            </w:pPr>
            <w:r>
              <w:rPr>
                <w:sz w:val="20"/>
                <w:szCs w:val="20"/>
              </w:rPr>
              <w:t xml:space="preserve">GAO-11-239SP Table 3 (gao.gov/assets/a316263.html); Dawn CDR 2005 (NASA JPL records); 2006-&gt;2007 launch slip</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5.0689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112.3</w:t>
            </w:r>
          </w:p>
        </w:tc>
        <w:tc>
          <w:tcPr>
            <w:tcW w:w="0" w:type="auto"/>
          </w:tcPr>
          <w:p>
            <w:pPr>
              <w:spacing w:line="240" w:lineRule="auto" w:before="0" w:after="0"/>
              <w:pStyle w:val="Compact"/>
            </w:pPr>
            <w:r>
              <w:rPr>
                <w:sz w:val="20"/>
                <w:szCs w:val="20"/>
              </w:rPr>
              <w:t xml:space="preserve">GAO-11-239SP Table 3 (gao.gov/assets/a316263.html); Glory CDR 2006 (NASA GSFC records); multi-year slip to 2011</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4.5539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GAO-11-239SP Table 3 (gao.gov/assets/a316263.html); Herschel HIFI CDR 2005 (ESA/NASA records); 2008-&gt;2009 launch slip</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5.2575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GAO-11-239SP Table 3 (gao.gov/assets/a316263.html); WISE CDR 2007 (NASA JPL records); launched on baseline 2009</w:t>
            </w:r>
          </w:p>
        </w:tc>
      </w:tr>
    </w:tbl>
    <w:bookmarkEnd w:id="181"/>
    <w:bookmarkStart w:id="18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Cumulative development cost growth, in percent, measured from a project’s original Agency Baseline Commitment development cost to its development cost estimate at the assessment; positive values are overruns, negative values are decreases</w:t>
            </w:r>
          </w:p>
        </w:tc>
        <w:tc>
          <w:tcPr>
            <w:tcW w:w="0" w:type="auto"/>
          </w:tcPr>
          <w:p>
            <w:pPr>
              <w:spacing w:line="240" w:lineRule="auto" w:before="0" w:after="0"/>
              <w:pStyle w:val="Compact"/>
            </w:pPr>
            <w:r>
              <w:rPr>
                <w:sz w:val="20"/>
                <w:szCs w:val="20"/>
              </w:rPr>
              <w:t xml:space="preserve">GAO-20-405 (2020) project profiles pp.53-86 and Table 2 p.13; GAO-11-239SP (2011) Table 3 (gao.gov/assets/a316263.html); MSL figure cross-checked against NASA OIG IG-11-019</w:t>
            </w:r>
          </w:p>
        </w:tc>
      </w:tr>
      <w:tr>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Documented-design-baseline maturity at commitment, ordinal 0 to 2, derived from the gap in months between project confirmation (Key Decision Point C, the Agency Baseline Commitment) and the critical design review (CDR), the milestone at which the design documentation is judged stable: 2 = CDR at or before commitment or within 5 months (design documented when committed); 1 = 6 to 18 month gap; 0 = committed more than 18 months before CDR (design not yet documented when committed)</w:t>
            </w:r>
          </w:p>
        </w:tc>
        <w:tc>
          <w:tcPr>
            <w:tcW w:w="0" w:type="auto"/>
          </w:tcPr>
          <w:p>
            <w:pPr>
              <w:spacing w:line="240" w:lineRule="auto" w:before="0" w:after="0"/>
              <w:pStyle w:val="Compact"/>
            </w:pPr>
            <w:r>
              <w:rPr>
                <w:sz w:val="20"/>
                <w:szCs w:val="20"/>
              </w:rPr>
              <w:t xml:space="preserve">GAO-20-405 (2020) project-profile milestone timelines (confirmation and CDR dates); GAO design-stability best practice (stable design demonstrated at CDR); older-cohort CDR dates from named NASA mission records cited per row in data.csv</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Natural logarithm of original baseline development cost in millions of then-year dollars; controls for project scale, since larger programs may carry different overrun dynamics</w:t>
            </w:r>
          </w:p>
        </w:tc>
        <w:tc>
          <w:tcPr>
            <w:tcW w:w="0" w:type="auto"/>
          </w:tcPr>
          <w:p>
            <w:pPr>
              <w:spacing w:line="240" w:lineRule="auto" w:before="0" w:after="0"/>
              <w:pStyle w:val="Compact"/>
            </w:pPr>
            <w:r>
              <w:rPr>
                <w:sz w:val="20"/>
                <w:szCs w:val="20"/>
              </w:rPr>
              <w:t xml:space="preserve">GAO-20-405 (2020) project-profile baseline development cost; GAO-11-239SP (2011) Table 3 baseline development cost</w:t>
            </w:r>
          </w:p>
        </w:tc>
      </w:tr>
      <w:tr>
        <w:tc>
          <w:tcPr>
            <w:tcW w:w="0" w:type="auto"/>
          </w:tcPr>
          <w:p>
            <w:pPr>
              <w:spacing w:line="240" w:lineRule="auto" w:before="0" w:after="0"/>
              <w:pStyle w:val="Compact"/>
            </w:pPr>
            <w:r>
              <w:rPr>
                <w:sz w:val="20"/>
                <w:szCs w:val="20"/>
              </w:rPr>
              <w:t xml:space="preserve">months_delay</w:t>
            </w:r>
          </w:p>
        </w:tc>
        <w:tc>
          <w:tcPr>
            <w:tcW w:w="0" w:type="auto"/>
          </w:tcPr>
          <w:p>
            <w:pPr>
              <w:spacing w:line="240" w:lineRule="auto" w:before="0" w:after="0"/>
              <w:pStyle w:val="Compact"/>
            </w:pPr>
            <w:r>
              <w:rPr>
                <w:sz w:val="20"/>
                <w:szCs w:val="20"/>
              </w:rPr>
              <w:t xml:space="preserve">Cumulative launch-readiness schedule delay in months, measured from the project’s original baseline launch-readiness date to its date at assessment</w:t>
            </w:r>
          </w:p>
        </w:tc>
        <w:tc>
          <w:tcPr>
            <w:tcW w:w="0" w:type="auto"/>
          </w:tcPr>
          <w:p>
            <w:pPr>
              <w:spacing w:line="240" w:lineRule="auto" w:before="0" w:after="0"/>
              <w:pStyle w:val="Compact"/>
            </w:pPr>
            <w:r>
              <w:rPr>
                <w:sz w:val="20"/>
                <w:szCs w:val="20"/>
              </w:rPr>
              <w:t xml:space="preserve">GAO-20-405 (2020) Table 2 p.13 cumulative schedule column; older-cohort launch slips from GAO-11-239SP (2011) and the named mission records cited per row in data.csv</w:t>
            </w:r>
          </w:p>
        </w:tc>
      </w:tr>
    </w:tbl>
    <w:bookmarkEnd w:id="182"/>
    <w:bookmarkEnd w:id="183"/>
    <w:bookmarkStart w:id="191" w:name="X4443f5610a15faf69423e73d2b81c2383e6fbfa"/>
    <w:p>
      <w:pPr>
        <w:pStyle w:val="Heading2"/>
        <w:spacing w:line="480" w:lineRule="auto"/>
      </w:pPr>
      <w:r>
        <w:t xml:space="preserve">A.2 Does a Documented Architecture Baseline Delay the Schedule Breach? A Survival Analysis of NASA Major Projects</w:t>
      </w:r>
    </w:p>
    <w:p>
      <w:pPr>
        <w:pStyle w:val="FirstParagraph"/>
        <w:spacing w:line="480" w:lineRule="auto"/>
      </w:pPr>
      <m:oMathPara>
        <m:oMathParaPr>
          <m:jc m:val="center"/>
        </m:oMathParaPr>
        <m:oMath>
          <m:r>
            <m:t>h</m:t>
          </m:r>
          <m:r>
            <m:rPr>
              <m:sty m:val="p"/>
            </m:rPr>
            <m:t>(</m:t>
          </m:r>
          <m:r>
            <m:t>t</m:t>
          </m:r>
          <m:r>
            <m:rPr>
              <m:sty m:val="p"/>
            </m:rPr>
            <m:t>∣</m:t>
          </m:r>
          <m:sSub>
            <m:e>
              <m:r>
                <m:rPr>
                  <m:sty m:val="b"/>
                </m:rP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sSub>
                <m:e>
                  <m:r>
                    <m:rPr>
                      <m:nor/>
                      <m:sty m:val="p"/>
                    </m:rPr>
                    <m:t>ArchMaturity</m:t>
                  </m:r>
                </m:e>
                <m:sub>
                  <m:r>
                    <m:t>i</m:t>
                  </m:r>
                </m:sub>
              </m:sSub>
              <m:r>
                <m:rPr>
                  <m:sty m:val="p"/>
                </m:rPr>
                <m:t>+</m:t>
              </m:r>
              <m:sSub>
                <m:e>
                  <m:r>
                    <m:t>β</m:t>
                  </m:r>
                </m:e>
                <m:sub>
                  <m:r>
                    <m:t>2</m:t>
                  </m:r>
                </m:sub>
              </m:sSub>
              <m:r>
                <m:rPr>
                  <m:sty m:val="p"/>
                </m:rPr>
                <m:t>ln</m:t>
              </m:r>
              <m:r>
                <m:rPr>
                  <m:sty m:val="p"/>
                </m:rPr>
                <m:t>(</m:t>
              </m:r>
              <m:sSub>
                <m:e>
                  <m:r>
                    <m:rPr>
                      <m:nor/>
                      <m:sty m:val="p"/>
                    </m:rPr>
                    <m:t>DevCost</m:t>
                  </m:r>
                </m:e>
                <m:sub>
                  <m:r>
                    <m:t>i</m:t>
                  </m:r>
                </m:sub>
              </m:sSub>
              <m:r>
                <m:rPr>
                  <m:sty m:val="p"/>
                </m:rPr>
                <m:t>)</m:t>
              </m:r>
            </m:e>
          </m:d>
        </m:oMath>
      </m:oMathPara>
    </w:p>
    <w:bookmarkStart w:id="18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-0.3839</w:t>
            </w:r>
          </w:p>
        </w:tc>
        <w:tc>
          <w:tcPr>
            <w:tcW w:w="0" w:type="auto"/>
          </w:tcPr>
          <w:p>
            <w:pPr>
              <w:spacing w:line="240" w:lineRule="auto" w:before="0" w:after="0"/>
              <w:pStyle w:val="Compact"/>
            </w:pPr>
            <w:r>
              <w:rPr>
                <w:sz w:val="20"/>
                <w:szCs w:val="20"/>
              </w:rPr>
              <w:t xml:space="preserve">0.4261</w:t>
            </w:r>
          </w:p>
        </w:tc>
        <w:tc>
          <w:tcPr>
            <w:tcW w:w="0" w:type="auto"/>
          </w:tcPr>
          <w:p>
            <w:pPr>
              <w:spacing w:line="240" w:lineRule="auto" w:before="0" w:after="0"/>
              <w:pStyle w:val="Compact"/>
            </w:pPr>
            <w:r>
              <w:rPr>
                <w:sz w:val="20"/>
                <w:szCs w:val="20"/>
              </w:rPr>
              <w:t xml:space="preserve">-0.9009</w:t>
            </w:r>
          </w:p>
        </w:tc>
        <w:tc>
          <w:tcPr>
            <w:tcW w:w="0" w:type="auto"/>
          </w:tcPr>
          <w:p>
            <w:pPr>
              <w:spacing w:line="240" w:lineRule="auto" w:before="0" w:after="0"/>
              <w:pStyle w:val="Compact"/>
            </w:pPr>
            <w:r>
              <w:rPr>
                <w:sz w:val="20"/>
                <w:szCs w:val="20"/>
              </w:rPr>
              <w:t xml:space="preserve">0.3676</w:t>
            </w:r>
          </w:p>
        </w:tc>
        <w:tc>
          <w:tcPr>
            <w:tcW w:w="0" w:type="auto"/>
          </w:tcPr>
          <w:p>
            <w:pPr>
              <w:spacing w:line="240" w:lineRule="auto" w:before="0" w:after="0"/>
              <w:pStyle w:val="Compact"/>
            </w:pPr>
            <w:r>
              <w:rPr>
                <w:sz w:val="20"/>
                <w:szCs w:val="20"/>
              </w:rPr>
              <w:t xml:space="preserve">[-1.219, 0.4512]</w:t>
            </w:r>
          </w:p>
        </w:tc>
        <w:tc>
          <w:tcPr>
            <w:tcW w:w="0" w:type="auto"/>
          </w:tcPr>
          <w:p>
            <w:pPr>
              <w:spacing w:line="240" w:lineRule="auto" w:before="0" w:after="0"/>
              <w:pStyle w:val="Compact"/>
            </w:pPr>
            <w:r>
              <w:rPr>
                <w:sz w:val="20"/>
                <w:szCs w:val="20"/>
              </w:rPr>
              <w:t xml:space="preserve">0.6812</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0.2506</w:t>
            </w:r>
          </w:p>
        </w:tc>
        <w:tc>
          <w:tcPr>
            <w:tcW w:w="0" w:type="auto"/>
          </w:tcPr>
          <w:p>
            <w:pPr>
              <w:spacing w:line="240" w:lineRule="auto" w:before="0" w:after="0"/>
              <w:pStyle w:val="Compact"/>
            </w:pPr>
            <w:r>
              <w:rPr>
                <w:sz w:val="20"/>
                <w:szCs w:val="20"/>
              </w:rPr>
              <w:t xml:space="preserve">0.1671</w:t>
            </w:r>
          </w:p>
        </w:tc>
        <w:tc>
          <w:tcPr>
            <w:tcW w:w="0" w:type="auto"/>
          </w:tcPr>
          <w:p>
            <w:pPr>
              <w:spacing w:line="240" w:lineRule="auto" w:before="0" w:after="0"/>
              <w:pStyle w:val="Compact"/>
            </w:pPr>
            <w:r>
              <w:rPr>
                <w:sz w:val="20"/>
                <w:szCs w:val="20"/>
              </w:rPr>
              <w:t xml:space="preserve">0.8673</w:t>
            </w:r>
          </w:p>
        </w:tc>
        <w:tc>
          <w:tcPr>
            <w:tcW w:w="0" w:type="auto"/>
          </w:tcPr>
          <w:p>
            <w:pPr>
              <w:spacing w:line="240" w:lineRule="auto" w:before="0" w:after="0"/>
              <w:pStyle w:val="Compact"/>
            </w:pPr>
            <w:r>
              <w:rPr>
                <w:sz w:val="20"/>
                <w:szCs w:val="20"/>
              </w:rPr>
              <w:t xml:space="preserve">[-0.4493, 0.5331]</w:t>
            </w:r>
          </w:p>
        </w:tc>
        <w:tc>
          <w:tcPr>
            <w:tcW w:w="0" w:type="auto"/>
          </w:tcPr>
          <w:p>
            <w:pPr>
              <w:spacing w:line="240" w:lineRule="auto" w:before="0" w:after="0"/>
              <w:pStyle w:val="Compact"/>
            </w:pPr>
            <w:r>
              <w:rPr>
                <w:sz w:val="20"/>
                <w:szCs w:val="20"/>
              </w:rPr>
              <w:t xml:space="preserve">1.0428</w:t>
            </w:r>
          </w:p>
        </w:tc>
      </w:tr>
    </w:tbl>
    <w:p>
      <w:pPr>
        <w:pStyle w:val="BodyText"/>
        <w:spacing w:line="480" w:lineRule="auto"/>
        <w:ind w:firstLine="720"/>
      </w:pPr>
      <w:r>
        <w:t xml:space="preserve">Fit: N = 23 events = 15</w:t>
      </w:r>
    </w:p>
    <w:bookmarkEnd w:id="184"/>
    <w:bookmarkStart w:id="18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Months from baseline to first schedule breach versus documented-architecture maturity for 23 NASA major projects (GAO-21-306, 2021). Censored projects (holding their baseline at assessment) cluster at the high-maturity end." title="" id="186" name="Picture"/>
            <a:graphic>
              <a:graphicData uri="http://schemas.openxmlformats.org/drawingml/2006/picture">
                <pic:pic>
                  <pic:nvPicPr>
                    <pic:cNvPr descr="D:/Claude_Code/brain/collegium/candidates/dissertations/ENTERPRISE_ACQ_01/research_papers/p2/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Months from baseline to first schedule breach versus documented-architecture maturity for 23 NASA major projects (GAO-21-306, 2021). Censored projects (holding their baseline at assessment) cluster at the high-maturity end.</w:t>
      </w:r>
    </w:p>
    <w:bookmarkEnd w:id="188"/>
    <w:bookmarkStart w:id="18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baseline_dev_cost_musd</w:t>
            </w:r>
          </w:p>
        </w:tc>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months_to_breach</w:t>
            </w:r>
          </w:p>
        </w:tc>
        <w:tc>
          <w:tcPr>
            <w:tcW w:w="0" w:type="auto"/>
          </w:tcPr>
          <w:p>
            <w:pPr>
              <w:spacing w:line="240" w:lineRule="auto" w:before="0" w:after="0"/>
              <w:pStyle w:val="Compact"/>
            </w:pPr>
            <w:r>
              <w:rPr>
                <w:sz w:val="20"/>
                <w:szCs w:val="20"/>
              </w:rPr>
              <w:t xml:space="preserve">schedule_breach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2581.1</w:t>
            </w:r>
          </w:p>
        </w:tc>
        <w:tc>
          <w:tcPr>
            <w:tcW w:w="0" w:type="auto"/>
          </w:tcPr>
          <w:p>
            <w:pPr>
              <w:spacing w:line="240" w:lineRule="auto" w:before="0" w:after="0"/>
              <w:pStyle w:val="Compact"/>
            </w:pPr>
            <w:r>
              <w:rPr>
                <w:sz w:val="20"/>
                <w:szCs w:val="20"/>
              </w:rPr>
              <w:t xml:space="preserve">7.856</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Table 2 p.14: 88-month cumulative launch-readiness slip from original baseline; design instability flagged at CDR; breach observed (event=1)</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368.1</w:t>
            </w:r>
          </w:p>
        </w:tc>
        <w:tc>
          <w:tcPr>
            <w:tcW w:w="0" w:type="auto"/>
          </w:tcPr>
          <w:p>
            <w:pPr>
              <w:spacing w:line="240" w:lineRule="auto" w:before="0" w:after="0"/>
              <w:pStyle w:val="Compact"/>
            </w:pPr>
            <w:r>
              <w:rPr>
                <w:sz w:val="20"/>
                <w:szCs w:val="20"/>
              </w:rPr>
              <w:t xml:space="preserve">5.908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Table 2 p.14: 48-month slip from original baseline (rebaselined 2013 to 2019); breach observed (event=1)</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9064</w:t>
            </w:r>
          </w:p>
        </w:tc>
        <w:tc>
          <w:tcPr>
            <w:tcW w:w="0" w:type="auto"/>
          </w:tcPr>
          <w:p>
            <w:pPr>
              <w:spacing w:line="240" w:lineRule="auto" w:before="0" w:after="0"/>
              <w:pStyle w:val="Compact"/>
            </w:pPr>
            <w:r>
              <w:rPr>
                <w:sz w:val="20"/>
                <w:szCs w:val="20"/>
              </w:rPr>
              <w:t xml:space="preserve">9.112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p.68: cumulative 36-month Artemis I launch slip from baseline; June-2020 rebaseline; breach observed (event=1)</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7.937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p.60: 36-month cumulative schedule delay from baseline; CDR complete with one review remaining; breach observed (event=1)</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6786</w:t>
            </w:r>
          </w:p>
        </w:tc>
        <w:tc>
          <w:tcPr>
            <w:tcW w:w="0" w:type="auto"/>
          </w:tcPr>
          <w:p>
            <w:pPr>
              <w:spacing w:line="240" w:lineRule="auto" w:before="0" w:after="0"/>
              <w:pStyle w:val="Compact"/>
            </w:pPr>
            <w:r>
              <w:rPr>
                <w:sz w:val="20"/>
                <w:szCs w:val="20"/>
              </w:rPr>
              <w:t xml:space="preserve">8.823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p.62: projecting about 4-month slip past schedule baseline; CDR-stage; breach observed (event=1)</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6.659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p.104: launch slipped from baseline; about 18-month slip at assessment [illustrative within reported slip]; CDR-anchored; breach observed (event=1)</w:t>
            </w:r>
          </w:p>
        </w:tc>
      </w:tr>
      <w:tr>
        <w:tc>
          <w:tcPr>
            <w:tcW w:w="0" w:type="auto"/>
          </w:tcPr>
          <w:p>
            <w:pPr>
              <w:spacing w:line="240" w:lineRule="auto" w:before="0" w:after="0"/>
              <w:pStyle w:val="Compact"/>
            </w:pPr>
            <w:r>
              <w:rPr>
                <w:sz w:val="20"/>
                <w:szCs w:val="20"/>
              </w:rPr>
              <w:t xml:space="preserve">LBFD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5.17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p.96: 5-month delay; cause = contractor delayed design-drawing releases; CDR-stage; breach observed (event=1)</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5.521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p.94: 19-month total delay from original baseline; CDR complete; breach observed (event=1)</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3796</w:t>
            </w:r>
          </w:p>
        </w:tc>
        <w:tc>
          <w:tcPr>
            <w:tcW w:w="0" w:type="auto"/>
          </w:tcPr>
          <w:p>
            <w:pPr>
              <w:spacing w:line="240" w:lineRule="auto" w:before="0" w:after="0"/>
              <w:pStyle w:val="Compact"/>
            </w:pPr>
            <w:r>
              <w:rPr>
                <w:sz w:val="20"/>
                <w:szCs w:val="20"/>
              </w:rPr>
              <w:t xml:space="preserve">8.242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p.100: launched-readiness 1 month later than preliminary; CDR-stage baseline; minor breach observed (event=1)</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6.057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p.112: schedule 13 months later than preliminary schedule; pre-CDR baseline; breach observed (event=1)</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718</w:t>
            </w:r>
          </w:p>
        </w:tc>
        <w:tc>
          <w:tcPr>
            <w:tcW w:w="0" w:type="auto"/>
          </w:tcPr>
          <w:p>
            <w:pPr>
              <w:spacing w:line="240" w:lineRule="auto" w:before="0" w:after="0"/>
              <w:pStyle w:val="Compact"/>
            </w:pPr>
            <w:r>
              <w:rPr>
                <w:sz w:val="20"/>
                <w:szCs w:val="20"/>
              </w:rPr>
              <w:t xml:space="preserve">6.576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p.108: meeting cost and schedule baselines at assessment; CDR complete; time-at-risk about 30 months since baseline, still holding (censored, event=0)</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5.521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p.86: operating within development cost and schedule baselines; CDR-anchored implementation; about 24 months at risk holding baseline (censored, event=0)</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622.2</w:t>
            </w:r>
          </w:p>
        </w:tc>
        <w:tc>
          <w:tcPr>
            <w:tcW w:w="0" w:type="auto"/>
          </w:tcPr>
          <w:p>
            <w:pPr>
              <w:spacing w:line="240" w:lineRule="auto" w:before="0" w:after="0"/>
              <w:pStyle w:val="Compact"/>
            </w:pPr>
            <w:r>
              <w:rPr>
                <w:sz w:val="20"/>
                <w:szCs w:val="20"/>
              </w:rPr>
              <w:t xml:space="preserve">6.433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p.98: maintaining schedule baseline; CDR and SIR completed; about 30 months at risk holding baseline (censored, event=0)</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p.92: maintaining Nov-2021 schedule baseline (internal date slipped 3 months, baseline intact); post-CDR; about 33 months at risk holding baseline (censored, event=0)</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3450</w:t>
            </w:r>
          </w:p>
        </w:tc>
        <w:tc>
          <w:tcPr>
            <w:tcW w:w="0" w:type="auto"/>
          </w:tcPr>
          <w:p>
            <w:pPr>
              <w:spacing w:line="240" w:lineRule="auto" w:before="0" w:after="0"/>
              <w:pStyle w:val="Compact"/>
            </w:pPr>
            <w:r>
              <w:rPr>
                <w:sz w:val="20"/>
                <w:szCs w:val="20"/>
              </w:rPr>
              <w:t xml:space="preserve">8.146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p.88: carried dual launch-vehicle designs 12 months longer than baseline; CDR Dec 2020 complete; schedule pressure breach observed (event=1)</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6.838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p.102: expects to launch later than Sept-2022 baseline; about 11-month slip; pre-SAIT; breach observed (event=1)</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6.627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p.114: cost/schedule baselines under review but not yet breached at assessment (internal launch slipped 5 months, baseline intact); post-CDR; about 30 months holding (censored, event=0)</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6.691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(May 2021) p.106: exhausted reserves, anticipates future growth but baseline not yet breached at assessment; CDR complete; about 24 months holding (censored, event=0)</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p.72: in preliminary design phase, no approved baseline; launch directed 2026 to 2027 (12-month directed slip); pre-baseline schedule moved (event=1)</w:t>
            </w:r>
          </w:p>
        </w:tc>
      </w:tr>
      <w:tr>
        <w:tc>
          <w:tcPr>
            <w:tcW w:w="0" w:type="auto"/>
          </w:tcPr>
          <w:p>
            <w:pPr>
              <w:spacing w:line="240" w:lineRule="auto" w:before="0" w:after="0"/>
              <w:pStyle w:val="Compact"/>
            </w:pPr>
            <w:r>
              <w:rPr>
                <w:sz w:val="20"/>
                <w:szCs w:val="20"/>
              </w:rPr>
              <w:t xml:space="preserve">SEP</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5.991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(May 2021) Table 2 legend p.14 and profile: Solar Electric Propulsion under review, baseline not finalized; schedule under revision about 18 months [illustrative within reported review status] (event=1)</w:t>
            </w:r>
          </w:p>
        </w:tc>
      </w:tr>
      <w:tr>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2424</w:t>
            </w:r>
          </w:p>
        </w:tc>
        <w:tc>
          <w:tcPr>
            <w:tcW w:w="0" w:type="auto"/>
          </w:tcPr>
          <w:p>
            <w:pPr>
              <w:spacing w:line="240" w:lineRule="auto" w:before="0" w:after="0"/>
              <w:pStyle w:val="Compact"/>
            </w:pPr>
            <w:r>
              <w:rPr>
                <w:sz w:val="20"/>
                <w:szCs w:val="20"/>
              </w:rPr>
              <w:t xml:space="preserve">7.793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and SpacePolicyOnline summary: Mars 2020 held launch baseline (launched July 2020 on window); CDR-anchored; about 30 months at risk holding baseline (censored, event=0)</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252</w:t>
            </w:r>
          </w:p>
        </w:tc>
        <w:tc>
          <w:tcPr>
            <w:tcW w:w="0" w:type="auto"/>
          </w:tcPr>
          <w:p>
            <w:pPr>
              <w:spacing w:line="240" w:lineRule="auto" w:before="0" w:after="0"/>
              <w:pStyle w:val="Compact"/>
            </w:pPr>
            <w:r>
              <w:rPr>
                <w:sz w:val="20"/>
                <w:szCs w:val="20"/>
              </w:rPr>
              <w:t xml:space="preserve">5.529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GAO-19-262SP summary (SpacePolicyOnline): Ionospheric Connection Explorer experienced launch-vehicle-driven delays from baseline; about 20-month slip [illustrative within reported delay]; breach observed (event=1)</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6.064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GRACE Follow-On press kit and GAO assessment history: launched May 2018 within about 1% of baseline and on schedule window; CDR-anchored; about 28 months at risk holding baseline (censored, event=0)</w:t>
            </w:r>
          </w:p>
        </w:tc>
      </w:tr>
    </w:tbl>
    <w:bookmarkEnd w:id="189"/>
    <w:bookmarkStart w:id="19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months_to_breach</w:t>
            </w:r>
          </w:p>
        </w:tc>
        <w:tc>
          <w:tcPr>
            <w:tcW w:w="0" w:type="auto"/>
          </w:tcPr>
          <w:p>
            <w:pPr>
              <w:spacing w:line="240" w:lineRule="auto" w:before="0" w:after="0"/>
              <w:pStyle w:val="Compact"/>
            </w:pPr>
            <w:r>
              <w:rPr>
                <w:sz w:val="20"/>
                <w:szCs w:val="20"/>
              </w:rPr>
              <w:t xml:space="preserve">Duration (months) from a project’s original baseline commitment to its first observed schedule breach; for projects still holding their baseline at assessment this is the months of accrued time-at-risk and the observation is right-censored</w:t>
            </w:r>
          </w:p>
        </w:tc>
        <w:tc>
          <w:tcPr>
            <w:tcW w:w="0" w:type="auto"/>
          </w:tcPr>
          <w:p>
            <w:pPr>
              <w:spacing w:line="240" w:lineRule="auto" w:before="0" w:after="0"/>
              <w:pStyle w:val="Compact"/>
            </w:pPr>
            <w:r>
              <w:rPr>
                <w:sz w:val="20"/>
                <w:szCs w:val="20"/>
              </w:rPr>
              <w:t xml:space="preserve">GAO-21-306 (2021) project profiles and Table 2; GAO-19-262SP for two older projects</w:t>
            </w:r>
          </w:p>
        </w:tc>
      </w:tr>
      <w:tr>
        <w:tc>
          <w:tcPr>
            <w:tcW w:w="0" w:type="auto"/>
          </w:tcPr>
          <w:p>
            <w:pPr>
              <w:spacing w:line="240" w:lineRule="auto" w:before="0" w:after="0"/>
              <w:pStyle w:val="Compact"/>
            </w:pPr>
            <w:r>
              <w:rPr>
                <w:sz w:val="20"/>
                <w:szCs w:val="20"/>
              </w:rPr>
              <w:t xml:space="preserve">schedule_breach</w:t>
            </w:r>
          </w:p>
        </w:tc>
        <w:tc>
          <w:tcPr>
            <w:tcW w:w="0" w:type="auto"/>
          </w:tcPr>
          <w:p>
            <w:pPr>
              <w:spacing w:line="240" w:lineRule="auto" w:before="0" w:after="0"/>
              <w:pStyle w:val="Compact"/>
            </w:pPr>
            <w:r>
              <w:rPr>
                <w:sz w:val="20"/>
                <w:szCs w:val="20"/>
              </w:rPr>
              <w:t xml:space="preserve">Event indicator: 1 if the project breached its schedule (launch-readiness) baseline by the assessment, 0 if it was still holding its baseline (right-censored)</w:t>
            </w:r>
          </w:p>
        </w:tc>
        <w:tc>
          <w:tcPr>
            <w:tcW w:w="0" w:type="auto"/>
          </w:tcPr>
          <w:p>
            <w:pPr>
              <w:spacing w:line="240" w:lineRule="auto" w:before="0" w:after="0"/>
              <w:pStyle w:val="Compact"/>
            </w:pPr>
            <w:r>
              <w:rPr>
                <w:sz w:val="20"/>
                <w:szCs w:val="20"/>
              </w:rPr>
              <w:t xml:space="preserve">GAO-21-306 (2021) project profiles; a project described as meeting or maintaining its schedule baseline is coded 0</w:t>
            </w:r>
          </w:p>
        </w:tc>
      </w:tr>
      <w:tr>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Documented-architecture maturity, ordinal 0 to 2: 0 = no approved Agency Baseline Commitment (pre-CDR, formulation); 1 = baseline approved but design unstable at the critical design review; 2 = critical design review complete with a stable documented baseline</w:t>
            </w:r>
          </w:p>
        </w:tc>
        <w:tc>
          <w:tcPr>
            <w:tcW w:w="0" w:type="auto"/>
          </w:tcPr>
          <w:p>
            <w:pPr>
              <w:spacing w:line="240" w:lineRule="auto" w:before="0" w:after="0"/>
              <w:pStyle w:val="Compact"/>
            </w:pPr>
            <w:r>
              <w:rPr>
                <w:sz w:val="20"/>
                <w:szCs w:val="20"/>
              </w:rPr>
              <w:t xml:space="preserve">GAO-21-306 (2021) profiles; GAO design-stability best practice (90 percent drawing release at CDR)</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Natural logarithm of baseline development (life-cycle) cost in millions of dollars; controls for program size</w:t>
            </w:r>
          </w:p>
        </w:tc>
        <w:tc>
          <w:tcPr>
            <w:tcW w:w="0" w:type="auto"/>
          </w:tcPr>
          <w:p>
            <w:pPr>
              <w:spacing w:line="240" w:lineRule="auto" w:before="0" w:after="0"/>
              <w:pStyle w:val="Compact"/>
            </w:pPr>
            <w:r>
              <w:rPr>
                <w:sz w:val="20"/>
                <w:szCs w:val="20"/>
              </w:rPr>
              <w:t xml:space="preserve">GAO-21-306 (2021) Table 2 and project profiles</w:t>
            </w:r>
          </w:p>
        </w:tc>
      </w:tr>
    </w:tbl>
    <w:bookmarkEnd w:id="190"/>
    <w:bookmarkEnd w:id="191"/>
    <w:bookmarkEnd w:id="1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7" Type="http://schemas.openxmlformats.org/officeDocument/2006/relationships/image" Target="media/rId177.png"/><Relationship Id="rId185" Type="http://schemas.openxmlformats.org/officeDocument/2006/relationships/image" Target="media/rId185.png"/><Relationship Id="rId162" Type="http://schemas.openxmlformats.org/officeDocument/2006/relationships/hyperlink" Target="https://doi.org/10.1016/j.actaastro.2020.05.012" TargetMode="External"/><Relationship Id="rId160" Type="http://schemas.openxmlformats.org/officeDocument/2006/relationships/hyperlink" Target="https://doi.org/10.1016/j.actaastro.2020.08.041" TargetMode="External"/><Relationship Id="rId164" Type="http://schemas.openxmlformats.org/officeDocument/2006/relationships/hyperlink" Target="https://doi.org/10.1016/j.actaastro.2020.11.056" TargetMode="External"/><Relationship Id="rId146" Type="http://schemas.openxmlformats.org/officeDocument/2006/relationships/hyperlink" Target="https://doi.org/10.1016/j.actaastro.2022.12.036" TargetMode="External"/><Relationship Id="rId169" Type="http://schemas.openxmlformats.org/officeDocument/2006/relationships/hyperlink" Target="https://doi.org/10.1016/j.actaastro.2023.02.022" TargetMode="External"/><Relationship Id="rId173" Type="http://schemas.openxmlformats.org/officeDocument/2006/relationships/hyperlink" Target="https://doi.org/10.1016/j.actaastro.2025.02.009" TargetMode="External"/><Relationship Id="rId142" Type="http://schemas.openxmlformats.org/officeDocument/2006/relationships/hyperlink" Target="https://doi.org/10.1016/j.actaastro.2025.05.008" TargetMode="External"/><Relationship Id="rId136" Type="http://schemas.openxmlformats.org/officeDocument/2006/relationships/hyperlink" Target="https://doi.org/10.1016/j.actaastro.2025.07.055" TargetMode="External"/><Relationship Id="rId134" Type="http://schemas.openxmlformats.org/officeDocument/2006/relationships/hyperlink" Target="https://doi.org/10.1016/j.actaastro.2025.09.086" TargetMode="External"/><Relationship Id="rId167" Type="http://schemas.openxmlformats.org/officeDocument/2006/relationships/hyperlink" Target="https://doi.org/10.1016/j.actaastro.2025.10.018" TargetMode="External"/><Relationship Id="rId139" Type="http://schemas.openxmlformats.org/officeDocument/2006/relationships/hyperlink" Target="https://doi.org/10.1016/j.actaastro.2025.11.043" TargetMode="External"/><Relationship Id="rId171" Type="http://schemas.openxmlformats.org/officeDocument/2006/relationships/hyperlink" Target="https://doi.org/10.1016/j.actaastro.2026.04.059" TargetMode="External"/><Relationship Id="rId150" Type="http://schemas.openxmlformats.org/officeDocument/2006/relationships/hyperlink" Target="https://doi.org/10.64861/FHSX9637" TargetMode="External"/></Relationships>
</file>

<file path=word/_rels/footnotes.xml.rels><?xml version='1.0' encoding='UTF-8' standalone='yes'?>
<Relationships xmlns="http://schemas.openxmlformats.org/package/2006/relationships"><Relationship Id="rId162" Type="http://schemas.openxmlformats.org/officeDocument/2006/relationships/hyperlink" Target="https://doi.org/10.1016/j.actaastro.2020.05.012" TargetMode="External"/><Relationship Id="rId160" Type="http://schemas.openxmlformats.org/officeDocument/2006/relationships/hyperlink" Target="https://doi.org/10.1016/j.actaastro.2020.08.041" TargetMode="External"/><Relationship Id="rId164" Type="http://schemas.openxmlformats.org/officeDocument/2006/relationships/hyperlink" Target="https://doi.org/10.1016/j.actaastro.2020.11.056" TargetMode="External"/><Relationship Id="rId146" Type="http://schemas.openxmlformats.org/officeDocument/2006/relationships/hyperlink" Target="https://doi.org/10.1016/j.actaastro.2022.12.036" TargetMode="External"/><Relationship Id="rId169" Type="http://schemas.openxmlformats.org/officeDocument/2006/relationships/hyperlink" Target="https://doi.org/10.1016/j.actaastro.2023.02.022" TargetMode="External"/><Relationship Id="rId173" Type="http://schemas.openxmlformats.org/officeDocument/2006/relationships/hyperlink" Target="https://doi.org/10.1016/j.actaastro.2025.02.009" TargetMode="External"/><Relationship Id="rId142" Type="http://schemas.openxmlformats.org/officeDocument/2006/relationships/hyperlink" Target="https://doi.org/10.1016/j.actaastro.2025.05.008" TargetMode="External"/><Relationship Id="rId136" Type="http://schemas.openxmlformats.org/officeDocument/2006/relationships/hyperlink" Target="https://doi.org/10.1016/j.actaastro.2025.07.055" TargetMode="External"/><Relationship Id="rId134" Type="http://schemas.openxmlformats.org/officeDocument/2006/relationships/hyperlink" Target="https://doi.org/10.1016/j.actaastro.2025.09.086" TargetMode="External"/><Relationship Id="rId167" Type="http://schemas.openxmlformats.org/officeDocument/2006/relationships/hyperlink" Target="https://doi.org/10.1016/j.actaastro.2025.10.018" TargetMode="External"/><Relationship Id="rId139" Type="http://schemas.openxmlformats.org/officeDocument/2006/relationships/hyperlink" Target="https://doi.org/10.1016/j.actaastro.2025.11.043" TargetMode="External"/><Relationship Id="rId171" Type="http://schemas.openxmlformats.org/officeDocument/2006/relationships/hyperlink" Target="https://doi.org/10.1016/j.actaastro.2026.04.059" TargetMode="External"/><Relationship Id="rId150" Type="http://schemas.openxmlformats.org/officeDocument/2006/relationships/hyperlink" Target="https://doi.org/10.64861/FHSX96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a Documented Enterprise Architecture Predict Program Cost-and-Schedule Performance?</dc:title>
  <dc:creator>Emeka Larsson (1B-MPM-046)</dc:creator>
  <cp:keywords/>
  <dcterms:created xsi:type="dcterms:W3CDTF">2026-07-03T16:36:44Z</dcterms:created>
  <dcterms:modified xsi:type="dcterms:W3CDTF">2026-07-03T16:36:44Z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