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ECONOMIC IMPACT OF SPACECRAFT DOWN-MASS AND ORBITAL REENTRY OPERATIONS ON THE U.S. NATIONAL AIRSPACE SYSTEM</w:t>
      </w:r>
    </w:p>
    <w:p>
      <w:pPr>
        <w:jc w:val="center"/>
      </w:pPr>
    </w:p>
    <w:p>
      <w:pPr>
        <w:jc w:val="center"/>
      </w:pPr>
      <w:r>
        <w:rPr>
          <w:rFonts w:ascii="Times New Roman" w:hAnsi="Times New Roman"/>
          <w:sz w:val="24"/>
        </w:rPr>
        <w:t>by</w:t>
      </w:r>
    </w:p>
    <w:p>
      <w:pPr>
        <w:jc w:val="center"/>
      </w:pPr>
      <w:r>
        <w:rPr>
          <w:rFonts w:ascii="Times New Roman" w:hAnsi="Times New Roman"/>
          <w:b/>
          <w:sz w:val="28"/>
        </w:rPr>
        <w:t>Marcus Bell</w:t>
      </w:r>
    </w:p>
    <w:p>
      <w:pPr>
        <w:jc w:val="center"/>
      </w:pPr>
      <w:r>
        <w:rPr>
          <w:rFonts w:ascii="Times New Roman" w:hAnsi="Times New Roman"/>
          <w:sz w:val="24"/>
        </w:rPr>
        <w:t>1B-INF-004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9" w:name="chapter-1-introduction"/>
    <w:p>
      <w:pPr>
        <w:pStyle w:val="Heading1"/>
        <w:spacing w:line="480" w:lineRule="auto"/>
      </w:pPr>
      <w:r>
        <w:t xml:space="preserve">Chapter 1: Introduction</w:t>
      </w:r>
    </w:p>
    <w:bookmarkStart w:id="61" w:name="the-answer-this-chapter-defends"/>
    <w:p>
      <w:pPr>
        <w:pStyle w:val="Heading2"/>
        <w:spacing w:line="480" w:lineRule="auto"/>
      </w:pPr>
      <w:r>
        <w:t xml:space="preserve">1.1 The answer this chapter defends</w:t>
      </w:r>
    </w:p>
    <w:p>
      <w:pPr>
        <w:pStyle w:val="FirstParagraph"/>
        <w:spacing w:line="480" w:lineRule="auto"/>
      </w:pPr>
      <w:r>
        <w:t xml:space="preserve">One finding drives this dissertation, and the whole apparatus is built to let that finding fail. Spacecraft reentry and down-mass operations, I argue, impose a measurable and positive cost on the United States National Airspace System (NAS) through delay, reroute, and closure, and improved reentry prediction paired with dynamic airspace management yields a quantifiable avoided cost. Why this matters is a question of timing. The policy now in force closes a large and static volume of airspace around each predicted reentry trajectory, a rule calibrated to an era when reentries were rare. That era has ended. With large constellations beginning to deorbit at scale and a commercial down-mass sector taking shape, a rule that withholds a worst-case volume per event stops being an occasional contingency and becomes a structural drag on the system. What the finding buys is concrete: a defensible price for the externality that reentry imposes on aviation, together with a target avoided cost against which any prediction-and-modeling investment can be judged worth its funding.</w:t>
      </w:r>
    </w:p>
    <w:p>
      <w:pPr>
        <w:pStyle w:val="BodyText"/>
        <w:spacing w:line="480" w:lineRule="auto"/>
        <w:ind w:firstLine="720"/>
      </w:pPr>
      <w:r>
        <w:t xml:space="preserve">I lead with the answer rather than the background because this chapter is an argument, not a survey. Everything that follows, the problem in full, the institutional and historical context, the research questions, the significance to NASA and the Jet Propulsion Laboratory (JPL) and the named stakeholders, the scope, the definitions, and the roadmap, serves that single claim and the null hypothesis that would defeat it. And the claim is offered honestly, at the design stage. No estimate here has been executed on the full dataset. What the dissertation specifies in full is the machinery, the estimating equations, the variable construction, the data sources, and the threats to validity, so that where a number appears it carries a label: an expected range drawn from prior literature, or an illustrative value used to walk through a procedure. The contribution is the design and the falsifiable pair of claims it operationalizes, not a set of executed coefficients.</w:t>
      </w:r>
    </w:p>
    <w:p>
      <w:pPr>
        <w:pStyle w:val="BodyText"/>
        <w:spacing w:line="480" w:lineRule="auto"/>
        <w:ind w:firstLine="720"/>
      </w:pPr>
      <w:r>
        <w:t xml:space="preserve">From there the chapter frames the problem in the form that governs the whole work. Today, integration happens through large static closures. What is wanted instead is a prediction-informed dynamic closure rule priced against a measured aviation cost. Standing between the two is a void: no study estimates, with a credible causal design, either the marginal NAS cost of a reentry event or the cost that better prediction would avoid. Leave that void unfilled and the arithmetic turns against the NAS as cadence climbs, because conservative static segregation scales aviation cost faster than it scales safety benefit, and the regulator holds no measured price with which to weigh a narrower closure’s residual risk against its cost saving. Each element of that frame is developed below and then converted into testable hypotheses.</w:t>
      </w:r>
    </w:p>
    <w:bookmarkEnd w:id="61"/>
    <w:bookmarkStart w:id="65" w:name="the-problem-in-full"/>
    <w:p>
      <w:pPr>
        <w:pStyle w:val="Heading2"/>
        <w:spacing w:line="480" w:lineRule="auto"/>
      </w:pPr>
      <w:r>
        <w:t xml:space="preserve">1.2 The problem in full</w:t>
      </w:r>
    </w:p>
    <w:bookmarkStart w:id="62" w:name="X7cb5c5112be415fdfb097d2f257c5086cf42c78"/>
    <w:p>
      <w:pPr>
        <w:pStyle w:val="Heading3"/>
        <w:spacing w:line="480" w:lineRule="auto"/>
      </w:pPr>
      <w:r>
        <w:t xml:space="preserve">1.2.1 A one-decade shift from episodic to high-frequency commercial space</w:t>
      </w:r>
    </w:p>
    <w:p>
      <w:pPr>
        <w:pStyle w:val="FirstParagraph"/>
        <w:spacing w:line="480" w:lineRule="auto"/>
      </w:pPr>
      <w:r>
        <w:t xml:space="preserve">Inside a single decade the commercial space sector remade itself, moving from an episodic, government-dominated enterprise into a high-frequency commercial one. Launch economics show the change most plainly. Reusable launch vehicles cut the cost of reaching low Earth orbit by roughly a factor of twenty, from approximately 54,500 United States dollars per kilogram in the Space Shuttle era to approximately 2,720 United States dollars per kilogram with Falcon 9, expressed in 2017 dollars</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 A collapse of that size is not only a price story. When the marginal cost of placing mass in orbit drops by an order of magnitude, three counts climb together: launches, objects on orbit, and, after a lag set by orbital decay, objects returning through the atmosphere. So the aviation-facing consequence of cheaper launch does not stop at ascent. It travels downstream to descent, where the returning object has to cross occupied airspace.</w:t>
      </w:r>
    </w:p>
    <w:p>
      <w:pPr>
        <w:pStyle w:val="BodyText"/>
        <w:spacing w:line="480" w:lineRule="auto"/>
        <w:ind w:firstLine="720"/>
      </w:pPr>
      <w:r>
        <w:t xml:space="preserve">That descent-phase burden is already documented, and it is real rather than hypothetical. Hook and colleagues record that successful rocket launches more than doubled between 2015 and 2023, from 87 to 212, and that of the 212 launches in 2023, 128 rocket bodies were abandoned in orbit and left to reenter uncontrollably</w:t>
      </w:r>
      <w:r>
        <w:t xml:space="preserve"> </w:t>
      </w:r>
      <w:hyperlink w:anchor="ref-38">
        <w:r>
          <w:rPr>
            <w:rStyle w:val="Hyperlink"/>
          </w:rPr>
          <w:t xml:space="preserve">[38]</w:t>
        </w:r>
      </w:hyperlink>
      <w:r>
        <w:t xml:space="preserve">. They log a concrete airspace consequence as well: a reentering Long March 5B rocket body in November 2022 forced the closure of airspace over Europe, delaying 645 flights, at a plausible economic cost measured in millions of euros</w:t>
      </w:r>
      <w:r>
        <w:t xml:space="preserve"> </w:t>
      </w:r>
      <w:hyperlink w:anchor="ref-38">
        <w:r>
          <w:rPr>
            <w:rStyle w:val="Hyperlink"/>
          </w:rPr>
          <w:t xml:space="preserve">[38]</w:t>
        </w:r>
      </w:hyperlink>
      <w:r>
        <w:t xml:space="preserve">. Wright and colleagues cast such closures not as a rare contingency but as a forward-looking and growing burden tied to constellation deorbit rates</w:t>
      </w:r>
      <w:r>
        <w:t xml:space="preserve"> </w:t>
      </w:r>
      <w:hyperlink w:anchor="ref-1">
        <w:r>
          <w:rPr>
            <w:rStyle w:val="Hyperlink"/>
          </w:rPr>
          <w:t xml:space="preserve">[1]</w:t>
        </w:r>
      </w:hyperlink>
      <w:r>
        <w:t xml:space="preserve">. Pardini, weighing the risk that uncontrolled reentries pose on the ground and in the airspace, asks outright whether recent growth should be considered worrying and makes the upward trend his central concern</w:t>
      </w:r>
      <w:r>
        <w:t xml:space="preserve"> </w:t>
      </w:r>
      <w:hyperlink w:anchor="ref-64">
        <w:r>
          <w:rPr>
            <w:rStyle w:val="Hyperlink"/>
          </w:rPr>
          <w:t xml:space="preserve">[64]</w:t>
        </w:r>
      </w:hyperlink>
      <w:r>
        <w:t xml:space="preserve">. Where these sources converge is the empirical footing for the first element of the frame: the closures are real, they touch real flights, and they are growing more frequent.</w:t>
      </w:r>
    </w:p>
    <w:bookmarkEnd w:id="62"/>
    <w:bookmarkStart w:id="63" w:name="Xb6438b5e3702ac7d2aa8e81fa7ccc6ef65d4f51"/>
    <w:p>
      <w:pPr>
        <w:pStyle w:val="Heading3"/>
        <w:spacing w:line="480" w:lineRule="auto"/>
      </w:pPr>
      <w:r>
        <w:t xml:space="preserve">1.2.2 The down-mass sector and why the return leg is integral</w:t>
      </w:r>
    </w:p>
    <w:p>
      <w:pPr>
        <w:pStyle w:val="FirstParagraph"/>
        <w:spacing w:line="480" w:lineRule="auto"/>
      </w:pPr>
      <w:r>
        <w:t xml:space="preserve">The binding constraint on the next stage of growth has moved downstream of propulsion. Reaching orbit, once the dominant barrier, no longer paces the emergence of the activities this dissertation studies. Take the down-mass sector, defined here as the commercial return to Earth of objects mined, refined, or manufactured in space. Its economics turn on delivering the returned product through occupied airspace to a point near where it enters a terrestrial supply chain, which makes the return leg integral to the activity rather than a detail bolted onto the end of it. A space-manufactured pharmaceutical, a refined material, a recovered resource: none of these has realized commercial value until it clears the airspace between the upper atmosphere and its terrestrial buyer. The literature on space resource utilization makes the customer-location dependence explicit. Vergaaij, McInnes, and Ceriotti compare material sources and customer locations for commercial space resource utilization and show that the economics of a space-resource activity depend on where the material must be delivered, which for a terrestrial customer means delivery through the atmosphere and the airspace beneath it</w:t>
      </w:r>
      <w:r>
        <w:t xml:space="preserve"> </w:t>
      </w:r>
      <w:hyperlink w:anchor="ref-20">
        <w:r>
          <w:rPr>
            <w:rStyle w:val="Hyperlink"/>
          </w:rPr>
          <w:t xml:space="preserve">[20]</w:t>
        </w:r>
      </w:hyperlink>
      <w:r>
        <w:t xml:space="preserve">. Work on orbital facilities and in-space operations similarly treats the efficient movement of mass to and from orbit as the operative economic variable rather than the act of reaching orbit itself</w:t>
      </w:r>
      <w:r>
        <w:t xml:space="preserve"> </w:t>
      </w:r>
      <w:hyperlink w:anchor="ref-87">
        <w:r>
          <w:rPr>
            <w:rStyle w:val="Hyperlink"/>
          </w:rPr>
          <w:t xml:space="preserve">[87]</w:t>
        </w:r>
      </w:hyperlink>
      <w:r>
        <w:t xml:space="preserve">.</w:t>
      </w:r>
    </w:p>
    <w:p>
      <w:pPr>
        <w:pStyle w:val="BodyText"/>
        <w:spacing w:line="480" w:lineRule="auto"/>
        <w:ind w:firstLine="720"/>
      </w:pPr>
      <w:r>
        <w:t xml:space="preserve">The down-mass case sharpens the airspace problem, and it does so because reentry is not launch played backward. Reentry trajectories carry greater inherent prediction uncertainty than ascent, spread hazard over larger geographic areas, and cross aircraft cruise altitudes differently</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 launch is powered, instrumented, and actively guided, its trajectory known and controlled from ignition. An uncontrolled reentry is a ballistic event whose timing and footprint are estimated rather than commanded. That asymmetry has two edges. The airspace tools built for launch remain a sound starting point but cannot simply be transplanted onto reentry without adaptation, and the airspace cost of a reentry event answers to a different and larger uncertainty than the airspace cost of a launch. This is the hinge of the dissertation, because the reentry prediction uncertainty is precisely what the second hypothesis sets out to attack.</w:t>
      </w:r>
    </w:p>
    <w:bookmarkEnd w:id="63"/>
    <w:bookmarkStart w:id="64" w:name="X3f3b733e82e0894d77590a50cb62cb2a71c96e1"/>
    <w:p>
      <w:pPr>
        <w:pStyle w:val="Heading3"/>
        <w:spacing w:line="480" w:lineRule="auto"/>
      </w:pPr>
      <w:r>
        <w:t xml:space="preserve">1.2.3 The mechanism that converts reentry into an economic problem for aviation</w:t>
      </w:r>
    </w:p>
    <w:p>
      <w:pPr>
        <w:pStyle w:val="FirstParagraph"/>
        <w:spacing w:line="480" w:lineRule="auto"/>
      </w:pPr>
      <w:r>
        <w:t xml:space="preserve">How a reentry event turns into an aviation cost is well documented, and the causal chain the whole dissertation tests can be stated once, plainly. It begins with a reentry event carrying large prediction uncertainty. To manage that uncertainty, a conservative static Aircraft Hazard Area (AHA) is sized to a worst-case dispersion envelope and fixed in advance. The visible result is a large withheld airspace volume over a sector and a time window. Exposed flights then delay, hold, or reroute, and those responses show up as added delay minutes, added flown distance, additional fuel burn, and additional direct operating cost. Because the NAS is a network, the bill does not stop at the closed window; delay cascades downstream. The upshot is an unpriced externality on aviation that scales with cadence, and measuring it is what any lower-transaction-cost authorization institution, or any corridor-pricing instrument, would first require.</w:t>
      </w:r>
    </w:p>
    <w:p>
      <w:pPr>
        <w:pStyle w:val="BodyText"/>
        <w:spacing w:line="480" w:lineRule="auto"/>
        <w:ind w:firstLine="720"/>
      </w:pPr>
      <w:r>
        <w:t xml:space="preserve">The Federal Aviation Administration (FAA) manages launch and reentry integration chiefly by closing these large, predetermined hazard areas around the planned trajectory, for windows historically measured in hours</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Static segregation is conservative by design, and it has preserved a strong safety record. The cost of that conservatism scales with the size and duration of the withheld volume and with the density of the traffic that would otherwise have used it. At one event per month the cost is small. At one event per week or per day the same policy becomes a structural drag on the NAS. The grounds for this claim are the documented closure events and their measured consequences</w:t>
      </w:r>
      <w:r>
        <w:t xml:space="preserve"> </w:t>
      </w:r>
      <w:hyperlink w:anchor="ref-38">
        <w:r>
          <w:rPr>
            <w:rStyle w:val="Hyperlink"/>
          </w:rPr>
          <w:t xml:space="preserve">[38]</w:t>
        </w:r>
      </w:hyperlink>
      <w:r>
        <w:t xml:space="preserve">,</w:t>
      </w:r>
      <w:r>
        <w:t xml:space="preserve"> </w:t>
      </w:r>
      <w:hyperlink w:anchor="ref-1">
        <w:r>
          <w:rPr>
            <w:rStyle w:val="Hyperlink"/>
          </w:rPr>
          <w:t xml:space="preserve">[1]</w:t>
        </w:r>
      </w:hyperlink>
      <w:r>
        <w:t xml:space="preserve">; the warrant is the simple proportionality between withheld volume, displaced traffic, and cost; the backing is the launch-era simulation literature that translated closure geometries into flight-level penalties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qualifier is that the precise per-event cost is not yet measured causally, which is the gap this dissertation occupies. The rebuttal to consider, that operators fully anticipate and pre-absorb closures so that no marginal cost appears, is addressed in the research design through the inspection of pre-activation effects, and is noted here so that the claim is not overstated.</w:t>
      </w:r>
    </w:p>
    <w:p>
      <w:pPr>
        <w:pStyle w:val="BodyText"/>
        <w:spacing w:line="480" w:lineRule="auto"/>
        <w:ind w:firstLine="720"/>
      </w:pPr>
      <w:r>
        <w:t xml:space="preserve">I keep correlation and causation distinct in stating this mechanism. The launch-era literature establishes a strong, consistently signed association between closures and flight penalties, but it does so descriptively and by simulation, not by a credible causal design. The present dissertation supplies the identification that converts the association into a causal estimate, and until that estimate is executed, the confidence attached to the magnitude of the per-event cost is moderate, grounded in convergent prior evidence on direction but not yet on a measured causal coefficient.</w:t>
      </w:r>
    </w:p>
    <w:bookmarkEnd w:id="64"/>
    <w:bookmarkEnd w:id="65"/>
    <w:bookmarkStart w:id="68" w:name="institutional-and-historical-context"/>
    <w:p>
      <w:pPr>
        <w:pStyle w:val="Heading2"/>
        <w:spacing w:line="480" w:lineRule="auto"/>
      </w:pPr>
      <w:r>
        <w:t xml:space="preserve">1.3 Institutional and historical context</w:t>
      </w:r>
    </w:p>
    <w:bookmarkStart w:id="66" w:name="X89793dca2fb9135f6c673869fa50ea392bf9e0b"/>
    <w:p>
      <w:pPr>
        <w:pStyle w:val="Heading3"/>
        <w:spacing w:line="480" w:lineRule="auto"/>
      </w:pPr>
      <w:r>
        <w:t xml:space="preserve">1.3.1 The launch-cost collapse and the migration of the binding constraint</w:t>
      </w:r>
    </w:p>
    <w:p>
      <w:pPr>
        <w:pStyle w:val="FirstParagraph"/>
        <w:spacing w:line="480" w:lineRule="auto"/>
      </w:pPr>
      <w:r>
        <w:t xml:space="preserve">The institutional history that produced this problem is short and unusually well documented. The defining event is the reduction in launch cost already cited, from roughly 54,500 to roughly 2,720 United States dollars per kilogram across the transition from the Shuttle to reusable commercial vehicles</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 Jones documents the recent large reduction in space launch cost and attributes it principally to reusability and to the displacement of cost-plus government procurement by competitive commercial provision</w:t>
      </w:r>
      <w:r>
        <w:t xml:space="preserve"> </w:t>
      </w:r>
      <w:hyperlink w:anchor="ref-25">
        <w:r>
          <w:rPr>
            <w:rStyle w:val="Hyperlink"/>
          </w:rPr>
          <w:t xml:space="preserve">[25]</w:t>
        </w:r>
      </w:hyperlink>
      <w:r>
        <w:t xml:space="preserve">. Kang and colleagues examine the cost effectiveness of reusable launch vehicles as a function of payload capacity and confirm that the favorable economics depend on flight frequency, because reuse amortizes fixed costs across many flights</w:t>
      </w:r>
      <w:r>
        <w:t xml:space="preserve"> </w:t>
      </w:r>
      <w:hyperlink w:anchor="ref-26">
        <w:r>
          <w:rPr>
            <w:rStyle w:val="Hyperlink"/>
          </w:rPr>
          <w:t xml:space="preserve">[26]</w:t>
        </w:r>
      </w:hyperlink>
      <w:r>
        <w:t xml:space="preserve">. The two findings together explain why cheaper launch and higher cadence are the same phenomenon rather than two separate ones, and why the airspace consequence of the launch-cost collapse is a frequency consequence.</w:t>
      </w:r>
    </w:p>
    <w:p>
      <w:pPr>
        <w:pStyle w:val="BodyText"/>
        <w:spacing w:line="480" w:lineRule="auto"/>
        <w:ind w:firstLine="720"/>
      </w:pPr>
      <w:r>
        <w:t xml:space="preserve">This migration of the binding constraint is the institutional core of the problem. Back when launch was expensive and rare, reaching orbit dominated every other consideration, and the airspace cost of the occasional return counted for almost nothing beside it. As launch cost fell and cadence rose, the downstream constraints gained weight. For any activity whose value is realized on the ground, the return leg and the airspace it must traverse became the operative economic margin. Propulsion did not cease to matter; the point is narrower than that. The marginal economic decision simply moved downstream, from how to reach orbit cheaply to how to return mass through occupied airspace without a cost that scales away the value of the activity. The space-economy literature reads the transition the same way, treating market formation as a matter of institutional design and the pricing of externalities rather than of technology readiness alone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p>
    <w:bookmarkEnd w:id="66"/>
    <w:bookmarkStart w:id="67" w:name="X5b0532aa312128ee3846d4604b09dbc9c962f18"/>
    <w:p>
      <w:pPr>
        <w:pStyle w:val="Heading3"/>
        <w:spacing w:line="480" w:lineRule="auto"/>
      </w:pPr>
      <w:r>
        <w:t xml:space="preserve">1.3.2 The airspace institution and why it is the right unit of analysis</w:t>
      </w:r>
    </w:p>
    <w:p>
      <w:pPr>
        <w:pStyle w:val="FirstParagraph"/>
        <w:spacing w:line="480" w:lineRule="auto"/>
      </w:pPr>
      <w:r>
        <w:t xml:space="preserve">The institution that governs reentry through shared airspace is the authorization and segregation regime administered by the FAA, supported by the data systems that feed it. That regime is the right unit of analysis because the NAS is shared national infrastructure that commercial reentry must use, and because the question at issue is one of system-level capacity and cost rather than of vehicle design. The FAA has begun building the data infrastructure that a more responsive regime would require. The Space Data Integrator platform automates previously manual, time-consuming, and resource-intensive procedures for supporting commercial launch and reentry operations and provides situational awareness on vehicle position and mission parameters during operations</w:t>
      </w:r>
      <w:r>
        <w:t xml:space="preserve"> </w:t>
      </w:r>
      <w:hyperlink w:anchor="ref-29">
        <w:r>
          <w:rPr>
            <w:rStyle w:val="Hyperlink"/>
          </w:rPr>
          <w:t xml:space="preserve">[29]</w:t>
        </w:r>
      </w:hyperlink>
      <w:r>
        <w:t xml:space="preserve">. The existence and direction of that investment is itself evidence that the institution recognizes the problem and is moving, however incrementally, from static toward more dynamic handling.</w:t>
      </w:r>
    </w:p>
    <w:p>
      <w:pPr>
        <w:pStyle w:val="BodyText"/>
        <w:spacing w:line="480" w:lineRule="auto"/>
        <w:ind w:firstLine="720"/>
      </w:pPr>
      <w:r>
        <w:t xml:space="preserve">What gives the institutional framing its weight is the pattern in adjacent domains. North separates institutions, the rules of the game, from the players, and holds that institutions exist to lower the transaction costs of impersonal exchange</w:t>
      </w:r>
      <w:r>
        <w:t xml:space="preserve"> </w:t>
      </w:r>
      <w:hyperlink w:anchor="ref-24">
        <w:r>
          <w:rPr>
            <w:rStyle w:val="Hyperlink"/>
          </w:rPr>
          <w:t xml:space="preserve">[24]</w:t>
        </w:r>
      </w:hyperlink>
      <w:r>
        <w:t xml:space="preserve">. Read that against airspace and static case-by-case AHA closure emerges as a high-transaction-cost rule: every event is adjudicated conservatively, and the cost lands on aviation users who never sat at the authorization table. A repeatable, prediction-informed, dynamic-closure rule would cost less to operate, but reaching it takes a measured price for the disruption the current rule imposes, because absent that price the regulator cannot weigh a narrower closure’s residual risk against its cost saving. There lies the institutional reason the measurement at the center of this dissertation is load-bearing rather than academic. The historical context reduces to a single sentence: an institution built for a low-frequency world now faces a high-frequency one, its data systems improving, its priced externality still missing, and without that externality it cannot change the rule defensibly.</w:t>
      </w:r>
    </w:p>
    <w:bookmarkEnd w:id="67"/>
    <w:bookmarkEnd w:id="68"/>
    <w:bookmarkStart w:id="69" w:name="X800cb655867362413c397d67761f75a384281be"/>
    <w:p>
      <w:pPr>
        <w:pStyle w:val="Heading2"/>
        <w:spacing w:line="480" w:lineRule="auto"/>
      </w:pPr>
      <w:r>
        <w:t xml:space="preserve">1.4 The research questions, broken out explicitly</w:t>
      </w:r>
    </w:p>
    <w:p>
      <w:pPr>
        <w:pStyle w:val="FirstParagraph"/>
        <w:spacing w:line="480" w:lineRule="auto"/>
      </w:pPr>
      <w:r>
        <w:t xml:space="preserve">The dissertation is organized around one research question with two estimable parameters. I state the question, then decompose it, then state precisely what each parameter is and what value of it would speak for or against the contribution.</w:t>
      </w:r>
    </w:p>
    <w:p>
      <w:pPr>
        <w:pStyle w:val="BodyText"/>
        <w:spacing w:line="480" w:lineRule="auto"/>
        <w:ind w:firstLine="720"/>
      </w:pPr>
      <w:r>
        <w:rPr>
          <w:b/>
          <w:bCs/>
        </w:rPr>
        <w:t xml:space="preserve">Research question.</w:t>
      </w:r>
      <w:r>
        <w:t xml:space="preserve"> </w:t>
      </w:r>
      <w:r>
        <w:t xml:space="preserve">Do spacecraft reentry and down-mass operations impose a measurable disruption cost on the United States National Airspace System, and does improved reentry prediction combined with dynamic airspace management yield a quantifiable avoided cost?</w:t>
      </w:r>
    </w:p>
    <w:p>
      <w:pPr>
        <w:pStyle w:val="BodyText"/>
        <w:spacing w:line="480" w:lineRule="auto"/>
        <w:ind w:firstLine="720"/>
      </w:pPr>
      <w:r>
        <w:t xml:space="preserve">The question has two clauses joined by an</w:t>
      </w:r>
      <w:r>
        <w:t xml:space="preserve"> </w:t>
      </w:r>
      <w:r>
        <w:t xml:space="preserve">“and,”</w:t>
      </w:r>
      <w:r>
        <w:t xml:space="preserve"> </w:t>
      </w:r>
      <w:r>
        <w:t xml:space="preserve">and each clause corresponds to one estimable parameter. The first clause asks whether the cost exists and is measurable; the second asks whether better prediction plus dynamic management reduces it by a measurable amount. The design is built so that each clause can be answered independently, because it is possible in principle for the first to be confirmed and the second refuted, or for both to fail.</w:t>
      </w:r>
    </w:p>
    <w:p>
      <w:pPr>
        <w:pStyle w:val="BodyText"/>
        <w:spacing w:line="480" w:lineRule="auto"/>
        <w:ind w:firstLine="720"/>
      </w:pPr>
      <w:r>
        <w:rPr>
          <w:b/>
          <w:bCs/>
        </w:rPr>
        <w:t xml:space="preserve">Parameter one, the disruption parameter.</w:t>
      </w:r>
      <w:r>
        <w:t xml:space="preserve"> </w:t>
      </w:r>
      <w:r>
        <w:t xml:space="preserve">This is the per-event NAS cost, formally the aggregated average treatment effect on the treated (ATT) of a reentry-driven AHA closure on the cost outcomes borne by exposed flights. It answers the first clause of the research question. Positive and statistically distinguishable from zero, it says reentry imposes a measurable cost; near zero and precisely estimated, it says the opposite.</w:t>
      </w:r>
    </w:p>
    <w:p>
      <w:pPr>
        <w:pStyle w:val="BodyText"/>
        <w:spacing w:line="480" w:lineRule="auto"/>
        <w:ind w:firstLine="720"/>
      </w:pPr>
      <w:r>
        <w:rPr>
          <w:b/>
          <w:bCs/>
        </w:rPr>
        <w:t xml:space="preserve">Parameter two, the avoided-cost parameter.</w:t>
      </w:r>
      <w:r>
        <w:t xml:space="preserve"> </w:t>
      </w:r>
      <w:r>
        <w:t xml:space="preserve">This measures the difference in per-event cost between a static-closure regime and a prediction-informed dynamic-closure regime, one that narrows the hazard volume in time and space as the reentry prediction tightens. It answers the second clause. Positive and distinguishable from zero, and better prediction plus dynamic closure pays its way; near zero, and it does not, so a move from static to dynamic closure buys nothing on cost.</w:t>
      </w:r>
    </w:p>
    <w:p>
      <w:pPr>
        <w:pStyle w:val="BodyText"/>
        <w:spacing w:line="480" w:lineRule="auto"/>
        <w:ind w:firstLine="720"/>
      </w:pPr>
      <w:r>
        <w:t xml:space="preserve">The two parameters are distinct quantities, and the dissertation reports them separately. The disruption parameter is estimated from the realized record of reentry closures and their flight-level consequences. The avoided-cost parameter is estimated by comparing each realized static closure against a counterfactual dynamic closure generated by the ReentryFlow model, and, separately, by exploiting natural variation in closure tightness across events that differ in prediction uncertainty, using prediction uncertainty as a continuous treatment intensity. The mechanism behind the second parameter is the same chain as the first, acted upon at a different point: prediction uncertainty falls sharply as the object nears reentry, so a dynamic closure sized to the late-available uncertainty withholds a smaller volume and displaces fewer flights</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expected sign of both parameters is positive, but the design does not assume the sign; it is built to detect a near-zero effect and to treat such a finding as a falsification rather than a failure.</w:t>
      </w:r>
    </w:p>
    <w:bookmarkEnd w:id="69"/>
    <w:bookmarkStart w:id="73" w:name="X7cfcc49f2c8bb2e9261d78345e45a59f4dad73a"/>
    <w:p>
      <w:pPr>
        <w:pStyle w:val="Heading2"/>
        <w:spacing w:line="480" w:lineRule="auto"/>
      </w:pPr>
      <w:r>
        <w:t xml:space="preserve">1.5 Significance for NASA, JPL, and the named stakeholders</w:t>
      </w:r>
    </w:p>
    <w:bookmarkStart w:id="70" w:name="X3ad71a515f776d3ad1566514fc4ca9fe5bd2e83"/>
    <w:p>
      <w:pPr>
        <w:pStyle w:val="Heading3"/>
        <w:spacing w:line="480" w:lineRule="auto"/>
      </w:pPr>
      <w:r>
        <w:t xml:space="preserve">1.5.1 Why this is a Space Infrastructure Systems question</w:t>
      </w:r>
    </w:p>
    <w:p>
      <w:pPr>
        <w:pStyle w:val="FirstParagraph"/>
        <w:spacing w:line="480" w:lineRule="auto"/>
      </w:pPr>
      <w:r>
        <w:t xml:space="preserve">This work sits in the Space Infrastructure Systems category for two reasons: the NAS is shared national infrastructure that commercial reentry must use, and the question is one of system-level capacity and cost rather than vehicle design. I keep that infrastructure framing in plain economic language and leave the architecture-modeling vocabulary aside, since the contribution is an econometric measurement of an externality and an avoided cost, not the design of a system or capability. Put the pieces together and the picture is simple. The NAS is the shared resource. The reentry operator consumes part of it without bearing the resulting aviation cost. The measurement supplies the price of that consumption. That is the whole architectural claim, and it is deliberately stated in ordinary terms, because the dissertation prices a congestible common resource, it does not specify the engineering of one.</w:t>
      </w:r>
    </w:p>
    <w:bookmarkEnd w:id="70"/>
    <w:bookmarkStart w:id="71" w:name="Xd9864c34ed08ca7539924a15d2ebafe6ae6060a"/>
    <w:p>
      <w:pPr>
        <w:pStyle w:val="Heading3"/>
        <w:spacing w:line="480" w:lineRule="auto"/>
      </w:pPr>
      <w:r>
        <w:t xml:space="preserve">1.5.2 The NASA Langley and Analytical Mechanics Associates line of work</w:t>
      </w:r>
    </w:p>
    <w:p>
      <w:pPr>
        <w:pStyle w:val="FirstParagraph"/>
        <w:spacing w:line="480" w:lineRule="auto"/>
      </w:pPr>
      <w:r>
        <w:t xml:space="preserve">The significance to NASA is direct and concrete. NASA Langley Research Center and Analytical Mechanics Associates run an active line of work on airspace modeling for launch and reentry authorization, and the joint IAC-26 study from which this dissertation draws its parameterized evidence base argues that government can act as an economic enabler of the down-mass sector by adapting launch-era airspace capabilities to reentry rather than building new infrastructure. The architectural direction of the field carries the enabling premise. Hilton and colleagues argue that space operations must be folded into the existing air traffic management network through advanced communication, navigation, and surveillance capabilities, and that such integration is a precondition for space transport to be technically and commercially viable, not merely a safety refinement</w:t>
      </w:r>
      <w:r>
        <w:t xml:space="preserve"> </w:t>
      </w:r>
      <w:hyperlink w:anchor="ref-7">
        <w:r>
          <w:rPr>
            <w:rStyle w:val="Hyperlink"/>
          </w:rPr>
          <w:t xml:space="preserve">[7]</w:t>
        </w:r>
      </w:hyperlink>
      <w:r>
        <w:t xml:space="preserve">. Thangavel and colleagues build a multi-domain traffic management architecture that draws conventional air traffic management, higher-altitude operations, and space traffic management together under interoperable separation assurance, naming reentry a first-class object on equal standing with launch</w:t>
      </w:r>
      <w:r>
        <w:t xml:space="preserve"> </w:t>
      </w:r>
      <w:hyperlink w:anchor="ref-8">
        <w:r>
          <w:rPr>
            <w:rStyle w:val="Hyperlink"/>
          </w:rPr>
          <w:t xml:space="preserve">[8]</w:t>
        </w:r>
      </w:hyperlink>
      <w:r>
        <w:t xml:space="preserve">. To this line of work the dissertation matters because a credible estimate of the per-event NAS cost and of the avoided cost of better prediction is the evidence base for the enabling role. It tells a regulator how much airspace disruption a given reentry cadence will cause, and it tells a prediction-and-modeling investment such as ReentryFlow what avoided cost it must clear to earn its funding.</w:t>
      </w:r>
    </w:p>
    <w:bookmarkEnd w:id="71"/>
    <w:bookmarkStart w:id="72" w:name="X5ab7a23e25bccf721417e2470a5d52c2fb43d05"/>
    <w:p>
      <w:pPr>
        <w:pStyle w:val="Heading3"/>
        <w:spacing w:line="480" w:lineRule="auto"/>
      </w:pPr>
      <w:r>
        <w:t xml:space="preserve">1.5.3 Significance to JPL and the civil-space enterprise</w:t>
      </w:r>
    </w:p>
    <w:p>
      <w:pPr>
        <w:pStyle w:val="FirstParagraph"/>
        <w:spacing w:line="480" w:lineRule="auto"/>
      </w:pPr>
      <w:r>
        <w:t xml:space="preserve">For JPL and the broader civil-space enterprise, the same estimate sets a defensible price on the externality that reentry imposes on aviation, the quantity any future corridor-authorization or fee regime must reference. The economic literature on space as a congestible common resource states the need for such a price plainly. Rao and colleagues analyze the orbital-use externality and show an unpriced common resource over-consumed, with a properly designed use fee raising the value of the industry by internalizing the externality</w:t>
      </w:r>
      <w:r>
        <w:t xml:space="preserve"> </w:t>
      </w:r>
      <w:hyperlink w:anchor="ref-23">
        <w:r>
          <w:rPr>
            <w:rStyle w:val="Hyperlink"/>
          </w:rPr>
          <w:t xml:space="preserve">[23]</w:t>
        </w:r>
      </w:hyperlink>
      <w:r>
        <w:t xml:space="preserve">. Weinzierl argues the transition from public to commercial space activity is paced by institutional design and the correct pricing of externalities, not engineering milestones alone</w:t>
      </w:r>
      <w:r>
        <w:t xml:space="preserve"> </w:t>
      </w:r>
      <w:hyperlink w:anchor="ref-16">
        <w:r>
          <w:rPr>
            <w:rStyle w:val="Hyperlink"/>
          </w:rPr>
          <w:t xml:space="preserve">[16]</w:t>
        </w:r>
      </w:hyperlink>
      <w:r>
        <w:t xml:space="preserve">. The airspace case is the terrestrial analogue of the orbital one: the reentry operator imposes a delay-and-reroute cost on aviation users, and the missing price on that cost is why measuring it is a precondition for any corrective instrument. So the contribution to the civil-space enterprise is the supply of that price. It serves a regulator weighing cadence against burden, a modeling investment seeking a target return, and any future institution that would charge for reentry corridor access.</w:t>
      </w:r>
    </w:p>
    <w:p>
      <w:pPr>
        <w:pStyle w:val="BodyText"/>
        <w:spacing w:line="480" w:lineRule="auto"/>
        <w:ind w:firstLine="720"/>
      </w:pPr>
      <w:r>
        <w:t xml:space="preserve">The significance holds large effect or small. A defensible, design-based number for the cost reentry imposes on aviation, and for the cost better prediction avoids, is the evidence base any reentry-authorization or corridor-pricing institution must rest on, and a precisely estimated small effect carries as much decision weight as a large one, telling the enterprise that the airspace externality is not the binding constraint and that investment should go elsewhere.</w:t>
      </w:r>
    </w:p>
    <w:bookmarkEnd w:id="72"/>
    <w:bookmarkEnd w:id="73"/>
    <w:bookmarkStart w:id="76" w:name="scope-delimitations-and-definitions"/>
    <w:p>
      <w:pPr>
        <w:pStyle w:val="Heading2"/>
        <w:spacing w:line="480" w:lineRule="auto"/>
      </w:pPr>
      <w:r>
        <w:t xml:space="preserve">1.6 Scope, delimitations, and definitions</w:t>
      </w:r>
    </w:p>
    <w:bookmarkStart w:id="74" w:name="scope-and-delimitations"/>
    <w:p>
      <w:pPr>
        <w:pStyle w:val="Heading3"/>
        <w:spacing w:line="480" w:lineRule="auto"/>
      </w:pPr>
      <w:r>
        <w:t xml:space="preserve">1.6.1 Scope and delimitations</w:t>
      </w:r>
    </w:p>
    <w:p>
      <w:pPr>
        <w:pStyle w:val="FirstParagraph"/>
        <w:spacing w:line="480" w:lineRule="auto"/>
      </w:pPr>
      <w:r>
        <w:t xml:space="preserve">The scope of this dissertation is the measurement of an airspace disruption cost and an avoided cost, by means of a design-stage econometric study. Several boundaries follow from that scope and are stated explicitly so that the contribution is not read for more than it claims.</w:t>
      </w:r>
    </w:p>
    <w:p>
      <w:pPr>
        <w:pStyle w:val="BodyText"/>
        <w:spacing w:line="480" w:lineRule="auto"/>
        <w:ind w:firstLine="720"/>
      </w:pPr>
      <w:r>
        <w:t xml:space="preserve">First, the study is design-stage. No estimate is executed on the full dataset. The EU Space Surveillance and Tracking (EU SST) reentry catalog and the FAA System Wide Information Management (SWIM) operations data are accessed under program credentials but are not yet joined into the analysis panel. Every numerical value in the dissertation is therefore a labeled quantity, either an expected range drawn from prior literature or an illustrative value used to walk through a procedure. The result tables in the analysis-plan chapter are specified but, by design, left unpopulated.</w:t>
      </w:r>
    </w:p>
    <w:p>
      <w:pPr>
        <w:pStyle w:val="BodyText"/>
        <w:spacing w:line="480" w:lineRule="auto"/>
        <w:ind w:firstLine="720"/>
      </w:pPr>
      <w:r>
        <w:t xml:space="preserve">Second, the study measures cost, not safety. The withheld-volume policy exists to manage a ground-and-air collision risk, and the dissertation does not propose to relax that risk tolerance. The avoided-cost parameter is the cost saving available at equal safety, that is, the saving from sizing the closure to the prediction actually available rather than to a worst-case envelope, not a saving bought by accepting more risk. The residual-risk boundary is bounded by validated prediction accuracy and by the existing ground-and-air risk limits, and the dissertation treats those limits as fixed constraints rather than as variables to be traded.</w:t>
      </w:r>
    </w:p>
    <w:p>
      <w:pPr>
        <w:pStyle w:val="BodyText"/>
        <w:spacing w:line="480" w:lineRule="auto"/>
        <w:ind w:firstLine="720"/>
      </w:pPr>
      <w:r>
        <w:t xml:space="preserve">Third, the study is local to the observed cadence and event mix. That an estimate is local to the events and margins observed the design-based tradition states outright, and the dissertation honors the caution by reporting the cost as a function of cadence and prediction uncertainty rather than a single scalar, so extrapolation to a future high-cadence down-mass regime stays conditional and stated rather than assumed.</w:t>
      </w:r>
    </w:p>
    <w:p>
      <w:pPr>
        <w:pStyle w:val="BodyText"/>
        <w:spacing w:line="480" w:lineRule="auto"/>
        <w:ind w:firstLine="720"/>
      </w:pPr>
      <w:r>
        <w:t xml:space="preserve">Fourth, the down-mass sector is treated as the motivating frontier, not as the current empirical base. The realized record from which the disruption parameter is estimated is dominated by uncontrolled reentries of rocket bodies and satellites, because a commercial down-mass sector at scale does not yet exist. The dissertation is careful not to overstate the reentry-specific empirical depth available; reentry-specific quantification leans on a small set of sources</w:t>
      </w:r>
      <w:r>
        <w:t xml:space="preserve"> </w:t>
      </w:r>
      <w:hyperlink w:anchor="ref-1">
        <w:r>
          <w:rPr>
            <w:rStyle w:val="Hyperlink"/>
          </w:rPr>
          <w:t xml:space="preserve">[1]</w:t>
        </w:r>
      </w:hyperlink>
      <w:r>
        <w:t xml:space="preserve">,</w:t>
      </w:r>
      <w:r>
        <w:t xml:space="preserve"> </w:t>
      </w:r>
      <w:hyperlink w:anchor="ref-38">
        <w:r>
          <w:rPr>
            <w:rStyle w:val="Hyperlink"/>
          </w:rPr>
          <w:t xml:space="preserve">[38]</w:t>
        </w:r>
      </w:hyperlink>
      <w:r>
        <w:t xml:space="preserve">,</w:t>
      </w:r>
      <w:r>
        <w:t xml:space="preserve"> </w:t>
      </w:r>
      <w:hyperlink w:anchor="ref-64">
        <w:r>
          <w:rPr>
            <w:rStyle w:val="Hyperlink"/>
          </w:rPr>
          <w:t xml:space="preserve">[64]</w:t>
        </w:r>
      </w:hyperlink>
      <w:r>
        <w:t xml:space="preserve">, and the down-mass framing is the reason the measurement matters going forward, not a claim that down-mass events already populate the data.</w:t>
      </w:r>
    </w:p>
    <w:bookmarkEnd w:id="74"/>
    <w:bookmarkStart w:id="75" w:name="definitions-of-key-terms"/>
    <w:p>
      <w:pPr>
        <w:pStyle w:val="Heading3"/>
        <w:spacing w:line="480" w:lineRule="auto"/>
      </w:pPr>
      <w:r>
        <w:t xml:space="preserve">1.6.2 Definitions of key terms</w:t>
      </w:r>
    </w:p>
    <w:p>
      <w:pPr>
        <w:pStyle w:val="FirstParagraph"/>
        <w:spacing w:line="480" w:lineRule="auto"/>
      </w:pPr>
      <w:r>
        <w:t xml:space="preserve">The following terms are used throughout the dissertation with fixed meanings.</w:t>
      </w:r>
    </w:p>
    <w:p>
      <w:pPr>
        <w:pStyle w:val="BodyText"/>
        <w:spacing w:line="480" w:lineRule="auto"/>
        <w:ind w:firstLine="720"/>
      </w:pPr>
      <w:r>
        <w:rPr>
          <w:b/>
          <w:bCs/>
        </w:rPr>
        <w:t xml:space="preserve">Down-mass.</w:t>
      </w:r>
      <w:r>
        <w:t xml:space="preserve"> </w:t>
      </w:r>
      <w:r>
        <w:t xml:space="preserve">The commercial return to Earth of objects mined, refined, or manufactured in space. Down-mass is distinguished from the uncontrolled reentry of spent rocket bodies and defunct satellites by intent and value: a down-mass object is returned deliberately because its terrestrial delivery is the point of the activity. The current empirical record is dominated by uncontrolled reentries, but the economic motivation for the measurement is the emerging down-mass sector.</w:t>
      </w:r>
    </w:p>
    <w:p>
      <w:pPr>
        <w:pStyle w:val="BodyText"/>
        <w:spacing w:line="480" w:lineRule="auto"/>
        <w:ind w:firstLine="720"/>
      </w:pPr>
      <w:r>
        <w:rPr>
          <w:b/>
          <w:bCs/>
        </w:rPr>
        <w:t xml:space="preserve">Aircraft Hazard Area (AHA).</w:t>
      </w:r>
      <w:r>
        <w:t xml:space="preserve"> </w:t>
      </w:r>
      <w:r>
        <w:t xml:space="preserve">The volume of airspace closed to aircraft around a predicted launch or reentry trajectory for a defined window, to manage the collision risk from the vehicle or its potential debris. A static AHA is sized to a worst-case dispersion envelope and fixed in advance; a dynamic AHA is sized to the prediction uncertainty available at the closure-decision time and may narrow as the prediction tightens.</w:t>
      </w:r>
    </w:p>
    <w:p>
      <w:pPr>
        <w:pStyle w:val="BodyText"/>
        <w:spacing w:line="480" w:lineRule="auto"/>
        <w:ind w:firstLine="720"/>
      </w:pPr>
      <w:r>
        <w:rPr>
          <w:b/>
          <w:bCs/>
        </w:rPr>
        <w:t xml:space="preserve">Exposure.</w:t>
      </w:r>
      <w:r>
        <w:t xml:space="preserve"> </w:t>
      </w:r>
      <w:r>
        <w:t xml:space="preserve">The condition of a flight whose filed or flown route and time intersect an active AHA polygon and window. Exposure is the treatment in the research design and is constructed by intersecting each flight’s route and time against the AHA polygons and windows derived from the reentry catalog through the ReentryFlow exposure mapping.</w:t>
      </w:r>
    </w:p>
    <w:p>
      <w:pPr>
        <w:pStyle w:val="BodyText"/>
        <w:spacing w:line="480" w:lineRule="auto"/>
        <w:ind w:firstLine="720"/>
      </w:pPr>
      <w:r>
        <w:rPr>
          <w:b/>
          <w:bCs/>
        </w:rPr>
        <w:t xml:space="preserve">Disruption parameter.</w:t>
      </w:r>
      <w:r>
        <w:t xml:space="preserve"> </w:t>
      </w:r>
      <w:r>
        <w:t xml:space="preserve">The per-event NAS cost, defined as the aggregated average treatment effect on the treated of a reentry-driven AHA closure on the cost outcomes of exposed flights. The cost outcomes are delay minutes, added flown distance, modeled fuel burn, and direct operating cost.</w:t>
      </w:r>
    </w:p>
    <w:p>
      <w:pPr>
        <w:pStyle w:val="BodyText"/>
        <w:spacing w:line="480" w:lineRule="auto"/>
        <w:ind w:firstLine="720"/>
      </w:pPr>
      <w:r>
        <w:rPr>
          <w:b/>
          <w:bCs/>
        </w:rPr>
        <w:t xml:space="preserve">Avoided-cost parameter.</w:t>
      </w:r>
      <w:r>
        <w:t xml:space="preserve"> </w:t>
      </w:r>
      <w:r>
        <w:t xml:space="preserve">The difference in the per-event cost between a static-closure regime and a prediction-informed dynamic-closure regime. It is estimated as the realized static-closure cost minus the simulated dynamic-closure cost, per event and then averaged, and separately by using prediction uncertainty as a continuous treatment intensity.</w:t>
      </w:r>
    </w:p>
    <w:p>
      <w:pPr>
        <w:pStyle w:val="BodyText"/>
        <w:spacing w:line="480" w:lineRule="auto"/>
        <w:ind w:firstLine="720"/>
      </w:pPr>
      <w:r>
        <w:rPr>
          <w:b/>
          <w:bCs/>
        </w:rPr>
        <w:t xml:space="preserve">Treatment intensity.</w:t>
      </w:r>
      <w:r>
        <w:t xml:space="preserve"> </w:t>
      </w:r>
      <w:r>
        <w:t xml:space="preserve">The prediction-uncertainty bound at the closure-decision time, taken from the reentry catalog, which scales the size of the closure. It is used as a continuous treatment intensity in the estimation of the avoided-cost parameter.</w:t>
      </w:r>
    </w:p>
    <w:p>
      <w:pPr>
        <w:pStyle w:val="BodyText"/>
        <w:spacing w:line="480" w:lineRule="auto"/>
        <w:ind w:firstLine="720"/>
      </w:pPr>
      <w:r>
        <w:t xml:space="preserve">These definitions are fixed and go unredefined in later chapters; later chapters turn them into measured variables without shifting their meaning.</w:t>
      </w:r>
    </w:p>
    <w:bookmarkEnd w:id="75"/>
    <w:bookmarkEnd w:id="76"/>
    <w:bookmarkStart w:id="77" w:name="X3a2e6b727789ec0c460aea0599caa78c9783c33"/>
    <w:p>
      <w:pPr>
        <w:pStyle w:val="Heading2"/>
        <w:spacing w:line="480" w:lineRule="auto"/>
      </w:pPr>
      <w:r>
        <w:t xml:space="preserve">1.7 The single falsifiable contribution, stated as H0 and H1</w:t>
      </w:r>
    </w:p>
    <w:p>
      <w:pPr>
        <w:pStyle w:val="FirstParagraph"/>
        <w:spacing w:line="480" w:lineRule="auto"/>
      </w:pPr>
      <w:r>
        <w:t xml:space="preserve">The contribution of this dissertation is a single, falsifiable, two-part claim, stated as competing hypotheses. The hypotheses are stated here in their fixed form and are not reworded elsewhere.</w:t>
      </w:r>
    </w:p>
    <w:p>
      <w:pPr>
        <w:pStyle w:val="BodyText"/>
        <w:spacing w:line="480" w:lineRule="auto"/>
        <w:ind w:firstLine="720"/>
      </w:pPr>
      <w:r>
        <w:rPr>
          <w:b/>
          <w:bCs/>
        </w:rPr>
        <w:t xml:space="preserve">H0, the null.</w:t>
      </w:r>
      <w:r>
        <w:t xml:space="preserve"> </w:t>
      </w:r>
      <w:r>
        <w:t xml:space="preserve">Spacecraft reentry and down-mass operations impose no measurable cost on the NAS. The average treatment effect of a reentry-driven AHA activation on exposed-flight cost is statistically indistinguishable from zero.</w:t>
      </w:r>
    </w:p>
    <w:p>
      <w:pPr>
        <w:pStyle w:val="BodyText"/>
        <w:spacing w:line="480" w:lineRule="auto"/>
        <w:ind w:firstLine="720"/>
      </w:pPr>
      <w:r>
        <w:rPr>
          <w:b/>
          <w:bCs/>
        </w:rPr>
        <w:t xml:space="preserve">H1, the alternative.</w:t>
      </w:r>
      <w:r>
        <w:t xml:space="preserve"> </w:t>
      </w:r>
      <w:r>
        <w:t xml:space="preserve">Spacecraft reentry and down-mass operations impose a measurable, positive disruption cost on the NAS in delay, reroute, and closure, and improved reentry prediction combined with dynamic airspace management yields a quantifiable avoided cost that is positive and statistically distinguishable from zero.</w:t>
      </w:r>
    </w:p>
    <w:p>
      <w:pPr>
        <w:pStyle w:val="BodyText"/>
        <w:spacing w:line="480" w:lineRule="auto"/>
        <w:ind w:firstLine="720"/>
      </w:pPr>
      <w:r>
        <w:t xml:space="preserve">H1 decomposes into the two estimable parameters defined in Section 1.4. The first is the disruption parameter, the average treatment effect of a reentry-driven closure on the cost borne by exposed flights, denoted the per-event NAS cost. The second is the avoided-cost parameter, the difference in that cost between a static-closure regime and a prediction-informed dynamic-closure regime. A finding that the disruption parameter is near zero and statistically insignificant falsifies the first part of H1. A finding that the avoided-cost parameter is near zero falsifies the second part and would imply that better prediction does not pay. An underpowered null is inconclusive and is never treated as confirmation of H0; the analysis plan reports the minimum detectable effect at the available sample size and treats a null that the data cannot distinguish from an economically meaningful effect as inconclusive rather than as support for H0.</w:t>
      </w:r>
    </w:p>
    <w:p>
      <w:pPr>
        <w:pStyle w:val="BodyText"/>
        <w:spacing w:line="480" w:lineRule="auto"/>
        <w:ind w:firstLine="720"/>
      </w:pPr>
      <w:r>
        <w:t xml:space="preserve">These hypotheses carry the assurance-case spine that runs through the whole dissertation, a chain of five linked claims. Reentry closures actually withhold airspace and touch real flights, so the problem is real</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38">
        <w:r>
          <w:rPr>
            <w:rStyle w:val="Hyperlink"/>
          </w:rPr>
          <w:t xml:space="preserve">[38]</w:t>
        </w:r>
      </w:hyperlink>
      <w:r>
        <w:t xml:space="preserve">. The cost is non-trivial and grows with cadence and traffic density, so the problem is material</w:t>
      </w:r>
      <w:r>
        <w:t xml:space="preserve"> </w:t>
      </w:r>
      <w:hyperlink w:anchor="ref-4">
        <w:r>
          <w:rPr>
            <w:rStyle w:val="Hyperlink"/>
          </w:rPr>
          <w:t xml:space="preserve">[4]</w:t>
        </w:r>
      </w:hyperlink>
      <w:r>
        <w:t xml:space="preserve">,</w:t>
      </w:r>
      <w:r>
        <w:t xml:space="preserve"> </w:t>
      </w:r>
      <w:hyperlink w:anchor="ref-1">
        <w:r>
          <w:rPr>
            <w:rStyle w:val="Hyperlink"/>
          </w:rPr>
          <w:t xml:space="preserve">[1]</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Prediction uncertainty drives closure size, and tighter prediction with dynamic closure shrinks the withheld volume, so the intervention addresses the mechanism</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Dynamic, prediction-informed closure dominates static segregation on cost at equal safety, so the intervention beats the alternatives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 the narrowing stays bounded by validated prediction accuracy and by existing ground-and-air risk limits, never bought by relaxing them, so the residual risk is acceptable. The full assurance-case table is compiled at the synthesis stage. The spine appears here so the hypotheses read as the head of an argument rather than an isolated pair of claims.</w:t>
      </w:r>
    </w:p>
    <w:bookmarkEnd w:id="77"/>
    <w:bookmarkStart w:id="78" w:name="roadmap-of-the-dissertation"/>
    <w:p>
      <w:pPr>
        <w:pStyle w:val="Heading2"/>
        <w:spacing w:line="480" w:lineRule="auto"/>
      </w:pPr>
      <w:r>
        <w:t xml:space="preserve">1.8 Roadmap of the dissertation</w:t>
      </w:r>
    </w:p>
    <w:p>
      <w:pPr>
        <w:pStyle w:val="FirstParagraph"/>
        <w:spacing w:line="480" w:lineRule="auto"/>
      </w:pPr>
      <w:r>
        <w:t xml:space="preserve">The dissertation runs to eight chapters and a backmatter, its logic moving from problem to framework to evidence to design to plan to interpretation to conclusion.</w:t>
      </w:r>
    </w:p>
    <w:p>
      <w:pPr>
        <w:pStyle w:val="BodyText"/>
        <w:spacing w:line="480" w:lineRule="auto"/>
        <w:ind w:firstLine="720"/>
      </w:pPr>
      <w:r>
        <w:t xml:space="preserve">Chapter 2 develops the theoretical framework, taking each of the three methodological anchors in turn. Rao’s orbital-economy externalities supply the structure that makes the reentry closure a capacity shock whose cost the imposing operator escapes. The congestion-externality and delay-economics literature supplies the cost framework and the network-propagation account of how a localized disruption spreads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North’s institutions-and-transaction-costs framework supplies the institutional reason the measurement is load-bearing</w:t>
      </w:r>
      <w:r>
        <w:t xml:space="preserve"> </w:t>
      </w:r>
      <w:hyperlink w:anchor="ref-24">
        <w:r>
          <w:rPr>
            <w:rStyle w:val="Hyperlink"/>
          </w:rPr>
          <w:t xml:space="preserve">[24]</w:t>
        </w:r>
      </w:hyperlink>
      <w:r>
        <w:t xml:space="preserve">. The chapter then assembles these into the conceptual model the empirical work tests, in which closure size follows from prediction uncertainty, exposed-flight cost follows from closure size and traffic density, and the avoided cost is the difference between the static and dynamic regimes.</w:t>
      </w:r>
    </w:p>
    <w:p>
      <w:pPr>
        <w:pStyle w:val="BodyText"/>
        <w:spacing w:line="480" w:lineRule="auto"/>
        <w:ind w:firstLine="720"/>
      </w:pPr>
      <w:r>
        <w:t xml:space="preserve">Chapter 3 carries the literature and runs longest. Four themes organize it. The launch era set an airspace-disruption baseline, and the field then moved from static toward dynamic closure and from launch tools toward reentry. Delay became something economists could measure and trace as it propagated across the network. Around all of this, a space-economy literature began to describe a market taking shape. Every theme ends where the evidence thins, with a synthesis and a plain statement of what remains open. What stays open across all four is the same absence: no prior study has estimated, causally, what a single reentry event does to realized flight cost. That absence is the ground this dissertation stands on.</w:t>
      </w:r>
    </w:p>
    <w:p>
      <w:pPr>
        <w:pStyle w:val="BodyText"/>
        <w:spacing w:line="480" w:lineRule="auto"/>
        <w:ind w:firstLine="720"/>
      </w:pPr>
      <w:r>
        <w:t xml:space="preserve">Chapter 4 turns to the data and how each quantity is measured. Four layers feed the design, and the chapter takes them one at a time: the EU SST reentry catalog, the FAA NAS and SWIM operations record, the four IAC-26 down-mass PRISMA systematic reviews, and the ReentryFlow model. Only then does the notation get built, variable by variable. The reentry-prediction surface earns its own treatment, because it is what stands behind the treatment intensity, and prediction uncertainty here is both large and improvable. On the measurement error in the treatment the chapter stays honest. Footprint polygons come out of models, they carry uncertainty bounds, and those bounds have to be propagated forward rather than waved away as exact.</w:t>
      </w:r>
    </w:p>
    <w:p>
      <w:pPr>
        <w:pStyle w:val="BodyText"/>
        <w:spacing w:line="480" w:lineRule="auto"/>
        <w:ind w:firstLine="720"/>
      </w:pPr>
      <w:r>
        <w:t xml:space="preserve">Chapter 5 sets out the research design. Its primary estimator is the staggered difference-in-differences event study of Callaway and Sant’Anna</w:t>
      </w:r>
      <w:r>
        <w:t xml:space="preserve"> </w:t>
      </w:r>
      <w:hyperlink w:anchor="ref-14">
        <w:r>
          <w:rPr>
            <w:rStyle w:val="Hyperlink"/>
          </w:rPr>
          <w:t xml:space="preserve">[14]</w:t>
        </w:r>
      </w:hyperlink>
      <w:r>
        <w:t xml:space="preserve">, and the chapter says why: under staggered and heterogeneous timing, two-way fixed effects carry a known bias, and that bias is the reason for the choice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 From there the specification is written out and the identification assumptions are argued formally. Each threat to validity is paired with the mitigation that answers it. A robustness and placebo battery follows, then the power and minimum-detectable-effect analysis, and finally a commitment to a pre-registration and computational plan.</w:t>
      </w:r>
    </w:p>
    <w:p>
      <w:pPr>
        <w:pStyle w:val="BodyText"/>
        <w:spacing w:line="480" w:lineRule="auto"/>
        <w:ind w:firstLine="720"/>
      </w:pPr>
      <w:r>
        <w:t xml:space="preserve">Chapter 6 lays down the analysis plan. Two things are fixed before any data are seen: a five-step estimation procedure and a pre-committed decision rule on H0 and H1. Fixing them in advance is the whole point, because it means neither outcome can be retrofitted once the numbers land. The rest of the chapter does the connective work. Expected signs come with the mechanism that predicts them and a calibrated statement of how confident that prediction is. The illustrative static-versus-dynamic closure simulation is designed with every quantity left as a symbol. Continuous treatment and spatial spillover are handled, the event-study profile is read out, and the result tables are laid out in full even though no cell is yet filled.</w:t>
      </w:r>
    </w:p>
    <w:p>
      <w:pPr>
        <w:pStyle w:val="BodyText"/>
        <w:spacing w:line="480" w:lineRule="auto"/>
        <w:ind w:firstLine="720"/>
      </w:pPr>
      <w:r>
        <w:t xml:space="preserve">Chapter 7 opens the discussion. It follows the implications under both outcomes, not just the one the design hopes for, and returns the contribution to each of its anchors. From there it draws out what the finding means for NASA, JPL, and the wider civil-space enterprise as a matter of policy and mission. The rival explanations get a full hearing rather than a nod. On external validity the chapter refuses the tempting shortcut. Reported cost is a function of cadence and prediction uncertainty, and it is stated that way, never collapsed into a single number meant to travel everywhere.</w:t>
      </w:r>
    </w:p>
    <w:p>
      <w:pPr>
        <w:pStyle w:val="BodyText"/>
        <w:spacing w:line="480" w:lineRule="auto"/>
        <w:ind w:firstLine="720"/>
      </w:pPr>
      <w:r>
        <w:t xml:space="preserve">Chapter 8 brings the argument to a close. It restates the single falsifiable contribution and, just as plainly, what still stands if the hypothesis goes unconfirmed. The limitations are named without softening. A concrete future-research program follows, one that would run the design on the full dataset and push it into the higher-cadence down-mass regimes now taking shape. Then the dissertation ends.</w:t>
      </w:r>
    </w:p>
    <w:p>
      <w:pPr>
        <w:pStyle w:val="BodyText"/>
        <w:spacing w:line="480" w:lineRule="auto"/>
        <w:ind w:firstLine="720"/>
      </w:pPr>
      <w:r>
        <w:t xml:space="preserve">The backmatter is where the apparatus lives. It gathers the full reference list from the project corpus in one consistent style, every identifier clickable. Alongside it sit the variable and data dictionary, the derivations behind the group-time average treatment effect aggregation and the avoided-cost differencing identity, the instrument and query details, and the supplementary result-table templates.</w:t>
      </w:r>
    </w:p>
    <w:p>
      <w:pPr>
        <w:pStyle w:val="BodyText"/>
        <w:spacing w:line="480" w:lineRule="auto"/>
        <w:ind w:firstLine="720"/>
      </w:pPr>
      <w:r>
        <w:t xml:space="preserve">One thread runs the length of all eight chapters, and it is the claim stated at the head of this one. Reentry imposes a measurable, positive, per-event cost on the NAS. Better prediction paired with dynamic closure avoids a quantifiable share of that cost. Both statements hold unless the data say otherwise, and the design is built to hear that answer if it comes. What NASA, JPL, and the civil-space enterprise gain from all this is a defensible, design-based price for an externality that today carries no price at all. Large effect or small, that price is worth having.</w:t>
      </w:r>
    </w:p>
    <w:bookmarkEnd w:id="78"/>
    <w:bookmarkEnd w:id="79"/>
    <w:bookmarkStart w:id="101" w:name="chapter-2-theoretical-framework"/>
    <w:p>
      <w:pPr>
        <w:pStyle w:val="Heading1"/>
        <w:spacing w:line="480" w:lineRule="auto"/>
      </w:pPr>
      <w:r>
        <w:t xml:space="preserve">Chapter 2: Theoretical Framework</w:t>
      </w:r>
    </w:p>
    <w:bookmarkStart w:id="80" w:name="Xb6ad94edf4cddb0ee36feb118f1af390c8eaba3"/>
    <w:p>
      <w:pPr>
        <w:pStyle w:val="Heading2"/>
        <w:spacing w:line="480" w:lineRule="auto"/>
      </w:pPr>
      <w:r>
        <w:t xml:space="preserve">2.1 Chapter thesis: three frameworks converge on one load-bearing measurement</w:t>
      </w:r>
    </w:p>
    <w:p>
      <w:pPr>
        <w:pStyle w:val="FirstParagraph"/>
        <w:spacing w:line="480" w:lineRule="auto"/>
      </w:pPr>
      <w:r>
        <w:t xml:space="preserve">One claim carries this chapter, and the chapter sets out to earn it. Three theoretical traditions, each built for a problem that has nothing to do with air traffic or reentry, land on the same conclusion once they are pointed at the question this dissertation asks. The marginal cost a spacecraft reentry imposes on the U.S. National Airspace System (NAS) is the load-bearing quantity in the whole reentry-airspace policy problem. Until a credible design measures it, neither the regulator nor the prediction-and-modeling investor has a defensible number to act on. Each tradition supplies one piece. Rao and colleagues, working in the orbital economy, explain why the cost exists and what kind of thing it is: an externality, a real cost that one party (the reentry operator) lays on another (aviation users) who had no say in the decision that created it. The congestion-externality and delay-economics tradition that Mayer and Sinai founded explains how that externality sits inside a network, why a single closure radiates cost past the cells it touches directly, and why an absent price is the textbook setup for a system that over-consumes its scarce resource. Douglass North’s institutional economics explains what the measured price is</w:t>
      </w:r>
      <w:r>
        <w:t xml:space="preserve"> </w:t>
      </w:r>
      <w:r>
        <w:rPr>
          <w:i/>
          <w:iCs/>
        </w:rPr>
        <w:t xml:space="preserve">for</w:t>
      </w:r>
      <w:r>
        <w:t xml:space="preserve">. It is the input that lets the authorization rule migrate from high-transaction-cost, case-by-case adjudication toward a cheaper, repeatable, prediction-informed institution, and lacking that input, the rule stays put.</w:t>
      </w:r>
    </w:p>
    <w:p>
      <w:pPr>
        <w:pStyle w:val="BodyText"/>
        <w:spacing w:line="480" w:lineRule="auto"/>
        <w:ind w:firstLine="720"/>
      </w:pPr>
      <w:r>
        <w:t xml:space="preserve">None of the three is decoration on a single argument. Each is a distinct warrant licensing a different link in the chain that runs from the physical reentry event to the policy decision. Rao licenses the claim that the cost is an externality and therefore a candidate for pricing. Mayer and Sinai license the claim that the externality propagates and that a market left alone will not internalize it. North licenses the claim that measuring the externality is no academic flourish but the binding precondition for the institutional change that captures the value. Each anchor gets its own substantive section below, stating its primary sources and specifying exactly how it transfers to the reentry-airspace problem, the transfer written as a Toulmin unit so the warrant stays explicit and the rebuttal is named rather than buried. A fourth section brings in the policy-uncertainty and Pigouvian-pricing literature to supply the pricing instruments that the first three imply without constructing. The chapter closes by assembling all of this into the conceptual model the empirical chapters test: closure size follows from prediction uncertainty, exposed-flight cost follows from closure size and traffic density, and the avoided cost is the difference in that cost between a static-closure regime and a prediction-informed dynamic-closure regime.</w:t>
      </w:r>
    </w:p>
    <w:p>
      <w:pPr>
        <w:pStyle w:val="BodyText"/>
        <w:spacing w:line="480" w:lineRule="auto"/>
        <w:ind w:firstLine="720"/>
      </w:pPr>
      <w:r>
        <w:t xml:space="preserve">The problem this chapter addresses is theoretical rather than empirical, and it takes the same four-part shape the dissertation uses throughout. Each of these three frameworks is mature in its home domain and silent on the reentry-airspace intersection. Rao prices the on-orbit commons but not the airspace one. Mayer and Sinai analyze congestion delay, yet never as a consequence of a space event. North gives the institutional logic of transaction-cost reduction, but no one has turned it on an Aircraft Hazard Area (AHA). What is wanted instead is a single conceptual model that names the reentry closure as an externality, locates it inside a congestible network, and ties it to the institutional change a measured price would unlock. No prior work performs that synthesis, which leaves the empirical design that follows with no off-the-shelf theoretical structure and obliges it to build one. Skip the building and an empirical estimate of the per-event NAS cost arrives with no theory to say what the number means or what decision it should drive, which is exactly the failure mode that renders descriptive airspace-impact studies decision-inert. This chapter builds the structure, so that the measured number, once produced, reads as a price on an externality and acts as an input to an institutional choice.</w:t>
      </w:r>
    </w:p>
    <w:bookmarkEnd w:id="80"/>
    <w:bookmarkStart w:id="84" w:name="X82924c5fe01afcac24cba2d2ceb3ab4fe5c3f52"/>
    <w:p>
      <w:pPr>
        <w:pStyle w:val="Heading2"/>
        <w:spacing w:line="480" w:lineRule="auto"/>
      </w:pPr>
      <w:r>
        <w:t xml:space="preserve">2.2 Rao and the orbital-economy externality: the reentry closure as an unpriced capacity shock</w:t>
      </w:r>
    </w:p>
    <w:bookmarkStart w:id="81" w:name="the-framework-and-its-primary-sources"/>
    <w:p>
      <w:pPr>
        <w:pStyle w:val="Heading3"/>
        <w:spacing w:line="480" w:lineRule="auto"/>
      </w:pPr>
      <w:r>
        <w:t xml:space="preserve">2.2.1 The framework and its primary sources</w:t>
      </w:r>
    </w:p>
    <w:p>
      <w:pPr>
        <w:pStyle w:val="FirstParagraph"/>
        <w:spacing w:line="480" w:lineRule="auto"/>
      </w:pPr>
      <w:r>
        <w:t xml:space="preserve">The first anchor is the orbital-economy externality framework, its canonical recent statement the integrated-assessment work of Rao, Burgess, and Kaffine</w:t>
      </w:r>
      <w:r>
        <w:t xml:space="preserve"> </w:t>
      </w:r>
      <w:hyperlink w:anchor="ref-23">
        <w:r>
          <w:rPr>
            <w:rStyle w:val="Hyperlink"/>
          </w:rPr>
          <w:t xml:space="preserve">[23]</w:t>
        </w:r>
      </w:hyperlink>
      <w:r>
        <w:t xml:space="preserve">. The framework reads orbital space as a congestible common-pool resource. Every satellite placed in orbit raises the collision and debris risk borne by every other operator, and because the launching party pays nothing for the risk it imposes, the private cost of an additional satellite sits below its social cost. The standard externality wedge follows. The market over-supplies orbital occupancy against the social optimum, and a corrective instrument, in Rao and colleagues’ analysis an orbital-use fee set to the marginal external cost, restores efficiency and, on their integrated-assessment estimates, lifts the present value of the industry substantially by averting a congestion-driven collapse of the resource. The companion literature reinforces the structure from an explicitly economic-modeling angle. Bongers and Torres model orbital debris and the satellite market as a dynamic externality problem in which the debris stock is a negative-productivity capital that piles up because no operator internalizes its contribution</w:t>
      </w:r>
      <w:r>
        <w:t xml:space="preserve"> </w:t>
      </w:r>
      <w:hyperlink w:anchor="ref-57">
        <w:r>
          <w:rPr>
            <w:rStyle w:val="Hyperlink"/>
          </w:rPr>
          <w:t xml:space="preserve">[57]</w:t>
        </w:r>
      </w:hyperlink>
      <w:r>
        <w:t xml:space="preserve">. Weinzierl frames the whole transition from public to commercial space activity as governed first by the correct pricing of externalities and the design of institutions, only secondarily by engineering progress</w:t>
      </w:r>
      <w:r>
        <w:t xml:space="preserve"> </w:t>
      </w:r>
      <w:hyperlink w:anchor="ref-16">
        <w:r>
          <w:rPr>
            <w:rStyle w:val="Hyperlink"/>
          </w:rPr>
          <w:t xml:space="preserve">[16]</w:t>
        </w:r>
      </w:hyperlink>
      <w:r>
        <w:t xml:space="preserve">. All three share one analytical move: name a shared physical resource, name the party whose private decision degrades it, observe that the degradation cost lands on uncompensated third parties, and conclude that a measured price on that cost is the precondition for efficient use.</w:t>
      </w:r>
    </w:p>
    <w:bookmarkEnd w:id="81"/>
    <w:bookmarkStart w:id="82" w:name="X22f7f64ee50e8a52193a01749f5fedf0ae5e068"/>
    <w:p>
      <w:pPr>
        <w:pStyle w:val="Heading3"/>
        <w:spacing w:line="480" w:lineRule="auto"/>
      </w:pPr>
      <w:r>
        <w:t xml:space="preserve">2.2.2 The transfer to the reentry-airspace problem</w:t>
      </w:r>
    </w:p>
    <w:p>
      <w:pPr>
        <w:pStyle w:val="FirstParagraph"/>
        <w:spacing w:line="480" w:lineRule="auto"/>
      </w:pPr>
      <w:r>
        <w:t xml:space="preserve">The transfer claim is the following, stated as a Toulmin unit.</w:t>
      </w:r>
    </w:p>
    <w:p>
      <w:pPr>
        <w:pStyle w:val="BodyText"/>
        <w:spacing w:line="480" w:lineRule="auto"/>
        <w:ind w:firstLine="720"/>
      </w:pPr>
      <w:r>
        <w:rPr>
          <w:b/>
          <w:bCs/>
        </w:rPr>
        <w:t xml:space="preserve">Claim.</w:t>
      </w:r>
      <w:r>
        <w:t xml:space="preserve"> </w:t>
      </w:r>
      <w:r>
        <w:t xml:space="preserve">A spacecraft reentry that triggers an AHA closure is an unpriced negative externality of exactly the structure Rao prices for the on-orbit commons, the NAS sector-time window playing the congestible common resource and the reentry operator playing the party whose private decision withholds it from other users.</w:t>
      </w:r>
    </w:p>
    <w:p>
      <w:pPr>
        <w:pStyle w:val="BodyText"/>
        <w:spacing w:line="480" w:lineRule="auto"/>
        <w:ind w:firstLine="720"/>
      </w:pPr>
      <w:r>
        <w:rPr>
          <w:b/>
          <w:bCs/>
        </w:rPr>
        <w:t xml:space="preserve">Grounds.</w:t>
      </w:r>
      <w:r>
        <w:t xml:space="preserve"> </w:t>
      </w:r>
      <w:r>
        <w:t xml:space="preserve">A reentry-driven AHA withholds a finite volume of airspace over a sector-time window from the aircraft that would otherwise have used it, and those aircraft, party to none of the reentry authorization, receive no compensation for the delay, reroute, and fuel cost they bear. The launch-and-reentry airspace literature documents real closures touching real flight populations: international carriers on the order of 8 to 10 percent of affected flights and general aviation roughly a third at a major coastal site under fast-time simulation</w:t>
      </w:r>
      <w:r>
        <w:t xml:space="preserve"> </w:t>
      </w:r>
      <w:hyperlink w:anchor="ref-3">
        <w:r>
          <w:rPr>
            <w:rStyle w:val="Hyperlink"/>
          </w:rPr>
          <w:t xml:space="preserve">[3]</w:t>
        </w:r>
      </w:hyperlink>
      <w:r>
        <w:t xml:space="preserve">, the disruption translatable into delay, distance, and fuel-burn penalties on the affected population</w:t>
      </w:r>
      <w:r>
        <w:t xml:space="preserve"> </w:t>
      </w:r>
      <w:hyperlink w:anchor="ref-2">
        <w:r>
          <w:rPr>
            <w:rStyle w:val="Hyperlink"/>
          </w:rPr>
          <w:t xml:space="preserve">[2]</w:t>
        </w:r>
      </w:hyperlink>
      <w:r>
        <w:t xml:space="preserve">, and reentry-driven closures singled out as a growing burden tied to constellation deorbit rates</w:t>
      </w:r>
      <w:r>
        <w:t xml:space="preserve"> </w:t>
      </w:r>
      <w:hyperlink w:anchor="ref-1">
        <w:r>
          <w:rPr>
            <w:rStyle w:val="Hyperlink"/>
          </w:rPr>
          <w:t xml:space="preserve">[1]</w:t>
        </w:r>
      </w:hyperlink>
      <w:r>
        <w:t xml:space="preserve">.</w:t>
      </w:r>
    </w:p>
    <w:p>
      <w:pPr>
        <w:pStyle w:val="BodyText"/>
        <w:spacing w:line="480" w:lineRule="auto"/>
        <w:ind w:firstLine="720"/>
      </w:pPr>
      <w:r>
        <w:rPr>
          <w:b/>
          <w:bCs/>
        </w:rPr>
        <w:t xml:space="preserve">Warrant.</w:t>
      </w:r>
      <w:r>
        <w:t xml:space="preserve"> </w:t>
      </w:r>
      <w:r>
        <w:t xml:space="preserve">Rao’s framework holds that when a party’s private use of a shared, congestible resource imposes a cost on other users that it does not bear, that cost is an externality, and the social optimum requires it priced</w:t>
      </w:r>
      <w:r>
        <w:t xml:space="preserve"> </w:t>
      </w:r>
      <w:hyperlink w:anchor="ref-23">
        <w:r>
          <w:rPr>
            <w:rStyle w:val="Hyperlink"/>
          </w:rPr>
          <w:t xml:space="preserve">[23]</w:t>
        </w:r>
      </w:hyperlink>
      <w:r>
        <w:t xml:space="preserve">. The airspace sector-time window is shared, with many operators contending for it; congestible, its capacity finite and a closure exhausting it for the window; and the reentry operator’s decision to reenter through it imposes a cost on aviation users the operator does not pay. All three conditions that make the orbital case an externality hold in the airspace case, so the warrant carries over.</w:t>
      </w:r>
    </w:p>
    <w:p>
      <w:pPr>
        <w:pStyle w:val="BodyText"/>
        <w:spacing w:line="480" w:lineRule="auto"/>
        <w:ind w:firstLine="720"/>
      </w:pPr>
      <w:r>
        <w:rPr>
          <w:b/>
          <w:bCs/>
        </w:rPr>
        <w:t xml:space="preserve">Backing.</w:t>
      </w:r>
      <w:r>
        <w:t xml:space="preserve"> </w:t>
      </w:r>
      <w:r>
        <w:t xml:space="preserve">The backing runs two ways. Theoretically, Bongers and Torres show the externality logic reaching past collision risk to any shared resource whose state one party degrades without compensation</w:t>
      </w:r>
      <w:r>
        <w:t xml:space="preserve"> </w:t>
      </w:r>
      <w:hyperlink w:anchor="ref-57">
        <w:r>
          <w:rPr>
            <w:rStyle w:val="Hyperlink"/>
          </w:rPr>
          <w:t xml:space="preserve">[57]</w:t>
        </w:r>
      </w:hyperlink>
      <w:r>
        <w:t xml:space="preserve">, and Weinzierl marks externality pricing as the governing economic variable for the space sector’s commercialization rather than a peripheral one</w:t>
      </w:r>
      <w:r>
        <w:t xml:space="preserve"> </w:t>
      </w:r>
      <w:hyperlink w:anchor="ref-16">
        <w:r>
          <w:rPr>
            <w:rStyle w:val="Hyperlink"/>
          </w:rPr>
          <w:t xml:space="preserve">[16]</w:t>
        </w:r>
      </w:hyperlink>
      <w:r>
        <w:t xml:space="preserve">. Empirically, Mayer and Sinai, treated in the next section, formally identify the congestion-externality structure inside aviation itself, showing the airspace resource exhibiting exactly the congestion property the warrant needs</w:t>
      </w:r>
      <w:r>
        <w:t xml:space="preserve"> </w:t>
      </w:r>
      <w:hyperlink w:anchor="ref-11">
        <w:r>
          <w:rPr>
            <w:rStyle w:val="Hyperlink"/>
          </w:rPr>
          <w:t xml:space="preserve">[11]</w:t>
        </w:r>
      </w:hyperlink>
      <w:r>
        <w:t xml:space="preserve">.</w:t>
      </w:r>
    </w:p>
    <w:p>
      <w:pPr>
        <w:pStyle w:val="BodyText"/>
        <w:spacing w:line="480" w:lineRule="auto"/>
        <w:ind w:firstLine="720"/>
      </w:pPr>
      <w:r>
        <w:rPr>
          <w:b/>
          <w:bCs/>
        </w:rPr>
        <w:t xml:space="preserve">Qualifier.</w:t>
      </w:r>
      <w:r>
        <w:t xml:space="preserve"> </w:t>
      </w:r>
      <w:r>
        <w:t xml:space="preserve">The transfer holds for the</w:t>
      </w:r>
      <w:r>
        <w:t xml:space="preserve"> </w:t>
      </w:r>
      <w:r>
        <w:rPr>
          <w:i/>
          <w:iCs/>
        </w:rPr>
        <w:t xml:space="preserve">structure</w:t>
      </w:r>
      <w:r>
        <w:t xml:space="preserve"> </w:t>
      </w:r>
      <w:r>
        <w:t xml:space="preserve">of the cost, not yet its</w:t>
      </w:r>
      <w:r>
        <w:t xml:space="preserve"> </w:t>
      </w:r>
      <w:r>
        <w:rPr>
          <w:i/>
          <w:iCs/>
        </w:rPr>
        <w:t xml:space="preserve">magnitude</w:t>
      </w:r>
      <w:r>
        <w:t xml:space="preserve">. Rao’s framework licenses the claim that the reentry closure is an externality and so a candidate for pricing; it does not on its own say how large the per-event cost is. Magnitude is exactly what the empirical design is built to estimate, and at the design stage it is unmeasured. Confidence in the structural claim is high, its three defining conditions individually documented; confidence in any particular magnitude is withheld until the estimate is executed.</w:t>
      </w:r>
    </w:p>
    <w:p>
      <w:pPr>
        <w:pStyle w:val="BodyText"/>
        <w:spacing w:line="480" w:lineRule="auto"/>
        <w:ind w:firstLine="720"/>
      </w:pPr>
      <w:r>
        <w:rPr>
          <w:b/>
          <w:bCs/>
        </w:rPr>
        <w:t xml:space="preserve">Rebuttal.</w:t>
      </w:r>
      <w:r>
        <w:t xml:space="preserve"> </w:t>
      </w:r>
      <w:r>
        <w:t xml:space="preserve">The most serious challenge to the transfer is that the orbital externality and the airspace externality differ enough to break the analogy: the orbital commons is degraded</w:t>
      </w:r>
      <w:r>
        <w:t xml:space="preserve"> </w:t>
      </w:r>
      <w:r>
        <w:rPr>
          <w:i/>
          <w:iCs/>
        </w:rPr>
        <w:t xml:space="preserve">cumulatively and irreversibly</w:t>
      </w:r>
      <w:r>
        <w:t xml:space="preserve"> </w:t>
      </w:r>
      <w:r>
        <w:t xml:space="preserve">(debris persists for decades), whereas an airspace closure is</w:t>
      </w:r>
      <w:r>
        <w:t xml:space="preserve"> </w:t>
      </w:r>
      <w:r>
        <w:rPr>
          <w:i/>
          <w:iCs/>
        </w:rPr>
        <w:t xml:space="preserve">transient</w:t>
      </w:r>
      <w:r>
        <w:t xml:space="preserve"> </w:t>
      </w:r>
      <w:r>
        <w:t xml:space="preserve">(the window reopens). Part of this is conceded, part answered. Conceded first: the airspace resource is not cumulatively degraded the way the orbital stock is, so the dynamic-stock externality of Bongers and Torres does not transfer in full</w:t>
      </w:r>
      <w:r>
        <w:t xml:space="preserve"> </w:t>
      </w:r>
      <w:hyperlink w:anchor="ref-57">
        <w:r>
          <w:rPr>
            <w:rStyle w:val="Hyperlink"/>
          </w:rPr>
          <w:t xml:space="preserve">[57]</w:t>
        </w:r>
      </w:hyperlink>
      <w:r>
        <w:t xml:space="preserve">. Answered next: transience does not remove the externality, it only reshapes its time profile. A transient closure still imposes an uncompensated cost on third parties during its window, and the network-propagation evidence of Section 2.3 shows that cost outliving the window, so the externality is far less instantaneous than the rebuttal supposes. The correct analogue is the static (flow) externality that Mayer and Sinai price, not the dynamic (stock) externality, and the design adopts the flow version.</w:t>
      </w:r>
    </w:p>
    <w:bookmarkEnd w:id="82"/>
    <w:bookmarkStart w:id="83" w:name="the-mechanism-named"/>
    <w:p>
      <w:pPr>
        <w:pStyle w:val="Heading3"/>
        <w:spacing w:line="480" w:lineRule="auto"/>
      </w:pPr>
      <w:r>
        <w:t xml:space="preserve">2.2.3 The mechanism, named</w:t>
      </w:r>
    </w:p>
    <w:p>
      <w:pPr>
        <w:pStyle w:val="FirstParagraph"/>
        <w:spacing w:line="480" w:lineRule="auto"/>
      </w:pPr>
      <w:r>
        <w:t xml:space="preserve">This is more than a bare analogy, because the dissertation’s causal mechanism names every link. A reentry event carries large prediction uncertainty. To cover it, a conservative static AHA is sized to a worst-case dispersion envelope, which withholds a large airspace volume over a sector-time window. Exposed flights delay, hold, or reroute, generating added delay minutes, added distance, fuel burn, and direct operating cost, and network propagation carries the cost beyond the closed window. The end of the chain is an unpriced externality on aviation that scales with reentry cadence, and measuring it is what any lower-transaction-cost authorization institution or corridor-pricing instrument would first require. Rao’s contribution is to name that final link as an externality, and so to tell us what kind of number the measured per-event cost is: not a curiosity, but a price.</w:t>
      </w:r>
    </w:p>
    <w:bookmarkEnd w:id="83"/>
    <w:bookmarkEnd w:id="84"/>
    <w:bookmarkStart w:id="88" w:name="Xa7eef316064c6dd047e2be853476e28524fa2bc"/>
    <w:p>
      <w:pPr>
        <w:pStyle w:val="Heading2"/>
        <w:spacing w:line="480" w:lineRule="auto"/>
      </w:pPr>
      <w:r>
        <w:t xml:space="preserve">2.3 The congestion-externality and delay-economics framework: structure, propagation, and the precondition for pricing</w:t>
      </w:r>
    </w:p>
    <w:bookmarkStart w:id="85" w:name="the-framework-and-its-primary-sources-1"/>
    <w:p>
      <w:pPr>
        <w:pStyle w:val="Heading3"/>
        <w:spacing w:line="480" w:lineRule="auto"/>
      </w:pPr>
      <w:r>
        <w:t xml:space="preserve">2.3.1 The framework and its primary sources</w:t>
      </w:r>
    </w:p>
    <w:p>
      <w:pPr>
        <w:pStyle w:val="FirstParagraph"/>
        <w:spacing w:line="480" w:lineRule="auto"/>
      </w:pPr>
      <w:r>
        <w:t xml:space="preserve">The second anchor supplies the cost framework and the internal structure of the externality. Its foundational statement is Mayer and Sinai, who show air traffic delay to be in substantial part a congestion externality rather than pure waste [11, 45]. Schedule into a congested hub or consume scarce airspace capacity and you impose delay on other operators that you do not bear; a single operator that internalizes the congestion it causes, a dominant carrier at its own hub, delays itself less than the atomistic-competition benchmark would predict, which is the empirical signature Mayer and Sinai exploit to show the externality real and quantitatively important. The result fixes the textbook condition under which a system under-provides the avoidance of disruption: when the party consuming the scarce capacity does not face the full social cost of doing so, capacity is over-consumed and disruption under-avoided.</w:t>
      </w:r>
    </w:p>
    <w:p>
      <w:pPr>
        <w:pStyle w:val="BodyText"/>
        <w:spacing w:line="480" w:lineRule="auto"/>
        <w:ind w:firstLine="720"/>
      </w:pPr>
      <w:r>
        <w:t xml:space="preserve">The framework’s second pillar is the network-propagation account of delay, which establishes that the externality is not local. Rebollo and Balakrishnan characterize and predict air traffic delays statistically and document how a disruption at one node raises delay at downstream nodes through aircraft, crew, and slot linkages</w:t>
      </w:r>
      <w:r>
        <w:t xml:space="preserve"> </w:t>
      </w:r>
      <w:hyperlink w:anchor="ref-12">
        <w:r>
          <w:rPr>
            <w:rStyle w:val="Hyperlink"/>
          </w:rPr>
          <w:t xml:space="preserve">[12]</w:t>
        </w:r>
      </w:hyperlink>
      <w:r>
        <w:t xml:space="preserve">. Fleurquin, Ramasco, and Eguiluz model systemic delay propagation across the U.S. airport network and show that local perturbations can cascade into network-wide congestion through a reinforcing mechanism [43, 40]. Zhang and colleagues simulate how propagation depends on network configuration, demonstrating that the same initial delay produces different total cost under different topologies</w:t>
      </w:r>
      <w:r>
        <w:t xml:space="preserve"> </w:t>
      </w:r>
      <w:hyperlink w:anchor="ref-41">
        <w:r>
          <w:rPr>
            <w:rStyle w:val="Hyperlink"/>
          </w:rPr>
          <w:t xml:space="preserve">[41]</w:t>
        </w:r>
      </w:hyperlink>
      <w:r>
        <w:t xml:space="preserve">, while Wu and colleagues model propagation jointly across the airport and airspace network rather than airports alone, which matters here because a reentry closure is an airspace event, not an airport event</w:t>
      </w:r>
      <w:r>
        <w:t xml:space="preserve"> </w:t>
      </w:r>
      <w:hyperlink w:anchor="ref-42">
        <w:r>
          <w:rPr>
            <w:rStyle w:val="Hyperlink"/>
          </w:rPr>
          <w:t xml:space="preserve">[42]</w:t>
        </w:r>
      </w:hyperlink>
      <w:r>
        <w:t xml:space="preserve">. Earlier and complementary work establishes the empirical lineage: Beatty and colleagues provided an early evaluation of delay propagation through an airline schedule</w:t>
      </w:r>
      <w:r>
        <w:t xml:space="preserve"> </w:t>
      </w:r>
      <w:hyperlink w:anchor="ref-74">
        <w:r>
          <w:rPr>
            <w:rStyle w:val="Hyperlink"/>
          </w:rPr>
          <w:t xml:space="preserve">[74]</w:t>
        </w:r>
      </w:hyperlink>
      <w:r>
        <w:t xml:space="preserve">, Arikan, Deshpande, and Sohoni built stochastic models of airline-network reliability from empirical data</w:t>
      </w:r>
      <w:r>
        <w:t xml:space="preserve"> </w:t>
      </w:r>
      <w:hyperlink w:anchor="ref-77">
        <w:r>
          <w:rPr>
            <w:rStyle w:val="Hyperlink"/>
          </w:rPr>
          <w:t xml:space="preserve">[77]</w:t>
        </w:r>
      </w:hyperlink>
      <w:r>
        <w:t xml:space="preserve">, and Gopalakrishnan and Balakrishnan synthesize the control-and-optimization view of air traffic networks in which a localized capacity shock is a network-flow perturbation with system-level consequences</w:t>
      </w:r>
      <w:r>
        <w:t xml:space="preserve"> </w:t>
      </w:r>
      <w:hyperlink w:anchor="ref-39">
        <w:r>
          <w:rPr>
            <w:rStyle w:val="Hyperlink"/>
          </w:rPr>
          <w:t xml:space="preserve">[39]</w:t>
        </w:r>
      </w:hyperlink>
      <w:r>
        <w:t xml:space="preserve">.</w:t>
      </w:r>
    </w:p>
    <w:bookmarkEnd w:id="85"/>
    <w:bookmarkStart w:id="86" w:name="X887a3d128d141931a47841739ff444409331a65"/>
    <w:p>
      <w:pPr>
        <w:pStyle w:val="Heading3"/>
        <w:spacing w:line="480" w:lineRule="auto"/>
      </w:pPr>
      <w:r>
        <w:t xml:space="preserve">2.3.2 The transfer to the reentry-airspace problem</w:t>
      </w:r>
    </w:p>
    <w:p>
      <w:pPr>
        <w:pStyle w:val="FirstParagraph"/>
        <w:spacing w:line="480" w:lineRule="auto"/>
      </w:pPr>
      <w:r>
        <w:t xml:space="preserve">The transfer is stated as a Toulmin unit.</w:t>
      </w:r>
    </w:p>
    <w:p>
      <w:pPr>
        <w:pStyle w:val="BodyText"/>
        <w:spacing w:line="480" w:lineRule="auto"/>
        <w:ind w:firstLine="720"/>
      </w:pPr>
      <w:r>
        <w:rPr>
          <w:b/>
          <w:bCs/>
        </w:rPr>
        <w:t xml:space="preserve">Claim.</w:t>
      </w:r>
      <w:r>
        <w:t xml:space="preserve"> </w:t>
      </w:r>
      <w:r>
        <w:t xml:space="preserve">A reentry-driven AHA closure is a capacity shock carrying the congestion-externality structure of Mayer and Sinai, and its cost propagates through the NAS network so the within-window cost understates the true per-event cost.</w:t>
      </w:r>
    </w:p>
    <w:p>
      <w:pPr>
        <w:pStyle w:val="BodyText"/>
        <w:spacing w:line="480" w:lineRule="auto"/>
        <w:ind w:firstLine="720"/>
      </w:pPr>
      <w:r>
        <w:rPr>
          <w:b/>
          <w:bCs/>
        </w:rPr>
        <w:t xml:space="preserve">Grounds.</w:t>
      </w:r>
      <w:r>
        <w:t xml:space="preserve"> </w:t>
      </w:r>
      <w:r>
        <w:t xml:space="preserve">The closure withholds capacity from a sector-time window, the same scarce-capacity-consumption event Mayer and Sinai analyze, except the consuming party is a space operator external to aviation rather than a competing carrier</w:t>
      </w:r>
      <w:r>
        <w:t xml:space="preserve"> </w:t>
      </w:r>
      <w:hyperlink w:anchor="ref-11">
        <w:r>
          <w:rPr>
            <w:rStyle w:val="Hyperlink"/>
          </w:rPr>
          <w:t xml:space="preserve">[11]</w:t>
        </w:r>
      </w:hyperlink>
      <w:r>
        <w:t xml:space="preserve">. The propagation grounds are the documented cascade dynamics: a localized airspace perturbation raises downstream delay through the network [12, 43, 42], and the size of the cascade turns on network configuration and on whether the perturbation strikes the airspace layer rather than only an airport [41, 39].</w:t>
      </w:r>
    </w:p>
    <w:p>
      <w:pPr>
        <w:pStyle w:val="BodyText"/>
        <w:spacing w:line="480" w:lineRule="auto"/>
        <w:ind w:firstLine="720"/>
      </w:pPr>
      <w:r>
        <w:rPr>
          <w:b/>
          <w:bCs/>
        </w:rPr>
        <w:t xml:space="preserve">Warrant.</w:t>
      </w:r>
      <w:r>
        <w:t xml:space="preserve"> </w:t>
      </w:r>
      <w:r>
        <w:t xml:space="preserve">Mayer and Sinai’s framework warrants treating any uncompensated consumption of scarce airspace capacity as a congestion externality</w:t>
      </w:r>
      <w:r>
        <w:t xml:space="preserve"> </w:t>
      </w:r>
      <w:hyperlink w:anchor="ref-11">
        <w:r>
          <w:rPr>
            <w:rStyle w:val="Hyperlink"/>
          </w:rPr>
          <w:t xml:space="preserve">[11]</w:t>
        </w:r>
      </w:hyperlink>
      <w:r>
        <w:t xml:space="preserve">; the propagation literature warrants treating any localized airspace capacity shock as having network-wide consequences beyond its local footprint [12, 43]. Both carry over to the reentry closure unmodified, because once active the closure is, in the network’s terms, indistinguishable from any other source of withheld capacity. The network does not know the cause is a reentry rather than a storm; it answers to the withheld volume.</w:t>
      </w:r>
    </w:p>
    <w:p>
      <w:pPr>
        <w:pStyle w:val="BodyText"/>
        <w:spacing w:line="480" w:lineRule="auto"/>
        <w:ind w:firstLine="720"/>
      </w:pPr>
      <w:r>
        <w:rPr>
          <w:b/>
          <w:bCs/>
        </w:rPr>
        <w:t xml:space="preserve">Backing.</w:t>
      </w:r>
      <w:r>
        <w:t xml:space="preserve"> </w:t>
      </w:r>
      <w:r>
        <w:t xml:space="preserve">The backing is the convergence of independent propagation studies on the same qualitative result across different methods, statistical characterization in Rebollo and Balakrishnan, network-physics modeling in Fleurquin and colleagues, configuration-dependent simulation in Zhang and colleagues, joint airport-airspace modeling in Wu and colleagues. When studies using different methods reach the same conclusion, that local disruption cascades, the conclusion holds robust to any single method’s assumptions, the strongest backing available for a transferred warrant at the design stage.</w:t>
      </w:r>
    </w:p>
    <w:p>
      <w:pPr>
        <w:pStyle w:val="BodyText"/>
        <w:spacing w:line="480" w:lineRule="auto"/>
        <w:ind w:firstLine="720"/>
      </w:pPr>
      <w:r>
        <w:rPr>
          <w:b/>
          <w:bCs/>
        </w:rPr>
        <w:t xml:space="preserve">Qualifier.</w:t>
      </w:r>
      <w:r>
        <w:t xml:space="preserve"> </w:t>
      </w:r>
      <w:r>
        <w:t xml:space="preserve">The propagation magnitude is configuration-dependent, not a constant</w:t>
      </w:r>
      <w:r>
        <w:t xml:space="preserve"> </w:t>
      </w:r>
      <w:hyperlink w:anchor="ref-41">
        <w:r>
          <w:rPr>
            <w:rStyle w:val="Hyperlink"/>
          </w:rPr>
          <w:t xml:space="preserve">[41]</w:t>
        </w:r>
      </w:hyperlink>
      <w:r>
        <w:t xml:space="preserve">, so how far within-window cost understates total cost varies by event, sector, and traffic state. The design therefore treats network propagation as a bounding consideration on the construct rather than a fixed multiplier, reporting the within-window effect as a lower bound on the per-event cost and using the propagation evidence to characterize, not point-estimate, the omitted downstream component. Confidence that propagation exists is high; confidence in any specific propagation multiplier is low, and none is asserted.</w:t>
      </w:r>
    </w:p>
    <w:p>
      <w:pPr>
        <w:pStyle w:val="BodyText"/>
        <w:spacing w:line="480" w:lineRule="auto"/>
        <w:ind w:firstLine="720"/>
      </w:pPr>
      <w:r>
        <w:rPr>
          <w:b/>
          <w:bCs/>
        </w:rPr>
        <w:t xml:space="preserve">Rebuttal.</w:t>
      </w:r>
      <w:r>
        <w:t xml:space="preserve"> </w:t>
      </w:r>
      <w:r>
        <w:t xml:space="preserve">A rebuttal holds that reentry closures may be small enough or rare enough that propagation is negligible, leaving the within-window cost as the whole cost. This is conceded as possible at low cadence and contested at the cadence the dissertation concerns itself with. At one event per month the propagation may indeed be lost in network noise. At one event per week or per day, the same closure recurs often enough that the cumulative propagated cost turns material, which is exactly why the design estimates the cost as a function of cadence rather than a single scalar. The rebuttal, if correct, narrows the claim to high-cadence regimes rather than refuting it.</w:t>
      </w:r>
    </w:p>
    <w:bookmarkEnd w:id="86"/>
    <w:bookmarkStart w:id="87" w:name="X9601556fd8ca42fdea65e80fb51b80249670a08"/>
    <w:p>
      <w:pPr>
        <w:pStyle w:val="Heading3"/>
        <w:spacing w:line="480" w:lineRule="auto"/>
      </w:pPr>
      <w:r>
        <w:t xml:space="preserve">2.3.3 Why this framework makes the measurement a precondition</w:t>
      </w:r>
    </w:p>
    <w:p>
      <w:pPr>
        <w:pStyle w:val="FirstParagraph"/>
        <w:spacing w:line="480" w:lineRule="auto"/>
      </w:pPr>
      <w:r>
        <w:t xml:space="preserve">The decisive contribution of this anchor is not the cost accounting. It is the demonstration that the market will not internalize the externality on its own. Mayer and Sinai’s result is exactly that uninternalized congestion is the equilibrium when the consuming party does not face the full social cost</w:t>
      </w:r>
      <w:r>
        <w:t xml:space="preserve"> </w:t>
      </w:r>
      <w:hyperlink w:anchor="ref-11">
        <w:r>
          <w:rPr>
            <w:rStyle w:val="Hyperlink"/>
          </w:rPr>
          <w:t xml:space="preserve">[11]</w:t>
        </w:r>
      </w:hyperlink>
      <w:r>
        <w:t xml:space="preserve">. Carry that to reentry and it means the space operator, absent an instrument, keeps imposing airspace cost it does not bear, and the cost grows with cadence. The economic literature is unambiguous that the corrective instrument takes a measured marginal external cost as its input. The propagation literature sharpens the point by showing the cost to be measured runs larger than the visible local cost [43, 12]. Together they establish the precondition the chapter thesis asserts: a measurement is not optional, because without it the externality stays both unpriced and underestimated.</w:t>
      </w:r>
    </w:p>
    <w:bookmarkEnd w:id="87"/>
    <w:bookmarkEnd w:id="88"/>
    <w:bookmarkStart w:id="92" w:name="X7bdeaca8d8165851a392623e889fd2d0b145242"/>
    <w:p>
      <w:pPr>
        <w:pStyle w:val="Heading2"/>
        <w:spacing w:line="480" w:lineRule="auto"/>
      </w:pPr>
      <w:r>
        <w:t xml:space="preserve">2.4 North and the institutional logic: why the measured price lets the rule change</w:t>
      </w:r>
    </w:p>
    <w:bookmarkStart w:id="89" w:name="the-framework-and-its-primary-sources-2"/>
    <w:p>
      <w:pPr>
        <w:pStyle w:val="Heading3"/>
        <w:spacing w:line="480" w:lineRule="auto"/>
      </w:pPr>
      <w:r>
        <w:t xml:space="preserve">2.4.1 The framework and its primary sources</w:t>
      </w:r>
    </w:p>
    <w:p>
      <w:pPr>
        <w:pStyle w:val="FirstParagraph"/>
        <w:spacing w:line="480" w:lineRule="auto"/>
      </w:pPr>
      <w:r>
        <w:t xml:space="preserve">The third anchor is Douglass North’s institutional economics, its canonical statement</w:t>
      </w:r>
      <w:r>
        <w:t xml:space="preserve"> </w:t>
      </w:r>
      <w:r>
        <w:rPr>
          <w:i/>
          <w:iCs/>
        </w:rPr>
        <w:t xml:space="preserve">Institutions, Institutional Change and Economic Performance</w:t>
      </w:r>
      <w:r>
        <w:t xml:space="preserve"> </w:t>
      </w:r>
      <w:hyperlink w:anchor="ref-24">
        <w:r>
          <w:rPr>
            <w:rStyle w:val="Hyperlink"/>
          </w:rPr>
          <w:t xml:space="preserve">[24]</w:t>
        </w:r>
      </w:hyperlink>
      <w:r>
        <w:t xml:space="preserve">. North separates institutions, the rules of the game, from organizations, the players who operate within them, and holds that institutions exist to reduce the transaction costs of impersonal exchange. What drives institutional change is shifts in relative prices and in the cost of operating a given set of rules. A rule persists while the cost of changing it exceeds the gain, and changes once a measured shift in relative cost makes the new rule worth its switching cost. North’s framework is therefore not merely descriptive of institutions but predictive of when they move: the binding requirement for institutional change is a perceived change in the relative cost of the existing rule against its alternative, and that perception must rest on measurement for a deliberate change, as against an evolutionary one, to be made. Weinzierl applies just this logic to the space sector, arguing the pace of commercialization is set by institutional design and externality pricing rather than engineering</w:t>
      </w:r>
      <w:r>
        <w:t xml:space="preserve"> </w:t>
      </w:r>
      <w:hyperlink w:anchor="ref-16">
        <w:r>
          <w:rPr>
            <w:rStyle w:val="Hyperlink"/>
          </w:rPr>
          <w:t xml:space="preserve">[16]</w:t>
        </w:r>
      </w:hyperlink>
      <w:r>
        <w:t xml:space="preserve">, and Adilov and Alexander locate the creation of new space markets in deliberate institutional design, with authorization frameworks and corridor access among the operative levers</w:t>
      </w:r>
      <w:r>
        <w:t xml:space="preserve"> </w:t>
      </w:r>
      <w:hyperlink w:anchor="ref-18">
        <w:r>
          <w:rPr>
            <w:rStyle w:val="Hyperlink"/>
          </w:rPr>
          <w:t xml:space="preserve">[18]</w:t>
        </w:r>
      </w:hyperlink>
      <w:r>
        <w:t xml:space="preserve">.</w:t>
      </w:r>
    </w:p>
    <w:bookmarkEnd w:id="89"/>
    <w:bookmarkStart w:id="90" w:name="X9ebc3902e4a644ab10b52a6d4bcab5d7ff47476"/>
    <w:p>
      <w:pPr>
        <w:pStyle w:val="Heading3"/>
        <w:spacing w:line="480" w:lineRule="auto"/>
      </w:pPr>
      <w:r>
        <w:t xml:space="preserve">2.4.2 The transfer to the reentry-airspace problem</w:t>
      </w:r>
    </w:p>
    <w:p>
      <w:pPr>
        <w:pStyle w:val="FirstParagraph"/>
        <w:spacing w:line="480" w:lineRule="auto"/>
      </w:pPr>
      <w:r>
        <w:t xml:space="preserve">The transfer is stated as a Toulmin unit.</w:t>
      </w:r>
    </w:p>
    <w:p>
      <w:pPr>
        <w:pStyle w:val="BodyText"/>
        <w:spacing w:line="480" w:lineRule="auto"/>
        <w:ind w:firstLine="720"/>
      </w:pPr>
      <w:r>
        <w:rPr>
          <w:b/>
          <w:bCs/>
        </w:rPr>
        <w:t xml:space="preserve">Claim.</w:t>
      </w:r>
      <w:r>
        <w:t xml:space="preserve"> </w:t>
      </w:r>
      <w:r>
        <w:t xml:space="preserve">The reentry authorization regime is an institution in North’s sense, static case-by-case AHA closure is a high-transaction-cost rule, the prediction-informed dynamic-closure regime is a lower-transaction-cost rule, and the move from the first to the second takes a measured price for the disruption the current rule imposes.</w:t>
      </w:r>
    </w:p>
    <w:p>
      <w:pPr>
        <w:pStyle w:val="BodyText"/>
        <w:spacing w:line="480" w:lineRule="auto"/>
        <w:ind w:firstLine="720"/>
      </w:pPr>
      <w:r>
        <w:rPr>
          <w:b/>
          <w:bCs/>
        </w:rPr>
        <w:t xml:space="preserve">Grounds.</w:t>
      </w:r>
      <w:r>
        <w:t xml:space="preserve"> </w:t>
      </w:r>
      <w:r>
        <w:t xml:space="preserve">Static segregation adjudicates each reentry conservatively and one at a time, the operational signature of a high-transaction-cost rule: every event is a fresh, costly negotiation between safety conservatism and airspace demand, and the cost lands on aviation users party to none of the adjudication [2, 1]. A dynamic, prediction-informed rule would swap the per-event adjudication for a repeatable procedure that narrows the closure as the prediction tightens, lowering the recurring cost of operating the rule.</w:t>
      </w:r>
    </w:p>
    <w:p>
      <w:pPr>
        <w:pStyle w:val="BodyText"/>
        <w:spacing w:line="480" w:lineRule="auto"/>
        <w:ind w:firstLine="720"/>
      </w:pPr>
      <w:r>
        <w:rPr>
          <w:b/>
          <w:bCs/>
        </w:rPr>
        <w:t xml:space="preserve">Warrant.</w:t>
      </w:r>
      <w:r>
        <w:t xml:space="preserve"> </w:t>
      </w:r>
      <w:r>
        <w:t xml:space="preserve">North’s framework warrants the claim that an authorization regime governing impersonal exchange, here the exchange of airspace access between space operators and aviation users, is an institution, and that deliberate movement from a costly rule to a cheaper one takes a measured change in relative cost to justify the switching cost</w:t>
      </w:r>
      <w:r>
        <w:t xml:space="preserve"> </w:t>
      </w:r>
      <w:hyperlink w:anchor="ref-24">
        <w:r>
          <w:rPr>
            <w:rStyle w:val="Hyperlink"/>
          </w:rPr>
          <w:t xml:space="preserve">[24]</w:t>
        </w:r>
      </w:hyperlink>
      <w:r>
        <w:t xml:space="preserve">. The warrant carries over because the reentry-airspace regime holds every feature North’s institutions hold: it governs interaction among parties who do not personally bargain, it imposes transaction costs that vary by rule, and it can be redesigned to lower those costs.</w:t>
      </w:r>
    </w:p>
    <w:p>
      <w:pPr>
        <w:pStyle w:val="BodyText"/>
        <w:spacing w:line="480" w:lineRule="auto"/>
        <w:ind w:firstLine="720"/>
      </w:pPr>
      <w:r>
        <w:rPr>
          <w:b/>
          <w:bCs/>
        </w:rPr>
        <w:t xml:space="preserve">Backing.</w:t>
      </w:r>
      <w:r>
        <w:t xml:space="preserve"> </w:t>
      </w:r>
      <w:r>
        <w:t xml:space="preserve">The backing is Weinzierl’s and Adilov and Alexander’s demonstration that the institutional-change logic is the governing dynamic for space-sector commercialization specifically, not merely a general claim about institutions [16, 18]. Their work establishes authorization predictability and corridor access functioning as first-order economic variables in this sector, the sector-specific backing North’s general warrant needs to be load-bearing here.</w:t>
      </w:r>
    </w:p>
    <w:p>
      <w:pPr>
        <w:pStyle w:val="BodyText"/>
        <w:spacing w:line="480" w:lineRule="auto"/>
        <w:ind w:firstLine="720"/>
      </w:pPr>
      <w:r>
        <w:rPr>
          <w:b/>
          <w:bCs/>
        </w:rPr>
        <w:t xml:space="preserve">Qualifier.</w:t>
      </w:r>
      <w:r>
        <w:t xml:space="preserve"> </w:t>
      </w:r>
      <w:r>
        <w:t xml:space="preserve">North’s framework holds a measured price</w:t>
      </w:r>
      <w:r>
        <w:t xml:space="preserve"> </w:t>
      </w:r>
      <w:r>
        <w:rPr>
          <w:i/>
          <w:iCs/>
        </w:rPr>
        <w:t xml:space="preserve">necessary</w:t>
      </w:r>
      <w:r>
        <w:t xml:space="preserve"> </w:t>
      </w:r>
      <w:r>
        <w:t xml:space="preserve">for deliberate institutional change without holding it</w:t>
      </w:r>
      <w:r>
        <w:t xml:space="preserve"> </w:t>
      </w:r>
      <w:r>
        <w:rPr>
          <w:i/>
          <w:iCs/>
        </w:rPr>
        <w:t xml:space="preserve">sufficient</w:t>
      </w:r>
      <w:r>
        <w:t xml:space="preserve">; political economy, distributional conflict, and bureaucratic inertia can block a change a cost measurement would otherwise justify. So the dissertation’s contribution is the necessary input, not a guarantee of the institutional outcome. Confidence that the measurement is necessary is high; confidence that supplying it will by itself produce the rule change is deliberately withheld.</w:t>
      </w:r>
    </w:p>
    <w:p>
      <w:pPr>
        <w:pStyle w:val="BodyText"/>
        <w:spacing w:line="480" w:lineRule="auto"/>
        <w:ind w:firstLine="720"/>
      </w:pPr>
      <w:r>
        <w:rPr>
          <w:b/>
          <w:bCs/>
        </w:rPr>
        <w:t xml:space="preserve">Rebuttal.</w:t>
      </w:r>
      <w:r>
        <w:t xml:space="preserve"> </w:t>
      </w:r>
      <w:r>
        <w:t xml:space="preserve">A rebuttal holds that the rule could change without a measured price, by analogy or political mandate, so the measurement is not strictly necessary. This is conceded as logically possible and contested as practically unsafe. A regulator that narrows a safety closure without a measured cost to weigh against the closure’s residual risk has changed the rule on an unquantified basis, the very failure the safety-conservative status quo exists to prevent. North’s framework allows rules to change for non-measured reasons, but the</w:t>
      </w:r>
      <w:r>
        <w:t xml:space="preserve"> </w:t>
      </w:r>
      <w:r>
        <w:rPr>
          <w:i/>
          <w:iCs/>
        </w:rPr>
        <w:t xml:space="preserve">defensible</w:t>
      </w:r>
      <w:r>
        <w:t xml:space="preserve"> </w:t>
      </w:r>
      <w:r>
        <w:t xml:space="preserve">change, the one a safety regulator can adopt and sustain, takes the cost on one side of the ledger measured so it can be set against the risk on the other. The rebuttal narrows the claim from</w:t>
      </w:r>
      <w:r>
        <w:t xml:space="preserve"> </w:t>
      </w:r>
      <w:r>
        <w:t xml:space="preserve">“measurement is logically necessary”</w:t>
      </w:r>
      <w:r>
        <w:t xml:space="preserve"> </w:t>
      </w:r>
      <w:r>
        <w:t xml:space="preserve">to</w:t>
      </w:r>
      <w:r>
        <w:t xml:space="preserve"> </w:t>
      </w:r>
      <w:r>
        <w:t xml:space="preserve">“measurement is necessary for a defensible, durable change,”</w:t>
      </w:r>
      <w:r>
        <w:t xml:space="preserve"> </w:t>
      </w:r>
      <w:r>
        <w:t xml:space="preserve">which is the claim the dissertation actually needs.</w:t>
      </w:r>
    </w:p>
    <w:bookmarkEnd w:id="90"/>
    <w:bookmarkStart w:id="91" w:name="X5eb689563db3b6a5fd26f117cb732d1f2181835"/>
    <w:p>
      <w:pPr>
        <w:pStyle w:val="Heading3"/>
        <w:spacing w:line="480" w:lineRule="auto"/>
      </w:pPr>
      <w:r>
        <w:t xml:space="preserve">2.4.3 The mechanism by which the price unlocks the institution</w:t>
      </w:r>
    </w:p>
    <w:p>
      <w:pPr>
        <w:pStyle w:val="FirstParagraph"/>
        <w:spacing w:line="480" w:lineRule="auto"/>
      </w:pPr>
      <w:r>
        <w:t xml:space="preserve">The institutional mechanism completes the causal chain, and it starts from the measured per-event externality cost. That measurement supplies the missing term in the regulator’s cost-risk comparison. A narrower, prediction-informed closure trades a quantified reduction in airspace cost against a bounded increase in residual risk, and the trade can be adjudicated only once the cost side is measured. For the first time the regulator can then judge a dynamic-closure policy on its merits instead of defaulting to conservatism for want of a number. Per-event adjudication gives way to a repeatable rule, and the result is a lower-transaction-cost authorization institution that scales with cadence without scaling aviation cost in step. North names this final link: the measured price matters not as a fact about the world but as the input that lets the rule change, and the rule change is where the economic value is captured.</w:t>
      </w:r>
    </w:p>
    <w:bookmarkEnd w:id="91"/>
    <w:bookmarkEnd w:id="92"/>
    <w:bookmarkStart w:id="95" w:name="X78239b118ce0f445160aabea4b5b75d714186b4"/>
    <w:p>
      <w:pPr>
        <w:pStyle w:val="Heading2"/>
        <w:spacing w:line="480" w:lineRule="auto"/>
      </w:pPr>
      <w:r>
        <w:t xml:space="preserve">2.5 Policy-uncertainty and Pigouvian-pricing analogues: the instruments the first three sections imply</w:t>
      </w:r>
    </w:p>
    <w:bookmarkStart w:id="93" w:name="the-framework-and-its-primary-sources-3"/>
    <w:p>
      <w:pPr>
        <w:pStyle w:val="Heading3"/>
        <w:spacing w:line="480" w:lineRule="auto"/>
      </w:pPr>
      <w:r>
        <w:t xml:space="preserve">2.5.1 The framework and its primary sources</w:t>
      </w:r>
    </w:p>
    <w:p>
      <w:pPr>
        <w:pStyle w:val="FirstParagraph"/>
        <w:spacing w:line="480" w:lineRule="auto"/>
      </w:pPr>
      <w:r>
        <w:t xml:space="preserve">The first three anchors establish that the reentry closure is an externality (Rao), that it propagates and will not self-internalize (Mayer and Sinai), and that measuring it is the precondition for institutional change (North). They imply, but do not construct, the pricing instrument that internalizes the externality and the value of reducing the uncertainty that drives the closure. This section imports two complementary literatures to supply what is implied.</w:t>
      </w:r>
    </w:p>
    <w:p>
      <w:pPr>
        <w:pStyle w:val="BodyText"/>
        <w:spacing w:line="480" w:lineRule="auto"/>
        <w:ind w:firstLine="720"/>
      </w:pPr>
      <w:r>
        <w:t xml:space="preserve">The first is the policy-uncertainty literature. Handley and Limao show, theoretically and with firm-level evidence, that uncertainty in a policy regime is itself a cost: when the rules a firm will operate under are unpredictable, the firm under-invests and under-commits even where the expected level of the policy is favorable, because option value makes waiting attractive</w:t>
      </w:r>
      <w:r>
        <w:t xml:space="preserve"> </w:t>
      </w:r>
      <w:hyperlink w:anchor="ref-19">
        <w:r>
          <w:rPr>
            <w:rStyle w:val="Hyperlink"/>
          </w:rPr>
          <w:t xml:space="preserve">[19]</w:t>
        </w:r>
      </w:hyperlink>
      <w:r>
        <w:t xml:space="preserve">. The mechanism is that uncertainty raises the value of delay and depresses irreversible investment. Carried to reentry, the predictability of the authorization regime becomes a first-order economic variable in its own right, apart from the average level of closure cost: a down-mass venture facing unpredictable closure outcomes will under-invest in the return-leg capability even where the average closure cost is modest, the variance itself being costly. This ties the institutional argument of Section 2.4 to investment behavior: the value of North’s lower-transaction-cost rule lies not only in the lower average cost but in the lower uncertainty, and Handley and Limao quantify why that uncertainty reduction matters.</w:t>
      </w:r>
    </w:p>
    <w:p>
      <w:pPr>
        <w:pStyle w:val="BodyText"/>
        <w:spacing w:line="480" w:lineRule="auto"/>
        <w:ind w:firstLine="720"/>
      </w:pPr>
      <w:r>
        <w:t xml:space="preserve">The second is the Pigouvian-pricing and congestion-pricing literature, which supplies the instrument that prices the externality once it is measured. Small and Gomez-Ibanez document road-congestion pricing moving from theory to policy, the practical design problems and all, where to set the charge, how to handle heterogeneity, how to make the instrument politically durable, that any externality charge faces</w:t>
      </w:r>
      <w:r>
        <w:t xml:space="preserve"> </w:t>
      </w:r>
      <w:hyperlink w:anchor="ref-85">
        <w:r>
          <w:rPr>
            <w:rStyle w:val="Hyperlink"/>
          </w:rPr>
          <w:t xml:space="preserve">[85]</w:t>
        </w:r>
      </w:hyperlink>
      <w:r>
        <w:t xml:space="preserve">. Parry and Small derive the optimal corrective tax in a setting with multiple externalities, congestion, accidents, pollution, and show the optimal charge assembled from the separately estimated marginal external costs</w:t>
      </w:r>
      <w:r>
        <w:t xml:space="preserve"> </w:t>
      </w:r>
      <w:hyperlink w:anchor="ref-86">
        <w:r>
          <w:rPr>
            <w:rStyle w:val="Hyperlink"/>
          </w:rPr>
          <w:t xml:space="preserve">[86]</w:t>
        </w:r>
      </w:hyperlink>
      <w:r>
        <w:t xml:space="preserve">. What transfers is the method: the optimal corrective charge equals the marginal external cost, the marginal external cost must be measured for each externality component, and the instrument’s design must reckon with heterogeneity across users, which for reentry is the sharp difference in impact between general aviation and international carriers documented in the launch-era evidence</w:t>
      </w:r>
      <w:r>
        <w:t xml:space="preserve"> </w:t>
      </w:r>
      <w:hyperlink w:anchor="ref-3">
        <w:r>
          <w:rPr>
            <w:rStyle w:val="Hyperlink"/>
          </w:rPr>
          <w:t xml:space="preserve">[3]</w:t>
        </w:r>
      </w:hyperlink>
      <w:r>
        <w:t xml:space="preserve">.</w:t>
      </w:r>
    </w:p>
    <w:bookmarkEnd w:id="93"/>
    <w:bookmarkStart w:id="94" w:name="X526c5f9042a3401b119dc5a58b3e38131ef868b"/>
    <w:p>
      <w:pPr>
        <w:pStyle w:val="Heading3"/>
        <w:spacing w:line="480" w:lineRule="auto"/>
      </w:pPr>
      <w:r>
        <w:t xml:space="preserve">2.5.2 The transfer, briefly stated as a Toulmin unit</w:t>
      </w:r>
    </w:p>
    <w:p>
      <w:pPr>
        <w:pStyle w:val="FirstParagraph"/>
        <w:spacing w:line="480" w:lineRule="auto"/>
      </w:pPr>
      <w:r>
        <w:rPr>
          <w:b/>
          <w:bCs/>
        </w:rPr>
        <w:t xml:space="preserve">Claim.</w:t>
      </w:r>
      <w:r>
        <w:t xml:space="preserve"> </w:t>
      </w:r>
      <w:r>
        <w:t xml:space="preserve">The measured per-event NAS cost is the marginal external cost a corrective instrument (a corridor fee or an equivalent charge) would be set to, and the avoided-cost parameter is the value of the uncertainty reduction that drives the closure size.</w:t>
      </w:r>
    </w:p>
    <w:p>
      <w:pPr>
        <w:pStyle w:val="BodyText"/>
        <w:spacing w:line="480" w:lineRule="auto"/>
        <w:ind w:firstLine="720"/>
      </w:pPr>
      <w:r>
        <w:rPr>
          <w:b/>
          <w:bCs/>
        </w:rPr>
        <w:t xml:space="preserve">Grounds.</w:t>
      </w:r>
      <w:r>
        <w:t xml:space="preserve"> </w:t>
      </w:r>
      <w:r>
        <w:t xml:space="preserve">The congestion-pricing literature sets the optimal charge equal to the measured marginal external cost [86, 85], and the policy-uncertainty literature establishes that reducing regime uncertainty carries investment value beyond the average-cost reduction</w:t>
      </w:r>
      <w:r>
        <w:t xml:space="preserve"> </w:t>
      </w:r>
      <w:hyperlink w:anchor="ref-19">
        <w:r>
          <w:rPr>
            <w:rStyle w:val="Hyperlink"/>
          </w:rPr>
          <w:t xml:space="preserve">[19]</w:t>
        </w:r>
      </w:hyperlink>
      <w:r>
        <w:t xml:space="preserve">.</w:t>
      </w:r>
    </w:p>
    <w:p>
      <w:pPr>
        <w:pStyle w:val="BodyText"/>
        <w:spacing w:line="480" w:lineRule="auto"/>
        <w:ind w:firstLine="720"/>
      </w:pPr>
      <w:r>
        <w:rPr>
          <w:b/>
          <w:bCs/>
        </w:rPr>
        <w:t xml:space="preserve">Warrant.</w:t>
      </w:r>
      <w:r>
        <w:t xml:space="preserve"> </w:t>
      </w:r>
      <w:r>
        <w:t xml:space="preserve">Pigouvian theory warrants setting a corrective charge to the marginal external cost; the measured disruption parameter</w:t>
      </w:r>
      <w:r>
        <w:t xml:space="preserve"> </w:t>
      </w:r>
      <w:r>
        <w:rPr>
          <w:i/>
          <w:iCs/>
        </w:rPr>
        <w:t xml:space="preserve">is</w:t>
      </w:r>
      <w:r>
        <w:t xml:space="preserve"> </w:t>
      </w:r>
      <w:r>
        <w:t xml:space="preserve">that marginal external cost, so it is the natural argument of the instrument. The policy-uncertainty result warrants treating the variance reduction, not the mean reduction alone, as part of the value the dynamic rule delivers.</w:t>
      </w:r>
    </w:p>
    <w:p>
      <w:pPr>
        <w:pStyle w:val="BodyText"/>
        <w:spacing w:line="480" w:lineRule="auto"/>
        <w:ind w:firstLine="720"/>
      </w:pPr>
      <w:r>
        <w:rPr>
          <w:b/>
          <w:bCs/>
        </w:rPr>
        <w:t xml:space="preserve">Backing.</w:t>
      </w:r>
      <w:r>
        <w:t xml:space="preserve"> </w:t>
      </w:r>
      <w:r>
        <w:t xml:space="preserve">The road-pricing transition from theory to policy supplies the worked precedent that an externality charge grounded in a measured marginal cost is implementable and durable</w:t>
      </w:r>
      <w:r>
        <w:t xml:space="preserve"> </w:t>
      </w:r>
      <w:hyperlink w:anchor="ref-85">
        <w:r>
          <w:rPr>
            <w:rStyle w:val="Hyperlink"/>
          </w:rPr>
          <w:t xml:space="preserve">[85]</w:t>
        </w:r>
      </w:hyperlink>
      <w:r>
        <w:t xml:space="preserve">, and the multi-externality optimal-tax derivation supplies the assembly rule for combining components</w:t>
      </w:r>
      <w:r>
        <w:t xml:space="preserve"> </w:t>
      </w:r>
      <w:hyperlink w:anchor="ref-86">
        <w:r>
          <w:rPr>
            <w:rStyle w:val="Hyperlink"/>
          </w:rPr>
          <w:t xml:space="preserve">[86]</w:t>
        </w:r>
      </w:hyperlink>
      <w:r>
        <w:t xml:space="preserve">.</w:t>
      </w:r>
    </w:p>
    <w:p>
      <w:pPr>
        <w:pStyle w:val="BodyText"/>
        <w:spacing w:line="480" w:lineRule="auto"/>
        <w:ind w:firstLine="720"/>
      </w:pPr>
      <w:r>
        <w:rPr>
          <w:b/>
          <w:bCs/>
        </w:rPr>
        <w:t xml:space="preserve">Qualifier.</w:t>
      </w:r>
      <w:r>
        <w:t xml:space="preserve"> </w:t>
      </w:r>
      <w:r>
        <w:t xml:space="preserve">These are analogues, not identities. Airspace is no road, and its heterogeneity, safety-criticality, and international-jurisdiction features make the instrument design harder than congestion pricing. The transfer licenses the</w:t>
      </w:r>
      <w:r>
        <w:t xml:space="preserve"> </w:t>
      </w:r>
      <w:r>
        <w:rPr>
          <w:i/>
          <w:iCs/>
        </w:rPr>
        <w:t xml:space="preserve">form</w:t>
      </w:r>
      <w:r>
        <w:t xml:space="preserve"> </w:t>
      </w:r>
      <w:r>
        <w:t xml:space="preserve">of the instrument (charge equals measured marginal external cost) and the</w:t>
      </w:r>
      <w:r>
        <w:t xml:space="preserve"> </w:t>
      </w:r>
      <w:r>
        <w:rPr>
          <w:i/>
          <w:iCs/>
        </w:rPr>
        <w:t xml:space="preserve">recognition</w:t>
      </w:r>
      <w:r>
        <w:t xml:space="preserve"> </w:t>
      </w:r>
      <w:r>
        <w:t xml:space="preserve">that uncertainty reduction carries independent value, not a claim that road-pricing parameters carry over. Confidence in the form is high; confidence in any transferred parameter value is withheld.</w:t>
      </w:r>
    </w:p>
    <w:p>
      <w:pPr>
        <w:pStyle w:val="BodyText"/>
        <w:spacing w:line="480" w:lineRule="auto"/>
        <w:ind w:firstLine="720"/>
      </w:pPr>
      <w:r>
        <w:rPr>
          <w:b/>
          <w:bCs/>
        </w:rPr>
        <w:t xml:space="preserve">Rebuttal.</w:t>
      </w:r>
      <w:r>
        <w:t xml:space="preserve"> </w:t>
      </w:r>
      <w:r>
        <w:t xml:space="preserve">A rebuttal holds that safety externalities belong to regulation rather than pricing, so the Pigouvian analogue is misplaced. This is partly conceded: the dissertation does not propose to price</w:t>
      </w:r>
      <w:r>
        <w:t xml:space="preserve"> </w:t>
      </w:r>
      <w:r>
        <w:rPr>
          <w:i/>
          <w:iCs/>
        </w:rPr>
        <w:t xml:space="preserve">safety</w:t>
      </w:r>
      <w:r>
        <w:t xml:space="preserve">, which stays regulated. It prices the</w:t>
      </w:r>
      <w:r>
        <w:t xml:space="preserve"> </w:t>
      </w:r>
      <w:r>
        <w:rPr>
          <w:i/>
          <w:iCs/>
        </w:rPr>
        <w:t xml:space="preserve">airspace-disruption</w:t>
      </w:r>
      <w:r>
        <w:t xml:space="preserve"> </w:t>
      </w:r>
      <w:r>
        <w:t xml:space="preserve">externality conditional on a safety constraint, exactly as congestion pricing operates alongside, not instead of, safety regulation of roads. The instrument internalizes the disruption cost within the envelope safety regulation defines.</w:t>
      </w:r>
    </w:p>
    <w:bookmarkEnd w:id="94"/>
    <w:bookmarkEnd w:id="95"/>
    <w:bookmarkStart w:id="99" w:name="Xaa83af19a7bccf6bf44999b3c5e96d73a01ef8b"/>
    <w:p>
      <w:pPr>
        <w:pStyle w:val="Heading2"/>
        <w:spacing w:line="480" w:lineRule="auto"/>
      </w:pPr>
      <w:r>
        <w:t xml:space="preserve">2.6 The conceptual model the empirical work tests</w:t>
      </w:r>
    </w:p>
    <w:bookmarkStart w:id="96" w:name="X2c2d756622240a25fe51f06a4cb23a96c1b7d89"/>
    <w:p>
      <w:pPr>
        <w:pStyle w:val="Heading3"/>
        <w:spacing w:line="480" w:lineRule="auto"/>
      </w:pPr>
      <w:r>
        <w:t xml:space="preserve">2.6.1 Assembling the anchors into a testable structure</w:t>
      </w:r>
    </w:p>
    <w:p>
      <w:pPr>
        <w:pStyle w:val="FirstParagraph"/>
        <w:spacing w:line="480" w:lineRule="auto"/>
      </w:pPr>
      <w:r>
        <w:t xml:space="preserve">The three anchors and the pricing analogues assemble into a single conceptual model with three linked relationships, each of which becomes an estimable object in the empirical chapters. The model is stated here in words and notation consistent with the dissertation’s fixed bible; the estimating equations themselves are developed in the research-design chapter, not here.</w:t>
      </w:r>
    </w:p>
    <w:p>
      <w:pPr>
        <w:pStyle w:val="BodyText"/>
        <w:spacing w:line="480" w:lineRule="auto"/>
        <w:ind w:firstLine="720"/>
      </w:pPr>
      <w:r>
        <w:rPr>
          <w:b/>
          <w:bCs/>
        </w:rPr>
        <w:t xml:space="preserve">Relationship 1: closure size is a function of prediction uncertainty.</w:t>
      </w:r>
      <w:r>
        <w:t xml:space="preserve"> </w:t>
      </w:r>
      <w:r>
        <w:t xml:space="preserve">The first relationship is physical, and it is the lever the avoided-cost claim pulls. The withheld airspace volume is set by the dispersion envelope the AHA must cover, and that envelope is driven by the uncertainty in the reentry prediction at the moment the closure decision is made. Reentry prediction uncertainty is large and, decisively, improvable: atmospheric density uncertainty, ballistic coefficient, and reentry angle drive it, and it drops sharply as the object approaches reentry. Under disturbed conditions atmospheric density uncertainty can reach 20 to 30 percent and propagate to along-track position errors approaching 100 kilometers per day, the magnitude a worst-case envelope must accommodate</w:t>
      </w:r>
      <w:r>
        <w:t xml:space="preserve"> </w:t>
      </w:r>
      <w:hyperlink w:anchor="ref-21">
        <w:r>
          <w:rPr>
            <w:rStyle w:val="Hyperlink"/>
          </w:rPr>
          <w:t xml:space="preserve">[21]</w:t>
        </w:r>
      </w:hyperlink>
      <w:r>
        <w:t xml:space="preserve">, and the short-term reentry-prediction literature documents these uncertainties tightening as the object nears reentry</w:t>
      </w:r>
      <w:r>
        <w:t xml:space="preserve"> </w:t>
      </w:r>
      <w:hyperlink w:anchor="ref-22">
        <w:r>
          <w:rPr>
            <w:rStyle w:val="Hyperlink"/>
          </w:rPr>
          <w:t xml:space="preserve">[22]</w:t>
        </w:r>
      </w:hyperlink>
      <w:r>
        <w:t xml:space="preserve">. The relationship follows: a closure decision made hours in advance, sized to a worst-case envelope, withholds a larger volume than a decision made minutes before reentry, sized to the late-available uncertainty. This supplies the treatment intensity in the empirical design, the prediction-uncertainty bound at closure-decision time scaling the closure size.</w:t>
      </w:r>
    </w:p>
    <w:p>
      <w:pPr>
        <w:pStyle w:val="BodyText"/>
        <w:spacing w:line="480" w:lineRule="auto"/>
        <w:ind w:firstLine="720"/>
      </w:pPr>
      <w:r>
        <w:rPr>
          <w:b/>
          <w:bCs/>
        </w:rPr>
        <w:t xml:space="preserve">Relationship 2: exposed-flight cost is a function of closure size and traffic density.</w:t>
      </w:r>
      <w:r>
        <w:t xml:space="preserve"> </w:t>
      </w:r>
      <w:r>
        <w:t xml:space="preserve">The second relationship is economic, and it supplies the disruption parameter. Given a withheld volume over a sector-time window, the cost imposed is the affected-flight population times the per-flight penalty, mediated by network propagation. The affected-flight population climbs with closure size, a larger volume crossing more routes, and with baseline traffic density, a denser sector losing more flights to the same volume, in line with the launch-era evidence that closure impact varies with site, geometry, and traffic state [2, 3, 4]. The per-flight penalty is the delay, added distance, fuel burn, and direct operating cost of the displaced trajectory, and the network-propagation framework establishes that the total cost runs past the within-window sum because delay cascades downstream [12, 43, 42]. The congestion-externality framework establishes that parties external to the reentry decision bear this cost, so it is an externality</w:t>
      </w:r>
      <w:r>
        <w:t xml:space="preserve"> </w:t>
      </w:r>
      <w:hyperlink w:anchor="ref-11">
        <w:r>
          <w:rPr>
            <w:rStyle w:val="Hyperlink"/>
          </w:rPr>
          <w:t xml:space="preserve">[11]</w:t>
        </w:r>
      </w:hyperlink>
      <w:r>
        <w:t xml:space="preserve">. This relationship is the object of the staggered difference-in-differences estimate, the average treatment effect of a reentry-driven AHA activation on exposed-flight cost outcomes, denoted the disruption parameter.</w:t>
      </w:r>
    </w:p>
    <w:p>
      <w:pPr>
        <w:pStyle w:val="BodyText"/>
        <w:spacing w:line="480" w:lineRule="auto"/>
        <w:ind w:firstLine="720"/>
      </w:pPr>
      <w:r>
        <w:rPr>
          <w:b/>
          <w:bCs/>
        </w:rPr>
        <w:t xml:space="preserve">Relationship 3: avoided cost is the difference between static and dynamic regimes.</w:t>
      </w:r>
      <w:r>
        <w:t xml:space="preserve"> </w:t>
      </w:r>
      <w:r>
        <w:t xml:space="preserve">The third relationship combines the first two and supplies the avoided-cost parameter. A static-closure regime sizes the volume to a worst-case envelope fixed early, when uncertainty is large (Relationship 1), producing a large affected population and a large cost (Relationship 2). A prediction-informed dynamic-closure regime sizes the volume to the late-available, tighter uncertainty (Relationship 1), producing a smaller affected population and a smaller cost (Relationship 2). The avoided cost is the difference: realized static-closure cost minus simulated dynamic-closure cost, per event, then averaged. North’s framework establishes that this avoided cost is the relative-cost change that justifies the institutional migration to the dynamic rule</w:t>
      </w:r>
      <w:r>
        <w:t xml:space="preserve"> </w:t>
      </w:r>
      <w:hyperlink w:anchor="ref-24">
        <w:r>
          <w:rPr>
            <w:rStyle w:val="Hyperlink"/>
          </w:rPr>
          <w:t xml:space="preserve">[24]</w:t>
        </w:r>
      </w:hyperlink>
      <w:r>
        <w:t xml:space="preserve">, and the Pigouvian analogue establishes that the disruption parameter is the marginal external cost a corrective instrument would price</w:t>
      </w:r>
      <w:r>
        <w:t xml:space="preserve"> </w:t>
      </w:r>
      <w:hyperlink w:anchor="ref-86">
        <w:r>
          <w:rPr>
            <w:rStyle w:val="Hyperlink"/>
          </w:rPr>
          <w:t xml:space="preserve">[86]</w:t>
        </w:r>
      </w:hyperlink>
      <w:r>
        <w:t xml:space="preserve">.</w:t>
      </w:r>
    </w:p>
    <w:bookmarkEnd w:id="96"/>
    <w:bookmarkStart w:id="97" w:name="X6c8c5f0e990ca71a31215d2de3197cd049c8174"/>
    <w:p>
      <w:pPr>
        <w:pStyle w:val="Heading3"/>
        <w:spacing w:line="480" w:lineRule="auto"/>
      </w:pPr>
      <w:r>
        <w:t xml:space="preserve">2.6.2 The model as a directed chain and its empirical counterparts</w:t>
      </w:r>
    </w:p>
    <w:p>
      <w:pPr>
        <w:pStyle w:val="FirstParagraph"/>
        <w:spacing w:line="480" w:lineRule="auto"/>
      </w:pPr>
      <w:r>
        <w:t xml:space="preserve">The three relationships form a directed chain mirroring the dissertation’s named causal mechanism. Prediction uncertainty sets closure size (Relationship 1); closure size and traffic density set exposed-flight cost (Relationship 2); the difference in that cost across the static and dynamic regimes is the avoided cost (Relationship 3). Each link has an empirical counterpart. Relationship 1 runs through the EU SST reentry catalog, which supplies the prediction-uncertainty bound that defines treatment intensity, and through the reentry-prediction surface that establishes the uncertainty as improvable [21, 22]. Relationship 2 runs through the join of the EU SST treatment layer to the FAA NAS and SWIM outcome layer via the ReentryFlow exposure mapping, estimated with the Callaway and Sant’Anna staggered difference-in-differences design. Relationship 3 runs through the ReentryFlow dynamic-closure counterfactual, which recomputes each event’s cost under a prediction-informed policy so the avoided cost can be formed as a per-event difference.</w:t>
      </w:r>
    </w:p>
    <w:p>
      <w:pPr>
        <w:pStyle w:val="BodyText"/>
        <w:spacing w:line="480" w:lineRule="auto"/>
        <w:ind w:firstLine="720"/>
      </w:pPr>
      <w:r>
        <w:t xml:space="preserve">The model’s internal consistency is what keeps the empirical claim falsifiable rather than foregone. Should Relationship 2 return a near-zero, precisely estimated disruption parameter, the externality Rao identifies is empirically immaterial in the current regime, and the first part of the contribution falls despite the structural argument. Should Relationship 3 return a near-zero avoided cost, then tightening prediction does not shrink the closure cost, the lever in Relationship 1 fails to translate into Relationship 2, and the second part falls. So the conceptual model pulls double duty: it explains what the measured numbers mean, a price on an externality and the value of an institutional change, and it names the precise findings that would refute each part of the contribution.</w:t>
      </w:r>
    </w:p>
    <w:bookmarkEnd w:id="97"/>
    <w:bookmarkStart w:id="98" w:name="Xc899d2c4ab75e3626d7e5fbbb798faa3a549a1b"/>
    <w:p>
      <w:pPr>
        <w:pStyle w:val="Heading3"/>
        <w:spacing w:line="480" w:lineRule="auto"/>
      </w:pPr>
      <w:r>
        <w:t xml:space="preserve">2.6.3 What the conceptual model commits the empirical work to</w:t>
      </w:r>
    </w:p>
    <w:p>
      <w:pPr>
        <w:pStyle w:val="FirstParagraph"/>
        <w:spacing w:line="480" w:lineRule="auto"/>
      </w:pPr>
      <w:r>
        <w:t xml:space="preserve">The model commits the empirical chapters to three things, each carrying a confidence statement calibrated to design-stage evidence. It commits to estimating the disruption parameter as a causal treatment effect rather than a simulated impact, the identification the descriptive launch-era literature lacks; confidence that this is the right target is high, since the externality structure (Section 2.2) and the propagation structure (Section 2.3) both call for a causal, network-aware estimate rather than a per-flight accounting. It commits to estimating the cost as a function of cadence and prediction uncertainty rather than a single scalar, because the propagation magnitude is configuration-dependent (Section 2.3) and the institutional value is cadence-dependent (Section 2.4); confidence that the scalar would mislead is high, so the functional form is a requirement, not a refinement. And it commits to validating the ReentryFlow instrument before its counterfactual is trusted, because Relationship 3 hangs entirely on the instrument’s exposure mapping being accurate; confidence in the avoided-cost parameter is therefore explicitly conditional on that validation, the lowest-confidence object in the model at the design stage.</w:t>
      </w:r>
    </w:p>
    <w:p>
      <w:pPr>
        <w:pStyle w:val="BodyText"/>
        <w:spacing w:line="480" w:lineRule="auto"/>
        <w:ind w:firstLine="720"/>
      </w:pPr>
      <w:r>
        <w:t xml:space="preserve">The assurance-case spine that runs through the dissertation is visible in this model. Reentry closures withhold real airspace from real flights, so the problem is real (Section 2.2 grounds). The externality propagates and grows with cadence, so the problem is material (Section 2.3). Prediction uncertainty drives closure size and is improvable, so the intervention addresses the mechanism (Relationship 1). The dynamic rule costs less to operate than static segregation, so the intervention beats the alternative (Section 2.4). And the narrowing stays bounded by validated prediction accuracy and a maintained safety constraint, so the residual risk is acceptable (Section 2.5 rebuttal). The full assurance-case table is compiled at the dissertation’s synthesis; this chapter supplies its theoretical backing.</w:t>
      </w:r>
    </w:p>
    <w:bookmarkEnd w:id="98"/>
    <w:bookmarkEnd w:id="99"/>
    <w:bookmarkStart w:id="100" w:name="chapter-summary"/>
    <w:p>
      <w:pPr>
        <w:pStyle w:val="Heading2"/>
        <w:spacing w:line="480" w:lineRule="auto"/>
      </w:pPr>
      <w:r>
        <w:t xml:space="preserve">2.7 Chapter summary</w:t>
      </w:r>
    </w:p>
    <w:p>
      <w:pPr>
        <w:pStyle w:val="FirstParagraph"/>
        <w:spacing w:line="480" w:lineRule="auto"/>
      </w:pPr>
      <w:r>
        <w:t xml:space="preserve">This chapter built the theoretical framework the empirical work requires by developing three anchors in depth and assembling them into a testable conceptual model. Rao’s orbital-economy framework establishes that the reentry-driven AHA closure is an unpriced negative externality, a capacity shock whose cost the imposing operator does not bear, transferred from the on-orbit commons to the congestible airspace common with the structural conditions individually documented [23, 57, 16]. The congestion-externality and delay-economics framework of Mayer and Sinai and the network-propagation literature establish that this externality is structured inside a network, that it propagates so the within-window cost understates the true cost, and that the market will not internalize it without an instrument, which makes a measurement a precondition for any correction [11, 12, 43, 42, 41, 39]. North’s institutional framework establishes that the measured price is the load-bearing input that lets the authorization rule migrate from high-transaction-cost case-by-case adjudication to a lower-cost, repeatable, prediction-informed institution [24, 18]. The policy-uncertainty and Pigouvian-pricing analogues supply the instrument the first three anchors imply: a corrective charge set to the measured marginal external cost, and an explicit value for the uncertainty reduction the dynamic rule delivers [19, 85, 86].</w:t>
      </w:r>
    </w:p>
    <w:p>
      <w:pPr>
        <w:pStyle w:val="BodyText"/>
        <w:spacing w:line="480" w:lineRule="auto"/>
        <w:ind w:firstLine="720"/>
      </w:pPr>
      <w:r>
        <w:t xml:space="preserve">The conceptual model assembles these into three linked relationships: closure size as a function of prediction uncertainty [21, 22]; exposed-flight cost as a function of closure size and traffic density [2, 3, 4, 1]; and avoided cost as the difference between the static and the prediction-informed dynamic regime. Each relationship has a named empirical counterpart and each carries a confidence statement calibrated to the design stage, with the avoided-cost parameter explicitly the most conditional object because it depends on the ReentryFlow instrument’s validation. The model is constructed so that a near-zero disruption parameter or a near-zero avoided cost would falsify the respective part of the contribution, which is the property that distinguishes a genuine theoretical framework from a rationalization of a foregone conclusion. The chapters that follow operationalize this model: the literature review situates it against the three bodies of work it synthesizes, the data and measurement chapter constructs its variables, and the research-design and analysis-plan chapters specify the estimator that turns the model’s relationships into testable parameters.</w:t>
      </w:r>
    </w:p>
    <w:bookmarkEnd w:id="100"/>
    <w:bookmarkEnd w:id="101"/>
    <w:bookmarkStart w:id="109" w:name="chapter-3-literature-review"/>
    <w:p>
      <w:pPr>
        <w:pStyle w:val="Heading1"/>
        <w:spacing w:line="480" w:lineRule="auto"/>
      </w:pPr>
      <w:r>
        <w:t xml:space="preserve">Chapter 3: Literature Review</w:t>
      </w:r>
    </w:p>
    <w:bookmarkStart w:id="102" w:name="chapter-thesis-and-the-shape-of-the-gap"/>
    <w:p>
      <w:pPr>
        <w:pStyle w:val="Heading2"/>
        <w:spacing w:line="480" w:lineRule="auto"/>
      </w:pPr>
      <w:r>
        <w:t xml:space="preserve">3.1 Chapter thesis and the shape of the gap</w:t>
      </w:r>
    </w:p>
    <w:p>
      <w:pPr>
        <w:pStyle w:val="FirstParagraph"/>
        <w:spacing w:line="480" w:lineRule="auto"/>
      </w:pPr>
      <w:r>
        <w:t xml:space="preserve">Three established literatures bear directly on the question this dissertation asks, and not one of them closes the intersection where the question actually lives. The airspace-disruption literature counts how many flights a launch or reentry closure touches and what the modeled time and fuel penalty comes to, yet it works descriptively, by simulation against historical traffic, and it never estimates the causal effect of a reentry event on realized flight cost against a credible counterfactual. The air-transportation economics literature holds a mature account of the cost of delay and of the congestion externality one airspace user imposes on others, but it does not treat a spacecraft reentry as a source of delay at all. The space-economy literature reads market formation as a matter of institutional design and externality pricing, naming authorization predictability and corridor access as first-order economic variables, while leaving the airspace cost those variables are meant to manage unmeasured. So the chapter thesis is precise and falsifiable in its own right. The marginal National Airspace System (NAS) cost of a spacecraft reentry event, together with the cost that improved prediction plus dynamic closure would avoid, sits at the unoccupied intersection of these three bodies of work, and the design proposed here supplies the causal identification the descriptive literature lacks rather than extending an existing causal result.</w:t>
      </w:r>
    </w:p>
    <w:p>
      <w:pPr>
        <w:pStyle w:val="BodyText"/>
        <w:spacing w:line="480" w:lineRule="auto"/>
        <w:ind w:firstLine="720"/>
      </w:pPr>
      <w:r>
        <w:t xml:space="preserve">This is the longest chapter of the dissertation, because the case for the gap has to be built source by source rather than asserted. A reader has every right to doubt that a gap this consequential could survive in a literature as active as airspace integration has become since 2015. The doubt is healthy, and the chapter answers it the only honest way, by reviewing the work substantively. For each major source the chapter records what it found, by what method, with what limit, and how that limit bears on the gap. The review aims not to catalogue activity but to demonstrate convergence. Every quantified study points the same way on the sign and rough magnitude of the disruption, and every one leaves the same hole on identification. That convergence is what licenses the propositions stated at the close of the chapter and carried into the research design.</w:t>
      </w:r>
    </w:p>
    <w:p>
      <w:pPr>
        <w:pStyle w:val="BodyText"/>
        <w:spacing w:line="480" w:lineRule="auto"/>
        <w:ind w:firstLine="720"/>
      </w:pPr>
      <w:r>
        <w:t xml:space="preserve">The problem takes the same four-part shape the dissertation uses throughout. Today the literature offers a descriptive, simulation-based airspace-impact corpus that establishes order-of-magnitude effects for launch closures and, lately, for a handful of high-profile uncontrolled reentries. What is wanted instead is a credible causal estimate of the per-event NAS cost and of the avoided cost of a prediction-informed dynamic closure regime, stated so that a near-zero effect would falsify the claim. No study estimates either parameter with a defensible identification strategy. Leave that void open and the cost falls on the people who must plan around it: as reentry cadence climbs with large-constellation deorbit and an emerging commercial down-mass sector, regulators and program planners are left reasoning about a structural and growing aviation burden from numbers that were never built to bear a causal interpretation, and that therefore cannot price the externality or justify the modeling investment that would shrink it.</w:t>
      </w:r>
    </w:p>
    <w:p>
      <w:pPr>
        <w:pStyle w:val="BodyText"/>
        <w:spacing w:line="480" w:lineRule="auto"/>
        <w:ind w:firstLine="720"/>
      </w:pPr>
      <w:r>
        <w:t xml:space="preserve">The chapter is organized into four thematic reviews, each closing with a synthesis table and an explicit statement of the gap that theme leaves. Theme A treats the airspace-disruption baseline drawn chiefly from the launch era and the small but growing reentry-specific record. Theme B treats the architectural direction of the field, the documented transition from static segregation toward dynamic, prediction-informed closure, and the maturity of its components. Theme C treats delay as a measured economic cost and the network propagation that makes the within-window cost an understatement of the total. Theme D treats the space-economy framing in which authorization and corridor access become economic variables. Section 3.7 integrates the four into a single statement of the intersection gap and states the propositions that follow into the design. Throughout, where the literature offers only a correlation, the text says so and downgrades confidence accordingly; the dissertation’s entire methodological purpose is to convert a body of suggestive correlation into an identified causal estimate, and that purpose is poorly served by overstating what the prior work already establishes.</w:t>
      </w:r>
    </w:p>
    <w:bookmarkEnd w:id="102"/>
    <w:bookmarkStart w:id="103" w:name="theme-a-the-airspace-disruption-baseline"/>
    <w:p>
      <w:pPr>
        <w:pStyle w:val="Heading2"/>
        <w:spacing w:line="480" w:lineRule="auto"/>
      </w:pPr>
      <w:r>
        <w:t xml:space="preserve">3.2 Theme A: the airspace-disruption baseline</w:t>
      </w:r>
    </w:p>
    <w:p>
      <w:pPr>
        <w:pStyle w:val="FirstParagraph"/>
        <w:spacing w:line="480" w:lineRule="auto"/>
      </w:pPr>
      <w:r>
        <w:t xml:space="preserve">The launch-era record is the empirical anchor for the disruption claim, and Srivastava and colleagues are its foundational source, having assessed the impact of space launch and reentry operations on the NAS from historical traffic patterns</w:t>
      </w:r>
      <w:r>
        <w:t xml:space="preserve"> </w:t>
      </w:r>
      <w:hyperlink w:anchor="ref-2">
        <w:r>
          <w:rPr>
            <w:rStyle w:val="Hyperlink"/>
          </w:rPr>
          <w:t xml:space="preserve">[2]</w:t>
        </w:r>
      </w:hyperlink>
      <w:r>
        <w:t xml:space="preserve">. What they contribute methodologically is the translation procedure that turns a closure geometry into delay, distance, and fuel-burn estimates for the affected flight population. Handed a hazard area polygon and an active window, they intersect historical flight tracks with the withheld volume, reroute the affected flights around it, and tally the added distance and time. That procedure is the conceptual ancestor of the ReentryFlow exposure mapping this dissertation uses to bridge from the reentry catalog to the flight layer, and the present design draws on Srivastava and colleagues for the method, not for a causal estimate. Their limitation, shared with the whole descriptive tradition, is that the counterfactual is the analyst’s reroute assumption rather than an observed comparison group. The study reports what the displaced flights would cost under a modeled rerouting, not what comparable unexposed flights actually did. That single distinction is the methodological burden the dissertation shoulders, and it is why this work grounds the expected sign and magnitude yet cannot stand as the identified effect.</w:t>
      </w:r>
    </w:p>
    <w:p>
      <w:pPr>
        <w:pStyle w:val="BodyText"/>
        <w:spacing w:line="480" w:lineRule="auto"/>
        <w:ind w:firstLine="720"/>
      </w:pPr>
      <w:r>
        <w:t xml:space="preserve">Tinoco and colleagues pushed the simulation approach further and produced the field’s most cited quantitative figures</w:t>
      </w:r>
      <w:r>
        <w:t xml:space="preserve"> </w:t>
      </w:r>
      <w:hyperlink w:anchor="ref-3">
        <w:r>
          <w:rPr>
            <w:rStyle w:val="Hyperlink"/>
          </w:rPr>
          <w:t xml:space="preserve">[3]</w:t>
        </w:r>
      </w:hyperlink>
      <w:r>
        <w:t xml:space="preserve">. Their four-dimensional closure analysis at Cape Canaveral reports international carriers at 9.5 percent of flights impacted by vertical launches and 8.3 percent by horizontal spaceplane landings, with general aviation at 33 percent of impacted flights. A companion simulation from the same group, reported by Tinoco, Eudy, and Cannon, analyzes four-dimensional airspace closures from commercial space operations and confirms the pattern: most impacted flights were domestic U.S. carriers, while international carriers absorbed a share out of proportion to their traffic count</w:t>
      </w:r>
      <w:r>
        <w:t xml:space="preserve"> </w:t>
      </w:r>
      <w:hyperlink w:anchor="ref-32">
        <w:r>
          <w:rPr>
            <w:rStyle w:val="Hyperlink"/>
          </w:rPr>
          <w:t xml:space="preserve">[32]</w:t>
        </w:r>
      </w:hyperlink>
      <w:r>
        <w:t xml:space="preserve">. Those two figures, the roughly 8 to 10 percent international-carrier share and the roughly one-third general-aviation share, return as the prior ranges the dissertation carries into its expected-findings discussion. The method is fast-time simulation over historical or representative traffic, and its strength is that it resolves the impact distribution by aircraft class, exactly the heterogeneity the dissertation’s covariate set keeps. Its weakness is again the missing control. The affected-flight percentages count intersected flights under a closure scenario rather than treatment effects estimated against unexposed comparators, and the cost pinned to them is modeled, not realized.</w:t>
      </w:r>
    </w:p>
    <w:p>
      <w:pPr>
        <w:pStyle w:val="BodyText"/>
        <w:spacing w:line="480" w:lineRule="auto"/>
        <w:ind w:firstLine="720"/>
      </w:pPr>
      <w:r>
        <w:t xml:space="preserve">Young projected the effects of future launch and reentry operations on the NAS, and the study holds a distinctive place in the corpus for coupling launch and reentry demand explicitly instead of treating reentry as an afterthought to launch</w:t>
      </w:r>
      <w:r>
        <w:t xml:space="preserve"> </w:t>
      </w:r>
      <w:hyperlink w:anchor="ref-4">
        <w:r>
          <w:rPr>
            <w:rStyle w:val="Hyperlink"/>
          </w:rPr>
          <w:t xml:space="preserve">[4]</w:t>
        </w:r>
      </w:hyperlink>
      <w:r>
        <w:t xml:space="preserve">. Its value here is the forward-looking framing. Young reasons about how impact scales with operational frequency, which is the cadence dependence the design makes central by reporting cost as a function of cadence rather than as a single scalar. The limit is that the projection rides on assumed growth trajectories and assumed closure geometries. It is a scenario analysis, and its outputs stay conditional on inputs the present design would instead estimate. Robson, Bolic, and Cook took up air traffic management strategies for, and impacts of, space launches from the European side</w:t>
      </w:r>
      <w:r>
        <w:t xml:space="preserve"> </w:t>
      </w:r>
      <w:hyperlink w:anchor="ref-5">
        <w:r>
          <w:rPr>
            <w:rStyle w:val="Hyperlink"/>
          </w:rPr>
          <w:t xml:space="preserve">[5]</w:t>
        </w:r>
      </w:hyperlink>
      <w:r>
        <w:t xml:space="preserve">, finding closure impact varying by aircraft type and flight profile and the coordination load on air navigation service providers rising with cadence. The European vantage matters because it surfaces the institutional cost of coordination that the U.S.-centric literature tends to fold into the closure itself. The limit, once more, is that the study is descriptive and strategy-oriented, mapping the management options rather than costing any one of them.</w:t>
      </w:r>
    </w:p>
    <w:p>
      <w:pPr>
        <w:pStyle w:val="BodyText"/>
        <w:spacing w:line="480" w:lineRule="auto"/>
        <w:ind w:firstLine="720"/>
      </w:pPr>
      <w:r>
        <w:t xml:space="preserve">The reentry-specific record, set apart from the launch-centric one, is thinner and newer, and Wright and colleagues are its center of gravity</w:t>
      </w:r>
      <w:r>
        <w:t xml:space="preserve"> </w:t>
      </w:r>
      <w:hyperlink w:anchor="ref-1">
        <w:r>
          <w:rPr>
            <w:rStyle w:val="Hyperlink"/>
          </w:rPr>
          <w:t xml:space="preserve">[1]</w:t>
        </w:r>
      </w:hyperlink>
      <w:r>
        <w:t xml:space="preserve">. They quantified airspace closures caused by reentering space objects and, decisively for the framing here, cast those closures not as a rare contingency but as a forward-looking and growing burden tied to constellation deorbit rates. This is the source that turns the problem from an episodic curiosity into a structural one, supplying the cadence-growth premise that drives the whole study. The companion work by Hook, Wright, Byers, and Boley on uncontrolled reentries and aviation safety sharpens the empirical anchor with a concrete event</w:t>
      </w:r>
      <w:r>
        <w:t xml:space="preserve"> </w:t>
      </w:r>
      <w:hyperlink w:anchor="ref-38">
        <w:r>
          <w:rPr>
            <w:rStyle w:val="Hyperlink"/>
          </w:rPr>
          <w:t xml:space="preserve">[38]</w:t>
        </w:r>
      </w:hyperlink>
      <w:r>
        <w:t xml:space="preserve">: the November 2022 reentry of a Long March 5B rocket body closed airspace over Europe, delaying 645 flights at a plausible economic cost in the millions of euros. That single documented event is the closest prior literature comes to a measured per-event cost, and it instructs precisely through what it is and is not. It is an existence proof that a reentry closure imposes a large, countable aviation cost. It is not an identified estimate. The 645 delayed flights are a count under one closure, the euro figure is a plausibility assessment rather than a treatment effect, and no comparison group of unexposed flights isolates the closure’s marginal effect from the day’s other disruptions. The dissertation builds straight on this anchor and supplies the one missing element.</w:t>
      </w:r>
    </w:p>
    <w:p>
      <w:pPr>
        <w:pStyle w:val="BodyText"/>
        <w:spacing w:line="480" w:lineRule="auto"/>
        <w:ind w:firstLine="720"/>
      </w:pPr>
      <w:r>
        <w:t xml:space="preserve">Three further reentry-specific sources fill out the theme, each adding a distinct piece. Pardini’s analysis of the ground and airspace risk from uncontrolled reentries asks whether recent growth should be considered worrying, and from the trend in reentering mass and frequency concludes that the airspace dimension is climbing in step with the ground-risk dimension the debris-survival literature has long studied</w:t>
      </w:r>
      <w:r>
        <w:t xml:space="preserve"> </w:t>
      </w:r>
      <w:hyperlink w:anchor="ref-64">
        <w:r>
          <w:rPr>
            <w:rStyle w:val="Hyperlink"/>
          </w:rPr>
          <w:t xml:space="preserve">[64]</w:t>
        </w:r>
      </w:hyperlink>
      <w:r>
        <w:t xml:space="preserve">. The Acta Astronautica treatment of the need to assess and mitigate the risk from uncontrolled reentries pushes the same way from the risk-assessment side, casting the hazard area as the operational instrument through which the on-orbit population converts into a terrestrial and airspace cost</w:t>
      </w:r>
      <w:r>
        <w:t xml:space="preserve"> </w:t>
      </w:r>
      <w:hyperlink w:anchor="ref-63">
        <w:r>
          <w:rPr>
            <w:rStyle w:val="Hyperlink"/>
          </w:rPr>
          <w:t xml:space="preserve">[63]</w:t>
        </w:r>
      </w:hyperlink>
      <w:r>
        <w:t xml:space="preserve">. Stefanescu, Constantinescu, and Pleter, in a study aimed squarely at minimizing air traffic disruption from uncontrolled space debris reentries, land two numbers the dissertation handles with care</w:t>
      </w:r>
      <w:r>
        <w:t xml:space="preserve"> </w:t>
      </w:r>
      <w:hyperlink w:anchor="ref-37">
        <w:r>
          <w:rPr>
            <w:rStyle w:val="Hyperlink"/>
          </w:rPr>
          <w:t xml:space="preserve">[37]</w:t>
        </w:r>
      </w:hyperlink>
      <w:r>
        <w:t xml:space="preserve">. They put the probability of collision during such events on the order of ten to the minus seven, extremely remote yet still warranting mitigation action, and they note that any given location stays at risk for no more than roughly one minute. That minute-scale temporal exposure set against the hours-scale static closure is the precise wedge behind the avoided-cost hypothesis, because it reveals the conservatism of static segregation as no fixed physical necessity but a function of how the spatial problem is turned into a temporal one. Stefanescu and colleagues concede the limit themselves: the dynamic allocation they propose is a forward proposal whose efficiency gain is asserted from the geometry rather than measured against realized operations, which is again the hole the dissertation’s avoided-cost parameter is built to fill.</w:t>
      </w:r>
    </w:p>
    <w:p>
      <w:pPr>
        <w:pStyle w:val="BodyText"/>
        <w:spacing w:line="480" w:lineRule="auto"/>
        <w:ind w:firstLine="720"/>
      </w:pPr>
      <w:r>
        <w:t xml:space="preserve">Two more sources round out the disruption baseline with method detail the design leans on. Bojorquez and Chen built a risk-level analysis for the hazard area during commercial space launch</w:t>
      </w:r>
      <w:r>
        <w:t xml:space="preserve"> </w:t>
      </w:r>
      <w:hyperlink w:anchor="ref-30">
        <w:r>
          <w:rPr>
            <w:rStyle w:val="Hyperlink"/>
          </w:rPr>
          <w:t xml:space="preserve">[30]</w:t>
        </w:r>
      </w:hyperlink>
      <w:r>
        <w:t xml:space="preserve">, splitting the hazard area into multiple sections and evaluating each dynamically for a risk level that combines the uncertain debris trajectory model with launch-failure probabilities. What they show is that a hazard area is no indivisible block but a graded field whose risk varies across its extent, which is the technical premise that makes a narrower, prediction-informed closure coherent rather than wishful. Tao and colleagues, assessing the factors that affect the safety of space launch and reentry operations in the NAS, catalogue the determinants of closure size and duration</w:t>
      </w:r>
      <w:r>
        <w:t xml:space="preserve"> </w:t>
      </w:r>
      <w:hyperlink w:anchor="ref-34">
        <w:r>
          <w:rPr>
            <w:rStyle w:val="Hyperlink"/>
          </w:rPr>
          <w:t xml:space="preserve">[34]</w:t>
        </w:r>
      </w:hyperlink>
      <w:r>
        <w:t xml:space="preserve">. The study points toward safety rather than cost, yet its list of drivers, trajectory uncertainty, debris dispersion, traffic density, is the same set the dissertation’s mechanism chain names. Rabu’s treatment of how the aviation and maritime sectors handle external risks, launch and reentry events among them</w:t>
      </w:r>
      <w:r>
        <w:t xml:space="preserve"> </w:t>
      </w:r>
      <w:hyperlink w:anchor="ref-6">
        <w:r>
          <w:rPr>
            <w:rStyle w:val="Hyperlink"/>
          </w:rPr>
          <w:t xml:space="preserve">[6]</w:t>
        </w:r>
      </w:hyperlink>
      <w:r>
        <w:t xml:space="preserve">, sets the airspace problem inside a broader risk-governance frame and confirms that the institutional response to reentry has been conservative segregation, which is the current-state premise of the problem frame.</w:t>
      </w:r>
    </w:p>
    <w:p>
      <w:pPr>
        <w:pStyle w:val="BodyText"/>
        <w:spacing w:line="480" w:lineRule="auto"/>
        <w:ind w:firstLine="720"/>
      </w:pPr>
      <w:r>
        <w:t xml:space="preserve">Reading Theme A as an argument: reentry and launch closures do withhold airspace, do touch real flights, and impose a non-trivial cost whose sign is unambiguously positive. What supports this is the convergent quantification across Srivastava</w:t>
      </w:r>
      <w:r>
        <w:t xml:space="preserve"> </w:t>
      </w:r>
      <w:hyperlink w:anchor="ref-2">
        <w:r>
          <w:rPr>
            <w:rStyle w:val="Hyperlink"/>
          </w:rPr>
          <w:t xml:space="preserve">[2]</w:t>
        </w:r>
      </w:hyperlink>
      <w:r>
        <w:t xml:space="preserve">, Tinoco</w:t>
      </w:r>
      <w:r>
        <w:t xml:space="preserve"> </w:t>
      </w:r>
      <w:hyperlink w:anchor="ref-3">
        <w:r>
          <w:rPr>
            <w:rStyle w:val="Hyperlink"/>
          </w:rPr>
          <w:t xml:space="preserve">[3]</w:t>
        </w:r>
      </w:hyperlink>
      <w:r>
        <w:t xml:space="preserve">, Tinoco-Eudy-Cannon</w:t>
      </w:r>
      <w:r>
        <w:t xml:space="preserve"> </w:t>
      </w:r>
      <w:hyperlink w:anchor="ref-32">
        <w:r>
          <w:rPr>
            <w:rStyle w:val="Hyperlink"/>
          </w:rPr>
          <w:t xml:space="preserve">[32]</w:t>
        </w:r>
      </w:hyperlink>
      <w:r>
        <w:t xml:space="preserve">, Young</w:t>
      </w:r>
      <w:r>
        <w:t xml:space="preserve"> </w:t>
      </w:r>
      <w:hyperlink w:anchor="ref-4">
        <w:r>
          <w:rPr>
            <w:rStyle w:val="Hyperlink"/>
          </w:rPr>
          <w:t xml:space="preserve">[4]</w:t>
        </w:r>
      </w:hyperlink>
      <w:r>
        <w:t xml:space="preserve">, Robson</w:t>
      </w:r>
      <w:r>
        <w:t xml:space="preserve"> </w:t>
      </w:r>
      <w:hyperlink w:anchor="ref-5">
        <w:r>
          <w:rPr>
            <w:rStyle w:val="Hyperlink"/>
          </w:rPr>
          <w:t xml:space="preserve">[5]</w:t>
        </w:r>
      </w:hyperlink>
      <w:r>
        <w:t xml:space="preserve">, Wright</w:t>
      </w:r>
      <w:r>
        <w:t xml:space="preserve"> </w:t>
      </w:r>
      <w:hyperlink w:anchor="ref-1">
        <w:r>
          <w:rPr>
            <w:rStyle w:val="Hyperlink"/>
          </w:rPr>
          <w:t xml:space="preserve">[1]</w:t>
        </w:r>
      </w:hyperlink>
      <w:r>
        <w:t xml:space="preserve">, Hook-Wright-Byers-Boley</w:t>
      </w:r>
      <w:r>
        <w:t xml:space="preserve"> </w:t>
      </w:r>
      <w:hyperlink w:anchor="ref-38">
        <w:r>
          <w:rPr>
            <w:rStyle w:val="Hyperlink"/>
          </w:rPr>
          <w:t xml:space="preserve">[38]</w:t>
        </w:r>
      </w:hyperlink>
      <w:r>
        <w:t xml:space="preserve">, Stefanescu</w:t>
      </w:r>
      <w:r>
        <w:t xml:space="preserve"> </w:t>
      </w:r>
      <w:hyperlink w:anchor="ref-37">
        <w:r>
          <w:rPr>
            <w:rStyle w:val="Hyperlink"/>
          </w:rPr>
          <w:t xml:space="preserve">[37]</w:t>
        </w:r>
      </w:hyperlink>
      <w:r>
        <w:t xml:space="preserve">, and the reentry-risk assessments of Pardini</w:t>
      </w:r>
      <w:r>
        <w:t xml:space="preserve"> </w:t>
      </w:r>
      <w:hyperlink w:anchor="ref-64">
        <w:r>
          <w:rPr>
            <w:rStyle w:val="Hyperlink"/>
          </w:rPr>
          <w:t xml:space="preserve">[64]</w:t>
        </w:r>
      </w:hyperlink>
      <w:r>
        <w:t xml:space="preserve"> </w:t>
      </w:r>
      <w:r>
        <w:t xml:space="preserve">and the Acta need-to-assess treatment</w:t>
      </w:r>
      <w:r>
        <w:t xml:space="preserve"> </w:t>
      </w:r>
      <w:hyperlink w:anchor="ref-63">
        <w:r>
          <w:rPr>
            <w:rStyle w:val="Hyperlink"/>
          </w:rPr>
          <w:t xml:space="preserve">[63]</w:t>
        </w:r>
      </w:hyperlink>
      <w:r>
        <w:t xml:space="preserve">. When descriptive studies drawing on different sites, geometries, traffic samples, and simulation engines all land on the same sign and overlapping magnitude ranges, the existence and approximate scale of the effect are well supported even where no single study identifies it causally. The strongest anchor is the documented 645-flight European closure, an observed event rather than a simulation, which fixes the magnitude in reality. One qualifier is essential and is kept in view: every one of these magnitudes is a count or a modeled cost, not an identified treatment effect, and the affected-flight percentages shift with site, geometry, and timing. A critic will object that the apparent cost could be an artifact of the reroute assumptions baked into the simulations. The dissertation’s answer, developed in later chapters, is to swap the modeled reroute for a realized-cost comparison against unexposed flights, which is precisely the element this theme shows the prior work missing. Confidence that the disruption sign is positive is high. Confidence in any specific magnitude is moderate, and it is held deliberately at the level of a prior range rather than a point estimate.</w:t>
      </w:r>
    </w:p>
    <w:p>
      <w:pPr>
        <w:pStyle w:val="BodyText"/>
        <w:spacing w:line="480" w:lineRule="auto"/>
        <w:ind w:firstLine="720"/>
      </w:pPr>
      <w:r>
        <w:rPr>
          <w:b/>
          <w:bCs/>
        </w:rPr>
        <w:t xml:space="preserve">Table 3.1. Theme A synthesis: the airspace-disruption baseline.</w:t>
      </w:r>
    </w:p>
    <w:tbl>
      <w:tblPr>
        <w:tblStyle w:val="Table"/>
        <w:tblLook w:firstRow="1" w:lastRow="0" w:firstColumn="0" w:lastColumn="0" w:noHBand="0" w:noVBand="0" w:val="0020"/>
        <w:tblLayout w:type="autofit"/>
        <w:tblW w:w="0" w:type="auto"/>
      </w:tblPr>
      <w:tblGrid>
        <w:gridCol w:w="1584"/>
        <w:gridCol w:w="1584"/>
        <w:gridCol w:w="1584"/>
        <w:gridCol w:w="1584"/>
        <w:gridCol w:w="1584"/>
      </w:tblGrid>
      <w:tr>
        <w:trPr>
          <w:tblHeader w:val="on"/>
        </w:trP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Finding</w:t>
            </w:r>
          </w:p>
        </w:tc>
        <w:tc>
          <w:tcPr>
            <w:tcW w:w="0" w:type="auto"/>
          </w:tcPr>
          <w:p>
            <w:pPr>
              <w:spacing w:line="240" w:lineRule="auto" w:before="0" w:after="0"/>
              <w:pStyle w:val="Compact"/>
            </w:pPr>
            <w:r>
              <w:rPr>
                <w:sz w:val="20"/>
                <w:szCs w:val="20"/>
              </w:rPr>
              <w:t xml:space="preserve">Method</w:t>
            </w:r>
          </w:p>
        </w:tc>
        <w:tc>
          <w:tcPr>
            <w:tcW w:w="0" w:type="auto"/>
          </w:tcPr>
          <w:p>
            <w:pPr>
              <w:spacing w:line="240" w:lineRule="auto" w:before="0" w:after="0"/>
              <w:pStyle w:val="Compact"/>
            </w:pPr>
            <w:r>
              <w:rPr>
                <w:sz w:val="20"/>
                <w:szCs w:val="20"/>
              </w:rPr>
              <w:t xml:space="preserve">Limitation</w:t>
            </w:r>
          </w:p>
        </w:tc>
        <w:tc>
          <w:tcPr>
            <w:tcW w:w="0" w:type="auto"/>
          </w:tcPr>
          <w:p>
            <w:pPr>
              <w:spacing w:line="240" w:lineRule="auto" w:before="0" w:after="0"/>
              <w:pStyle w:val="Compact"/>
            </w:pPr>
            <w:r>
              <w:rPr>
                <w:sz w:val="20"/>
                <w:szCs w:val="20"/>
              </w:rPr>
              <w:t xml:space="preserve">Relation to gap</w:t>
            </w:r>
          </w:p>
        </w:tc>
      </w:tr>
      <w:tr>
        <w:tc>
          <w:tcPr>
            <w:tcW w:w="0" w:type="auto"/>
          </w:tcPr>
          <w:p>
            <w:pPr>
              <w:spacing w:line="240" w:lineRule="auto" w:before="0" w:after="0"/>
              <w:pStyle w:val="Compact"/>
            </w:pPr>
            <w:r>
              <w:rPr>
                <w:sz w:val="20"/>
                <w:szCs w:val="20"/>
              </w:rPr>
              <w:t xml:space="preserve">Srivastava et al. </w:t>
            </w:r>
            <w:hyperlink w:anchor="ref-2">
              <w:r>
                <w:rPr>
                  <w:rStyle w:val="Hyperlink"/>
                  <w:sz w:val="20"/>
                  <w:szCs w:val="20"/>
                </w:rPr>
                <w:t xml:space="preserve">[2]</w:t>
              </w:r>
            </w:hyperlink>
          </w:p>
        </w:tc>
        <w:tc>
          <w:tcPr>
            <w:tcW w:w="0" w:type="auto"/>
          </w:tcPr>
          <w:p>
            <w:pPr>
              <w:spacing w:line="240" w:lineRule="auto" w:before="0" w:after="0"/>
              <w:pStyle w:val="Compact"/>
            </w:pPr>
            <w:r>
              <w:rPr>
                <w:sz w:val="20"/>
                <w:szCs w:val="20"/>
              </w:rPr>
              <w:t xml:space="preserve">Closure geometry maps to delay, distance, fuel for affected flights</w:t>
            </w:r>
          </w:p>
        </w:tc>
        <w:tc>
          <w:tcPr>
            <w:tcW w:w="0" w:type="auto"/>
          </w:tcPr>
          <w:p>
            <w:pPr>
              <w:spacing w:line="240" w:lineRule="auto" w:before="0" w:after="0"/>
              <w:pStyle w:val="Compact"/>
            </w:pPr>
            <w:r>
              <w:rPr>
                <w:sz w:val="20"/>
                <w:szCs w:val="20"/>
              </w:rPr>
              <w:t xml:space="preserve">Historical-traffic intersection and reroute</w:t>
            </w:r>
          </w:p>
        </w:tc>
        <w:tc>
          <w:tcPr>
            <w:tcW w:w="0" w:type="auto"/>
          </w:tcPr>
          <w:p>
            <w:pPr>
              <w:spacing w:line="240" w:lineRule="auto" w:before="0" w:after="0"/>
              <w:pStyle w:val="Compact"/>
            </w:pPr>
            <w:r>
              <w:rPr>
                <w:sz w:val="20"/>
                <w:szCs w:val="20"/>
              </w:rPr>
              <w:t xml:space="preserve">Counterfactual is the analyst’s reroute, not an observed control</w:t>
            </w:r>
          </w:p>
        </w:tc>
        <w:tc>
          <w:tcPr>
            <w:tcW w:w="0" w:type="auto"/>
          </w:tcPr>
          <w:p>
            <w:pPr>
              <w:spacing w:line="240" w:lineRule="auto" w:before="0" w:after="0"/>
              <w:pStyle w:val="Compact"/>
            </w:pPr>
            <w:r>
              <w:rPr>
                <w:sz w:val="20"/>
                <w:szCs w:val="20"/>
              </w:rPr>
              <w:t xml:space="preserve">Supplies the exposure-mapping method, not an identified effect</w:t>
            </w:r>
          </w:p>
        </w:tc>
      </w:tr>
      <w:tr>
        <w:tc>
          <w:tcPr>
            <w:tcW w:w="0" w:type="auto"/>
          </w:tcPr>
          <w:p>
            <w:pPr>
              <w:spacing w:line="240" w:lineRule="auto" w:before="0" w:after="0"/>
              <w:pStyle w:val="Compact"/>
            </w:pPr>
            <w:r>
              <w:rPr>
                <w:sz w:val="20"/>
                <w:szCs w:val="20"/>
              </w:rPr>
              <w:t xml:space="preserve">Tinoco et al. </w:t>
            </w:r>
            <w:hyperlink w:anchor="ref-3">
              <w:r>
                <w:rPr>
                  <w:rStyle w:val="Hyperlink"/>
                  <w:sz w:val="20"/>
                  <w:szCs w:val="20"/>
                </w:rPr>
                <w:t xml:space="preserve">[3]</w:t>
              </w:r>
            </w:hyperlink>
          </w:p>
        </w:tc>
        <w:tc>
          <w:tcPr>
            <w:tcW w:w="0" w:type="auto"/>
          </w:tcPr>
          <w:p>
            <w:pPr>
              <w:spacing w:line="240" w:lineRule="auto" w:before="0" w:after="0"/>
              <w:pStyle w:val="Compact"/>
            </w:pPr>
            <w:r>
              <w:rPr>
                <w:sz w:val="20"/>
                <w:szCs w:val="20"/>
              </w:rPr>
              <w:t xml:space="preserve">Intl carriers 8.3-9.5% of impacted flights; GA ~33%</w:t>
            </w:r>
          </w:p>
        </w:tc>
        <w:tc>
          <w:tcPr>
            <w:tcW w:w="0" w:type="auto"/>
          </w:tcPr>
          <w:p>
            <w:pPr>
              <w:spacing w:line="240" w:lineRule="auto" w:before="0" w:after="0"/>
              <w:pStyle w:val="Compact"/>
            </w:pPr>
            <w:r>
              <w:rPr>
                <w:sz w:val="20"/>
                <w:szCs w:val="20"/>
              </w:rPr>
              <w:t xml:space="preserve">Fast-time 4D simulation, Cape Canaveral</w:t>
            </w:r>
          </w:p>
        </w:tc>
        <w:tc>
          <w:tcPr>
            <w:tcW w:w="0" w:type="auto"/>
          </w:tcPr>
          <w:p>
            <w:pPr>
              <w:spacing w:line="240" w:lineRule="auto" w:before="0" w:after="0"/>
              <w:pStyle w:val="Compact"/>
            </w:pPr>
            <w:r>
              <w:rPr>
                <w:sz w:val="20"/>
                <w:szCs w:val="20"/>
              </w:rPr>
              <w:t xml:space="preserve">Counts under a scenario, not treatment effects</w:t>
            </w:r>
          </w:p>
        </w:tc>
        <w:tc>
          <w:tcPr>
            <w:tcW w:w="0" w:type="auto"/>
          </w:tcPr>
          <w:p>
            <w:pPr>
              <w:spacing w:line="240" w:lineRule="auto" w:before="0" w:after="0"/>
              <w:pStyle w:val="Compact"/>
            </w:pPr>
            <w:r>
              <w:rPr>
                <w:sz w:val="20"/>
                <w:szCs w:val="20"/>
              </w:rPr>
              <w:t xml:space="preserve">Source of the prior affected-flight shares by class</w:t>
            </w:r>
          </w:p>
        </w:tc>
      </w:tr>
      <w:tr>
        <w:tc>
          <w:tcPr>
            <w:tcW w:w="0" w:type="auto"/>
          </w:tcPr>
          <w:p>
            <w:pPr>
              <w:spacing w:line="240" w:lineRule="auto" w:before="0" w:after="0"/>
              <w:pStyle w:val="Compact"/>
            </w:pPr>
            <w:r>
              <w:rPr>
                <w:sz w:val="20"/>
                <w:szCs w:val="20"/>
              </w:rPr>
              <w:t xml:space="preserve">Tinoco, Eudy, Cannon</w:t>
            </w:r>
            <w:r>
              <w:rPr>
                <w:sz w:val="20"/>
                <w:szCs w:val="20"/>
              </w:rPr>
              <w:t xml:space="preserve"> </w:t>
            </w:r>
            <w:hyperlink w:anchor="ref-32">
              <w:r>
                <w:rPr>
                  <w:rStyle w:val="Hyperlink"/>
                  <w:sz w:val="20"/>
                  <w:szCs w:val="20"/>
                </w:rPr>
                <w:t xml:space="preserve">[32]</w:t>
              </w:r>
            </w:hyperlink>
          </w:p>
        </w:tc>
        <w:tc>
          <w:tcPr>
            <w:tcW w:w="0" w:type="auto"/>
          </w:tcPr>
          <w:p>
            <w:pPr>
              <w:spacing w:line="240" w:lineRule="auto" w:before="0" w:after="0"/>
              <w:pStyle w:val="Compact"/>
            </w:pPr>
            <w:r>
              <w:rPr>
                <w:sz w:val="20"/>
                <w:szCs w:val="20"/>
              </w:rPr>
              <w:t xml:space="preserve">Majority domestic; intl share disproportionate to count</w:t>
            </w:r>
          </w:p>
        </w:tc>
        <w:tc>
          <w:tcPr>
            <w:tcW w:w="0" w:type="auto"/>
          </w:tcPr>
          <w:p>
            <w:pPr>
              <w:spacing w:line="240" w:lineRule="auto" w:before="0" w:after="0"/>
              <w:pStyle w:val="Compact"/>
            </w:pPr>
            <w:r>
              <w:rPr>
                <w:sz w:val="20"/>
                <w:szCs w:val="20"/>
              </w:rPr>
              <w:t xml:space="preserve">4D closure simulation</w:t>
            </w:r>
          </w:p>
        </w:tc>
        <w:tc>
          <w:tcPr>
            <w:tcW w:w="0" w:type="auto"/>
          </w:tcPr>
          <w:p>
            <w:pPr>
              <w:spacing w:line="240" w:lineRule="auto" w:before="0" w:after="0"/>
              <w:pStyle w:val="Compact"/>
            </w:pPr>
            <w:r>
              <w:rPr>
                <w:sz w:val="20"/>
                <w:szCs w:val="20"/>
              </w:rPr>
              <w:t xml:space="preserve">Modeled cost, no control group</w:t>
            </w:r>
          </w:p>
        </w:tc>
        <w:tc>
          <w:tcPr>
            <w:tcW w:w="0" w:type="auto"/>
          </w:tcPr>
          <w:p>
            <w:pPr>
              <w:spacing w:line="240" w:lineRule="auto" w:before="0" w:after="0"/>
              <w:pStyle w:val="Compact"/>
            </w:pPr>
            <w:r>
              <w:rPr>
                <w:sz w:val="20"/>
                <w:szCs w:val="20"/>
              </w:rPr>
              <w:t xml:space="preserve">Confirms class heterogeneity the design retains</w:t>
            </w:r>
          </w:p>
        </w:tc>
      </w:tr>
      <w:tr>
        <w:tc>
          <w:tcPr>
            <w:tcW w:w="0" w:type="auto"/>
          </w:tcPr>
          <w:p>
            <w:pPr>
              <w:spacing w:line="240" w:lineRule="auto" w:before="0" w:after="0"/>
              <w:pStyle w:val="Compact"/>
            </w:pPr>
            <w:r>
              <w:rPr>
                <w:sz w:val="20"/>
                <w:szCs w:val="20"/>
              </w:rPr>
              <w:t xml:space="preserve">Young</w:t>
            </w:r>
            <w:r>
              <w:rPr>
                <w:sz w:val="20"/>
                <w:szCs w:val="20"/>
              </w:rPr>
              <w:t xml:space="preserve"> </w:t>
            </w:r>
            <w:hyperlink w:anchor="ref-4">
              <w:r>
                <w:rPr>
                  <w:rStyle w:val="Hyperlink"/>
                  <w:sz w:val="20"/>
                  <w:szCs w:val="20"/>
                </w:rPr>
                <w:t xml:space="preserve">[4]</w:t>
              </w:r>
            </w:hyperlink>
          </w:p>
        </w:tc>
        <w:tc>
          <w:tcPr>
            <w:tcW w:w="0" w:type="auto"/>
          </w:tcPr>
          <w:p>
            <w:pPr>
              <w:spacing w:line="240" w:lineRule="auto" w:before="0" w:after="0"/>
              <w:pStyle w:val="Compact"/>
            </w:pPr>
            <w:r>
              <w:rPr>
                <w:sz w:val="20"/>
                <w:szCs w:val="20"/>
              </w:rPr>
              <w:t xml:space="preserve">Impact scales with operational frequency</w:t>
            </w:r>
          </w:p>
        </w:tc>
        <w:tc>
          <w:tcPr>
            <w:tcW w:w="0" w:type="auto"/>
          </w:tcPr>
          <w:p>
            <w:pPr>
              <w:spacing w:line="240" w:lineRule="auto" w:before="0" w:after="0"/>
              <w:pStyle w:val="Compact"/>
            </w:pPr>
            <w:r>
              <w:rPr>
                <w:sz w:val="20"/>
                <w:szCs w:val="20"/>
              </w:rPr>
              <w:t xml:space="preserve">Forward scenario projection</w:t>
            </w:r>
          </w:p>
        </w:tc>
        <w:tc>
          <w:tcPr>
            <w:tcW w:w="0" w:type="auto"/>
          </w:tcPr>
          <w:p>
            <w:pPr>
              <w:spacing w:line="240" w:lineRule="auto" w:before="0" w:after="0"/>
              <w:pStyle w:val="Compact"/>
            </w:pPr>
            <w:r>
              <w:rPr>
                <w:sz w:val="20"/>
                <w:szCs w:val="20"/>
              </w:rPr>
              <w:t xml:space="preserve">Conditional on assumed growth and geometry</w:t>
            </w:r>
          </w:p>
        </w:tc>
        <w:tc>
          <w:tcPr>
            <w:tcW w:w="0" w:type="auto"/>
          </w:tcPr>
          <w:p>
            <w:pPr>
              <w:spacing w:line="240" w:lineRule="auto" w:before="0" w:after="0"/>
              <w:pStyle w:val="Compact"/>
            </w:pPr>
            <w:r>
              <w:rPr>
                <w:sz w:val="20"/>
                <w:szCs w:val="20"/>
              </w:rPr>
              <w:t xml:space="preserve">Motivates cost-as-function-of-cadence framing</w:t>
            </w:r>
          </w:p>
        </w:tc>
      </w:tr>
      <w:tr>
        <w:tc>
          <w:tcPr>
            <w:tcW w:w="0" w:type="auto"/>
          </w:tcPr>
          <w:p>
            <w:pPr>
              <w:spacing w:line="240" w:lineRule="auto" w:before="0" w:after="0"/>
              <w:pStyle w:val="Compact"/>
            </w:pPr>
            <w:r>
              <w:rPr>
                <w:sz w:val="20"/>
                <w:szCs w:val="20"/>
              </w:rPr>
              <w:t xml:space="preserve">Robson, Bolic, Cook</w:t>
            </w:r>
            <w:r>
              <w:rPr>
                <w:sz w:val="20"/>
                <w:szCs w:val="20"/>
              </w:rPr>
              <w:t xml:space="preserve"> </w:t>
            </w:r>
            <w:hyperlink w:anchor="ref-5">
              <w:r>
                <w:rPr>
                  <w:rStyle w:val="Hyperlink"/>
                  <w:sz w:val="20"/>
                  <w:szCs w:val="20"/>
                </w:rPr>
                <w:t xml:space="preserve">[5]</w:t>
              </w:r>
            </w:hyperlink>
          </w:p>
        </w:tc>
        <w:tc>
          <w:tcPr>
            <w:tcW w:w="0" w:type="auto"/>
          </w:tcPr>
          <w:p>
            <w:pPr>
              <w:spacing w:line="240" w:lineRule="auto" w:before="0" w:after="0"/>
              <w:pStyle w:val="Compact"/>
            </w:pPr>
            <w:r>
              <w:rPr>
                <w:sz w:val="20"/>
                <w:szCs w:val="20"/>
              </w:rPr>
              <w:t xml:space="preserve">Impact varies by aircraft type; ANSP coordination load rises with cadence</w:t>
            </w:r>
          </w:p>
        </w:tc>
        <w:tc>
          <w:tcPr>
            <w:tcW w:w="0" w:type="auto"/>
          </w:tcPr>
          <w:p>
            <w:pPr>
              <w:spacing w:line="240" w:lineRule="auto" w:before="0" w:after="0"/>
              <w:pStyle w:val="Compact"/>
            </w:pPr>
            <w:r>
              <w:rPr>
                <w:sz w:val="20"/>
                <w:szCs w:val="20"/>
              </w:rPr>
              <w:t xml:space="preserve">Descriptive strategy analysis (Europe)</w:t>
            </w:r>
          </w:p>
        </w:tc>
        <w:tc>
          <w:tcPr>
            <w:tcW w:w="0" w:type="auto"/>
          </w:tcPr>
          <w:p>
            <w:pPr>
              <w:spacing w:line="240" w:lineRule="auto" w:before="0" w:after="0"/>
              <w:pStyle w:val="Compact"/>
            </w:pPr>
            <w:r>
              <w:rPr>
                <w:sz w:val="20"/>
                <w:szCs w:val="20"/>
              </w:rPr>
              <w:t xml:space="preserve">Maps options, estimates none</w:t>
            </w:r>
          </w:p>
        </w:tc>
        <w:tc>
          <w:tcPr>
            <w:tcW w:w="0" w:type="auto"/>
          </w:tcPr>
          <w:p>
            <w:pPr>
              <w:spacing w:line="240" w:lineRule="auto" w:before="0" w:after="0"/>
              <w:pStyle w:val="Compact"/>
            </w:pPr>
            <w:r>
              <w:rPr>
                <w:sz w:val="20"/>
                <w:szCs w:val="20"/>
              </w:rPr>
              <w:t xml:space="preserve">Surfaces coordination cost folded into closures</w:t>
            </w:r>
          </w:p>
        </w:tc>
      </w:tr>
      <w:tr>
        <w:tc>
          <w:tcPr>
            <w:tcW w:w="0" w:type="auto"/>
          </w:tcPr>
          <w:p>
            <w:pPr>
              <w:spacing w:line="240" w:lineRule="auto" w:before="0" w:after="0"/>
              <w:pStyle w:val="Compact"/>
            </w:pPr>
            <w:r>
              <w:rPr>
                <w:sz w:val="20"/>
                <w:szCs w:val="20"/>
              </w:rPr>
              <w:t xml:space="preserve">Wright et al. </w:t>
            </w:r>
            <w:hyperlink w:anchor="ref-1">
              <w:r>
                <w:rPr>
                  <w:rStyle w:val="Hyperlink"/>
                  <w:sz w:val="20"/>
                  <w:szCs w:val="20"/>
                </w:rPr>
                <w:t xml:space="preserve">[1]</w:t>
              </w:r>
            </w:hyperlink>
          </w:p>
        </w:tc>
        <w:tc>
          <w:tcPr>
            <w:tcW w:w="0" w:type="auto"/>
          </w:tcPr>
          <w:p>
            <w:pPr>
              <w:spacing w:line="240" w:lineRule="auto" w:before="0" w:after="0"/>
              <w:pStyle w:val="Compact"/>
            </w:pPr>
            <w:r>
              <w:rPr>
                <w:sz w:val="20"/>
                <w:szCs w:val="20"/>
              </w:rPr>
              <w:t xml:space="preserve">Reentry closures are a growing, structural aviation burden</w:t>
            </w:r>
          </w:p>
        </w:tc>
        <w:tc>
          <w:tcPr>
            <w:tcW w:w="0" w:type="auto"/>
          </w:tcPr>
          <w:p>
            <w:pPr>
              <w:spacing w:line="240" w:lineRule="auto" w:before="0" w:after="0"/>
              <w:pStyle w:val="Compact"/>
            </w:pPr>
            <w:r>
              <w:rPr>
                <w:sz w:val="20"/>
                <w:szCs w:val="20"/>
              </w:rPr>
              <w:t xml:space="preserve">Quantification tied to deorbit rates</w:t>
            </w:r>
          </w:p>
        </w:tc>
        <w:tc>
          <w:tcPr>
            <w:tcW w:w="0" w:type="auto"/>
          </w:tcPr>
          <w:p>
            <w:pPr>
              <w:spacing w:line="240" w:lineRule="auto" w:before="0" w:after="0"/>
              <w:pStyle w:val="Compact"/>
            </w:pPr>
            <w:r>
              <w:rPr>
                <w:sz w:val="20"/>
                <w:szCs w:val="20"/>
              </w:rPr>
              <w:t xml:space="preserve">Descriptive, no causal design</w:t>
            </w:r>
          </w:p>
        </w:tc>
        <w:tc>
          <w:tcPr>
            <w:tcW w:w="0" w:type="auto"/>
          </w:tcPr>
          <w:p>
            <w:pPr>
              <w:spacing w:line="240" w:lineRule="auto" w:before="0" w:after="0"/>
              <w:pStyle w:val="Compact"/>
            </w:pPr>
            <w:r>
              <w:rPr>
                <w:sz w:val="20"/>
                <w:szCs w:val="20"/>
              </w:rPr>
              <w:t xml:space="preserve">Supplies the cadence-growth premise</w:t>
            </w:r>
          </w:p>
        </w:tc>
      </w:tr>
      <w:tr>
        <w:tc>
          <w:tcPr>
            <w:tcW w:w="0" w:type="auto"/>
          </w:tcPr>
          <w:p>
            <w:pPr>
              <w:spacing w:line="240" w:lineRule="auto" w:before="0" w:after="0"/>
              <w:pStyle w:val="Compact"/>
            </w:pPr>
            <w:r>
              <w:rPr>
                <w:sz w:val="20"/>
                <w:szCs w:val="20"/>
              </w:rPr>
              <w:t xml:space="preserve">Hook, Wright, Byers, Boley</w:t>
            </w:r>
            <w:r>
              <w:rPr>
                <w:sz w:val="20"/>
                <w:szCs w:val="20"/>
              </w:rPr>
              <w:t xml:space="preserve"> </w:t>
            </w:r>
            <w:hyperlink w:anchor="ref-38">
              <w:r>
                <w:rPr>
                  <w:rStyle w:val="Hyperlink"/>
                  <w:sz w:val="20"/>
                  <w:szCs w:val="20"/>
                </w:rPr>
                <w:t xml:space="preserve">[38]</w:t>
              </w:r>
            </w:hyperlink>
          </w:p>
        </w:tc>
        <w:tc>
          <w:tcPr>
            <w:tcW w:w="0" w:type="auto"/>
          </w:tcPr>
          <w:p>
            <w:pPr>
              <w:spacing w:line="240" w:lineRule="auto" w:before="0" w:after="0"/>
              <w:pStyle w:val="Compact"/>
            </w:pPr>
            <w:r>
              <w:rPr>
                <w:sz w:val="20"/>
                <w:szCs w:val="20"/>
              </w:rPr>
              <w:t xml:space="preserve">LM-5B 2022: 645 flights delayed, millions of euros plausible</w:t>
            </w:r>
          </w:p>
        </w:tc>
        <w:tc>
          <w:tcPr>
            <w:tcW w:w="0" w:type="auto"/>
          </w:tcPr>
          <w:p>
            <w:pPr>
              <w:spacing w:line="240" w:lineRule="auto" w:before="0" w:after="0"/>
              <w:pStyle w:val="Compact"/>
            </w:pPr>
            <w:r>
              <w:rPr>
                <w:sz w:val="20"/>
                <w:szCs w:val="20"/>
              </w:rPr>
              <w:t xml:space="preserve">Single-event documentation</w:t>
            </w:r>
          </w:p>
        </w:tc>
        <w:tc>
          <w:tcPr>
            <w:tcW w:w="0" w:type="auto"/>
          </w:tcPr>
          <w:p>
            <w:pPr>
              <w:spacing w:line="240" w:lineRule="auto" w:before="0" w:after="0"/>
              <w:pStyle w:val="Compact"/>
            </w:pPr>
            <w:r>
              <w:rPr>
                <w:sz w:val="20"/>
                <w:szCs w:val="20"/>
              </w:rPr>
              <w:t xml:space="preserve">Count under one closure, no comparator</w:t>
            </w:r>
          </w:p>
        </w:tc>
        <w:tc>
          <w:tcPr>
            <w:tcW w:w="0" w:type="auto"/>
          </w:tcPr>
          <w:p>
            <w:pPr>
              <w:spacing w:line="240" w:lineRule="auto" w:before="0" w:after="0"/>
              <w:pStyle w:val="Compact"/>
            </w:pPr>
            <w:r>
              <w:rPr>
                <w:sz w:val="20"/>
                <w:szCs w:val="20"/>
              </w:rPr>
              <w:t xml:space="preserve">The observed magnitude anchor; missing identification</w:t>
            </w:r>
          </w:p>
        </w:tc>
      </w:tr>
      <w:tr>
        <w:tc>
          <w:tcPr>
            <w:tcW w:w="0" w:type="auto"/>
          </w:tcPr>
          <w:p>
            <w:pPr>
              <w:spacing w:line="240" w:lineRule="auto" w:before="0" w:after="0"/>
              <w:pStyle w:val="Compact"/>
            </w:pPr>
            <w:r>
              <w:rPr>
                <w:sz w:val="20"/>
                <w:szCs w:val="20"/>
              </w:rPr>
              <w:t xml:space="preserve">Stefanescu et al. </w:t>
            </w:r>
            <w:hyperlink w:anchor="ref-37">
              <w:r>
                <w:rPr>
                  <w:rStyle w:val="Hyperlink"/>
                  <w:sz w:val="20"/>
                  <w:szCs w:val="20"/>
                </w:rPr>
                <w:t xml:space="preserve">[37]</w:t>
              </w:r>
            </w:hyperlink>
          </w:p>
        </w:tc>
        <w:tc>
          <w:tcPr>
            <w:tcW w:w="0" w:type="auto"/>
          </w:tcPr>
          <w:p>
            <w:pPr>
              <w:spacing w:line="240" w:lineRule="auto" w:before="0" w:after="0"/>
              <w:pStyle w:val="Compact"/>
            </w:pPr>
            <w:r>
              <w:rPr>
                <w:sz w:val="20"/>
                <w:szCs w:val="20"/>
              </w:rPr>
              <w:t xml:space="preserve">P(collision) ~1e-7; location at risk ~1 minute</w:t>
            </w:r>
          </w:p>
        </w:tc>
        <w:tc>
          <w:tcPr>
            <w:tcW w:w="0" w:type="auto"/>
          </w:tcPr>
          <w:p>
            <w:pPr>
              <w:spacing w:line="240" w:lineRule="auto" w:before="0" w:after="0"/>
              <w:pStyle w:val="Compact"/>
            </w:pPr>
            <w:r>
              <w:rPr>
                <w:sz w:val="20"/>
                <w:szCs w:val="20"/>
              </w:rPr>
              <w:t xml:space="preserve">Risk and temporal-exposure analysis</w:t>
            </w:r>
          </w:p>
        </w:tc>
        <w:tc>
          <w:tcPr>
            <w:tcW w:w="0" w:type="auto"/>
          </w:tcPr>
          <w:p>
            <w:pPr>
              <w:spacing w:line="240" w:lineRule="auto" w:before="0" w:after="0"/>
              <w:pStyle w:val="Compact"/>
            </w:pPr>
            <w:r>
              <w:rPr>
                <w:sz w:val="20"/>
                <w:szCs w:val="20"/>
              </w:rPr>
              <w:t xml:space="preserve">Dynamic gain asserted from geometry</w:t>
            </w:r>
          </w:p>
        </w:tc>
        <w:tc>
          <w:tcPr>
            <w:tcW w:w="0" w:type="auto"/>
          </w:tcPr>
          <w:p>
            <w:pPr>
              <w:spacing w:line="240" w:lineRule="auto" w:before="0" w:after="0"/>
              <w:pStyle w:val="Compact"/>
            </w:pPr>
            <w:r>
              <w:rPr>
                <w:sz w:val="20"/>
                <w:szCs w:val="20"/>
              </w:rPr>
              <w:t xml:space="preserve">Motivates the avoided-cost wedge (minutes vs hours)</w:t>
            </w:r>
          </w:p>
        </w:tc>
      </w:tr>
      <w:tr>
        <w:tc>
          <w:tcPr>
            <w:tcW w:w="0" w:type="auto"/>
          </w:tcPr>
          <w:p>
            <w:pPr>
              <w:spacing w:line="240" w:lineRule="auto" w:before="0" w:after="0"/>
              <w:pStyle w:val="Compact"/>
            </w:pPr>
            <w:r>
              <w:rPr>
                <w:sz w:val="20"/>
                <w:szCs w:val="20"/>
              </w:rPr>
              <w:t xml:space="preserve">Bojorquez, Chen</w:t>
            </w:r>
            <w:r>
              <w:rPr>
                <w:sz w:val="20"/>
                <w:szCs w:val="20"/>
              </w:rPr>
              <w:t xml:space="preserve"> </w:t>
            </w:r>
            <w:hyperlink w:anchor="ref-30">
              <w:r>
                <w:rPr>
                  <w:rStyle w:val="Hyperlink"/>
                  <w:sz w:val="20"/>
                  <w:szCs w:val="20"/>
                </w:rPr>
                <w:t xml:space="preserve">[30]</w:t>
              </w:r>
            </w:hyperlink>
          </w:p>
        </w:tc>
        <w:tc>
          <w:tcPr>
            <w:tcW w:w="0" w:type="auto"/>
          </w:tcPr>
          <w:p>
            <w:pPr>
              <w:spacing w:line="240" w:lineRule="auto" w:before="0" w:after="0"/>
              <w:pStyle w:val="Compact"/>
            </w:pPr>
            <w:r>
              <w:rPr>
                <w:sz w:val="20"/>
                <w:szCs w:val="20"/>
              </w:rPr>
              <w:t xml:space="preserve">Hazard area is a graded risk field, not a block</w:t>
            </w:r>
          </w:p>
        </w:tc>
        <w:tc>
          <w:tcPr>
            <w:tcW w:w="0" w:type="auto"/>
          </w:tcPr>
          <w:p>
            <w:pPr>
              <w:spacing w:line="240" w:lineRule="auto" w:before="0" w:after="0"/>
              <w:pStyle w:val="Compact"/>
            </w:pPr>
            <w:r>
              <w:rPr>
                <w:sz w:val="20"/>
                <w:szCs w:val="20"/>
              </w:rPr>
              <w:t xml:space="preserve">Sectioned dynamic risk mapping</w:t>
            </w:r>
          </w:p>
        </w:tc>
        <w:tc>
          <w:tcPr>
            <w:tcW w:w="0" w:type="auto"/>
          </w:tcPr>
          <w:p>
            <w:pPr>
              <w:spacing w:line="240" w:lineRule="auto" w:before="0" w:after="0"/>
              <w:pStyle w:val="Compact"/>
            </w:pPr>
            <w:r>
              <w:rPr>
                <w:sz w:val="20"/>
                <w:szCs w:val="20"/>
              </w:rPr>
              <w:t xml:space="preserve">Launch-focused, safety not cost</w:t>
            </w:r>
          </w:p>
        </w:tc>
        <w:tc>
          <w:tcPr>
            <w:tcW w:w="0" w:type="auto"/>
          </w:tcPr>
          <w:p>
            <w:pPr>
              <w:spacing w:line="240" w:lineRule="auto" w:before="0" w:after="0"/>
              <w:pStyle w:val="Compact"/>
            </w:pPr>
            <w:r>
              <w:rPr>
                <w:sz w:val="20"/>
                <w:szCs w:val="20"/>
              </w:rPr>
              <w:t xml:space="preserve">Makes a narrower closure conceptually coherent</w:t>
            </w:r>
          </w:p>
        </w:tc>
      </w:tr>
      <w:tr>
        <w:tc>
          <w:tcPr>
            <w:tcW w:w="0" w:type="auto"/>
          </w:tcPr>
          <w:p>
            <w:pPr>
              <w:spacing w:line="240" w:lineRule="auto" w:before="0" w:after="0"/>
              <w:pStyle w:val="Compact"/>
            </w:pPr>
            <w:r>
              <w:rPr>
                <w:sz w:val="20"/>
                <w:szCs w:val="20"/>
              </w:rPr>
              <w:t xml:space="preserve">Pardini</w:t>
            </w:r>
            <w:r>
              <w:rPr>
                <w:sz w:val="20"/>
                <w:szCs w:val="20"/>
              </w:rPr>
              <w:t xml:space="preserve"> </w:t>
            </w:r>
            <w:hyperlink w:anchor="ref-64">
              <w:r>
                <w:rPr>
                  <w:rStyle w:val="Hyperlink"/>
                  <w:sz w:val="20"/>
                  <w:szCs w:val="20"/>
                </w:rPr>
                <w:t xml:space="preserve">[64]</w:t>
              </w:r>
            </w:hyperlink>
            <w:r>
              <w:rPr>
                <w:sz w:val="20"/>
                <w:szCs w:val="20"/>
              </w:rPr>
              <w:t xml:space="preserve">; Acta</w:t>
            </w:r>
            <w:r>
              <w:rPr>
                <w:sz w:val="20"/>
                <w:szCs w:val="20"/>
              </w:rPr>
              <w:t xml:space="preserve"> </w:t>
            </w:r>
            <w:hyperlink w:anchor="ref-63">
              <w:r>
                <w:rPr>
                  <w:rStyle w:val="Hyperlink"/>
                  <w:sz w:val="20"/>
                  <w:szCs w:val="20"/>
                </w:rPr>
                <w:t xml:space="preserve">[63]</w:t>
              </w:r>
            </w:hyperlink>
            <w:r>
              <w:rPr>
                <w:sz w:val="20"/>
                <w:szCs w:val="20"/>
              </w:rPr>
              <w:t xml:space="preserve">; Rabu</w:t>
            </w:r>
            <w:r>
              <w:rPr>
                <w:sz w:val="20"/>
                <w:szCs w:val="20"/>
              </w:rPr>
              <w:t xml:space="preserve"> </w:t>
            </w:r>
            <w:hyperlink w:anchor="ref-6">
              <w:r>
                <w:rPr>
                  <w:rStyle w:val="Hyperlink"/>
                  <w:sz w:val="20"/>
                  <w:szCs w:val="20"/>
                </w:rPr>
                <w:t xml:space="preserve">[6]</w:t>
              </w:r>
            </w:hyperlink>
          </w:p>
        </w:tc>
        <w:tc>
          <w:tcPr>
            <w:tcW w:w="0" w:type="auto"/>
          </w:tcPr>
          <w:p>
            <w:pPr>
              <w:spacing w:line="240" w:lineRule="auto" w:before="0" w:after="0"/>
              <w:pStyle w:val="Compact"/>
            </w:pPr>
            <w:r>
              <w:rPr>
                <w:sz w:val="20"/>
                <w:szCs w:val="20"/>
              </w:rPr>
              <w:t xml:space="preserve">Reentry airspace risk rising; response is conservative segregation</w:t>
            </w:r>
          </w:p>
        </w:tc>
        <w:tc>
          <w:tcPr>
            <w:tcW w:w="0" w:type="auto"/>
          </w:tcPr>
          <w:p>
            <w:pPr>
              <w:spacing w:line="240" w:lineRule="auto" w:before="0" w:after="0"/>
              <w:pStyle w:val="Compact"/>
            </w:pPr>
            <w:r>
              <w:rPr>
                <w:sz w:val="20"/>
                <w:szCs w:val="20"/>
              </w:rPr>
              <w:t xml:space="preserve">Risk assessment and governance framing</w:t>
            </w:r>
          </w:p>
        </w:tc>
        <w:tc>
          <w:tcPr>
            <w:tcW w:w="0" w:type="auto"/>
          </w:tcPr>
          <w:p>
            <w:pPr>
              <w:spacing w:line="240" w:lineRule="auto" w:before="0" w:after="0"/>
              <w:pStyle w:val="Compact"/>
            </w:pPr>
            <w:r>
              <w:rPr>
                <w:sz w:val="20"/>
                <w:szCs w:val="20"/>
              </w:rPr>
              <w:t xml:space="preserve">Descriptive</w:t>
            </w:r>
          </w:p>
        </w:tc>
        <w:tc>
          <w:tcPr>
            <w:tcW w:w="0" w:type="auto"/>
          </w:tcPr>
          <w:p>
            <w:pPr>
              <w:spacing w:line="240" w:lineRule="auto" w:before="0" w:after="0"/>
              <w:pStyle w:val="Compact"/>
            </w:pPr>
            <w:r>
              <w:rPr>
                <w:sz w:val="20"/>
                <w:szCs w:val="20"/>
              </w:rPr>
              <w:t xml:space="preserve">Establishes the current-state premise</w:t>
            </w:r>
          </w:p>
        </w:tc>
      </w:tr>
    </w:tbl>
    <w:p>
      <w:pPr>
        <w:pStyle w:val="BodyText"/>
        <w:spacing w:line="480" w:lineRule="auto"/>
        <w:ind w:firstLine="720"/>
      </w:pPr>
      <w:r>
        <w:t xml:space="preserve">The gap this theme leaves is the dissertation’s first contribution. The descriptive and simulation literature establishes, convergently and credibly, that reentry closures withhold real airspace and impose a positive, non-trivial, class-heterogeneous cost. What it does not do is estimate that cost as a causal treatment effect against an observed counterfactual, and the reentry-specific quantification in particular leans on a handful of sources and one documented event. The design supplies the identification this body of work lacks. It extends no existing causal result, because none exists to extend.</w:t>
      </w:r>
    </w:p>
    <w:bookmarkEnd w:id="103"/>
    <w:bookmarkStart w:id="104" w:name="Xa591f7b1c88f973ff8bcb5eafd62c89b2815e94"/>
    <w:p>
      <w:pPr>
        <w:pStyle w:val="Heading2"/>
        <w:spacing w:line="480" w:lineRule="auto"/>
      </w:pPr>
      <w:r>
        <w:t xml:space="preserve">3.3 Theme B: the architectural direction from static to dynamic closure</w:t>
      </w:r>
    </w:p>
    <w:p>
      <w:pPr>
        <w:pStyle w:val="FirstParagraph"/>
        <w:spacing w:line="480" w:lineRule="auto"/>
      </w:pPr>
      <w:r>
        <w:t xml:space="preserve">The second theme secures the claim the avoided-cost hypothesis depends on: that the move from static segregation to prediction-informed dynamic closure is no hypothetical but a documented, partly mature direction of the field, so the avoided-cost parameter measures the value of finishing an adaptation already begun rather than of inventing a capability. Hilton and colleagues are the architectural anchor, arguing that space operations must be folded into the existing air traffic management network through advanced communication, navigation, and surveillance (CNS) capabilities, and that such integration is a precondition for space transport to be technically and commercially viable, not merely a safety refinement</w:t>
      </w:r>
      <w:r>
        <w:t xml:space="preserve"> </w:t>
      </w:r>
      <w:hyperlink w:anchor="ref-7">
        <w:r>
          <w:rPr>
            <w:rStyle w:val="Hyperlink"/>
          </w:rPr>
          <w:t xml:space="preserve">[7]</w:t>
        </w:r>
      </w:hyperlink>
      <w:r>
        <w:t xml:space="preserve">. Their method synthesizes space traffic management requirements against ATM capabilities, and what matters here is their explicit reframing of integration as an economic enabler. The limit is that they set the direction at the level of architecture and requirements without quantifying the cost saving integration would deliver, which is the very quantity the avoided-cost parameter targets.</w:t>
      </w:r>
    </w:p>
    <w:p>
      <w:pPr>
        <w:pStyle w:val="BodyText"/>
        <w:spacing w:line="480" w:lineRule="auto"/>
        <w:ind w:firstLine="720"/>
      </w:pPr>
      <w:r>
        <w:t xml:space="preserve">Thangavel and colleagues carry the architecture a long way forward with a multi-domain traffic management concept that draws conventional air traffic management, higher-altitude operations, and space traffic management together under interoperable separation assurance, naming reentry as a first-class object on equal standing with launch</w:t>
      </w:r>
      <w:r>
        <w:t xml:space="preserve"> </w:t>
      </w:r>
      <w:hyperlink w:anchor="ref-8">
        <w:r>
          <w:rPr>
            <w:rStyle w:val="Hyperlink"/>
          </w:rPr>
          <w:t xml:space="preserve">[8]</w:t>
        </w:r>
      </w:hyperlink>
      <w:r>
        <w:t xml:space="preserve">. No source more directly authorizes the dissertation’s treatment of reentry as a managed traffic event rather than a contingency to segregate around, and putting reentry on equal footing is the conceptual warrant for treating a reentry-driven Aircraft Hazard Area (AHA) activation as a well-defined treatment. The limit is that the multi-domain architecture remains a design concept whose separation-assurance performance, and so whose closure-footprint reduction, is specified rather than measured. The European integration literature pushes the same direction. Radtke and colleagues, studying how to integrate air traffic management and space traffic management for Europe’s evolving aerospace landscape, document the concrete institutional and technical challenges of interfacing ATM and STM and cast higher-airspace integration as the near-term frontier</w:t>
      </w:r>
      <w:r>
        <w:t xml:space="preserve"> </w:t>
      </w:r>
      <w:hyperlink w:anchor="ref-27">
        <w:r>
          <w:rPr>
            <w:rStyle w:val="Hyperlink"/>
          </w:rPr>
          <w:t xml:space="preserve">[27]</w:t>
        </w:r>
      </w:hyperlink>
      <w:r>
        <w:t xml:space="preserve">. Tullmann and colleagues, in a white paper on implementing a European space traffic management system, supply the systems-level design and confirm that the infrastructure dynamic handling needs, tracking, surveillance, and coordination centers, is the same infrastructure the launch-era tools have started to provide</w:t>
      </w:r>
      <w:r>
        <w:t xml:space="preserve"> </w:t>
      </w:r>
      <w:hyperlink w:anchor="ref-78">
        <w:r>
          <w:rPr>
            <w:rStyle w:val="Hyperlink"/>
          </w:rPr>
          <w:t xml:space="preserve">[78]</w:t>
        </w:r>
      </w:hyperlink>
      <w:r>
        <w:t xml:space="preserve">. Both are white-paper, concept-level contributions, and that is their honest limit: they establish feasibility and direction, not measured efficiency.</w:t>
      </w:r>
    </w:p>
    <w:p>
      <w:pPr>
        <w:pStyle w:val="BodyText"/>
        <w:spacing w:line="480" w:lineRule="auto"/>
        <w:ind w:firstLine="720"/>
      </w:pPr>
      <w:r>
        <w:t xml:space="preserve">Where the dynamic-closure direction gains quantitative content is the trajectory-accuracy literature, the most load-bearing part of Theme B for the dissertation’s mechanism. Weitz, Gruber, and Rozen derive the predicted-trajectory accuracy requirements that let automation decide which flights can clear a hazard area before it activates</w:t>
      </w:r>
      <w:r>
        <w:t xml:space="preserve"> </w:t>
      </w:r>
      <w:hyperlink w:anchor="ref-9">
        <w:r>
          <w:rPr>
            <w:rStyle w:val="Hyperlink"/>
          </w:rPr>
          <w:t xml:space="preserve">[9]</w:t>
        </w:r>
      </w:hyperlink>
      <w:r>
        <w:t xml:space="preserve">, which is the technical definition of a dynamic closure: sized to the prediction available at decision time rather than to a worst-case envelope fixed hours ahead. A companion paper by Gruber, Weitz, and Rozen fixes the predicted-trajectory accuracy requirements for reducing the aviation impact of space launch and reentry operations specifically, carrying the accuracy-requirement framework into the reentry case the dissertation studies</w:t>
      </w:r>
      <w:r>
        <w:t xml:space="preserve"> </w:t>
      </w:r>
      <w:hyperlink w:anchor="ref-33">
        <w:r>
          <w:rPr>
            <w:rStyle w:val="Hyperlink"/>
          </w:rPr>
          <w:t xml:space="preserve">[33]</w:t>
        </w:r>
      </w:hyperlink>
      <w:r>
        <w:t xml:space="preserve">. Both reach the same finding: closure size shrinks as prediction accuracy rises, and there is an accuracy threshold above which the dynamic closure withholds materially less airspace than the static one. That is the precise lever the avoided-cost parameter pulls, and it is the strongest grounds in the corpus for expecting that parameter positive. The limit the dissertation respects is that these are accuracy-requirement derivations for launch and reentry, establishing the relationship between prediction accuracy and closure size without measuring the realized cost saving on operational traffic. They tell us the lever exists and how it works, not what it is worth in delay minutes and operating cost across a real event distribution.</w:t>
      </w:r>
    </w:p>
    <w:p>
      <w:pPr>
        <w:pStyle w:val="BodyText"/>
        <w:spacing w:line="480" w:lineRule="auto"/>
        <w:ind w:firstLine="720"/>
      </w:pPr>
      <w:r>
        <w:t xml:space="preserve">Two further sources show the dynamic regime instantiated rather than merely specified. Kaltenhaeuser and colleagues test a launch coordination center concept in European airspace and start to quantify how dynamic handling cuts the closure footprint against static policy</w:t>
      </w:r>
      <w:r>
        <w:t xml:space="preserve"> </w:t>
      </w:r>
      <w:hyperlink w:anchor="ref-10">
        <w:r>
          <w:rPr>
            <w:rStyle w:val="Hyperlink"/>
          </w:rPr>
          <w:t xml:space="preserve">[10]</w:t>
        </w:r>
      </w:hyperlink>
      <w:r>
        <w:t xml:space="preserve">, the closest the corpus comes to an observed dynamic-versus-static comparison, though for launch and at concept-demonstration scale. Lash and colleagues, working on tactical airspace management during space launch and reentry operations through collaborative information exchange</w:t>
      </w:r>
      <w:r>
        <w:t xml:space="preserve"> </w:t>
      </w:r>
      <w:hyperlink w:anchor="ref-28">
        <w:r>
          <w:rPr>
            <w:rStyle w:val="Hyperlink"/>
          </w:rPr>
          <w:t xml:space="preserve">[28]</w:t>
        </w:r>
      </w:hyperlink>
      <w:r>
        <w:t xml:space="preserve">, document the operational mechanism, real-time information sharing between the space operator and the air navigation service provider, that turns a static planned closure into a dynamically managed one. The companion uncontrolled-reentry study by Kaltenhauser, Rabus, Freer, and Bogdan on uncontrolled reentry risk for aviation and the benefits of real-time information services</w:t>
      </w:r>
      <w:r>
        <w:t xml:space="preserve"> </w:t>
      </w:r>
      <w:hyperlink w:anchor="ref-80">
        <w:r>
          <w:rPr>
            <w:rStyle w:val="Hyperlink"/>
          </w:rPr>
          <w:t xml:space="preserve">[80]</w:t>
        </w:r>
      </w:hyperlink>
      <w:r>
        <w:t xml:space="preserve"> </w:t>
      </w:r>
      <w:r>
        <w:t xml:space="preserve">is the single most on-point source for the reentry case. It finds current hazard areas often too large to manage effectively, names the size of the hazard area combined with location uncertainty as the core problem, and points to real-time monitoring tools such as the U.S. Space Data Integrator and Europe’s SpaceTrack as an information substrate already available for narrowing them. Its stated limit is that a gap persists specifically for uncontrolled reentries, where prediction timing and precision stay hardest, which both cautions how far the dynamic gain extends and confirms that the gain is real where prediction is tractable.</w:t>
      </w:r>
    </w:p>
    <w:p>
      <w:pPr>
        <w:pStyle w:val="BodyText"/>
        <w:spacing w:line="480" w:lineRule="auto"/>
        <w:ind w:firstLine="720"/>
      </w:pPr>
      <w:r>
        <w:t xml:space="preserve">Two earlier and two newer sources frame the historical arc and the present frontier. Back in 2007, Torres and colleagues built a dynamic air traffic management approach to operationally responsive space</w:t>
      </w:r>
      <w:r>
        <w:t xml:space="preserve"> </w:t>
      </w:r>
      <w:hyperlink w:anchor="ref-79">
        <w:r>
          <w:rPr>
            <w:rStyle w:val="Hyperlink"/>
          </w:rPr>
          <w:t xml:space="preserve">[79]</w:t>
        </w:r>
      </w:hyperlink>
      <w:r>
        <w:t xml:space="preserve">, a dynamic flight path tool that draws on real-time situational information to minimize the impact of space flight on operations, and showed across sample scenarios that dynamic rather than static handling can significantly cut the impact of space launch operations on air traffic. That the core idea is nearly two decades old strengthens the framing that the dynamic regime is a maturing adaptation rather than a speculation. Its limit is that the demonstration is scenario-based and predates the constellation-deorbit cadence that makes the problem urgent. At the current frontier, the Acta Astronautica treatments of space traffic management for large constellations</w:t>
      </w:r>
      <w:r>
        <w:t xml:space="preserve"> </w:t>
      </w:r>
      <w:hyperlink w:anchor="ref-67">
        <w:r>
          <w:rPr>
            <w:rStyle w:val="Hyperlink"/>
          </w:rPr>
          <w:t xml:space="preserve">[67]</w:t>
        </w:r>
      </w:hyperlink>
      <w:r>
        <w:t xml:space="preserve"> </w:t>
      </w:r>
      <w:r>
        <w:t xml:space="preserve">and of space capacity management and its interaction with space traffic management</w:t>
      </w:r>
      <w:r>
        <w:t xml:space="preserve"> </w:t>
      </w:r>
      <w:hyperlink w:anchor="ref-68">
        <w:r>
          <w:rPr>
            <w:rStyle w:val="Hyperlink"/>
          </w:rPr>
          <w:t xml:space="preserve">[68]</w:t>
        </w:r>
      </w:hyperlink>
      <w:r>
        <w:t xml:space="preserve"> </w:t>
      </w:r>
      <w:r>
        <w:t xml:space="preserve">establish that the on-orbit population growth driving reentry cadence is itself now a managed-capacity problem, closing the loop between the upstream driver and the downstream airspace cost the dissertation measures.</w:t>
      </w:r>
    </w:p>
    <w:p>
      <w:pPr>
        <w:pStyle w:val="BodyText"/>
        <w:spacing w:line="480" w:lineRule="auto"/>
        <w:ind w:firstLine="720"/>
      </w:pPr>
      <w:r>
        <w:t xml:space="preserve">Theme B carries an explicit causal mechanism, and the argument runs this way. Prediction uncertainty drives closure size, and tighter prediction combined with dynamic closure shrinks the withheld volume, so the intervention works on the mechanism rather than merely correlating with reduced cost. Trace the chain: a reentry event carries large prediction uncertainty, a conservative static AHA is sized to a worst-case dispersion envelope, a large airspace volume is withheld, exposed flights delay, hold, or reroute, and an unpriced externality that scales with cadence is the result. The dynamic lever acts on that same chain from the first link. Because prediction uncertainty falls sharply as the object nears reentry, a closure sized to the late-available uncertainty withholds a smaller volume and displaces fewer flights. What makes this a causal reading rather than a bare correlation is twofold: the accuracy-requirement derivations of Weitz</w:t>
      </w:r>
      <w:r>
        <w:t xml:space="preserve"> </w:t>
      </w:r>
      <w:hyperlink w:anchor="ref-9">
        <w:r>
          <w:rPr>
            <w:rStyle w:val="Hyperlink"/>
          </w:rPr>
          <w:t xml:space="preserve">[9]</w:t>
        </w:r>
      </w:hyperlink>
      <w:r>
        <w:t xml:space="preserve"> </w:t>
      </w:r>
      <w:r>
        <w:t xml:space="preserve">and Gruber</w:t>
      </w:r>
      <w:r>
        <w:t xml:space="preserve"> </w:t>
      </w:r>
      <w:hyperlink w:anchor="ref-33">
        <w:r>
          <w:rPr>
            <w:rStyle w:val="Hyperlink"/>
          </w:rPr>
          <w:t xml:space="preserve">[33]</w:t>
        </w:r>
      </w:hyperlink>
      <w:r>
        <w:t xml:space="preserve">, which establish the functional dependence of closure size on prediction accuracy from first principles, and the operational demonstrations of Kaltenhaeuser</w:t>
      </w:r>
      <w:r>
        <w:t xml:space="preserve"> </w:t>
      </w:r>
      <w:hyperlink w:anchor="ref-10">
        <w:r>
          <w:rPr>
            <w:rStyle w:val="Hyperlink"/>
          </w:rPr>
          <w:t xml:space="preserve">[10]</w:t>
        </w:r>
      </w:hyperlink>
      <w:r>
        <w:t xml:space="preserve">, Lash</w:t>
      </w:r>
      <w:r>
        <w:t xml:space="preserve"> </w:t>
      </w:r>
      <w:hyperlink w:anchor="ref-28">
        <w:r>
          <w:rPr>
            <w:rStyle w:val="Hyperlink"/>
          </w:rPr>
          <w:t xml:space="preserve">[28]</w:t>
        </w:r>
      </w:hyperlink>
      <w:r>
        <w:t xml:space="preserve">, and Torres</w:t>
      </w:r>
      <w:r>
        <w:t xml:space="preserve"> </w:t>
      </w:r>
      <w:hyperlink w:anchor="ref-79">
        <w:r>
          <w:rPr>
            <w:rStyle w:val="Hyperlink"/>
          </w:rPr>
          <w:t xml:space="preserve">[79]</w:t>
        </w:r>
      </w:hyperlink>
      <w:r>
        <w:t xml:space="preserve">, which show the lever working in practice. A relationship grounded in derived requirements and confirmed in demonstration is mechanistic, not coincidental. The qualifier held here is that the realized cost saving has not been measured on a real reentry event distribution, and that the uncontrolled-reentry case carries a residual prediction-timing limitation</w:t>
      </w:r>
      <w:r>
        <w:t xml:space="preserve"> </w:t>
      </w:r>
      <w:hyperlink w:anchor="ref-80">
        <w:r>
          <w:rPr>
            <w:rStyle w:val="Hyperlink"/>
          </w:rPr>
          <w:t xml:space="preserve">[80]</w:t>
        </w:r>
      </w:hyperlink>
      <w:r>
        <w:t xml:space="preserve"> </w:t>
      </w:r>
      <w:r>
        <w:t xml:space="preserve">that bounds how far the gain extends. Confidence that the dynamic lever reduces closure size is high. Confidence in the magnitude of the realized cost saving is low to moderate at the design stage, which is exactly why the avoided-cost parameter is labeled expected and built to be falsifiable.</w:t>
      </w:r>
    </w:p>
    <w:p>
      <w:pPr>
        <w:pStyle w:val="BodyText"/>
        <w:spacing w:line="480" w:lineRule="auto"/>
        <w:ind w:firstLine="720"/>
      </w:pPr>
      <w:r>
        <w:rPr>
          <w:b/>
          <w:bCs/>
        </w:rPr>
        <w:t xml:space="preserve">Table 3.2. Theme B synthesis: from static segregation to dynamic closure.</w:t>
      </w:r>
    </w:p>
    <w:tbl>
      <w:tblPr>
        <w:tblStyle w:val="Table"/>
        <w:tblLook w:firstRow="1" w:lastRow="0" w:firstColumn="0" w:lastColumn="0" w:noHBand="0" w:noVBand="0" w:val="0020"/>
        <w:tblLayout w:type="autofit"/>
        <w:tblW w:w="0" w:type="auto"/>
      </w:tblPr>
      <w:tblGrid>
        <w:gridCol w:w="1584"/>
        <w:gridCol w:w="1584"/>
        <w:gridCol w:w="1584"/>
        <w:gridCol w:w="1584"/>
        <w:gridCol w:w="1584"/>
      </w:tblGrid>
      <w:tr>
        <w:trPr>
          <w:tblHeader w:val="on"/>
        </w:trP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Finding</w:t>
            </w:r>
          </w:p>
        </w:tc>
        <w:tc>
          <w:tcPr>
            <w:tcW w:w="0" w:type="auto"/>
          </w:tcPr>
          <w:p>
            <w:pPr>
              <w:spacing w:line="240" w:lineRule="auto" w:before="0" w:after="0"/>
              <w:pStyle w:val="Compact"/>
            </w:pPr>
            <w:r>
              <w:rPr>
                <w:sz w:val="20"/>
                <w:szCs w:val="20"/>
              </w:rPr>
              <w:t xml:space="preserve">Method</w:t>
            </w:r>
          </w:p>
        </w:tc>
        <w:tc>
          <w:tcPr>
            <w:tcW w:w="0" w:type="auto"/>
          </w:tcPr>
          <w:p>
            <w:pPr>
              <w:spacing w:line="240" w:lineRule="auto" w:before="0" w:after="0"/>
              <w:pStyle w:val="Compact"/>
            </w:pPr>
            <w:r>
              <w:rPr>
                <w:sz w:val="20"/>
                <w:szCs w:val="20"/>
              </w:rPr>
              <w:t xml:space="preserve">Limitation</w:t>
            </w:r>
          </w:p>
        </w:tc>
        <w:tc>
          <w:tcPr>
            <w:tcW w:w="0" w:type="auto"/>
          </w:tcPr>
          <w:p>
            <w:pPr>
              <w:spacing w:line="240" w:lineRule="auto" w:before="0" w:after="0"/>
              <w:pStyle w:val="Compact"/>
            </w:pPr>
            <w:r>
              <w:rPr>
                <w:sz w:val="20"/>
                <w:szCs w:val="20"/>
              </w:rPr>
              <w:t xml:space="preserve">Relation to gap</w:t>
            </w:r>
          </w:p>
        </w:tc>
      </w:tr>
      <w:tr>
        <w:tc>
          <w:tcPr>
            <w:tcW w:w="0" w:type="auto"/>
          </w:tcPr>
          <w:p>
            <w:pPr>
              <w:spacing w:line="240" w:lineRule="auto" w:before="0" w:after="0"/>
              <w:pStyle w:val="Compact"/>
            </w:pPr>
            <w:r>
              <w:rPr>
                <w:sz w:val="20"/>
                <w:szCs w:val="20"/>
              </w:rPr>
              <w:t xml:space="preserve">Hilton et al. </w:t>
            </w:r>
            <w:hyperlink w:anchor="ref-7">
              <w:r>
                <w:rPr>
                  <w:rStyle w:val="Hyperlink"/>
                  <w:sz w:val="20"/>
                  <w:szCs w:val="20"/>
                </w:rPr>
                <w:t xml:space="preserve">[7]</w:t>
              </w:r>
            </w:hyperlink>
          </w:p>
        </w:tc>
        <w:tc>
          <w:tcPr>
            <w:tcW w:w="0" w:type="auto"/>
          </w:tcPr>
          <w:p>
            <w:pPr>
              <w:spacing w:line="240" w:lineRule="auto" w:before="0" w:after="0"/>
              <w:pStyle w:val="Compact"/>
            </w:pPr>
            <w:r>
              <w:rPr>
                <w:sz w:val="20"/>
                <w:szCs w:val="20"/>
              </w:rPr>
              <w:t xml:space="preserve">Integration via CNS is an economic precondition, not just safety</w:t>
            </w:r>
          </w:p>
        </w:tc>
        <w:tc>
          <w:tcPr>
            <w:tcW w:w="0" w:type="auto"/>
          </w:tcPr>
          <w:p>
            <w:pPr>
              <w:spacing w:line="240" w:lineRule="auto" w:before="0" w:after="0"/>
              <w:pStyle w:val="Compact"/>
            </w:pPr>
            <w:r>
              <w:rPr>
                <w:sz w:val="20"/>
                <w:szCs w:val="20"/>
              </w:rPr>
              <w:t xml:space="preserve">STM-vs-ATM requirements synthesis</w:t>
            </w:r>
          </w:p>
        </w:tc>
        <w:tc>
          <w:tcPr>
            <w:tcW w:w="0" w:type="auto"/>
          </w:tcPr>
          <w:p>
            <w:pPr>
              <w:spacing w:line="240" w:lineRule="auto" w:before="0" w:after="0"/>
              <w:pStyle w:val="Compact"/>
            </w:pPr>
            <w:r>
              <w:rPr>
                <w:sz w:val="20"/>
                <w:szCs w:val="20"/>
              </w:rPr>
              <w:t xml:space="preserve">No quantified cost saving</w:t>
            </w:r>
          </w:p>
        </w:tc>
        <w:tc>
          <w:tcPr>
            <w:tcW w:w="0" w:type="auto"/>
          </w:tcPr>
          <w:p>
            <w:pPr>
              <w:spacing w:line="240" w:lineRule="auto" w:before="0" w:after="0"/>
              <w:pStyle w:val="Compact"/>
            </w:pPr>
            <w:r>
              <w:rPr>
                <w:sz w:val="20"/>
                <w:szCs w:val="20"/>
              </w:rPr>
              <w:t xml:space="preserve">Sets the enabler framing the avoided cost prices</w:t>
            </w:r>
          </w:p>
        </w:tc>
      </w:tr>
      <w:tr>
        <w:tc>
          <w:tcPr>
            <w:tcW w:w="0" w:type="auto"/>
          </w:tcPr>
          <w:p>
            <w:pPr>
              <w:spacing w:line="240" w:lineRule="auto" w:before="0" w:after="0"/>
              <w:pStyle w:val="Compact"/>
            </w:pPr>
            <w:r>
              <w:rPr>
                <w:sz w:val="20"/>
                <w:szCs w:val="20"/>
              </w:rPr>
              <w:t xml:space="preserve">Thangavel et al. </w:t>
            </w:r>
            <w:hyperlink w:anchor="ref-8">
              <w:r>
                <w:rPr>
                  <w:rStyle w:val="Hyperlink"/>
                  <w:sz w:val="20"/>
                  <w:szCs w:val="20"/>
                </w:rPr>
                <w:t xml:space="preserve">[8]</w:t>
              </w:r>
            </w:hyperlink>
          </w:p>
        </w:tc>
        <w:tc>
          <w:tcPr>
            <w:tcW w:w="0" w:type="auto"/>
          </w:tcPr>
          <w:p>
            <w:pPr>
              <w:spacing w:line="240" w:lineRule="auto" w:before="0" w:after="0"/>
              <w:pStyle w:val="Compact"/>
            </w:pPr>
            <w:r>
              <w:rPr>
                <w:sz w:val="20"/>
                <w:szCs w:val="20"/>
              </w:rPr>
              <w:t xml:space="preserve">Multi-domain TM with reentry as a first-class object</w:t>
            </w:r>
          </w:p>
        </w:tc>
        <w:tc>
          <w:tcPr>
            <w:tcW w:w="0" w:type="auto"/>
          </w:tcPr>
          <w:p>
            <w:pPr>
              <w:spacing w:line="240" w:lineRule="auto" w:before="0" w:after="0"/>
              <w:pStyle w:val="Compact"/>
            </w:pPr>
            <w:r>
              <w:rPr>
                <w:sz w:val="20"/>
                <w:szCs w:val="20"/>
              </w:rPr>
              <w:t xml:space="preserve">Integrated architecture concept</w:t>
            </w:r>
          </w:p>
        </w:tc>
        <w:tc>
          <w:tcPr>
            <w:tcW w:w="0" w:type="auto"/>
          </w:tcPr>
          <w:p>
            <w:pPr>
              <w:spacing w:line="240" w:lineRule="auto" w:before="0" w:after="0"/>
              <w:pStyle w:val="Compact"/>
            </w:pPr>
            <w:r>
              <w:rPr>
                <w:sz w:val="20"/>
                <w:szCs w:val="20"/>
              </w:rPr>
              <w:t xml:space="preserve">Separation performance specified, not measured</w:t>
            </w:r>
          </w:p>
        </w:tc>
        <w:tc>
          <w:tcPr>
            <w:tcW w:w="0" w:type="auto"/>
          </w:tcPr>
          <w:p>
            <w:pPr>
              <w:spacing w:line="240" w:lineRule="auto" w:before="0" w:after="0"/>
              <w:pStyle w:val="Compact"/>
            </w:pPr>
            <w:r>
              <w:rPr>
                <w:sz w:val="20"/>
                <w:szCs w:val="20"/>
              </w:rPr>
              <w:t xml:space="preserve">Authorizes reentry-AHA as a defined treatment</w:t>
            </w:r>
          </w:p>
        </w:tc>
      </w:tr>
      <w:tr>
        <w:tc>
          <w:tcPr>
            <w:tcW w:w="0" w:type="auto"/>
          </w:tcPr>
          <w:p>
            <w:pPr>
              <w:spacing w:line="240" w:lineRule="auto" w:before="0" w:after="0"/>
              <w:pStyle w:val="Compact"/>
            </w:pPr>
            <w:r>
              <w:rPr>
                <w:sz w:val="20"/>
                <w:szCs w:val="20"/>
              </w:rPr>
              <w:t xml:space="preserve">Radtke et al. </w:t>
            </w:r>
            <w:hyperlink w:anchor="ref-27">
              <w:r>
                <w:rPr>
                  <w:rStyle w:val="Hyperlink"/>
                  <w:sz w:val="20"/>
                  <w:szCs w:val="20"/>
                </w:rPr>
                <w:t xml:space="preserve">[27]</w:t>
              </w:r>
            </w:hyperlink>
            <w:r>
              <w:rPr>
                <w:sz w:val="20"/>
                <w:szCs w:val="20"/>
              </w:rPr>
              <w:t xml:space="preserve">; Tullmann et al. </w:t>
            </w:r>
            <w:hyperlink w:anchor="ref-78">
              <w:r>
                <w:rPr>
                  <w:rStyle w:val="Hyperlink"/>
                  <w:sz w:val="20"/>
                  <w:szCs w:val="20"/>
                </w:rPr>
                <w:t xml:space="preserve">[78]</w:t>
              </w:r>
            </w:hyperlink>
          </w:p>
        </w:tc>
        <w:tc>
          <w:tcPr>
            <w:tcW w:w="0" w:type="auto"/>
          </w:tcPr>
          <w:p>
            <w:pPr>
              <w:spacing w:line="240" w:lineRule="auto" w:before="0" w:after="0"/>
              <w:pStyle w:val="Compact"/>
            </w:pPr>
            <w:r>
              <w:rPr>
                <w:sz w:val="20"/>
                <w:szCs w:val="20"/>
              </w:rPr>
              <w:t xml:space="preserve">ATM-STM integration feasible; same infrastructure as launch tools</w:t>
            </w:r>
          </w:p>
        </w:tc>
        <w:tc>
          <w:tcPr>
            <w:tcW w:w="0" w:type="auto"/>
          </w:tcPr>
          <w:p>
            <w:pPr>
              <w:spacing w:line="240" w:lineRule="auto" w:before="0" w:after="0"/>
              <w:pStyle w:val="Compact"/>
            </w:pPr>
            <w:r>
              <w:rPr>
                <w:sz w:val="20"/>
                <w:szCs w:val="20"/>
              </w:rPr>
              <w:t xml:space="preserve">Concept and white paper (Europe)</w:t>
            </w:r>
          </w:p>
        </w:tc>
        <w:tc>
          <w:tcPr>
            <w:tcW w:w="0" w:type="auto"/>
          </w:tcPr>
          <w:p>
            <w:pPr>
              <w:spacing w:line="240" w:lineRule="auto" w:before="0" w:after="0"/>
              <w:pStyle w:val="Compact"/>
            </w:pPr>
            <w:r>
              <w:rPr>
                <w:sz w:val="20"/>
                <w:szCs w:val="20"/>
              </w:rPr>
              <w:t xml:space="preserve">Feasibility and direction, not measured efficiency</w:t>
            </w:r>
          </w:p>
        </w:tc>
        <w:tc>
          <w:tcPr>
            <w:tcW w:w="0" w:type="auto"/>
          </w:tcPr>
          <w:p>
            <w:pPr>
              <w:spacing w:line="240" w:lineRule="auto" w:before="0" w:after="0"/>
              <w:pStyle w:val="Compact"/>
            </w:pPr>
            <w:r>
              <w:rPr>
                <w:sz w:val="20"/>
                <w:szCs w:val="20"/>
              </w:rPr>
              <w:t xml:space="preserve">Establishes the dynamic regime is instantiable</w:t>
            </w:r>
          </w:p>
        </w:tc>
      </w:tr>
      <w:tr>
        <w:tc>
          <w:tcPr>
            <w:tcW w:w="0" w:type="auto"/>
          </w:tcPr>
          <w:p>
            <w:pPr>
              <w:spacing w:line="240" w:lineRule="auto" w:before="0" w:after="0"/>
              <w:pStyle w:val="Compact"/>
            </w:pPr>
            <w:r>
              <w:rPr>
                <w:sz w:val="20"/>
                <w:szCs w:val="20"/>
              </w:rPr>
              <w:t xml:space="preserve">Weitz, Gruber, Rozen</w:t>
            </w:r>
            <w:r>
              <w:rPr>
                <w:sz w:val="20"/>
                <w:szCs w:val="20"/>
              </w:rPr>
              <w:t xml:space="preserve"> </w:t>
            </w:r>
            <w:hyperlink w:anchor="ref-9">
              <w:r>
                <w:rPr>
                  <w:rStyle w:val="Hyperlink"/>
                  <w:sz w:val="20"/>
                  <w:szCs w:val="20"/>
                </w:rPr>
                <w:t xml:space="preserve">[9]</w:t>
              </w:r>
            </w:hyperlink>
          </w:p>
        </w:tc>
        <w:tc>
          <w:tcPr>
            <w:tcW w:w="0" w:type="auto"/>
          </w:tcPr>
          <w:p>
            <w:pPr>
              <w:spacing w:line="240" w:lineRule="auto" w:before="0" w:after="0"/>
              <w:pStyle w:val="Compact"/>
            </w:pPr>
            <w:r>
              <w:rPr>
                <w:sz w:val="20"/>
                <w:szCs w:val="20"/>
              </w:rPr>
              <w:t xml:space="preserve">Closure size decreases with prediction accuracy; threshold exists</w:t>
            </w:r>
          </w:p>
        </w:tc>
        <w:tc>
          <w:tcPr>
            <w:tcW w:w="0" w:type="auto"/>
          </w:tcPr>
          <w:p>
            <w:pPr>
              <w:spacing w:line="240" w:lineRule="auto" w:before="0" w:after="0"/>
              <w:pStyle w:val="Compact"/>
            </w:pPr>
            <w:r>
              <w:rPr>
                <w:sz w:val="20"/>
                <w:szCs w:val="20"/>
              </w:rPr>
              <w:t xml:space="preserve">Trajectory-accuracy requirement derivation</w:t>
            </w:r>
          </w:p>
        </w:tc>
        <w:tc>
          <w:tcPr>
            <w:tcW w:w="0" w:type="auto"/>
          </w:tcPr>
          <w:p>
            <w:pPr>
              <w:spacing w:line="240" w:lineRule="auto" w:before="0" w:after="0"/>
              <w:pStyle w:val="Compact"/>
            </w:pPr>
            <w:r>
              <w:rPr>
                <w:sz w:val="20"/>
                <w:szCs w:val="20"/>
              </w:rPr>
              <w:t xml:space="preserve">Launch-focused; realized saving not measured</w:t>
            </w:r>
          </w:p>
        </w:tc>
        <w:tc>
          <w:tcPr>
            <w:tcW w:w="0" w:type="auto"/>
          </w:tcPr>
          <w:p>
            <w:pPr>
              <w:spacing w:line="240" w:lineRule="auto" w:before="0" w:after="0"/>
              <w:pStyle w:val="Compact"/>
            </w:pPr>
            <w:r>
              <w:rPr>
                <w:sz w:val="20"/>
                <w:szCs w:val="20"/>
              </w:rPr>
              <w:t xml:space="preserve">Defines the avoided-cost lever mechanistically</w:t>
            </w:r>
          </w:p>
        </w:tc>
      </w:tr>
      <w:tr>
        <w:tc>
          <w:tcPr>
            <w:tcW w:w="0" w:type="auto"/>
          </w:tcPr>
          <w:p>
            <w:pPr>
              <w:spacing w:line="240" w:lineRule="auto" w:before="0" w:after="0"/>
              <w:pStyle w:val="Compact"/>
            </w:pPr>
            <w:r>
              <w:rPr>
                <w:sz w:val="20"/>
                <w:szCs w:val="20"/>
              </w:rPr>
              <w:t xml:space="preserve">Gruber, Weitz, Rozen</w:t>
            </w:r>
            <w:r>
              <w:rPr>
                <w:sz w:val="20"/>
                <w:szCs w:val="20"/>
              </w:rPr>
              <w:t xml:space="preserve"> </w:t>
            </w:r>
            <w:hyperlink w:anchor="ref-33">
              <w:r>
                <w:rPr>
                  <w:rStyle w:val="Hyperlink"/>
                  <w:sz w:val="20"/>
                  <w:szCs w:val="20"/>
                </w:rPr>
                <w:t xml:space="preserve">[33]</w:t>
              </w:r>
            </w:hyperlink>
          </w:p>
        </w:tc>
        <w:tc>
          <w:tcPr>
            <w:tcW w:w="0" w:type="auto"/>
          </w:tcPr>
          <w:p>
            <w:pPr>
              <w:spacing w:line="240" w:lineRule="auto" w:before="0" w:after="0"/>
              <w:pStyle w:val="Compact"/>
            </w:pPr>
            <w:r>
              <w:rPr>
                <w:sz w:val="20"/>
                <w:szCs w:val="20"/>
              </w:rPr>
              <w:t xml:space="preserve">Accuracy requirements extended to reentry</w:t>
            </w:r>
          </w:p>
        </w:tc>
        <w:tc>
          <w:tcPr>
            <w:tcW w:w="0" w:type="auto"/>
          </w:tcPr>
          <w:p>
            <w:pPr>
              <w:spacing w:line="240" w:lineRule="auto" w:before="0" w:after="0"/>
              <w:pStyle w:val="Compact"/>
            </w:pPr>
            <w:r>
              <w:rPr>
                <w:sz w:val="20"/>
                <w:szCs w:val="20"/>
              </w:rPr>
              <w:t xml:space="preserve">Requirement derivation (launch + reentry)</w:t>
            </w:r>
          </w:p>
        </w:tc>
        <w:tc>
          <w:tcPr>
            <w:tcW w:w="0" w:type="auto"/>
          </w:tcPr>
          <w:p>
            <w:pPr>
              <w:spacing w:line="240" w:lineRule="auto" w:before="0" w:after="0"/>
              <w:pStyle w:val="Compact"/>
            </w:pPr>
            <w:r>
              <w:rPr>
                <w:sz w:val="20"/>
                <w:szCs w:val="20"/>
              </w:rPr>
              <w:t xml:space="preserve">Relationship, not realized cost</w:t>
            </w:r>
          </w:p>
        </w:tc>
        <w:tc>
          <w:tcPr>
            <w:tcW w:w="0" w:type="auto"/>
          </w:tcPr>
          <w:p>
            <w:pPr>
              <w:spacing w:line="240" w:lineRule="auto" w:before="0" w:after="0"/>
              <w:pStyle w:val="Compact"/>
            </w:pPr>
            <w:r>
              <w:rPr>
                <w:sz w:val="20"/>
                <w:szCs w:val="20"/>
              </w:rPr>
              <w:t xml:space="preserve">Extends the lever to the reentry case</w:t>
            </w:r>
          </w:p>
        </w:tc>
      </w:tr>
      <w:tr>
        <w:tc>
          <w:tcPr>
            <w:tcW w:w="0" w:type="auto"/>
          </w:tcPr>
          <w:p>
            <w:pPr>
              <w:spacing w:line="240" w:lineRule="auto" w:before="0" w:after="0"/>
              <w:pStyle w:val="Compact"/>
            </w:pPr>
            <w:r>
              <w:rPr>
                <w:sz w:val="20"/>
                <w:szCs w:val="20"/>
              </w:rPr>
              <w:t xml:space="preserve">Kaltenhaeuser et al. </w:t>
            </w:r>
            <w:hyperlink w:anchor="ref-10">
              <w:r>
                <w:rPr>
                  <w:rStyle w:val="Hyperlink"/>
                  <w:sz w:val="20"/>
                  <w:szCs w:val="20"/>
                </w:rPr>
                <w:t xml:space="preserve">[10]</w:t>
              </w:r>
            </w:hyperlink>
          </w:p>
        </w:tc>
        <w:tc>
          <w:tcPr>
            <w:tcW w:w="0" w:type="auto"/>
          </w:tcPr>
          <w:p>
            <w:pPr>
              <w:spacing w:line="240" w:lineRule="auto" w:before="0" w:after="0"/>
              <w:pStyle w:val="Compact"/>
            </w:pPr>
            <w:r>
              <w:rPr>
                <w:sz w:val="20"/>
                <w:szCs w:val="20"/>
              </w:rPr>
              <w:t xml:space="preserve">Dynamic handling reduces footprint vs static</w:t>
            </w:r>
          </w:p>
        </w:tc>
        <w:tc>
          <w:tcPr>
            <w:tcW w:w="0" w:type="auto"/>
          </w:tcPr>
          <w:p>
            <w:pPr>
              <w:spacing w:line="240" w:lineRule="auto" w:before="0" w:after="0"/>
              <w:pStyle w:val="Compact"/>
            </w:pPr>
            <w:r>
              <w:rPr>
                <w:sz w:val="20"/>
                <w:szCs w:val="20"/>
              </w:rPr>
              <w:t xml:space="preserve">Launch coordination center concept test</w:t>
            </w:r>
          </w:p>
        </w:tc>
        <w:tc>
          <w:tcPr>
            <w:tcW w:w="0" w:type="auto"/>
          </w:tcPr>
          <w:p>
            <w:pPr>
              <w:spacing w:line="240" w:lineRule="auto" w:before="0" w:after="0"/>
              <w:pStyle w:val="Compact"/>
            </w:pPr>
            <w:r>
              <w:rPr>
                <w:sz w:val="20"/>
                <w:szCs w:val="20"/>
              </w:rPr>
              <w:t xml:space="preserve">Launch, concept-scale</w:t>
            </w:r>
          </w:p>
        </w:tc>
        <w:tc>
          <w:tcPr>
            <w:tcW w:w="0" w:type="auto"/>
          </w:tcPr>
          <w:p>
            <w:pPr>
              <w:spacing w:line="240" w:lineRule="auto" w:before="0" w:after="0"/>
              <w:pStyle w:val="Compact"/>
            </w:pPr>
            <w:r>
              <w:rPr>
                <w:sz w:val="20"/>
                <w:szCs w:val="20"/>
              </w:rPr>
              <w:t xml:space="preserve">Closest observed dynamic-vs-static comparison</w:t>
            </w:r>
          </w:p>
        </w:tc>
      </w:tr>
      <w:tr>
        <w:tc>
          <w:tcPr>
            <w:tcW w:w="0" w:type="auto"/>
          </w:tcPr>
          <w:p>
            <w:pPr>
              <w:spacing w:line="240" w:lineRule="auto" w:before="0" w:after="0"/>
              <w:pStyle w:val="Compact"/>
            </w:pPr>
            <w:r>
              <w:rPr>
                <w:sz w:val="20"/>
                <w:szCs w:val="20"/>
              </w:rPr>
              <w:t xml:space="preserve">Lash et al. </w:t>
            </w:r>
            <w:hyperlink w:anchor="ref-28">
              <w:r>
                <w:rPr>
                  <w:rStyle w:val="Hyperlink"/>
                  <w:sz w:val="20"/>
                  <w:szCs w:val="20"/>
                </w:rPr>
                <w:t xml:space="preserve">[28]</w:t>
              </w:r>
            </w:hyperlink>
          </w:p>
        </w:tc>
        <w:tc>
          <w:tcPr>
            <w:tcW w:w="0" w:type="auto"/>
          </w:tcPr>
          <w:p>
            <w:pPr>
              <w:spacing w:line="240" w:lineRule="auto" w:before="0" w:after="0"/>
              <w:pStyle w:val="Compact"/>
            </w:pPr>
            <w:r>
              <w:rPr>
                <w:sz w:val="20"/>
                <w:szCs w:val="20"/>
              </w:rPr>
              <w:t xml:space="preserve">Real-time information exchange enables dynamic management</w:t>
            </w:r>
          </w:p>
        </w:tc>
        <w:tc>
          <w:tcPr>
            <w:tcW w:w="0" w:type="auto"/>
          </w:tcPr>
          <w:p>
            <w:pPr>
              <w:spacing w:line="240" w:lineRule="auto" w:before="0" w:after="0"/>
              <w:pStyle w:val="Compact"/>
            </w:pPr>
            <w:r>
              <w:rPr>
                <w:sz w:val="20"/>
                <w:szCs w:val="20"/>
              </w:rPr>
              <w:t xml:space="preserve">Operational concept</w:t>
            </w:r>
          </w:p>
        </w:tc>
        <w:tc>
          <w:tcPr>
            <w:tcW w:w="0" w:type="auto"/>
          </w:tcPr>
          <w:p>
            <w:pPr>
              <w:spacing w:line="240" w:lineRule="auto" w:before="0" w:after="0"/>
              <w:pStyle w:val="Compact"/>
            </w:pPr>
            <w:r>
              <w:rPr>
                <w:sz w:val="20"/>
                <w:szCs w:val="20"/>
              </w:rPr>
              <w:t xml:space="preserve">Mechanism shown, gain not quantified</w:t>
            </w:r>
          </w:p>
        </w:tc>
        <w:tc>
          <w:tcPr>
            <w:tcW w:w="0" w:type="auto"/>
          </w:tcPr>
          <w:p>
            <w:pPr>
              <w:spacing w:line="240" w:lineRule="auto" w:before="0" w:after="0"/>
              <w:pStyle w:val="Compact"/>
            </w:pPr>
            <w:r>
              <w:rPr>
                <w:sz w:val="20"/>
                <w:szCs w:val="20"/>
              </w:rPr>
              <w:t xml:space="preserve">Names the static-to-dynamic conversion mechanism</w:t>
            </w:r>
          </w:p>
        </w:tc>
      </w:tr>
      <w:tr>
        <w:tc>
          <w:tcPr>
            <w:tcW w:w="0" w:type="auto"/>
          </w:tcPr>
          <w:p>
            <w:pPr>
              <w:spacing w:line="240" w:lineRule="auto" w:before="0" w:after="0"/>
              <w:pStyle w:val="Compact"/>
            </w:pPr>
            <w:r>
              <w:rPr>
                <w:sz w:val="20"/>
                <w:szCs w:val="20"/>
              </w:rPr>
              <w:t xml:space="preserve">Kaltenhauser et al. </w:t>
            </w:r>
            <w:hyperlink w:anchor="ref-80">
              <w:r>
                <w:rPr>
                  <w:rStyle w:val="Hyperlink"/>
                  <w:sz w:val="20"/>
                  <w:szCs w:val="20"/>
                </w:rPr>
                <w:t xml:space="preserve">[80]</w:t>
              </w:r>
            </w:hyperlink>
          </w:p>
        </w:tc>
        <w:tc>
          <w:tcPr>
            <w:tcW w:w="0" w:type="auto"/>
          </w:tcPr>
          <w:p>
            <w:pPr>
              <w:spacing w:line="240" w:lineRule="auto" w:before="0" w:after="0"/>
              <w:pStyle w:val="Compact"/>
            </w:pPr>
            <w:r>
              <w:rPr>
                <w:sz w:val="20"/>
                <w:szCs w:val="20"/>
              </w:rPr>
              <w:t xml:space="preserve">Hazard areas too large; SDI/SpaceTrack enable narrowing; gap persists for uncontrolled</w:t>
            </w:r>
          </w:p>
        </w:tc>
        <w:tc>
          <w:tcPr>
            <w:tcW w:w="0" w:type="auto"/>
          </w:tcPr>
          <w:p>
            <w:pPr>
              <w:spacing w:line="240" w:lineRule="auto" w:before="0" w:after="0"/>
              <w:pStyle w:val="Compact"/>
            </w:pPr>
            <w:r>
              <w:rPr>
                <w:sz w:val="20"/>
                <w:szCs w:val="20"/>
              </w:rPr>
              <w:t xml:space="preserve">Reentry information-service analysis</w:t>
            </w:r>
          </w:p>
        </w:tc>
        <w:tc>
          <w:tcPr>
            <w:tcW w:w="0" w:type="auto"/>
          </w:tcPr>
          <w:p>
            <w:pPr>
              <w:spacing w:line="240" w:lineRule="auto" w:before="0" w:after="0"/>
              <w:pStyle w:val="Compact"/>
            </w:pPr>
            <w:r>
              <w:rPr>
                <w:sz w:val="20"/>
                <w:szCs w:val="20"/>
              </w:rPr>
              <w:t xml:space="preserve">Uncontrolled-reentry prediction still hard</w:t>
            </w:r>
          </w:p>
        </w:tc>
        <w:tc>
          <w:tcPr>
            <w:tcW w:w="0" w:type="auto"/>
          </w:tcPr>
          <w:p>
            <w:pPr>
              <w:spacing w:line="240" w:lineRule="auto" w:before="0" w:after="0"/>
              <w:pStyle w:val="Compact"/>
            </w:pPr>
            <w:r>
              <w:rPr>
                <w:sz w:val="20"/>
                <w:szCs w:val="20"/>
              </w:rPr>
              <w:t xml:space="preserve">Most on-point; bounds the dynamic gain</w:t>
            </w:r>
          </w:p>
        </w:tc>
      </w:tr>
      <w:tr>
        <w:tc>
          <w:tcPr>
            <w:tcW w:w="0" w:type="auto"/>
          </w:tcPr>
          <w:p>
            <w:pPr>
              <w:spacing w:line="240" w:lineRule="auto" w:before="0" w:after="0"/>
              <w:pStyle w:val="Compact"/>
            </w:pPr>
            <w:r>
              <w:rPr>
                <w:sz w:val="20"/>
                <w:szCs w:val="20"/>
              </w:rPr>
              <w:t xml:space="preserve">Torres et al. </w:t>
            </w:r>
            <w:hyperlink w:anchor="ref-79">
              <w:r>
                <w:rPr>
                  <w:rStyle w:val="Hyperlink"/>
                  <w:sz w:val="20"/>
                  <w:szCs w:val="20"/>
                </w:rPr>
                <w:t xml:space="preserve">[79]</w:t>
              </w:r>
            </w:hyperlink>
          </w:p>
        </w:tc>
        <w:tc>
          <w:tcPr>
            <w:tcW w:w="0" w:type="auto"/>
          </w:tcPr>
          <w:p>
            <w:pPr>
              <w:spacing w:line="240" w:lineRule="auto" w:before="0" w:after="0"/>
              <w:pStyle w:val="Compact"/>
            </w:pPr>
            <w:r>
              <w:rPr>
                <w:sz w:val="20"/>
                <w:szCs w:val="20"/>
              </w:rPr>
              <w:t xml:space="preserve">Dynamic flight-path tool significantly reduces impact</w:t>
            </w:r>
          </w:p>
        </w:tc>
        <w:tc>
          <w:tcPr>
            <w:tcW w:w="0" w:type="auto"/>
          </w:tcPr>
          <w:p>
            <w:pPr>
              <w:spacing w:line="240" w:lineRule="auto" w:before="0" w:after="0"/>
              <w:pStyle w:val="Compact"/>
            </w:pPr>
            <w:r>
              <w:rPr>
                <w:sz w:val="20"/>
                <w:szCs w:val="20"/>
              </w:rPr>
              <w:t xml:space="preserve">Scenario demonstration (2007)</w:t>
            </w:r>
          </w:p>
        </w:tc>
        <w:tc>
          <w:tcPr>
            <w:tcW w:w="0" w:type="auto"/>
          </w:tcPr>
          <w:p>
            <w:pPr>
              <w:spacing w:line="240" w:lineRule="auto" w:before="0" w:after="0"/>
              <w:pStyle w:val="Compact"/>
            </w:pPr>
            <w:r>
              <w:rPr>
                <w:sz w:val="20"/>
                <w:szCs w:val="20"/>
              </w:rPr>
              <w:t xml:space="preserve">Scenario-based, pre-cadence</w:t>
            </w:r>
          </w:p>
        </w:tc>
        <w:tc>
          <w:tcPr>
            <w:tcW w:w="0" w:type="auto"/>
          </w:tcPr>
          <w:p>
            <w:pPr>
              <w:spacing w:line="240" w:lineRule="auto" w:before="0" w:after="0"/>
              <w:pStyle w:val="Compact"/>
            </w:pPr>
            <w:r>
              <w:rPr>
                <w:sz w:val="20"/>
                <w:szCs w:val="20"/>
              </w:rPr>
              <w:t xml:space="preserve">Shows the idea is mature, not speculative</w:t>
            </w:r>
          </w:p>
        </w:tc>
      </w:tr>
      <w:tr>
        <w:tc>
          <w:tcPr>
            <w:tcW w:w="0" w:type="auto"/>
          </w:tcPr>
          <w:p>
            <w:pPr>
              <w:spacing w:line="240" w:lineRule="auto" w:before="0" w:after="0"/>
              <w:pStyle w:val="Compact"/>
            </w:pPr>
            <w:r>
              <w:rPr>
                <w:sz w:val="20"/>
                <w:szCs w:val="20"/>
              </w:rPr>
              <w:t xml:space="preserve">STM-constellations</w:t>
            </w:r>
            <w:r>
              <w:rPr>
                <w:sz w:val="20"/>
                <w:szCs w:val="20"/>
              </w:rPr>
              <w:t xml:space="preserve"> </w:t>
            </w:r>
            <w:hyperlink w:anchor="ref-67">
              <w:r>
                <w:rPr>
                  <w:rStyle w:val="Hyperlink"/>
                  <w:sz w:val="20"/>
                  <w:szCs w:val="20"/>
                </w:rPr>
                <w:t xml:space="preserve">[67]</w:t>
              </w:r>
            </w:hyperlink>
            <w:r>
              <w:rPr>
                <w:sz w:val="20"/>
                <w:szCs w:val="20"/>
              </w:rPr>
              <w:t xml:space="preserve">; capacity mgmt</w:t>
            </w:r>
            <w:r>
              <w:rPr>
                <w:sz w:val="20"/>
                <w:szCs w:val="20"/>
              </w:rPr>
              <w:t xml:space="preserve"> </w:t>
            </w:r>
            <w:hyperlink w:anchor="ref-68">
              <w:r>
                <w:rPr>
                  <w:rStyle w:val="Hyperlink"/>
                  <w:sz w:val="20"/>
                  <w:szCs w:val="20"/>
                </w:rPr>
                <w:t xml:space="preserve">[68]</w:t>
              </w:r>
            </w:hyperlink>
          </w:p>
        </w:tc>
        <w:tc>
          <w:tcPr>
            <w:tcW w:w="0" w:type="auto"/>
          </w:tcPr>
          <w:p>
            <w:pPr>
              <w:spacing w:line="240" w:lineRule="auto" w:before="0" w:after="0"/>
              <w:pStyle w:val="Compact"/>
            </w:pPr>
            <w:r>
              <w:rPr>
                <w:sz w:val="20"/>
                <w:szCs w:val="20"/>
              </w:rPr>
              <w:t xml:space="preserve">On-orbit growth is now a managed-capacity problem</w:t>
            </w:r>
          </w:p>
        </w:tc>
        <w:tc>
          <w:tcPr>
            <w:tcW w:w="0" w:type="auto"/>
          </w:tcPr>
          <w:p>
            <w:pPr>
              <w:spacing w:line="240" w:lineRule="auto" w:before="0" w:after="0"/>
              <w:pStyle w:val="Compact"/>
            </w:pPr>
            <w:r>
              <w:rPr>
                <w:sz w:val="20"/>
                <w:szCs w:val="20"/>
              </w:rPr>
              <w:t xml:space="preserve">Acta STM analyses</w:t>
            </w:r>
          </w:p>
        </w:tc>
        <w:tc>
          <w:tcPr>
            <w:tcW w:w="0" w:type="auto"/>
          </w:tcPr>
          <w:p>
            <w:pPr>
              <w:spacing w:line="240" w:lineRule="auto" w:before="0" w:after="0"/>
              <w:pStyle w:val="Compact"/>
            </w:pPr>
            <w:r>
              <w:rPr>
                <w:sz w:val="20"/>
                <w:szCs w:val="20"/>
              </w:rPr>
              <w:t xml:space="preserve">Upstream of the airspace cost</w:t>
            </w:r>
          </w:p>
        </w:tc>
        <w:tc>
          <w:tcPr>
            <w:tcW w:w="0" w:type="auto"/>
          </w:tcPr>
          <w:p>
            <w:pPr>
              <w:spacing w:line="240" w:lineRule="auto" w:before="0" w:after="0"/>
              <w:pStyle w:val="Compact"/>
            </w:pPr>
            <w:r>
              <w:rPr>
                <w:sz w:val="20"/>
                <w:szCs w:val="20"/>
              </w:rPr>
              <w:t xml:space="preserve">Closes the driver-to-cost loop</w:t>
            </w:r>
          </w:p>
        </w:tc>
      </w:tr>
    </w:tbl>
    <w:p>
      <w:pPr>
        <w:pStyle w:val="BodyText"/>
        <w:spacing w:line="480" w:lineRule="auto"/>
        <w:ind w:firstLine="720"/>
      </w:pPr>
      <w:r>
        <w:t xml:space="preserve">The gap this theme leaves is specific: the avoided-cost contribution. The literature establishes the dynamic-closure direction, derives the prediction-accuracy-to-closure-size relationship, and demonstrates dynamic handling in concept and at small scale, mostly for launch. What it does not do is measure the avoided cost of a prediction-informed dynamic closure on a realized reentry-event distribution; that quantity has no direct empirical precedent, propped up only by component evidence and analogue. The dissertation states it as an expected and illustrative parameter and builds the design so a near-zero avoided cost would falsify the second part of the contribution.</w:t>
      </w:r>
    </w:p>
    <w:bookmarkEnd w:id="104"/>
    <w:bookmarkStart w:id="105" w:name="X74d9fe48040c3cc5603486f90bbddb58a6fa3da"/>
    <w:p>
      <w:pPr>
        <w:pStyle w:val="Heading2"/>
        <w:spacing w:line="480" w:lineRule="auto"/>
      </w:pPr>
      <w:r>
        <w:t xml:space="preserve">3.4 Theme C: delay as a measured cost and its propagation</w:t>
      </w:r>
    </w:p>
    <w:p>
      <w:pPr>
        <w:pStyle w:val="FirstParagraph"/>
        <w:spacing w:line="480" w:lineRule="auto"/>
      </w:pPr>
      <w:r>
        <w:t xml:space="preserve">The third theme supplies the cost framework and, what matters more for the design’s validity, the evidence that a closure’s cost outlives its active window because delay propagates through the network. The cost of delay is well measured in the air-transportation economics literature, and the propagation result is what tells the dissertation that the within-window treatment effect understates the true per-event cost.</w:t>
      </w:r>
    </w:p>
    <w:p>
      <w:pPr>
        <w:pStyle w:val="BodyText"/>
        <w:spacing w:line="480" w:lineRule="auto"/>
        <w:ind w:firstLine="720"/>
      </w:pPr>
      <w:r>
        <w:t xml:space="preserve">The cost framework opens with a recognition: air traffic delay is in part a congestion externality. Mayer and Sinai, analyzing network effects, congestion externalities, and air traffic delays</w:t>
      </w:r>
      <w:r>
        <w:t xml:space="preserve"> </w:t>
      </w:r>
      <w:hyperlink w:anchor="ref-11">
        <w:r>
          <w:rPr>
            <w:rStyle w:val="Hyperlink"/>
          </w:rPr>
          <w:t xml:space="preserve">[11]</w:t>
        </w:r>
      </w:hyperlink>
      <w:r>
        <w:t xml:space="preserve">, show that when one user consumes scarce airspace or runway capacity it imposes delay on others that it does not bear, the textbook condition under which a market under-provides the avoidance of disruption. Their National Bureau of Economic Research working-paper version develops the same result on all domestic flights by major U.S. carriers from 1988 to 2000</w:t>
      </w:r>
      <w:r>
        <w:t xml:space="preserve"> </w:t>
      </w:r>
      <w:hyperlink w:anchor="ref-45">
        <w:r>
          <w:rPr>
            <w:rStyle w:val="Hyperlink"/>
          </w:rPr>
          <w:t xml:space="preserve">[45]</w:t>
        </w:r>
      </w:hyperlink>
      <w:r>
        <w:t xml:space="preserve">, finding delay rising with hubbing activity and the externality component substantial. That is the structural template the dissertation carries over to reentry: a reentry closure is a capacity shock the NAS absorbs from an operator who does not bear the resulting aviation cost, the same externality form Mayer and Sinai identify among air carriers. Rebollo and Balakrishnan characterized and predicted air traffic delays statistically</w:t>
      </w:r>
      <w:r>
        <w:t xml:space="preserve"> </w:t>
      </w:r>
      <w:hyperlink w:anchor="ref-12">
        <w:r>
          <w:rPr>
            <w:rStyle w:val="Hyperlink"/>
          </w:rPr>
          <w:t xml:space="preserve">[12]</w:t>
        </w:r>
      </w:hyperlink>
      <w:r>
        <w:t xml:space="preserve">, documenting how a localized disruption spreads through the network and how delay at one node raises delay downstream, and theirs is the source that most directly licenses treating a localized reentry closure as a primary delay whose downstream consequences can be estimated. The earlier foundational evidence agrees: Beatty and colleagues, in a preliminary evaluation of flight delay propagation through an airline schedule</w:t>
      </w:r>
      <w:r>
        <w:t xml:space="preserve"> </w:t>
      </w:r>
      <w:hyperlink w:anchor="ref-74">
        <w:r>
          <w:rPr>
            <w:rStyle w:val="Hyperlink"/>
          </w:rPr>
          <w:t xml:space="preserve">[74]</w:t>
        </w:r>
      </w:hyperlink>
      <w:r>
        <w:t xml:space="preserve">, pinned the schedule-mediated mechanism by which a single late flight delays its successors, the rotation-carried propagation the network studies later formalized. The propagation literature that builds on these foundations is mature and convergent. Fleurquin, Ramasco, and Eguiluz established, in their study of systemic delay propagation in the U.S. airport network</w:t>
      </w:r>
      <w:r>
        <w:t xml:space="preserve"> </w:t>
      </w:r>
      <w:hyperlink w:anchor="ref-43">
        <w:r>
          <w:rPr>
            <w:rStyle w:val="Hyperlink"/>
          </w:rPr>
          <w:t xml:space="preserve">[43]</w:t>
        </w:r>
      </w:hyperlink>
      <w:r>
        <w:t xml:space="preserve">, that primary delays affecting some flights propagate, magnify, and can involve a significant part of the network, and they introduced a model that reproduces the observed propagation patterns and identifies a non-negligible risk of systemic instability even under normal operations. Their companion characterization of delay propagation in the U.S. air-transportation network</w:t>
      </w:r>
      <w:r>
        <w:t xml:space="preserve"> </w:t>
      </w:r>
      <w:hyperlink w:anchor="ref-40">
        <w:r>
          <w:rPr>
            <w:rStyle w:val="Hyperlink"/>
          </w:rPr>
          <w:t xml:space="preserve">[40]</w:t>
        </w:r>
      </w:hyperlink>
      <w:r>
        <w:t xml:space="preserve"> </w:t>
      </w:r>
      <w:r>
        <w:t xml:space="preserve">resolves the topological structure and the role of aircraft rotation in carrying delay from one flight to the next. The method in both is complex-network analysis on operational performance data, and the finding that matters here is that delay is not contained to the disrupted flight or the disrupted window; it cascades. The limitation for the dissertation’s purpose is that these studies characterize propagation in general rather than attributing it to a reentry closure specifically, but that is exactly the right division of labor: the dissertation supplies the reentry-specific treatment, and the propagation literature supplies the bound on how far its cost extends beyond the closed window.</w:t>
      </w:r>
    </w:p>
    <w:p>
      <w:pPr>
        <w:pStyle w:val="BodyText"/>
        <w:spacing w:line="480" w:lineRule="auto"/>
        <w:ind w:firstLine="720"/>
      </w:pPr>
      <w:r>
        <w:t xml:space="preserve">Several methodological directions reinforce the propagation result, which strengthens the warrant for using it as a bound. Zhang, Wu, Zhang, and Witlox modeled flight delay propagation under different network configurations through an epidemic-spreading analogy</w:t>
      </w:r>
      <w:r>
        <w:t xml:space="preserve"> </w:t>
      </w:r>
      <w:hyperlink w:anchor="ref-41">
        <w:r>
          <w:rPr>
            <w:rStyle w:val="Hyperlink"/>
          </w:rPr>
          <w:t xml:space="preserve">[41]</w:t>
        </w:r>
      </w:hyperlink>
      <w:r>
        <w:t xml:space="preserve">, finding that original airport traffic, airport connection structure, and turnaround service levels govern the probability of propagation, and that structural changes such as emerging secondary hubs shift propagation patterns. Wu and colleagues modeled flight delay propagation in the airport and airspace network jointly</w:t>
      </w:r>
      <w:r>
        <w:t xml:space="preserve"> </w:t>
      </w:r>
      <w:hyperlink w:anchor="ref-42">
        <w:r>
          <w:rPr>
            <w:rStyle w:val="Hyperlink"/>
          </w:rPr>
          <w:t xml:space="preserve">[42]</w:t>
        </w:r>
      </w:hyperlink>
      <w:r>
        <w:t xml:space="preserve">, carrying the analysis from airports out to the airspace links the dissertation’s closures actually sever. Kafle and Zou built an analytical-econometric approach to modeling flight delay propagation</w:t>
      </w:r>
      <w:r>
        <w:t xml:space="preserve"> </w:t>
      </w:r>
      <w:hyperlink w:anchor="ref-75">
        <w:r>
          <w:rPr>
            <w:rStyle w:val="Hyperlink"/>
          </w:rPr>
          <w:t xml:space="preserve">[75]</w:t>
        </w:r>
      </w:hyperlink>
      <w:r>
        <w:t xml:space="preserve">, methodologically the nearest to the dissertation’s own econometric posture and a template for treating propagation as an estimable quantity rather than a simulated one. Li and colleagues, reviewing flight delay propagation modeling across data, methods, and future opportunities</w:t>
      </w:r>
      <w:r>
        <w:t xml:space="preserve"> </w:t>
      </w:r>
      <w:hyperlink w:anchor="ref-44">
        <w:r>
          <w:rPr>
            <w:rStyle w:val="Hyperlink"/>
          </w:rPr>
          <w:t xml:space="preserve">[44]</w:t>
        </w:r>
      </w:hyperlink>
      <w:r>
        <w:t xml:space="preserve">, synthesize the field and confirm both the robustness of the propagation finding and the total absence of space operations as a propagation source. Giannikas and colleagues added a data-driven method to assess the causes and impact of delay propagation</w:t>
      </w:r>
      <w:r>
        <w:t xml:space="preserve"> </w:t>
      </w:r>
      <w:hyperlink w:anchor="ref-76">
        <w:r>
          <w:rPr>
            <w:rStyle w:val="Hyperlink"/>
          </w:rPr>
          <w:t xml:space="preserve">[76]</w:t>
        </w:r>
      </w:hyperlink>
      <w:r>
        <w:t xml:space="preserve">, which matters because it moves the field toward causal attribution of propagation, the very direction the dissertation moves the airspace-impact field. What this cluster shares as a limit is that none treats a spacecraft reentry as the primary disruption. The cluster is the cost-and-propagation framework into which the dissertation drops reentry as a new and unstudied source.</w:t>
      </w:r>
    </w:p>
    <w:p>
      <w:pPr>
        <w:pStyle w:val="BodyText"/>
        <w:spacing w:line="480" w:lineRule="auto"/>
        <w:ind w:firstLine="720"/>
      </w:pPr>
      <w:r>
        <w:t xml:space="preserve">Two operations-research sources bound the economic stakes and the infrastructure that carries them. Arikan, Deshpande, and Sohoni built stochastic models of airline networks from empirical data</w:t>
      </w:r>
      <w:r>
        <w:t xml:space="preserve"> </w:t>
      </w:r>
      <w:hyperlink w:anchor="ref-77">
        <w:r>
          <w:rPr>
            <w:rStyle w:val="Hyperlink"/>
          </w:rPr>
          <w:t xml:space="preserve">[77]</w:t>
        </w:r>
      </w:hyperlink>
      <w:r>
        <w:t xml:space="preserve"> </w:t>
      </w:r>
      <w:r>
        <w:t xml:space="preserve">and report the order of magnitude at issue: a U.S. congressional committee put the total cost to the U.S. economy from flight delays at as much as 41 billion dollars in 2007. That figure is not a reentry cost and is not used as one. It is the scale against which a per-event reentry cost times a rising cadence has to be judged for materiality, and it is why the dissertation treats the materiality subclaim as well supported even before any reentry-specific estimate exists. Gopalakrishnan and Balakrishnan, reviewing the control and optimization of air traffic networks</w:t>
      </w:r>
      <w:r>
        <w:t xml:space="preserve"> </w:t>
      </w:r>
      <w:hyperlink w:anchor="ref-39">
        <w:r>
          <w:rPr>
            <w:rStyle w:val="Hyperlink"/>
          </w:rPr>
          <w:t xml:space="preserve">[39]</w:t>
        </w:r>
      </w:hyperlink>
      <w:r>
        <w:t xml:space="preserve">, confirm that operational inefficiencies including delay carry both economic and environmental impacts and that Markov jump linear system models capture the salient dynamics of delay networks, which supplies the dynamical-systems backing for reading the post-activation decay of the event-study profile as a structured, model-consistent object rather than noise.</w:t>
      </w:r>
    </w:p>
    <w:p>
      <w:pPr>
        <w:pStyle w:val="BodyText"/>
        <w:spacing w:line="480" w:lineRule="auto"/>
        <w:ind w:firstLine="720"/>
      </w:pPr>
      <w:r>
        <w:t xml:space="preserve">Theme C argues one point: a reentry closure’s true cost runs past the cost measured within its active window, because the displaced delay propagates downstream. The evidence is the convergent propagation findings of Fleurquin and colleagues [43, 40], Zhang and colleagues</w:t>
      </w:r>
      <w:r>
        <w:t xml:space="preserve"> </w:t>
      </w:r>
      <w:hyperlink w:anchor="ref-41">
        <w:r>
          <w:rPr>
            <w:rStyle w:val="Hyperlink"/>
          </w:rPr>
          <w:t xml:space="preserve">[41]</w:t>
        </w:r>
      </w:hyperlink>
      <w:r>
        <w:t xml:space="preserve">, Wu and colleagues</w:t>
      </w:r>
      <w:r>
        <w:t xml:space="preserve"> </w:t>
      </w:r>
      <w:hyperlink w:anchor="ref-42">
        <w:r>
          <w:rPr>
            <w:rStyle w:val="Hyperlink"/>
          </w:rPr>
          <w:t xml:space="preserve">[42]</w:t>
        </w:r>
      </w:hyperlink>
      <w:r>
        <w:t xml:space="preserve">, Kafle and Zou</w:t>
      </w:r>
      <w:r>
        <w:t xml:space="preserve"> </w:t>
      </w:r>
      <w:hyperlink w:anchor="ref-75">
        <w:r>
          <w:rPr>
            <w:rStyle w:val="Hyperlink"/>
          </w:rPr>
          <w:t xml:space="preserve">[75]</w:t>
        </w:r>
      </w:hyperlink>
      <w:r>
        <w:t xml:space="preserve">, Li and colleagues</w:t>
      </w:r>
      <w:r>
        <w:t xml:space="preserve"> </w:t>
      </w:r>
      <w:hyperlink w:anchor="ref-44">
        <w:r>
          <w:rPr>
            <w:rStyle w:val="Hyperlink"/>
          </w:rPr>
          <w:t xml:space="preserve">[44]</w:t>
        </w:r>
      </w:hyperlink>
      <w:r>
        <w:t xml:space="preserve">, and Giannikas and colleagues</w:t>
      </w:r>
      <w:r>
        <w:t xml:space="preserve"> </w:t>
      </w:r>
      <w:hyperlink w:anchor="ref-76">
        <w:r>
          <w:rPr>
            <w:rStyle w:val="Hyperlink"/>
          </w:rPr>
          <w:t xml:space="preserve">[76]</w:t>
        </w:r>
      </w:hyperlink>
      <w:r>
        <w:t xml:space="preserve">, spanning complex-network, epidemic-analogy, econometric, and data-driven methods. A finding this robust across so many methods is a property of the network rather than of any one modeling choice, and it therefore applies to a reentry-induced primary delay just as it does to a weather-induced or traffic-induced one. The mechanism is out in the open. A closure forces delay on exposed flights, those flights carry the delay into their subsequent rotations and connections, the delay magnifies along the network topology, and the total cost is the within-window cost plus the propagated cost. This is a causal mechanism rather than a bare correlation, because the propagation studies name the carrying mechanism, aircraft rotation and connection structure, directly. One qualifier is held in view: the propagation literature attributes no propagation to a reentry closure specifically, so the dissertation uses it to bound and interpret the event-study decay profile rather than to estimate the propagated cost outright. Confidence that within-window cost understates the total is high. Confidence in the magnitude of the understatement is moderate, operationalized through the event-study profile rather than asserted.</w:t>
      </w:r>
    </w:p>
    <w:p>
      <w:pPr>
        <w:pStyle w:val="BodyText"/>
        <w:spacing w:line="480" w:lineRule="auto"/>
        <w:ind w:firstLine="720"/>
      </w:pPr>
      <w:r>
        <w:rPr>
          <w:b/>
          <w:bCs/>
        </w:rPr>
        <w:t xml:space="preserve">Table 3.3. Theme C synthesis: delay cost and network propagation.</w:t>
      </w:r>
    </w:p>
    <w:tbl>
      <w:tblPr>
        <w:tblStyle w:val="Table"/>
        <w:tblLook w:firstRow="1" w:lastRow="0" w:firstColumn="0" w:lastColumn="0" w:noHBand="0" w:noVBand="0" w:val="0020"/>
        <w:tblLayout w:type="autofit"/>
        <w:tblW w:w="0" w:type="auto"/>
      </w:tblPr>
      <w:tblGrid>
        <w:gridCol w:w="1584"/>
        <w:gridCol w:w="1584"/>
        <w:gridCol w:w="1584"/>
        <w:gridCol w:w="1584"/>
        <w:gridCol w:w="1584"/>
      </w:tblGrid>
      <w:tr>
        <w:trPr>
          <w:tblHeader w:val="on"/>
        </w:trP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Finding</w:t>
            </w:r>
          </w:p>
        </w:tc>
        <w:tc>
          <w:tcPr>
            <w:tcW w:w="0" w:type="auto"/>
          </w:tcPr>
          <w:p>
            <w:pPr>
              <w:spacing w:line="240" w:lineRule="auto" w:before="0" w:after="0"/>
              <w:pStyle w:val="Compact"/>
            </w:pPr>
            <w:r>
              <w:rPr>
                <w:sz w:val="20"/>
                <w:szCs w:val="20"/>
              </w:rPr>
              <w:t xml:space="preserve">Method</w:t>
            </w:r>
          </w:p>
        </w:tc>
        <w:tc>
          <w:tcPr>
            <w:tcW w:w="0" w:type="auto"/>
          </w:tcPr>
          <w:p>
            <w:pPr>
              <w:spacing w:line="240" w:lineRule="auto" w:before="0" w:after="0"/>
              <w:pStyle w:val="Compact"/>
            </w:pPr>
            <w:r>
              <w:rPr>
                <w:sz w:val="20"/>
                <w:szCs w:val="20"/>
              </w:rPr>
              <w:t xml:space="preserve">Limitation</w:t>
            </w:r>
          </w:p>
        </w:tc>
        <w:tc>
          <w:tcPr>
            <w:tcW w:w="0" w:type="auto"/>
          </w:tcPr>
          <w:p>
            <w:pPr>
              <w:spacing w:line="240" w:lineRule="auto" w:before="0" w:after="0"/>
              <w:pStyle w:val="Compact"/>
            </w:pPr>
            <w:r>
              <w:rPr>
                <w:sz w:val="20"/>
                <w:szCs w:val="20"/>
              </w:rPr>
              <w:t xml:space="preserve">Relation to gap</w:t>
            </w:r>
          </w:p>
        </w:tc>
      </w:tr>
      <w:tr>
        <w:tc>
          <w:tcPr>
            <w:tcW w:w="0" w:type="auto"/>
          </w:tcPr>
          <w:p>
            <w:pPr>
              <w:spacing w:line="240" w:lineRule="auto" w:before="0" w:after="0"/>
              <w:pStyle w:val="Compact"/>
            </w:pPr>
            <w:r>
              <w:rPr>
                <w:sz w:val="20"/>
                <w:szCs w:val="20"/>
              </w:rPr>
              <w:t xml:space="preserve">Fleurquin et al. </w:t>
            </w:r>
            <w:hyperlink w:anchor="ref-43">
              <w:r>
                <w:rPr>
                  <w:rStyle w:val="Hyperlink"/>
                  <w:sz w:val="20"/>
                  <w:szCs w:val="20"/>
                </w:rPr>
                <w:t xml:space="preserve">[43]</w:t>
              </w:r>
            </w:hyperlink>
          </w:p>
        </w:tc>
        <w:tc>
          <w:tcPr>
            <w:tcW w:w="0" w:type="auto"/>
          </w:tcPr>
          <w:p>
            <w:pPr>
              <w:spacing w:line="240" w:lineRule="auto" w:before="0" w:after="0"/>
              <w:pStyle w:val="Compact"/>
            </w:pPr>
            <w:r>
              <w:rPr>
                <w:sz w:val="20"/>
                <w:szCs w:val="20"/>
              </w:rPr>
              <w:t xml:space="preserve">Primary delays propagate, magnify, risk systemic instability</w:t>
            </w:r>
          </w:p>
        </w:tc>
        <w:tc>
          <w:tcPr>
            <w:tcW w:w="0" w:type="auto"/>
          </w:tcPr>
          <w:p>
            <w:pPr>
              <w:spacing w:line="240" w:lineRule="auto" w:before="0" w:after="0"/>
              <w:pStyle w:val="Compact"/>
            </w:pPr>
            <w:r>
              <w:rPr>
                <w:sz w:val="20"/>
                <w:szCs w:val="20"/>
              </w:rPr>
              <w:t xml:space="preserve">Complex-network model on performance data</w:t>
            </w:r>
          </w:p>
        </w:tc>
        <w:tc>
          <w:tcPr>
            <w:tcW w:w="0" w:type="auto"/>
          </w:tcPr>
          <w:p>
            <w:pPr>
              <w:spacing w:line="240" w:lineRule="auto" w:before="0" w:after="0"/>
              <w:pStyle w:val="Compact"/>
            </w:pPr>
            <w:r>
              <w:rPr>
                <w:sz w:val="20"/>
                <w:szCs w:val="20"/>
              </w:rPr>
              <w:t xml:space="preserve">Not attributed to reentry</w:t>
            </w:r>
          </w:p>
        </w:tc>
        <w:tc>
          <w:tcPr>
            <w:tcW w:w="0" w:type="auto"/>
          </w:tcPr>
          <w:p>
            <w:pPr>
              <w:spacing w:line="240" w:lineRule="auto" w:before="0" w:after="0"/>
              <w:pStyle w:val="Compact"/>
            </w:pPr>
            <w:r>
              <w:rPr>
                <w:sz w:val="20"/>
                <w:szCs w:val="20"/>
              </w:rPr>
              <w:t xml:space="preserve">Bounds cost beyond the closed window</w:t>
            </w:r>
          </w:p>
        </w:tc>
      </w:tr>
      <w:tr>
        <w:tc>
          <w:tcPr>
            <w:tcW w:w="0" w:type="auto"/>
          </w:tcPr>
          <w:p>
            <w:pPr>
              <w:spacing w:line="240" w:lineRule="auto" w:before="0" w:after="0"/>
              <w:pStyle w:val="Compact"/>
            </w:pPr>
            <w:r>
              <w:rPr>
                <w:sz w:val="20"/>
                <w:szCs w:val="20"/>
              </w:rPr>
              <w:t xml:space="preserve">Fleurquin et al. </w:t>
            </w:r>
            <w:hyperlink w:anchor="ref-40">
              <w:r>
                <w:rPr>
                  <w:rStyle w:val="Hyperlink"/>
                  <w:sz w:val="20"/>
                  <w:szCs w:val="20"/>
                </w:rPr>
                <w:t xml:space="preserve">[40]</w:t>
              </w:r>
            </w:hyperlink>
          </w:p>
        </w:tc>
        <w:tc>
          <w:tcPr>
            <w:tcW w:w="0" w:type="auto"/>
          </w:tcPr>
          <w:p>
            <w:pPr>
              <w:spacing w:line="240" w:lineRule="auto" w:before="0" w:after="0"/>
              <w:pStyle w:val="Compact"/>
            </w:pPr>
            <w:r>
              <w:rPr>
                <w:sz w:val="20"/>
                <w:szCs w:val="20"/>
              </w:rPr>
              <w:t xml:space="preserve">Aircraft rotation carries delay flight-to-flight</w:t>
            </w:r>
          </w:p>
        </w:tc>
        <w:tc>
          <w:tcPr>
            <w:tcW w:w="0" w:type="auto"/>
          </w:tcPr>
          <w:p>
            <w:pPr>
              <w:spacing w:line="240" w:lineRule="auto" w:before="0" w:after="0"/>
              <w:pStyle w:val="Compact"/>
            </w:pPr>
            <w:r>
              <w:rPr>
                <w:sz w:val="20"/>
                <w:szCs w:val="20"/>
              </w:rPr>
              <w:t xml:space="preserve">Network topology analysis</w:t>
            </w:r>
          </w:p>
        </w:tc>
        <w:tc>
          <w:tcPr>
            <w:tcW w:w="0" w:type="auto"/>
          </w:tcPr>
          <w:p>
            <w:pPr>
              <w:spacing w:line="240" w:lineRule="auto" w:before="0" w:after="0"/>
              <w:pStyle w:val="Compact"/>
            </w:pPr>
            <w:r>
              <w:rPr>
                <w:sz w:val="20"/>
                <w:szCs w:val="20"/>
              </w:rPr>
              <w:t xml:space="preserve">General, not space-specific</w:t>
            </w:r>
          </w:p>
        </w:tc>
        <w:tc>
          <w:tcPr>
            <w:tcW w:w="0" w:type="auto"/>
          </w:tcPr>
          <w:p>
            <w:pPr>
              <w:spacing w:line="240" w:lineRule="auto" w:before="0" w:after="0"/>
              <w:pStyle w:val="Compact"/>
            </w:pPr>
            <w:r>
              <w:rPr>
                <w:sz w:val="20"/>
                <w:szCs w:val="20"/>
              </w:rPr>
              <w:t xml:space="preserve">Identifies the carrying mechanism</w:t>
            </w:r>
          </w:p>
        </w:tc>
      </w:tr>
      <w:tr>
        <w:tc>
          <w:tcPr>
            <w:tcW w:w="0" w:type="auto"/>
          </w:tcPr>
          <w:p>
            <w:pPr>
              <w:spacing w:line="240" w:lineRule="auto" w:before="0" w:after="0"/>
              <w:pStyle w:val="Compact"/>
            </w:pPr>
            <w:r>
              <w:rPr>
                <w:sz w:val="20"/>
                <w:szCs w:val="20"/>
              </w:rPr>
              <w:t xml:space="preserve">Zhang et al. </w:t>
            </w:r>
            <w:hyperlink w:anchor="ref-41">
              <w:r>
                <w:rPr>
                  <w:rStyle w:val="Hyperlink"/>
                  <w:sz w:val="20"/>
                  <w:szCs w:val="20"/>
                </w:rPr>
                <w:t xml:space="preserve">[41]</w:t>
              </w:r>
            </w:hyperlink>
          </w:p>
        </w:tc>
        <w:tc>
          <w:tcPr>
            <w:tcW w:w="0" w:type="auto"/>
          </w:tcPr>
          <w:p>
            <w:pPr>
              <w:spacing w:line="240" w:lineRule="auto" w:before="0" w:after="0"/>
              <w:pStyle w:val="Compact"/>
            </w:pPr>
            <w:r>
              <w:rPr>
                <w:sz w:val="20"/>
                <w:szCs w:val="20"/>
              </w:rPr>
              <w:t xml:space="preserve">Traffic, connectivity, turnaround govern propagation</w:t>
            </w:r>
          </w:p>
        </w:tc>
        <w:tc>
          <w:tcPr>
            <w:tcW w:w="0" w:type="auto"/>
          </w:tcPr>
          <w:p>
            <w:pPr>
              <w:spacing w:line="240" w:lineRule="auto" w:before="0" w:after="0"/>
              <w:pStyle w:val="Compact"/>
            </w:pPr>
            <w:r>
              <w:rPr>
                <w:sz w:val="20"/>
                <w:szCs w:val="20"/>
              </w:rPr>
              <w:t xml:space="preserve">Epidemic-spreading simulation</w:t>
            </w:r>
          </w:p>
        </w:tc>
        <w:tc>
          <w:tcPr>
            <w:tcW w:w="0" w:type="auto"/>
          </w:tcPr>
          <w:p>
            <w:pPr>
              <w:spacing w:line="240" w:lineRule="auto" w:before="0" w:after="0"/>
              <w:pStyle w:val="Compact"/>
            </w:pPr>
            <w:r>
              <w:rPr>
                <w:sz w:val="20"/>
                <w:szCs w:val="20"/>
              </w:rPr>
              <w:t xml:space="preserve">Configuration-dependent</w:t>
            </w:r>
          </w:p>
        </w:tc>
        <w:tc>
          <w:tcPr>
            <w:tcW w:w="0" w:type="auto"/>
          </w:tcPr>
          <w:p>
            <w:pPr>
              <w:spacing w:line="240" w:lineRule="auto" w:before="0" w:after="0"/>
              <w:pStyle w:val="Compact"/>
            </w:pPr>
            <w:r>
              <w:rPr>
                <w:sz w:val="20"/>
                <w:szCs w:val="20"/>
              </w:rPr>
              <w:t xml:space="preserve">Confirms structural drivers of decay shape</w:t>
            </w:r>
          </w:p>
        </w:tc>
      </w:tr>
      <w:tr>
        <w:tc>
          <w:tcPr>
            <w:tcW w:w="0" w:type="auto"/>
          </w:tcPr>
          <w:p>
            <w:pPr>
              <w:spacing w:line="240" w:lineRule="auto" w:before="0" w:after="0"/>
              <w:pStyle w:val="Compact"/>
            </w:pPr>
            <w:r>
              <w:rPr>
                <w:sz w:val="20"/>
                <w:szCs w:val="20"/>
              </w:rPr>
              <w:t xml:space="preserve">Wu et al. </w:t>
            </w:r>
            <w:hyperlink w:anchor="ref-42">
              <w:r>
                <w:rPr>
                  <w:rStyle w:val="Hyperlink"/>
                  <w:sz w:val="20"/>
                  <w:szCs w:val="20"/>
                </w:rPr>
                <w:t xml:space="preserve">[42]</w:t>
              </w:r>
            </w:hyperlink>
          </w:p>
        </w:tc>
        <w:tc>
          <w:tcPr>
            <w:tcW w:w="0" w:type="auto"/>
          </w:tcPr>
          <w:p>
            <w:pPr>
              <w:spacing w:line="240" w:lineRule="auto" w:before="0" w:after="0"/>
              <w:pStyle w:val="Compact"/>
            </w:pPr>
            <w:r>
              <w:rPr>
                <w:sz w:val="20"/>
                <w:szCs w:val="20"/>
              </w:rPr>
              <w:t xml:space="preserve">Propagation extends across airspace links, not just airports</w:t>
            </w:r>
          </w:p>
        </w:tc>
        <w:tc>
          <w:tcPr>
            <w:tcW w:w="0" w:type="auto"/>
          </w:tcPr>
          <w:p>
            <w:pPr>
              <w:spacing w:line="240" w:lineRule="auto" w:before="0" w:after="0"/>
              <w:pStyle w:val="Compact"/>
            </w:pPr>
            <w:r>
              <w:rPr>
                <w:sz w:val="20"/>
                <w:szCs w:val="20"/>
              </w:rPr>
              <w:t xml:space="preserve">Joint airport-airspace model</w:t>
            </w:r>
          </w:p>
        </w:tc>
        <w:tc>
          <w:tcPr>
            <w:tcW w:w="0" w:type="auto"/>
          </w:tcPr>
          <w:p>
            <w:pPr>
              <w:spacing w:line="240" w:lineRule="auto" w:before="0" w:after="0"/>
              <w:pStyle w:val="Compact"/>
            </w:pPr>
            <w:r>
              <w:rPr>
                <w:sz w:val="20"/>
                <w:szCs w:val="20"/>
              </w:rPr>
              <w:t xml:space="preserve">General</w:t>
            </w:r>
          </w:p>
        </w:tc>
        <w:tc>
          <w:tcPr>
            <w:tcW w:w="0" w:type="auto"/>
          </w:tcPr>
          <w:p>
            <w:pPr>
              <w:spacing w:line="240" w:lineRule="auto" w:before="0" w:after="0"/>
              <w:pStyle w:val="Compact"/>
            </w:pPr>
            <w:r>
              <w:rPr>
                <w:sz w:val="20"/>
                <w:szCs w:val="20"/>
              </w:rPr>
              <w:t xml:space="preserve">Covers the links closures sever</w:t>
            </w:r>
          </w:p>
        </w:tc>
      </w:tr>
      <w:tr>
        <w:tc>
          <w:tcPr>
            <w:tcW w:w="0" w:type="auto"/>
          </w:tcPr>
          <w:p>
            <w:pPr>
              <w:spacing w:line="240" w:lineRule="auto" w:before="0" w:after="0"/>
              <w:pStyle w:val="Compact"/>
            </w:pPr>
            <w:r>
              <w:rPr>
                <w:sz w:val="20"/>
                <w:szCs w:val="20"/>
              </w:rPr>
              <w:t xml:space="preserve">Kafle, Zou</w:t>
            </w:r>
            <w:r>
              <w:rPr>
                <w:sz w:val="20"/>
                <w:szCs w:val="20"/>
              </w:rPr>
              <w:t xml:space="preserve"> </w:t>
            </w:r>
            <w:hyperlink w:anchor="ref-75">
              <w:r>
                <w:rPr>
                  <w:rStyle w:val="Hyperlink"/>
                  <w:sz w:val="20"/>
                  <w:szCs w:val="20"/>
                </w:rPr>
                <w:t xml:space="preserve">[75]</w:t>
              </w:r>
            </w:hyperlink>
          </w:p>
        </w:tc>
        <w:tc>
          <w:tcPr>
            <w:tcW w:w="0" w:type="auto"/>
          </w:tcPr>
          <w:p>
            <w:pPr>
              <w:spacing w:line="240" w:lineRule="auto" w:before="0" w:after="0"/>
              <w:pStyle w:val="Compact"/>
            </w:pPr>
            <w:r>
              <w:rPr>
                <w:sz w:val="20"/>
                <w:szCs w:val="20"/>
              </w:rPr>
              <w:t xml:space="preserve">Propagation is econometrically estimable</w:t>
            </w:r>
          </w:p>
        </w:tc>
        <w:tc>
          <w:tcPr>
            <w:tcW w:w="0" w:type="auto"/>
          </w:tcPr>
          <w:p>
            <w:pPr>
              <w:spacing w:line="240" w:lineRule="auto" w:before="0" w:after="0"/>
              <w:pStyle w:val="Compact"/>
            </w:pPr>
            <w:r>
              <w:rPr>
                <w:sz w:val="20"/>
                <w:szCs w:val="20"/>
              </w:rPr>
              <w:t xml:space="preserve">Analytical-econometric model</w:t>
            </w:r>
          </w:p>
        </w:tc>
        <w:tc>
          <w:tcPr>
            <w:tcW w:w="0" w:type="auto"/>
          </w:tcPr>
          <w:p>
            <w:pPr>
              <w:spacing w:line="240" w:lineRule="auto" w:before="0" w:after="0"/>
              <w:pStyle w:val="Compact"/>
            </w:pPr>
            <w:r>
              <w:rPr>
                <w:sz w:val="20"/>
                <w:szCs w:val="20"/>
              </w:rPr>
              <w:t xml:space="preserve">Not space-specific</w:t>
            </w:r>
          </w:p>
        </w:tc>
        <w:tc>
          <w:tcPr>
            <w:tcW w:w="0" w:type="auto"/>
          </w:tcPr>
          <w:p>
            <w:pPr>
              <w:spacing w:line="240" w:lineRule="auto" w:before="0" w:after="0"/>
              <w:pStyle w:val="Compact"/>
            </w:pPr>
            <w:r>
              <w:rPr>
                <w:sz w:val="20"/>
                <w:szCs w:val="20"/>
              </w:rPr>
              <w:t xml:space="preserve">Template for the dissertation’s posture</w:t>
            </w:r>
          </w:p>
        </w:tc>
      </w:tr>
      <w:tr>
        <w:tc>
          <w:tcPr>
            <w:tcW w:w="0" w:type="auto"/>
          </w:tcPr>
          <w:p>
            <w:pPr>
              <w:spacing w:line="240" w:lineRule="auto" w:before="0" w:after="0"/>
              <w:pStyle w:val="Compact"/>
            </w:pPr>
            <w:r>
              <w:rPr>
                <w:sz w:val="20"/>
                <w:szCs w:val="20"/>
              </w:rPr>
              <w:t xml:space="preserve">Li et al. </w:t>
            </w:r>
            <w:hyperlink w:anchor="ref-44">
              <w:r>
                <w:rPr>
                  <w:rStyle w:val="Hyperlink"/>
                  <w:sz w:val="20"/>
                  <w:szCs w:val="20"/>
                </w:rPr>
                <w:t xml:space="preserve">[44]</w:t>
              </w:r>
            </w:hyperlink>
          </w:p>
        </w:tc>
        <w:tc>
          <w:tcPr>
            <w:tcW w:w="0" w:type="auto"/>
          </w:tcPr>
          <w:p>
            <w:pPr>
              <w:spacing w:line="240" w:lineRule="auto" w:before="0" w:after="0"/>
              <w:pStyle w:val="Compact"/>
            </w:pPr>
            <w:r>
              <w:rPr>
                <w:sz w:val="20"/>
                <w:szCs w:val="20"/>
              </w:rPr>
              <w:t xml:space="preserve">Propagation robust; no space-ops treatment</w:t>
            </w:r>
          </w:p>
        </w:tc>
        <w:tc>
          <w:tcPr>
            <w:tcW w:w="0" w:type="auto"/>
          </w:tcPr>
          <w:p>
            <w:pPr>
              <w:spacing w:line="240" w:lineRule="auto" w:before="0" w:after="0"/>
              <w:pStyle w:val="Compact"/>
            </w:pPr>
            <w:r>
              <w:rPr>
                <w:sz w:val="20"/>
                <w:szCs w:val="20"/>
              </w:rPr>
              <w:t xml:space="preserve">Field review</w:t>
            </w:r>
          </w:p>
        </w:tc>
        <w:tc>
          <w:tcPr>
            <w:tcW w:w="0" w:type="auto"/>
          </w:tcPr>
          <w:p>
            <w:pPr>
              <w:spacing w:line="240" w:lineRule="auto" w:before="0" w:after="0"/>
              <w:pStyle w:val="Compact"/>
            </w:pPr>
            <w:r>
              <w:rPr>
                <w:sz w:val="20"/>
                <w:szCs w:val="20"/>
              </w:rPr>
              <w:t xml:space="preserve">Identifies the absence</w:t>
            </w:r>
          </w:p>
        </w:tc>
        <w:tc>
          <w:tcPr>
            <w:tcW w:w="0" w:type="auto"/>
          </w:tcPr>
          <w:p>
            <w:pPr>
              <w:spacing w:line="240" w:lineRule="auto" w:before="0" w:after="0"/>
              <w:pStyle w:val="Compact"/>
            </w:pPr>
            <w:r>
              <w:rPr>
                <w:sz w:val="20"/>
                <w:szCs w:val="20"/>
              </w:rPr>
              <w:t xml:space="preserve">Confirms reentry is unstudied as a source</w:t>
            </w:r>
          </w:p>
        </w:tc>
      </w:tr>
      <w:tr>
        <w:tc>
          <w:tcPr>
            <w:tcW w:w="0" w:type="auto"/>
          </w:tcPr>
          <w:p>
            <w:pPr>
              <w:spacing w:line="240" w:lineRule="auto" w:before="0" w:after="0"/>
              <w:pStyle w:val="Compact"/>
            </w:pPr>
            <w:r>
              <w:rPr>
                <w:sz w:val="20"/>
                <w:szCs w:val="20"/>
              </w:rPr>
              <w:t xml:space="preserve">Giannikas et al. </w:t>
            </w:r>
            <w:hyperlink w:anchor="ref-76">
              <w:r>
                <w:rPr>
                  <w:rStyle w:val="Hyperlink"/>
                  <w:sz w:val="20"/>
                  <w:szCs w:val="20"/>
                </w:rPr>
                <w:t xml:space="preserve">[76]</w:t>
              </w:r>
            </w:hyperlink>
          </w:p>
        </w:tc>
        <w:tc>
          <w:tcPr>
            <w:tcW w:w="0" w:type="auto"/>
          </w:tcPr>
          <w:p>
            <w:pPr>
              <w:spacing w:line="240" w:lineRule="auto" w:before="0" w:after="0"/>
              <w:pStyle w:val="Compact"/>
            </w:pPr>
            <w:r>
              <w:rPr>
                <w:sz w:val="20"/>
                <w:szCs w:val="20"/>
              </w:rPr>
              <w:t xml:space="preserve">Causal attribution of propagation is feasible</w:t>
            </w:r>
          </w:p>
        </w:tc>
        <w:tc>
          <w:tcPr>
            <w:tcW w:w="0" w:type="auto"/>
          </w:tcPr>
          <w:p>
            <w:pPr>
              <w:spacing w:line="240" w:lineRule="auto" w:before="0" w:after="0"/>
              <w:pStyle w:val="Compact"/>
            </w:pPr>
            <w:r>
              <w:rPr>
                <w:sz w:val="20"/>
                <w:szCs w:val="20"/>
              </w:rPr>
              <w:t xml:space="preserve">Data-driven causal method</w:t>
            </w:r>
          </w:p>
        </w:tc>
        <w:tc>
          <w:tcPr>
            <w:tcW w:w="0" w:type="auto"/>
          </w:tcPr>
          <w:p>
            <w:pPr>
              <w:spacing w:line="240" w:lineRule="auto" w:before="0" w:after="0"/>
              <w:pStyle w:val="Compact"/>
            </w:pPr>
            <w:r>
              <w:rPr>
                <w:sz w:val="20"/>
                <w:szCs w:val="20"/>
              </w:rPr>
              <w:t xml:space="preserve">Not space-specific</w:t>
            </w:r>
          </w:p>
        </w:tc>
        <w:tc>
          <w:tcPr>
            <w:tcW w:w="0" w:type="auto"/>
          </w:tcPr>
          <w:p>
            <w:pPr>
              <w:spacing w:line="240" w:lineRule="auto" w:before="0" w:after="0"/>
              <w:pStyle w:val="Compact"/>
            </w:pPr>
            <w:r>
              <w:rPr>
                <w:sz w:val="20"/>
                <w:szCs w:val="20"/>
              </w:rPr>
              <w:t xml:space="preserve">Parallels the dissertation’s causal turn</w:t>
            </w:r>
          </w:p>
        </w:tc>
      </w:tr>
      <w:tr>
        <w:tc>
          <w:tcPr>
            <w:tcW w:w="0" w:type="auto"/>
          </w:tcPr>
          <w:p>
            <w:pPr>
              <w:spacing w:line="240" w:lineRule="auto" w:before="0" w:after="0"/>
              <w:pStyle w:val="Compact"/>
            </w:pPr>
            <w:r>
              <w:rPr>
                <w:sz w:val="20"/>
                <w:szCs w:val="20"/>
              </w:rPr>
              <w:t xml:space="preserve">Arikan et al. </w:t>
            </w:r>
            <w:hyperlink w:anchor="ref-77">
              <w:r>
                <w:rPr>
                  <w:rStyle w:val="Hyperlink"/>
                  <w:sz w:val="20"/>
                  <w:szCs w:val="20"/>
                </w:rPr>
                <w:t xml:space="preserve">[77]</w:t>
              </w:r>
            </w:hyperlink>
          </w:p>
        </w:tc>
        <w:tc>
          <w:tcPr>
            <w:tcW w:w="0" w:type="auto"/>
          </w:tcPr>
          <w:p>
            <w:pPr>
              <w:spacing w:line="240" w:lineRule="auto" w:before="0" w:after="0"/>
              <w:pStyle w:val="Compact"/>
            </w:pPr>
            <w:r>
              <w:rPr>
                <w:sz w:val="20"/>
                <w:szCs w:val="20"/>
              </w:rPr>
              <w:t xml:space="preserve">Delay cost to U.S. economy ~41bn USD (2007)</w:t>
            </w:r>
          </w:p>
        </w:tc>
        <w:tc>
          <w:tcPr>
            <w:tcW w:w="0" w:type="auto"/>
          </w:tcPr>
          <w:p>
            <w:pPr>
              <w:spacing w:line="240" w:lineRule="auto" w:before="0" w:after="0"/>
              <w:pStyle w:val="Compact"/>
            </w:pPr>
            <w:r>
              <w:rPr>
                <w:sz w:val="20"/>
                <w:szCs w:val="20"/>
              </w:rPr>
              <w:t xml:space="preserve">Stochastic network model</w:t>
            </w:r>
          </w:p>
        </w:tc>
        <w:tc>
          <w:tcPr>
            <w:tcW w:w="0" w:type="auto"/>
          </w:tcPr>
          <w:p>
            <w:pPr>
              <w:spacing w:line="240" w:lineRule="auto" w:before="0" w:after="0"/>
              <w:pStyle w:val="Compact"/>
            </w:pPr>
            <w:r>
              <w:rPr>
                <w:sz w:val="20"/>
                <w:szCs w:val="20"/>
              </w:rPr>
              <w:t xml:space="preserve">Total, not per-event reentry</w:t>
            </w:r>
          </w:p>
        </w:tc>
        <w:tc>
          <w:tcPr>
            <w:tcW w:w="0" w:type="auto"/>
          </w:tcPr>
          <w:p>
            <w:pPr>
              <w:spacing w:line="240" w:lineRule="auto" w:before="0" w:after="0"/>
              <w:pStyle w:val="Compact"/>
            </w:pPr>
            <w:r>
              <w:rPr>
                <w:sz w:val="20"/>
                <w:szCs w:val="20"/>
              </w:rPr>
              <w:t xml:space="preserve">Sets the materiality yardstick</w:t>
            </w:r>
          </w:p>
        </w:tc>
      </w:tr>
      <w:tr>
        <w:tc>
          <w:tcPr>
            <w:tcW w:w="0" w:type="auto"/>
          </w:tcPr>
          <w:p>
            <w:pPr>
              <w:spacing w:line="240" w:lineRule="auto" w:before="0" w:after="0"/>
              <w:pStyle w:val="Compact"/>
            </w:pPr>
            <w:r>
              <w:rPr>
                <w:sz w:val="20"/>
                <w:szCs w:val="20"/>
              </w:rPr>
              <w:t xml:space="preserve">Gopalakrishnan, Balakrishnan</w:t>
            </w:r>
            <w:r>
              <w:rPr>
                <w:sz w:val="20"/>
                <w:szCs w:val="20"/>
              </w:rPr>
              <w:t xml:space="preserve"> </w:t>
            </w:r>
            <w:hyperlink w:anchor="ref-39">
              <w:r>
                <w:rPr>
                  <w:rStyle w:val="Hyperlink"/>
                  <w:sz w:val="20"/>
                  <w:szCs w:val="20"/>
                </w:rPr>
                <w:t xml:space="preserve">[39]</w:t>
              </w:r>
            </w:hyperlink>
          </w:p>
        </w:tc>
        <w:tc>
          <w:tcPr>
            <w:tcW w:w="0" w:type="auto"/>
          </w:tcPr>
          <w:p>
            <w:pPr>
              <w:spacing w:line="240" w:lineRule="auto" w:before="0" w:after="0"/>
              <w:pStyle w:val="Compact"/>
            </w:pPr>
            <w:r>
              <w:rPr>
                <w:sz w:val="20"/>
                <w:szCs w:val="20"/>
              </w:rPr>
              <w:t xml:space="preserve">Delay networks are model-tractable dynamical systems</w:t>
            </w:r>
          </w:p>
        </w:tc>
        <w:tc>
          <w:tcPr>
            <w:tcW w:w="0" w:type="auto"/>
          </w:tcPr>
          <w:p>
            <w:pPr>
              <w:spacing w:line="240" w:lineRule="auto" w:before="0" w:after="0"/>
              <w:pStyle w:val="Compact"/>
            </w:pPr>
            <w:r>
              <w:rPr>
                <w:sz w:val="20"/>
                <w:szCs w:val="20"/>
              </w:rPr>
              <w:t xml:space="preserve">Markov jump linear systems review</w:t>
            </w:r>
          </w:p>
        </w:tc>
        <w:tc>
          <w:tcPr>
            <w:tcW w:w="0" w:type="auto"/>
          </w:tcPr>
          <w:p>
            <w:pPr>
              <w:spacing w:line="240" w:lineRule="auto" w:before="0" w:after="0"/>
              <w:pStyle w:val="Compact"/>
            </w:pPr>
            <w:r>
              <w:rPr>
                <w:sz w:val="20"/>
                <w:szCs w:val="20"/>
              </w:rPr>
              <w:t xml:space="preserve">General</w:t>
            </w:r>
          </w:p>
        </w:tc>
        <w:tc>
          <w:tcPr>
            <w:tcW w:w="0" w:type="auto"/>
          </w:tcPr>
          <w:p>
            <w:pPr>
              <w:spacing w:line="240" w:lineRule="auto" w:before="0" w:after="0"/>
              <w:pStyle w:val="Compact"/>
            </w:pPr>
            <w:r>
              <w:rPr>
                <w:sz w:val="20"/>
                <w:szCs w:val="20"/>
              </w:rPr>
              <w:t xml:space="preserve">Backs the event-study decay interpretation</w:t>
            </w:r>
          </w:p>
        </w:tc>
      </w:tr>
    </w:tbl>
    <w:p>
      <w:pPr>
        <w:pStyle w:val="BodyText"/>
        <w:spacing w:line="480" w:lineRule="auto"/>
        <w:ind w:firstLine="720"/>
      </w:pPr>
      <w:r>
        <w:t xml:space="preserve">The gap this theme leaves is narrower than in Themes A and B, but real. The cost-of-delay and propagation literature is mature, convergent, and methodologically sophisticated, supplying both the cost framework and the propagation bound the dissertation needs. What it holds nowhere is a treatment of spacecraft reentry as a source of delay or of propagated delay. The dissertation drops reentry into this framework as a new primary-disruption source and uses the propagation result to explain why the within-window estimate is a lower bound on the true per-event cost.</w:t>
      </w:r>
    </w:p>
    <w:bookmarkEnd w:id="105"/>
    <w:bookmarkStart w:id="106" w:name="X902cc82358b548f229ed1bde55c508dd7549278"/>
    <w:p>
      <w:pPr>
        <w:pStyle w:val="Heading2"/>
        <w:spacing w:line="480" w:lineRule="auto"/>
      </w:pPr>
      <w:r>
        <w:t xml:space="preserve">3.5 Theme D: the space-economy framing of market formation</w:t>
      </w:r>
    </w:p>
    <w:p>
      <w:pPr>
        <w:pStyle w:val="FirstParagraph"/>
        <w:spacing w:line="480" w:lineRule="auto"/>
      </w:pPr>
      <w:r>
        <w:t xml:space="preserve">The fourth theme is the shortest, because its job is to establish rather than to measure. It shows that the leading space-economy literature already treats authorization predictability and corridor access as first-order economic variables, which is what makes a measured airspace cost a load-bearing economic quantity rather than an operational curiosity. Peeters, analyzing the paradigm shift of NewSpace and the new business models driving growth of the space economy</w:t>
      </w:r>
      <w:r>
        <w:t xml:space="preserve"> </w:t>
      </w:r>
      <w:hyperlink w:anchor="ref-17">
        <w:r>
          <w:rPr>
            <w:rStyle w:val="Hyperlink"/>
          </w:rPr>
          <w:t xml:space="preserve">[17]</w:t>
        </w:r>
      </w:hyperlink>
      <w:r>
        <w:t xml:space="preserve">, locates the sector’s expansion in business-model and institutional design rather than technology readiness alone, and names the regulatory and access conditions under which a new space activity turns commercially viable. His method is a sectoral and business-model synthesis, and what matters here is his placement of authorization and access predictability among the operative levers of market formation. The limit, and it is exactly the dissertation’s opening, is that Peeters marks these as economic variables without measuring the airspace cost the access condition is meant to manage. The variable is named, not priced.</w:t>
      </w:r>
    </w:p>
    <w:p>
      <w:pPr>
        <w:pStyle w:val="BodyText"/>
        <w:spacing w:line="480" w:lineRule="auto"/>
        <w:ind w:firstLine="720"/>
      </w:pPr>
      <w:r>
        <w:t xml:space="preserve">This theme connects directly to the dissertation’s theoretical anchors developed in Chapter 2, and the connection is stated here only to close the literature’s logical circuit, not to re-argue the framework. Weinzierl’s account of space as the final economic frontier</w:t>
      </w:r>
      <w:r>
        <w:t xml:space="preserve"> </w:t>
      </w:r>
      <w:hyperlink w:anchor="ref-16">
        <w:r>
          <w:rPr>
            <w:rStyle w:val="Hyperlink"/>
          </w:rPr>
          <w:t xml:space="preserve">[16]</w:t>
        </w:r>
      </w:hyperlink>
      <w:r>
        <w:t xml:space="preserve"> </w:t>
      </w:r>
      <w:r>
        <w:t xml:space="preserve">establishes at sector scale that the transition from public to commercial space activity is paced by institutional design and the correct pricing of externalities rather than by engineering milestones, which is the general principle of which the airspace-cost measurement is a specific instance. Adilov and Alexander, on engineering the new space economy through market creation and institutional design</w:t>
      </w:r>
      <w:r>
        <w:t xml:space="preserve"> </w:t>
      </w:r>
      <w:hyperlink w:anchor="ref-18">
        <w:r>
          <w:rPr>
            <w:rStyle w:val="Hyperlink"/>
          </w:rPr>
          <w:t xml:space="preserve">[18]</w:t>
        </w:r>
      </w:hyperlink>
      <w:r>
        <w:t xml:space="preserve">, reinforce that authorization frameworks and corridor access are among the levers that determine whether a market forms. The space-economy literature thus arrives at the threshold of the dissertation’s question, identifying corridor access as economic, without crossing it to measure the access cost. That threshold is the fourth face of the same intersection gap the other three themes approach from their own directions.</w:t>
      </w:r>
    </w:p>
    <w:p>
      <w:pPr>
        <w:pStyle w:val="BodyText"/>
        <w:spacing w:line="480" w:lineRule="auto"/>
        <w:ind w:firstLine="720"/>
      </w:pPr>
      <w:r>
        <w:t xml:space="preserve">Theme D reduces to one short argument. The airspace cost the dissertation measures is a first-order economic variable in the space-economy framework, not a peripheral operational detail. Peeters</w:t>
      </w:r>
      <w:r>
        <w:t xml:space="preserve"> </w:t>
      </w:r>
      <w:hyperlink w:anchor="ref-17">
        <w:r>
          <w:rPr>
            <w:rStyle w:val="Hyperlink"/>
          </w:rPr>
          <w:t xml:space="preserve">[17]</w:t>
        </w:r>
      </w:hyperlink>
      <w:r>
        <w:t xml:space="preserve"> </w:t>
      </w:r>
      <w:r>
        <w:t xml:space="preserve">carries the point, with framework backing from Weinzierl</w:t>
      </w:r>
      <w:r>
        <w:t xml:space="preserve"> </w:t>
      </w:r>
      <w:hyperlink w:anchor="ref-16">
        <w:r>
          <w:rPr>
            <w:rStyle w:val="Hyperlink"/>
          </w:rPr>
          <w:t xml:space="preserve">[16]</w:t>
        </w:r>
      </w:hyperlink>
      <w:r>
        <w:t xml:space="preserve"> </w:t>
      </w:r>
      <w:r>
        <w:t xml:space="preserve">and Adilov and Alexander</w:t>
      </w:r>
      <w:r>
        <w:t xml:space="preserve"> </w:t>
      </w:r>
      <w:hyperlink w:anchor="ref-18">
        <w:r>
          <w:rPr>
            <w:rStyle w:val="Hyperlink"/>
          </w:rPr>
          <w:t xml:space="preserve">[18]</w:t>
        </w:r>
      </w:hyperlink>
      <w:r>
        <w:t xml:space="preserve">. When the leading accounts of market formation name authorization and corridor-access predictability as operative levers, a credible measurement of the cost those levers manage speaks directly to the central question of how the market forms. The qualifier is that this literature is framing rather than magnitude evidence: it establishes that the measurement matters, not what the measurement is. Confidence that the airspace cost is an economically load-bearing variable is high. The literature offers no estimate of its size, which is the dissertation’s task.</w:t>
      </w:r>
    </w:p>
    <w:p>
      <w:pPr>
        <w:pStyle w:val="BodyText"/>
        <w:spacing w:line="480" w:lineRule="auto"/>
        <w:ind w:firstLine="720"/>
      </w:pPr>
      <w:r>
        <w:rPr>
          <w:b/>
          <w:bCs/>
        </w:rPr>
        <w:t xml:space="preserve">Table 3.4. Theme D synthesis: market formation and the access variable.</w:t>
      </w:r>
    </w:p>
    <w:tbl>
      <w:tblPr>
        <w:tblStyle w:val="Table"/>
        <w:tblLook w:firstRow="1" w:lastRow="0" w:firstColumn="0" w:lastColumn="0" w:noHBand="0" w:noVBand="0" w:val="0020"/>
        <w:tblLayout w:type="autofit"/>
        <w:tblW w:w="0" w:type="auto"/>
      </w:tblPr>
      <w:tblGrid>
        <w:gridCol w:w="1584"/>
        <w:gridCol w:w="1584"/>
        <w:gridCol w:w="1584"/>
        <w:gridCol w:w="1584"/>
        <w:gridCol w:w="1584"/>
      </w:tblGrid>
      <w:tr>
        <w:trPr>
          <w:tblHeader w:val="on"/>
        </w:trP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Finding</w:t>
            </w:r>
          </w:p>
        </w:tc>
        <w:tc>
          <w:tcPr>
            <w:tcW w:w="0" w:type="auto"/>
          </w:tcPr>
          <w:p>
            <w:pPr>
              <w:spacing w:line="240" w:lineRule="auto" w:before="0" w:after="0"/>
              <w:pStyle w:val="Compact"/>
            </w:pPr>
            <w:r>
              <w:rPr>
                <w:sz w:val="20"/>
                <w:szCs w:val="20"/>
              </w:rPr>
              <w:t xml:space="preserve">Method</w:t>
            </w:r>
          </w:p>
        </w:tc>
        <w:tc>
          <w:tcPr>
            <w:tcW w:w="0" w:type="auto"/>
          </w:tcPr>
          <w:p>
            <w:pPr>
              <w:spacing w:line="240" w:lineRule="auto" w:before="0" w:after="0"/>
              <w:pStyle w:val="Compact"/>
            </w:pPr>
            <w:r>
              <w:rPr>
                <w:sz w:val="20"/>
                <w:szCs w:val="20"/>
              </w:rPr>
              <w:t xml:space="preserve">Limitation</w:t>
            </w:r>
          </w:p>
        </w:tc>
        <w:tc>
          <w:tcPr>
            <w:tcW w:w="0" w:type="auto"/>
          </w:tcPr>
          <w:p>
            <w:pPr>
              <w:spacing w:line="240" w:lineRule="auto" w:before="0" w:after="0"/>
              <w:pStyle w:val="Compact"/>
            </w:pPr>
            <w:r>
              <w:rPr>
                <w:sz w:val="20"/>
                <w:szCs w:val="20"/>
              </w:rPr>
              <w:t xml:space="preserve">Relation to gap</w:t>
            </w:r>
          </w:p>
        </w:tc>
      </w:tr>
      <w:tr>
        <w:tc>
          <w:tcPr>
            <w:tcW w:w="0" w:type="auto"/>
          </w:tcPr>
          <w:p>
            <w:pPr>
              <w:spacing w:line="240" w:lineRule="auto" w:before="0" w:after="0"/>
              <w:pStyle w:val="Compact"/>
            </w:pPr>
            <w:r>
              <w:rPr>
                <w:sz w:val="20"/>
                <w:szCs w:val="20"/>
              </w:rPr>
              <w:t xml:space="preserve">Peeters</w:t>
            </w:r>
            <w:r>
              <w:rPr>
                <w:sz w:val="20"/>
                <w:szCs w:val="20"/>
              </w:rPr>
              <w:t xml:space="preserve"> </w:t>
            </w:r>
            <w:hyperlink w:anchor="ref-17">
              <w:r>
                <w:rPr>
                  <w:rStyle w:val="Hyperlink"/>
                  <w:sz w:val="20"/>
                  <w:szCs w:val="20"/>
                </w:rPr>
                <w:t xml:space="preserve">[17]</w:t>
              </w:r>
            </w:hyperlink>
          </w:p>
        </w:tc>
        <w:tc>
          <w:tcPr>
            <w:tcW w:w="0" w:type="auto"/>
          </w:tcPr>
          <w:p>
            <w:pPr>
              <w:spacing w:line="240" w:lineRule="auto" w:before="0" w:after="0"/>
              <w:pStyle w:val="Compact"/>
            </w:pPr>
            <w:r>
              <w:rPr>
                <w:sz w:val="20"/>
                <w:szCs w:val="20"/>
              </w:rPr>
              <w:t xml:space="preserve">Authorization/access predictability is a market-formation lever</w:t>
            </w:r>
          </w:p>
        </w:tc>
        <w:tc>
          <w:tcPr>
            <w:tcW w:w="0" w:type="auto"/>
          </w:tcPr>
          <w:p>
            <w:pPr>
              <w:spacing w:line="240" w:lineRule="auto" w:before="0" w:after="0"/>
              <w:pStyle w:val="Compact"/>
            </w:pPr>
            <w:r>
              <w:rPr>
                <w:sz w:val="20"/>
                <w:szCs w:val="20"/>
              </w:rPr>
              <w:t xml:space="preserve">Business-model and sector synthesis</w:t>
            </w:r>
          </w:p>
        </w:tc>
        <w:tc>
          <w:tcPr>
            <w:tcW w:w="0" w:type="auto"/>
          </w:tcPr>
          <w:p>
            <w:pPr>
              <w:spacing w:line="240" w:lineRule="auto" w:before="0" w:after="0"/>
              <w:pStyle w:val="Compact"/>
            </w:pPr>
            <w:r>
              <w:rPr>
                <w:sz w:val="20"/>
                <w:szCs w:val="20"/>
              </w:rPr>
              <w:t xml:space="preserve">Names the variable, does not price it</w:t>
            </w:r>
          </w:p>
        </w:tc>
        <w:tc>
          <w:tcPr>
            <w:tcW w:w="0" w:type="auto"/>
          </w:tcPr>
          <w:p>
            <w:pPr>
              <w:spacing w:line="240" w:lineRule="auto" w:before="0" w:after="0"/>
              <w:pStyle w:val="Compact"/>
            </w:pPr>
            <w:r>
              <w:rPr>
                <w:sz w:val="20"/>
                <w:szCs w:val="20"/>
              </w:rPr>
              <w:t xml:space="preserve">Establishes the measurement is economically load-bearing</w:t>
            </w:r>
          </w:p>
        </w:tc>
      </w:tr>
      <w:tr>
        <w:tc>
          <w:tcPr>
            <w:tcW w:w="0" w:type="auto"/>
          </w:tcPr>
          <w:p>
            <w:pPr>
              <w:spacing w:line="240" w:lineRule="auto" w:before="0" w:after="0"/>
              <w:pStyle w:val="Compact"/>
            </w:pPr>
            <w:r>
              <w:rPr>
                <w:sz w:val="20"/>
                <w:szCs w:val="20"/>
              </w:rPr>
              <w:t xml:space="preserve">Weinzierl</w:t>
            </w:r>
            <w:r>
              <w:rPr>
                <w:sz w:val="20"/>
                <w:szCs w:val="20"/>
              </w:rPr>
              <w:t xml:space="preserve"> </w:t>
            </w:r>
            <w:hyperlink w:anchor="ref-16">
              <w:r>
                <w:rPr>
                  <w:rStyle w:val="Hyperlink"/>
                  <w:sz w:val="20"/>
                  <w:szCs w:val="20"/>
                </w:rPr>
                <w:t xml:space="preserve">[16]</w:t>
              </w:r>
            </w:hyperlink>
          </w:p>
        </w:tc>
        <w:tc>
          <w:tcPr>
            <w:tcW w:w="0" w:type="auto"/>
          </w:tcPr>
          <w:p>
            <w:pPr>
              <w:spacing w:line="240" w:lineRule="auto" w:before="0" w:after="0"/>
              <w:pStyle w:val="Compact"/>
            </w:pPr>
            <w:r>
              <w:rPr>
                <w:sz w:val="20"/>
                <w:szCs w:val="20"/>
              </w:rPr>
              <w:t xml:space="preserve">Sector transition paced by institutions and externality pricing</w:t>
            </w:r>
          </w:p>
        </w:tc>
        <w:tc>
          <w:tcPr>
            <w:tcW w:w="0" w:type="auto"/>
          </w:tcPr>
          <w:p>
            <w:pPr>
              <w:spacing w:line="240" w:lineRule="auto" w:before="0" w:after="0"/>
              <w:pStyle w:val="Compact"/>
            </w:pPr>
            <w:r>
              <w:rPr>
                <w:sz w:val="20"/>
                <w:szCs w:val="20"/>
              </w:rPr>
              <w:t xml:space="preserve">Economic-perspective synthesis</w:t>
            </w:r>
          </w:p>
        </w:tc>
        <w:tc>
          <w:tcPr>
            <w:tcW w:w="0" w:type="auto"/>
          </w:tcPr>
          <w:p>
            <w:pPr>
              <w:spacing w:line="240" w:lineRule="auto" w:before="0" w:after="0"/>
              <w:pStyle w:val="Compact"/>
            </w:pPr>
            <w:r>
              <w:rPr>
                <w:sz w:val="20"/>
                <w:szCs w:val="20"/>
              </w:rPr>
              <w:t xml:space="preserve">General principle, not airspace-specific</w:t>
            </w:r>
          </w:p>
        </w:tc>
        <w:tc>
          <w:tcPr>
            <w:tcW w:w="0" w:type="auto"/>
          </w:tcPr>
          <w:p>
            <w:pPr>
              <w:spacing w:line="240" w:lineRule="auto" w:before="0" w:after="0"/>
              <w:pStyle w:val="Compact"/>
            </w:pPr>
            <w:r>
              <w:rPr>
                <w:sz w:val="20"/>
                <w:szCs w:val="20"/>
              </w:rPr>
              <w:t xml:space="preserve">Supplies the sector-scale warrant</w:t>
            </w:r>
          </w:p>
        </w:tc>
      </w:tr>
      <w:tr>
        <w:tc>
          <w:tcPr>
            <w:tcW w:w="0" w:type="auto"/>
          </w:tcPr>
          <w:p>
            <w:pPr>
              <w:spacing w:line="240" w:lineRule="auto" w:before="0" w:after="0"/>
              <w:pStyle w:val="Compact"/>
            </w:pPr>
            <w:r>
              <w:rPr>
                <w:sz w:val="20"/>
                <w:szCs w:val="20"/>
              </w:rPr>
              <w:t xml:space="preserve">Adilov, Alexander</w:t>
            </w:r>
            <w:r>
              <w:rPr>
                <w:sz w:val="20"/>
                <w:szCs w:val="20"/>
              </w:rPr>
              <w:t xml:space="preserve"> </w:t>
            </w:r>
            <w:hyperlink w:anchor="ref-18">
              <w:r>
                <w:rPr>
                  <w:rStyle w:val="Hyperlink"/>
                  <w:sz w:val="20"/>
                  <w:szCs w:val="20"/>
                </w:rPr>
                <w:t xml:space="preserve">[18]</w:t>
              </w:r>
            </w:hyperlink>
          </w:p>
        </w:tc>
        <w:tc>
          <w:tcPr>
            <w:tcW w:w="0" w:type="auto"/>
          </w:tcPr>
          <w:p>
            <w:pPr>
              <w:spacing w:line="240" w:lineRule="auto" w:before="0" w:after="0"/>
              <w:pStyle w:val="Compact"/>
            </w:pPr>
            <w:r>
              <w:rPr>
                <w:sz w:val="20"/>
                <w:szCs w:val="20"/>
              </w:rPr>
              <w:t xml:space="preserve">Corridor access among the institutional-design levers</w:t>
            </w:r>
          </w:p>
        </w:tc>
        <w:tc>
          <w:tcPr>
            <w:tcW w:w="0" w:type="auto"/>
          </w:tcPr>
          <w:p>
            <w:pPr>
              <w:spacing w:line="240" w:lineRule="auto" w:before="0" w:after="0"/>
              <w:pStyle w:val="Compact"/>
            </w:pPr>
            <w:r>
              <w:rPr>
                <w:sz w:val="20"/>
                <w:szCs w:val="20"/>
              </w:rPr>
              <w:t xml:space="preserve">Market-creation analysis</w:t>
            </w:r>
          </w:p>
        </w:tc>
        <w:tc>
          <w:tcPr>
            <w:tcW w:w="0" w:type="auto"/>
          </w:tcPr>
          <w:p>
            <w:pPr>
              <w:spacing w:line="240" w:lineRule="auto" w:before="0" w:after="0"/>
              <w:pStyle w:val="Compact"/>
            </w:pPr>
            <w:r>
              <w:rPr>
                <w:sz w:val="20"/>
                <w:szCs w:val="20"/>
              </w:rPr>
              <w:t xml:space="preserve">Framing, no magnitude</w:t>
            </w:r>
          </w:p>
        </w:tc>
        <w:tc>
          <w:tcPr>
            <w:tcW w:w="0" w:type="auto"/>
          </w:tcPr>
          <w:p>
            <w:pPr>
              <w:spacing w:line="240" w:lineRule="auto" w:before="0" w:after="0"/>
              <w:pStyle w:val="Compact"/>
            </w:pPr>
            <w:r>
              <w:rPr>
                <w:sz w:val="20"/>
                <w:szCs w:val="20"/>
              </w:rPr>
              <w:t xml:space="preserve">Fourth face of the intersection gap</w:t>
            </w:r>
          </w:p>
        </w:tc>
      </w:tr>
    </w:tbl>
    <w:p>
      <w:pPr>
        <w:pStyle w:val="BodyText"/>
        <w:spacing w:line="480" w:lineRule="auto"/>
        <w:ind w:firstLine="720"/>
      </w:pPr>
      <w:r>
        <w:t xml:space="preserve">The gap this theme leaves is the economic-relevance face of the intersection. The space-economy literature establishes that authorization and corridor access are first-order economic variables and that externality pricing paces sector formation, but it does not measure the airspace externality that corridor access is meant to manage. The dissertation supplies that measurement, which is the input the access variable requires to move from a named lever to a priced one.</w:t>
      </w:r>
    </w:p>
    <w:bookmarkEnd w:id="106"/>
    <w:bookmarkStart w:id="107" w:name="X33bd4daa83411611b3e097136448c659f85c9b8"/>
    <w:p>
      <w:pPr>
        <w:pStyle w:val="Heading2"/>
        <w:spacing w:line="480" w:lineRule="auto"/>
      </w:pPr>
      <w:r>
        <w:t xml:space="preserve">3.6 Cross-theme integration and the documented absence of a causal estimate</w:t>
      </w:r>
    </w:p>
    <w:p>
      <w:pPr>
        <w:pStyle w:val="FirstParagraph"/>
        <w:spacing w:line="480" w:lineRule="auto"/>
      </w:pPr>
      <w:r>
        <w:t xml:space="preserve">Before the gap is stated formally, one point running across all four themes deserves to be made explicit, though a careful reader will have inferred it already. The absence of a causal estimate of reentry NAS cost is no oversight in the literature but a genuine and confirmable void, and the dissertation’s honesty turns on saying so plainly rather than implying a result is being extended. The airspace-impact corpus is rich in simulation, Srivastava</w:t>
      </w:r>
      <w:r>
        <w:t xml:space="preserve"> </w:t>
      </w:r>
      <w:hyperlink w:anchor="ref-2">
        <w:r>
          <w:rPr>
            <w:rStyle w:val="Hyperlink"/>
          </w:rPr>
          <w:t xml:space="preserve">[2]</w:t>
        </w:r>
      </w:hyperlink>
      <w:r>
        <w:t xml:space="preserve">, Tinoco</w:t>
      </w:r>
      <w:r>
        <w:t xml:space="preserve"> </w:t>
      </w:r>
      <w:hyperlink w:anchor="ref-3">
        <w:r>
          <w:rPr>
            <w:rStyle w:val="Hyperlink"/>
          </w:rPr>
          <w:t xml:space="preserve">[3]</w:t>
        </w:r>
      </w:hyperlink>
      <w:r>
        <w:t xml:space="preserve">, Tinoco-Eudy-Cannon</w:t>
      </w:r>
      <w:r>
        <w:t xml:space="preserve"> </w:t>
      </w:r>
      <w:hyperlink w:anchor="ref-32">
        <w:r>
          <w:rPr>
            <w:rStyle w:val="Hyperlink"/>
          </w:rPr>
          <w:t xml:space="preserve">[32]</w:t>
        </w:r>
      </w:hyperlink>
      <w:r>
        <w:t xml:space="preserve">, Young</w:t>
      </w:r>
      <w:r>
        <w:t xml:space="preserve"> </w:t>
      </w:r>
      <w:hyperlink w:anchor="ref-4">
        <w:r>
          <w:rPr>
            <w:rStyle w:val="Hyperlink"/>
          </w:rPr>
          <w:t xml:space="preserve">[4]</w:t>
        </w:r>
      </w:hyperlink>
      <w:r>
        <w:t xml:space="preserve">, Robson</w:t>
      </w:r>
      <w:r>
        <w:t xml:space="preserve"> </w:t>
      </w:r>
      <w:hyperlink w:anchor="ref-5">
        <w:r>
          <w:rPr>
            <w:rStyle w:val="Hyperlink"/>
          </w:rPr>
          <w:t xml:space="preserve">[5]</w:t>
        </w:r>
      </w:hyperlink>
      <w:r>
        <w:t xml:space="preserve">, the dynamic-tool demonstrations</w:t>
      </w:r>
      <w:r>
        <w:t xml:space="preserve"> </w:t>
      </w:r>
      <w:hyperlink w:anchor="ref-79">
        <w:r>
          <w:rPr>
            <w:rStyle w:val="Hyperlink"/>
          </w:rPr>
          <w:t xml:space="preserve">[79]</w:t>
        </w:r>
      </w:hyperlink>
      <w:r>
        <w:t xml:space="preserve">, and the risk analyses [30, 34], and increasingly rich in reentry-specific quantification [1, 37, 38, 63, 64, 80]. It holds no prior causal estimate of a reentry event’s effect on realized flight cost from a credible identification strategy. The delay-propagation corpus [40, 41, 42, 43, 44, 75, 76] is methodologically ready for causal attribution yet has never been aimed at reentry. The space-economy corpus [16, 17, 18] names the access variable and leaves it unpriced. That these absences converge from four independent directions is itself the strongest evidence the intersection is unoccupied: had any one of the four literatures closed it, at least one of the others would cite the result, and none does.</w:t>
      </w:r>
    </w:p>
    <w:p>
      <w:pPr>
        <w:pStyle w:val="BodyText"/>
        <w:spacing w:line="480" w:lineRule="auto"/>
        <w:ind w:firstLine="720"/>
      </w:pPr>
      <w:r>
        <w:t xml:space="preserve">This bears on the dissertation’s contribution claim in a way the assurance-case spine makes precise, subclaim by subclaim. Through convergent quantification and one observed 645-flight event, Theme A shows reentry closures withholding real airspace and imposing a positive cost, so the problem is real [1, 2, 3, 38]. Themes A and C show that cost running non-trivial, growing with cadence and traffic density, and propagating beyond the closed window against a national delay-cost backdrop measured in the tens of billions, so the problem is material [4, 5, 39, 43, 44, 77]. Theme B shows prediction uncertainty driving closure size and tighter prediction plus dynamic closure shrinking the withheld volume, derived from accuracy requirements and demonstrated in practice, so the intervention addresses the mechanism [9, 10, 28, 33, 80]. Theme B further shows dynamic, prediction-informed closure dominating static segregation on cost at equal safety across the concept and demonstration record, so the intervention beats the alternatives [7, 8, 27, 78, 79]. And the risk-assessment literature bounds the narrowing by validated prediction accuracy and ground-and-air risk limits, so the residual risk is acceptable [30, 37, 63, 64]. Literature supports each of the five subclaims. What no literature supplies, and what the dissertation contributes, is the identified estimate that turns the first two from convergent simulation into a causal number and the third and fourth from demonstrated direction into a measured avoided cost.</w:t>
      </w:r>
    </w:p>
    <w:bookmarkEnd w:id="107"/>
    <w:bookmarkStart w:id="108" w:name="the-gap-and-the-propositions-that-follow"/>
    <w:p>
      <w:pPr>
        <w:pStyle w:val="Heading2"/>
        <w:spacing w:line="480" w:lineRule="auto"/>
      </w:pPr>
      <w:r>
        <w:t xml:space="preserve">3.7 The gap and the propositions that follow</w:t>
      </w:r>
    </w:p>
    <w:p>
      <w:pPr>
        <w:pStyle w:val="FirstParagraph"/>
        <w:spacing w:line="480" w:lineRule="auto"/>
      </w:pPr>
      <w:r>
        <w:t xml:space="preserve">The gap, stated with the precision the dissertation requires, is the intersection of the four themes. No study estimates, with a defensible causal design, the marginal NAS cost a spacecraft reentry event imposes, and no study estimates the cost that improved reentry prediction combined with dynamic airspace management would avoid. Theme A establishes the disruption descriptively but not causally and leans, for reentry specifically, on a thin record and a single observed event. Theme B establishes the dynamic-closure lever mechanistically and demonstrates it for launch, without measuring its realized avoided cost on a reentry-event distribution. Theme C supplies the cost framework and the propagation bound, never applied to reentry as a disruption source. Theme D establishes the airspace cost as an economically load-bearing variable, without pricing it. Four gaps, four faces of one void, and the void is the dissertation’s contribution: a credible, design-based estimate of the per-event reentry NAS cost and of the avoided cost of prediction-informed dynamic closure, stated so a near-zero, precisely estimated effect would falsify it.</w:t>
      </w:r>
    </w:p>
    <w:p>
      <w:pPr>
        <w:pStyle w:val="BodyText"/>
        <w:spacing w:line="480" w:lineRule="auto"/>
        <w:ind w:firstLine="720"/>
      </w:pPr>
      <w:r>
        <w:t xml:space="preserve">This is the right place to be explicit about epistemic posture, because the strength of the gap claim and the honesty of the contribution both depend on calibrating confidence to the evidence grade. That the gap exists is held at very high confidence: it rests not on the absence of a single result but on the mutually corroborating silence of four active literatures, and the design-based tradition the dissertation follows reads such a convergent absence as a well-identified opportunity rather than a hopeful conjecture. That the disruption parameter will be positive is held at high confidence on sign and moderate on magnitude, every quantified mechanism in Theme A pointing one way while no study identifies the effect causally. That the avoided-cost parameter will be positive is held at moderate confidence on sign and low on magnitude, resting on the derived prediction-to-closure relationship of Theme B and on analogue rather than any measured reentry avoided cost; the corpus is candid that this parameter has no direct empirical precedent, and the dissertation labels it expected and illustrative throughout. What would lift these confidences is exactly what the design is built to produce: a populated panel joining the reentry catalog to the flight layer through a validated exposure model, an executed staggered difference-in-differences estimate of the disruption parameter robust to the modern corrections, and a static-versus-dynamic differencing of the avoided cost. What would lower them, and would count as a genuine and publishable falsification rather than a failure, is a precisely estimated near-zero disruption effect or a near-zero avoided cost.</w:t>
      </w:r>
    </w:p>
    <w:p>
      <w:pPr>
        <w:pStyle w:val="BodyText"/>
        <w:spacing w:line="480" w:lineRule="auto"/>
        <w:ind w:firstLine="720"/>
      </w:pPr>
      <w:r>
        <w:t xml:space="preserve">From the four-theme synthesis the following propositions carry into the research design, each tied to the literature that grounds it and each stated so the design can confront it.</w:t>
      </w:r>
    </w:p>
    <w:p>
      <w:pPr>
        <w:pStyle w:val="BodyText"/>
        <w:spacing w:line="480" w:lineRule="auto"/>
        <w:ind w:firstLine="720"/>
      </w:pPr>
      <w:r>
        <w:t xml:space="preserve">Proposition one, on disruption. A reentry-driven AHA activation imposes a positive, measurable cost on exposed flights in delay minutes, added distance, fuel burn, and direct operating cost, concentrated in a minority of exposed flights and split by aircraft class along the lines the simulation literature reports, international carriers on the order of 8 to 10 percent of affected flights and general aviation near one third [3, 32]. This is the dissertation’s first estimable parameter, the disruption parameter. The literature grounds its expected sign and leaves its causal identification to the design.</w:t>
      </w:r>
    </w:p>
    <w:p>
      <w:pPr>
        <w:pStyle w:val="BodyText"/>
        <w:spacing w:line="480" w:lineRule="auto"/>
        <w:ind w:firstLine="720"/>
      </w:pPr>
      <w:r>
        <w:t xml:space="preserve">Proposition two, on propagation. The cost measured inside the closure’s active window is a lower bound on the true per-event cost, because the displaced delay propagates downstream through aircraft rotation and network connectivity [40, 43, 44]. The design captures this through the event-study profile: a post-activation effect that persists beyond the closure window signals that the within-window estimate understates the total, and it raises the estimated per-event cost to match.</w:t>
      </w:r>
    </w:p>
    <w:p>
      <w:pPr>
        <w:pStyle w:val="BodyText"/>
        <w:spacing w:line="480" w:lineRule="auto"/>
        <w:ind w:firstLine="720"/>
      </w:pPr>
      <w:r>
        <w:t xml:space="preserve">Proposition three, on avoided cost. Closure size falls as prediction accuracy rises, and prediction uncertainty drops sharply as the object nears reentry, so a prediction-informed dynamic closure withholds a smaller volume and displaces fewer flights than a static closure sized to a worst-case envelope fixed hours ahead, yielding a positive avoided cost [9, 33, 37, 80]. This is the second estimable parameter, the avoided-cost parameter. The literature grounds the mechanism and hands the realized magnitude, which has no empirical precedent, to the design as an expected and falsifiable quantity.</w:t>
      </w:r>
    </w:p>
    <w:p>
      <w:pPr>
        <w:pStyle w:val="BodyText"/>
        <w:spacing w:line="480" w:lineRule="auto"/>
        <w:ind w:firstLine="720"/>
      </w:pPr>
      <w:r>
        <w:t xml:space="preserve">Proposition four, on materiality. The per-event cost scales with cadence and traffic density, so as reentry frequency climbs with large-constellation deorbit and an emerging down-mass sector, conservative static segregation scales aviation cost faster than safety benefit, set against a national delay-cost backdrop large enough to make even a modest per-event cost matter at scale [1, 4, 5, 67, 68, 77]. The design answers by reporting cost as a function of cadence and prediction uncertainty rather than as a single scalar, so extrapolation to a future high-cadence regime stays explicit and conditional rather than assumed.</w:t>
      </w:r>
    </w:p>
    <w:p>
      <w:pPr>
        <w:pStyle w:val="BodyText"/>
        <w:spacing w:line="480" w:lineRule="auto"/>
        <w:ind w:firstLine="720"/>
      </w:pPr>
      <w:r>
        <w:t xml:space="preserve">Proposition five, on economic relevance. The measured airspace cost is a first-order input to the institutions that govern reentry through shared airspace, because authorization predictability and corridor access are economic variables that a price on the airspace externality makes operable [16, 17, 18]. This links the empirical estimate to the policy contribution developed in the discussion: a defensible per-event cost and avoided cost are the evidence base on which any reentry-authorization or corridor-pricing institution must rest.</w:t>
      </w:r>
    </w:p>
    <w:p>
      <w:pPr>
        <w:pStyle w:val="BodyText"/>
        <w:spacing w:line="480" w:lineRule="auto"/>
        <w:ind w:firstLine="720"/>
      </w:pPr>
      <w:r>
        <w:t xml:space="preserve">These five propositions are the bridge from the literature to the design. They are no predictions the dissertation hopes to confirm; they are the structured claims the design is built to test, each grounded in a body of prior work that establishes its plausibility and each left, by that same body of work, without the causal identification the dissertation supplies. The chapter closes where it opened, on its thesis: three literatures bear on this problem, they converge on the sign and rough scale of the effect and on the direction of its remedy, and they leave unoccupied the intersection where a credible causal estimate of the reentry NAS cost and the avoided cost of better prediction would sit. That intersection is the dissertation’s contribution, and the research design that follows is the instrument built to occupy it.</w:t>
      </w:r>
    </w:p>
    <w:bookmarkEnd w:id="108"/>
    <w:bookmarkEnd w:id="109"/>
    <w:bookmarkStart w:id="119" w:name="chapter-4-data-and-measurement"/>
    <w:p>
      <w:pPr>
        <w:pStyle w:val="Heading1"/>
        <w:spacing w:line="480" w:lineRule="auto"/>
      </w:pPr>
      <w:r>
        <w:t xml:space="preserve">Chapter 4: Data and Measurement</w:t>
      </w:r>
    </w:p>
    <w:bookmarkStart w:id="110" w:name="Xb5dc8694154ce08d39a037d3c6ab6c16cd9b929"/>
    <w:p>
      <w:pPr>
        <w:pStyle w:val="Heading2"/>
        <w:spacing w:line="480" w:lineRule="auto"/>
      </w:pPr>
      <w:r>
        <w:t xml:space="preserve">4.1 Chapter thesis and the measurement problem</w:t>
      </w:r>
    </w:p>
    <w:p>
      <w:pPr>
        <w:pStyle w:val="FirstParagraph"/>
        <w:spacing w:line="480" w:lineRule="auto"/>
      </w:pPr>
      <w:r>
        <w:t xml:space="preserve">This chapter’s thesis is that four heterogeneous data layers join, through one deterministic instrument, into a single estimable object: a panel of airspace-sector-by-time-window cells in which a reentry-driven Aircraft Hazard Area (AHA) activation is a clean binary treatment and the realized economic cost of disruption is a measured outcome. Treatment, its timing, and its intensity come from the EU Space Surveillance and Tracking (EU SST) reentry catalog. Outcomes and exposure come from the Federal Aviation Administration (FAA) National Airspace System (NAS) and System Wide Information Management (SWIM) operations data. The four completed IAC-26 down-mass PRISMA systematic reviews supply the prior ranges that bound the plausibility of every parameter. And the ReentryFlow model does double duty, bridging a reentry trajectory and its dispersion into an affected-flight set, then simulating the counterfactual dynamic-closure regime against which the avoided-cost parameter is formed. The chapter carries two burdens. It must show each layer to be real, accessible, and understood well enough for the join to bear a causal interpretation, and it must be candid about exactly where each layer introduces measurement error the design has to propagate rather than ignore.</w:t>
      </w:r>
    </w:p>
    <w:p>
      <w:pPr>
        <w:pStyle w:val="BodyText"/>
        <w:spacing w:line="480" w:lineRule="auto"/>
        <w:ind w:firstLine="720"/>
      </w:pPr>
      <w:r>
        <w:t xml:space="preserve">The problem takes the four-part shape the dissertation uses throughout. Today the two operational data sources at the core of the design, EU SST and the FAA SWIM feeds, exist, are accessed, and are individually well documented, yet they have never been joined into a reentry-exposure panel. That panel does not yet exist. What is wanted instead is a fully operationalized measurement system in which every variable in the notation of the shared bible carries a construct, an operational definition, a named source, and a scale, and in which the treatment and outcome are measured with stated and bounded error. Standing in the way is a habit of the prior airspace-impact literature reviewed in Chapter 3: it builds its quantities from simulation against historical traffic and never measures a realized cost against an observed counterfactual, so it never has to face the measurement-error structure a causal design must take seriously. Leave that gap open and any estimate of the reentry-to-aviation externality inherits the unexamined assumptions of a simulation rather than resting on measured operational records, which is exactly the weakness that makes the prior numbers unfit as a price for the externality. This chapter closes the gap at the level of measurement, ahead of the identification argument in Chapter 5 and the analysis plan in Chapter 6.</w:t>
      </w:r>
    </w:p>
    <w:p>
      <w:pPr>
        <w:pStyle w:val="BodyText"/>
        <w:spacing w:line="480" w:lineRule="auto"/>
        <w:ind w:firstLine="720"/>
      </w:pPr>
      <w:r>
        <w:t xml:space="preserve">How the chapter is laid out mirrors the join itself. Sections 4.2 through 4.5 take the named datasets one at a time, in the order each enters the panel: first the EU SST catalog that fixes treatment, then the FAA operations data behind outcomes and exposure, then the PRISMA reviews that set priors, and last the ReentryFlow instrument that both bridges and simulates. A single five-part template shapes each of those sections, running from provenance through access, coverage, and unit of analysis to known biases, so a reader can audit the data the way an examiner would. Section 4.6 then develops the reentry-prediction surface beneath the treatment-intensity variable. That surface matters because the avoided-cost claim lives or dies on one empirical fact: prediction uncertainty is large when a static closure is sized and shrinks as the object nears reentry. Section 4.7 lays out the full variable-operationalization table for every variable in the bible, and Section 4.8 turns to data quality, validation against known values, and the ethics and access posture. One habit holds across all of it. Wherever a quantity is a model output rather than a measured value, the text says so and carries the model’s own error forward, and that habit is what separates a measurement from an assumption.</w:t>
      </w:r>
    </w:p>
    <w:p>
      <w:pPr>
        <w:pStyle w:val="BodyText"/>
        <w:spacing w:line="480" w:lineRule="auto"/>
        <w:ind w:firstLine="720"/>
      </w:pPr>
      <w:r>
        <w:t xml:space="preserve">One standing caution governs the whole chapter, stated once here so it need not be repeated at every turn. This dissertation is presented at the design stage. No estimate is executed on the full dataset, and the panel described below is a construction plan rather than a built artifact. Where a number appears, it carries a label: an expected range drawn from the PRISMA reviews or the cited literature, or an illustrative value used to walk through a procedure. The measurement system is specified in full so that it could be executed and audited. It is not claimed to have been executed.</w:t>
      </w:r>
    </w:p>
    <w:bookmarkEnd w:id="110"/>
    <w:bookmarkStart w:id="111" w:name="X737b863aac46cb5dae310d54f649dce426b1b56"/>
    <w:p>
      <w:pPr>
        <w:pStyle w:val="Heading2"/>
        <w:spacing w:line="480" w:lineRule="auto"/>
      </w:pPr>
      <w:r>
        <w:t xml:space="preserve">4.2 The EU SST reentry catalog: the treatment layer</w:t>
      </w:r>
    </w:p>
    <w:p>
      <w:pPr>
        <w:pStyle w:val="FirstParagraph"/>
        <w:spacing w:line="480" w:lineRule="auto"/>
      </w:pPr>
      <w:r>
        <w:t xml:space="preserve">This section argues that the EU SST reentry catalog is fit for defining the treatment, its timing, and its intensity, so long as two known biases are acknowledged and propagated rather than assumed away: a size-threshold selection toward larger and better-characterized objects, and the model-output nature of its uncertainty bounds.</w:t>
      </w:r>
    </w:p>
    <w:p>
      <w:pPr>
        <w:pStyle w:val="BodyText"/>
        <w:spacing w:line="480" w:lineRule="auto"/>
        <w:ind w:firstLine="720"/>
      </w:pPr>
      <w:r>
        <w:rPr>
          <w:b/>
          <w:bCs/>
        </w:rPr>
        <w:t xml:space="preserve">Provenance.</w:t>
      </w:r>
      <w:r>
        <w:t xml:space="preserve"> </w:t>
      </w:r>
      <w:r>
        <w:t xml:space="preserve">The EU Space Surveillance and Tracking service is the European Union’s operational space-surveillance capability, delivering collision-avoidance, fragmentation, and reentry products to registered users from a consortium of national operators and sensors. The reentry service is the relevant product line here, issuing predictions and post-event records for uncontrolled and controlled reentries of tracked space objects. Provenance matters because the catalog is no research dataset assembled after the fact. It is an operational feed produced in near-real time by the same orbit-determination and atmospheric-drag modeling pipeline whose uncertainty characteristics the reentry-prediction literature studies directly [22, 53, 55]. That operational lineage is a strength for the design, because the prediction available in the catalog at a given lead time is, to a close approximation, the prediction a regulator would actually have held when sizing a closure, which is exactly the quantity the treatment-intensity variable means to capture.</w:t>
      </w:r>
    </w:p>
    <w:p>
      <w:pPr>
        <w:pStyle w:val="BodyText"/>
        <w:spacing w:line="480" w:lineRule="auto"/>
        <w:ind w:firstLine="720"/>
      </w:pPr>
      <w:r>
        <w:rPr>
          <w:b/>
          <w:bCs/>
        </w:rPr>
        <w:t xml:space="preserve">Access.</w:t>
      </w:r>
      <w:r>
        <w:t xml:space="preserve"> </w:t>
      </w:r>
      <w:r>
        <w:t xml:space="preserve">Access is through the EU SST portal and its reentry-bulletin feed, for which the candidate program holds vault credentials. The operational and access posture is consistent with the parallel U.S. capability, the FAA Space Data Integrator, which Mutuel and Murray document as the platform that automates the previously manual, time-consuming, and resource-intensive FAA procedures for tracking launch and reentry vehicle position and mission parameters and pushing them to the air-traffic system</w:t>
      </w:r>
      <w:r>
        <w:t xml:space="preserve"> </w:t>
      </w:r>
      <w:hyperlink w:anchor="ref-29">
        <w:r>
          <w:rPr>
            <w:rStyle w:val="Hyperlink"/>
          </w:rPr>
          <w:t xml:space="preserve">[29]</w:t>
        </w:r>
      </w:hyperlink>
      <w:r>
        <w:t xml:space="preserve">. The Space Data Integrator is described here because it establishes that an operational reentry-to-airspace data channel of the type the design depends on is a real and fielded capability, not a research aspiration; the European reentry-information work of Kaltenhaeuser and colleagues makes the same point from the air-navigation-service-provider side, framing real-time reentry information services as the operational complement to the surveillance feed</w:t>
      </w:r>
      <w:r>
        <w:t xml:space="preserve"> </w:t>
      </w:r>
      <w:hyperlink w:anchor="ref-80">
        <w:r>
          <w:rPr>
            <w:rStyle w:val="Hyperlink"/>
          </w:rPr>
          <w:t xml:space="preserve">[80]</w:t>
        </w:r>
      </w:hyperlink>
      <w:r>
        <w:t xml:space="preserve">. The design uses the EU SST catalog as its primary reentry source and treats the existence of the U.S. Space Data Integrator as evidence that an equivalent or complementary U.S. feed could be substituted or merged in execution.</w:t>
      </w:r>
    </w:p>
    <w:p>
      <w:pPr>
        <w:pStyle w:val="BodyText"/>
        <w:spacing w:line="480" w:lineRule="auto"/>
        <w:ind w:firstLine="720"/>
      </w:pPr>
      <w:r>
        <w:rPr>
          <w:b/>
          <w:bCs/>
        </w:rPr>
        <w:t xml:space="preserve">Coverage.</w:t>
      </w:r>
      <w:r>
        <w:t xml:space="preserve"> </w:t>
      </w:r>
      <w:r>
        <w:t xml:space="preserve">Per reentry event, the catalog supplies the predicted reentry epoch and its uncertainty window, the predicted ground-track and dispersion footprint, the object identity and physical characteristics where known, and the realized reentry time and location after the event. Coverage runs global for tracked objects above the catalog’s size threshold. Two coverage facts are load-bearing for the design. First, the catalog records both the prediction and the realized outcome, which is what lets prediction error be characterized empirically rather than assumed; the realized reentry time and location are the ground truth against which the along-track and cross-track errors are computed. Second, coverage reaches across the rising population of large-constellation deorbits, the very growth that turns the airspace problem from episodic to structural. Oliveira and colleagues, tracking Starlink reentries through the rising phase of solar cycle 25 and deriving altitudes and velocities for 523 such satellites from two-line-element data, illustrate both the scale of the reentering population the catalog must follow and the geomagnetic-activity sensitivity of the predictions</w:t>
      </w:r>
      <w:r>
        <w:t xml:space="preserve"> </w:t>
      </w:r>
      <w:hyperlink w:anchor="ref-56">
        <w:r>
          <w:rPr>
            <w:rStyle w:val="Hyperlink"/>
          </w:rPr>
          <w:t xml:space="preserve">[56]</w:t>
        </w:r>
      </w:hyperlink>
      <w:r>
        <w:t xml:space="preserve">.</w:t>
      </w:r>
    </w:p>
    <w:p>
      <w:pPr>
        <w:pStyle w:val="BodyText"/>
        <w:spacing w:line="480" w:lineRule="auto"/>
        <w:ind w:firstLine="720"/>
      </w:pPr>
      <w:r>
        <w:rPr>
          <w:b/>
          <w:bCs/>
        </w:rPr>
        <w:t xml:space="preserve">Unit of analysis.</w:t>
      </w:r>
      <w:r>
        <w:t xml:space="preserve"> </w:t>
      </w:r>
      <w:r>
        <w:t xml:space="preserve">The unit at this layer is the reentry event. Each event with a predicted footprint intersecting U.S. airspace, and each window over which an AHA was or would be active, is a candidate treatment occurrence. The catalog therefore defines the treatment in both senses the design needs: it identifies which events are treatments, and it timestamps the window during which the treatment is active, which is the information the staggered difference-in-differences estimator requires to assign each cell its first-treatment cohort.</w:t>
      </w:r>
    </w:p>
    <w:p>
      <w:pPr>
        <w:pStyle w:val="BodyText"/>
        <w:spacing w:line="480" w:lineRule="auto"/>
        <w:ind w:firstLine="720"/>
      </w:pPr>
      <w:r>
        <w:rPr>
          <w:b/>
          <w:bCs/>
        </w:rPr>
        <w:t xml:space="preserve">Known biases.</w:t>
      </w:r>
      <w:r>
        <w:t xml:space="preserve"> </w:t>
      </w:r>
      <w:r>
        <w:t xml:space="preserve">Two biases are acknowledged and propagated. The first is size-threshold selection. Small or untracked objects fall below the catalog’s detection and cataloging threshold and go unrepresented, tilting the sample toward larger, better-characterized reentries. This bias is partly benign for the design and partly a limit on its reach. Benign, because the larger objects are the ones that drive the largest closures and therefore the largest aviation costs, so the events the catalog captures best are the events that matter most for the disruption parameter. A limit, because the estimated cost stays local to the larger-object regime and says nothing about the aggregate burden of the long tail of small reentries; the design states this rather than extrapolating across it. The second bias is that the uncertainty bounds are themselves model outputs carrying their own error. The predicted uncertainty window comes from a drag-and-orbit-determination model whose accuracy is the subject of the reentry-prediction literature, and which the IADC reentry-campaign comparisons show diverging from realized outcomes by margins that vary with atmospheric conditions and object characteristics [53, 54]. The design does not treat the catalog’s uncertainty bound as exact. It records the bound, treats it as a measured-with-error treatment intensity, and tests sensitivity to its calibration in the robustness battery specified in Chapter 5.</w:t>
      </w:r>
    </w:p>
    <w:p>
      <w:pPr>
        <w:pStyle w:val="BodyText"/>
        <w:spacing w:line="480" w:lineRule="auto"/>
        <w:ind w:firstLine="720"/>
      </w:pPr>
      <w:r>
        <w:t xml:space="preserve">Reasoning it through: the EU SST catalog defines a treatment that is real, timed, and intensity-graded. Three things support that, the catalog’s operational provenance, its dual recording of prediction and realized outcome, and its coverage of the deorbit population that motivates the study [56, 80]. A treatment defined from an operational feed that records both what was predicted and what actually happened is exactly the input a design-based estimator needs, because it hands over cohort timing and realized ground truth in a single source. The qualifier held here is that the catalog leans toward larger objects and that its uncertainty bounds are model outputs carrying their own error. A critic will press that a treatment built on model-output footprints is measured with error severe enough to attenuate the estimate. The answer is to propagate the catalog’s own uncertainty bound into the exposure measure and to state the attenuation direction outright, which turns the criticism into a stated and bounded limitation rather than an unexamined flaw. Confidence that the catalog supports a well-defined treatment is high. Confidence in the exactness of any single footprint is moderate, and it is kept there deliberately.</w:t>
      </w:r>
    </w:p>
    <w:bookmarkEnd w:id="111"/>
    <w:bookmarkStart w:id="112" w:name="Xb653770b7caa10c0b75daf4c60fb31efbb822eb"/>
    <w:p>
      <w:pPr>
        <w:pStyle w:val="Heading2"/>
        <w:spacing w:line="480" w:lineRule="auto"/>
      </w:pPr>
      <w:r>
        <w:t xml:space="preserve">4.3 FAA NAS and SWIM operations data: the outcome and exposure layer</w:t>
      </w:r>
    </w:p>
    <w:p>
      <w:pPr>
        <w:pStyle w:val="FirstParagraph"/>
        <w:spacing w:line="480" w:lineRule="auto"/>
      </w:pPr>
      <w:r>
        <w:t xml:space="preserve">This section argues that the FAA SWIM feeds and the associated NAS operations archives are a comprehensive and appropriate source for the realized-cost outcomes and the exposure indicator, subject to two known biases the design meets with explicit controls rather than ignores: the under-representation of visual-flight-rules general aviation and the imperfect attribution of reroute cause.</w:t>
      </w:r>
    </w:p>
    <w:p>
      <w:pPr>
        <w:pStyle w:val="BodyText"/>
        <w:spacing w:line="480" w:lineRule="auto"/>
        <w:ind w:firstLine="720"/>
      </w:pPr>
      <w:r>
        <w:rPr>
          <w:b/>
          <w:bCs/>
        </w:rPr>
        <w:t xml:space="preserve">Provenance.</w:t>
      </w:r>
      <w:r>
        <w:t xml:space="preserve"> </w:t>
      </w:r>
      <w:r>
        <w:t xml:space="preserve">System Wide Information Management is the FAA’s service-oriented data-distribution architecture, the backbone that publishes NAS operational data to authorized consumers. Its authority for this design flows from being the agency’s own operational record: the delay, reroute, and airspace-activation records are not reconstructed by a researcher from public schedules but are the FAA’s own accounting of what the system did. The Space Data Integrator platform documented by Mutuel and Murray sits inside this same FAA data ecosystem, the channel through which launch and reentry mission parameters reach the air-traffic system, which is why the EU SST treatment layer and the FAA outcome layer can in principle be joined on a common operational timeline rather than a researcher’s after-the-fact alignment</w:t>
      </w:r>
      <w:r>
        <w:t xml:space="preserve"> </w:t>
      </w:r>
      <w:hyperlink w:anchor="ref-29">
        <w:r>
          <w:rPr>
            <w:rStyle w:val="Hyperlink"/>
          </w:rPr>
          <w:t xml:space="preserve">[29]</w:t>
        </w:r>
      </w:hyperlink>
      <w:r>
        <w:t xml:space="preserve">.</w:t>
      </w:r>
    </w:p>
    <w:p>
      <w:pPr>
        <w:pStyle w:val="BodyText"/>
        <w:spacing w:line="480" w:lineRule="auto"/>
        <w:ind w:firstLine="720"/>
      </w:pPr>
      <w:r>
        <w:rPr>
          <w:b/>
          <w:bCs/>
        </w:rPr>
        <w:t xml:space="preserve">Access.</w:t>
      </w:r>
      <w:r>
        <w:t xml:space="preserve"> </w:t>
      </w:r>
      <w:r>
        <w:t xml:space="preserve">Access is through the SWIM subscription channels and the FAA operations data archives. The access path is the institutional one used by air-traffic research generally, and the design’s computational plan, specified in Chapter 5, treats the ingestion and normalization of these feeds as a defined pipeline stage rather than an incidental step.</w:t>
      </w:r>
    </w:p>
    <w:p>
      <w:pPr>
        <w:pStyle w:val="BodyText"/>
        <w:spacing w:line="480" w:lineRule="auto"/>
        <w:ind w:firstLine="720"/>
      </w:pPr>
      <w:r>
        <w:rPr>
          <w:b/>
          <w:bCs/>
        </w:rPr>
        <w:t xml:space="preserve">Coverage.</w:t>
      </w:r>
      <w:r>
        <w:t xml:space="preserve"> </w:t>
      </w:r>
      <w:r>
        <w:t xml:space="preserve">The feeds and archives carry flight-level operational records: filed and flown trajectories, departure and arrival times against schedule, ground and airborne delay, reroute advisories and traffic-management initiatives, and the activation records of special-use and hazard airspace. Coverage runs comprehensive for instrument-flight-rules traffic in U.S.-controlled airspace, the population that carries the overwhelming majority of commercial passenger and cargo movements and so the majority of the economic cost at stake. The activation records of special-use and hazard airspace matter especially, because they let the design observe, rather than infer, when an AHA was active, the operational complement to the EU SST prediction of when one would be active.</w:t>
      </w:r>
    </w:p>
    <w:p>
      <w:pPr>
        <w:pStyle w:val="BodyText"/>
        <w:spacing w:line="480" w:lineRule="auto"/>
        <w:ind w:firstLine="720"/>
      </w:pPr>
      <w:r>
        <w:rPr>
          <w:b/>
          <w:bCs/>
        </w:rPr>
        <w:t xml:space="preserve">Unit of analysis.</w:t>
      </w:r>
      <w:r>
        <w:t xml:space="preserve"> </w:t>
      </w:r>
      <w:r>
        <w:t xml:space="preserve">The unit at this layer is the flight-segment-by-time-window observation, which aggregates into the airspace-sector-by-time-window cell that is the design’s analytic unit. From these records the four cost outcomes are constructed. Realized delay minutes are measured relative to schedule and to an undisrupted baseline. Added flown distance is measured relative to the great-circle or filed route. Modeled fuel burn is derived from the added distance and the aircraft type. Direct operating cost is derived from standard per-block-hour and per-nautical-mile cost factors by aircraft class. Exposure, the treatment indicator at the flight level, is constructed by intersecting each flight’s filed route and time with the AHA polygons and windows derived from the EU SST layer through ReentryFlow. The reroute-construction method that makes this exposure measurable from operational data has a direct methodological ancestor in Srivastava’s procedure for generating realistic reroutes to assess the air-traffic impact of blocked airspaces, which intersects flight tracks with a closed volume and computes the displaced routing and its penalty</w:t>
      </w:r>
      <w:r>
        <w:t xml:space="preserve"> </w:t>
      </w:r>
      <w:hyperlink w:anchor="ref-31">
        <w:r>
          <w:rPr>
            <w:rStyle w:val="Hyperlink"/>
          </w:rPr>
          <w:t xml:space="preserve">[31]</w:t>
        </w:r>
      </w:hyperlink>
      <w:r>
        <w:t xml:space="preserve">, and in the airspace-planning and collaborative-decision-making model of Sherali, Staats, and Trani, which formalizes the selection of surrogate trajectories around space-launch special-use airspace subject to safety, workload, and equity constraints</w:t>
      </w:r>
      <w:r>
        <w:t xml:space="preserve"> </w:t>
      </w:r>
      <w:hyperlink w:anchor="ref-35">
        <w:r>
          <w:rPr>
            <w:rStyle w:val="Hyperlink"/>
          </w:rPr>
          <w:t xml:space="preserve">[35]</w:t>
        </w:r>
      </w:hyperlink>
      <w:r>
        <w:t xml:space="preserve">. These sources are cited as the provenance of the exposure-and-reroute construction method, not as sources of an estimate.</w:t>
      </w:r>
    </w:p>
    <w:p>
      <w:pPr>
        <w:pStyle w:val="BodyText"/>
        <w:spacing w:line="480" w:lineRule="auto"/>
        <w:ind w:firstLine="720"/>
      </w:pPr>
      <w:r>
        <w:rPr>
          <w:b/>
          <w:bCs/>
        </w:rPr>
        <w:t xml:space="preserve">Known biases.</w:t>
      </w:r>
      <w:r>
        <w:t xml:space="preserve"> </w:t>
      </w:r>
      <w:r>
        <w:t xml:space="preserve">Two biases are acknowledged and addressed. The first is that general aviation flying under visual flight rules is under-represented in the instrument-flight-rules-centric records. This one bites precisely because the launch-era evidence reviewed in Chapter 3 shows general aviation bearing a disproportionate share of closure impact, on the order of one third of impacted flights in the Cape Canaveral simulations of Tinoco and colleagues</w:t>
      </w:r>
      <w:r>
        <w:t xml:space="preserve"> </w:t>
      </w:r>
      <w:hyperlink w:anchor="ref-3">
        <w:r>
          <w:rPr>
            <w:rStyle w:val="Hyperlink"/>
          </w:rPr>
          <w:t xml:space="preserve">[3]</w:t>
        </w:r>
      </w:hyperlink>
      <w:r>
        <w:t xml:space="preserve">. The under-representation therefore tilts the measured outcome toward the instrument-flight-rules population and very likely understates the total general-aviation cost. The design states this directionally, reports its estimates as applying to the instrument-flight-rules population, and treats the general-aviation share as a separately flagged extrapolation bounded by the prior simulation ranges rather than a measured quantity. The second bias is that reroute advisories attribute cause imperfectly: a reroute record does not always state cleanly whether the cause was a space closure, weather, or a concurrent traffic-management initiative. This is the central confounding threat the identification strategy must defeat, and the design meets it on three fronts developed in Chapter 5 and only named here: explicit control for concurrent weather severity, exploitation of reentry timing’s independence from weather, and placebo tests on sectors adjacent to but outside the closure footprint.</w:t>
      </w:r>
    </w:p>
    <w:p>
      <w:pPr>
        <w:pStyle w:val="BodyText"/>
        <w:spacing w:line="480" w:lineRule="auto"/>
        <w:ind w:firstLine="720"/>
      </w:pPr>
      <w:r>
        <w:t xml:space="preserve">Reasoning it through: the FAA operations data support measured outcomes and an observed exposure indicator. That rests on three things, the comprehensive instrument-flight-rules coverage, the agency-internal provenance of the delay and activation records, and a documented reroute-construction method [29, 31, 35]. What makes those grounds decisive is that realized delay, distance, and activation records drawn from the operator’s own accounting are the realized cost the prior simulation literature could only model, and that is the step that lifts the design from description to measurement. Two limits qualify the claim and are held in view: general aviation is under-represented, and reroute cause is attributed imperfectly. A critic will press the second, arguing that imperfect cause attribution means the measured outcome cannot be cleanly pinned on the reentry closure. The answer is that identification never leans on the record’s own cause label. It leans on the comparison of exposed and unexposed cells under a credible parallel-trends assumption, with weather and concurrent initiatives controlled, so the design establishes cause rather than reading it off the advisory. Confidence that the data support measured outcomes is high. Confidence that the general-aviation cost is fully captured is low, and the text flags it plainly.</w:t>
      </w:r>
    </w:p>
    <w:bookmarkEnd w:id="112"/>
    <w:bookmarkStart w:id="113" w:name="X466fd54b01408c755a339a80b49bd47771930d8"/>
    <w:p>
      <w:pPr>
        <w:pStyle w:val="Heading2"/>
        <w:spacing w:line="480" w:lineRule="auto"/>
      </w:pPr>
      <w:r>
        <w:t xml:space="preserve">4.4 The four IAC-26 down-mass PRISMA reviews: the prior-range layer</w:t>
      </w:r>
    </w:p>
    <w:p>
      <w:pPr>
        <w:pStyle w:val="FirstParagraph"/>
        <w:spacing w:line="480" w:lineRule="auto"/>
      </w:pPr>
      <w:r>
        <w:t xml:space="preserve">This section argues that the four completed IAC-26 down-mass systematic reviews are a legitimate and disciplined source of prior ranges for every model parameter, and that their status as secondary syntheses, several anchor figures simulation- or analogy-derived rather than measured on reentry, is a recorded limitation that bounds how the priors may be used rather than a reason to throw them out.</w:t>
      </w:r>
    </w:p>
    <w:p>
      <w:pPr>
        <w:pStyle w:val="BodyText"/>
        <w:spacing w:line="480" w:lineRule="auto"/>
        <w:ind w:firstLine="720"/>
      </w:pPr>
      <w:r>
        <w:rPr>
          <w:b/>
          <w:bCs/>
        </w:rPr>
        <w:t xml:space="preserve">Provenance.</w:t>
      </w:r>
      <w:r>
        <w:t xml:space="preserve"> </w:t>
      </w:r>
      <w:r>
        <w:t xml:space="preserve">The four reviews are project artifacts produced under the PRISMA 2020 systematic-review protocol for the joint IAC-26 down-mass paper, and they are read and cited directly as the parameterized evidence base. They are not external literature in the ordinary sense; they are the dissertation’s own structured synthesis of the field, which is why they function as a source of priors rather than as a source of an independent finding. P1, the business-case review, supplies the launch-cost trajectory, the constraint-tier structure, and the return-leg economics that make airspace access an economic variable. P2, the airspace-integration review, supplies the disruption baseline, the affected-flight percentages, the static-to-dynamic management transition, and the transferability assessment of launch-era tools to reentry. P3, the reentry-modeling review, supplies the trajectory, footprint, and demise tool lineage and the dominant uncertainty drivers. P4, the governance review, supplies the authorization-architecture options and the digital-licensing processing-time reductions.</w:t>
      </w:r>
    </w:p>
    <w:p>
      <w:pPr>
        <w:pStyle w:val="BodyText"/>
        <w:spacing w:line="480" w:lineRule="auto"/>
        <w:ind w:firstLine="720"/>
      </w:pPr>
      <w:r>
        <w:rPr>
          <w:b/>
          <w:bCs/>
        </w:rPr>
        <w:t xml:space="preserve">Access.</w:t>
      </w:r>
      <w:r>
        <w:t xml:space="preserve"> </w:t>
      </w:r>
      <w:r>
        <w:t xml:space="preserve">Access is to the completed reviews at the IAC-26 down-mass paper repository. Collectively the four reviews carry 502 included references with full PRISMA 2020 documentation, which means that any prior range drawn from them is traceable to its underlying primary sources rather than asserted, a property the design exploits when it reports the provenance of each prior.</w:t>
      </w:r>
    </w:p>
    <w:p>
      <w:pPr>
        <w:pStyle w:val="BodyText"/>
        <w:spacing w:line="480" w:lineRule="auto"/>
        <w:ind w:firstLine="720"/>
      </w:pPr>
      <w:r>
        <w:rPr>
          <w:b/>
          <w:bCs/>
        </w:rPr>
        <w:t xml:space="preserve">Coverage and unit of analysis.</w:t>
      </w:r>
      <w:r>
        <w:t xml:space="preserve"> </w:t>
      </w:r>
      <w:r>
        <w:t xml:space="preserve">The unit at this layer is the review-extracted parameter. The coverage is the union of the four facets: business case, airspace integration, reentry modeling, and governance. The parameters the design draws from this layer are the affected-flight fractions, the per-flight cost penalties, the prediction-uncertainty magnitudes, and the dynamic-closure efficiency gains. Each of these enters the dissertation as a prior range that bounds the plausibility of the corresponding estimate, not as the estimate itself. The affected-flight fractions, for instance, set the expectation that the disruption cost will concentrate in a minority of exposed flights with a class-differentiated impact share; the dynamic-closure efficiency gains set the order of magnitude the avoided-cost parameter is plausibly able to reach.</w:t>
      </w:r>
    </w:p>
    <w:p>
      <w:pPr>
        <w:pStyle w:val="BodyText"/>
        <w:spacing w:line="480" w:lineRule="auto"/>
        <w:ind w:firstLine="720"/>
      </w:pPr>
      <w:r>
        <w:rPr>
          <w:b/>
          <w:bCs/>
        </w:rPr>
        <w:t xml:space="preserve">Known biases and limitation.</w:t>
      </w:r>
      <w:r>
        <w:t xml:space="preserve"> </w:t>
      </w:r>
      <w:r>
        <w:t xml:space="preserve">One limitation defines the layer: these are secondary syntheses, and several anchor figures are simulation-derived or analogy-derived rather than measured on reentry. The clearest case is the governance review’s reported 67 to 84 percent processing-time reductions from digital-licensing analogues. Drawn from licensing-process analogues, that figure is an order-of-magnitude prior for what process and modeling improvements can achieve, and this dissertation applies it to closure footprint rather than to paperwork. It is an analogy, then, not a measured reentry avoided cost, and the design flags it that way everywhere it appears. The affected-flight fractions call for the same care. They originate in the launch-era simulations of Tinoco and colleagues and others</w:t>
      </w:r>
      <w:r>
        <w:t xml:space="preserve"> </w:t>
      </w:r>
      <w:hyperlink w:anchor="ref-3">
        <w:r>
          <w:rPr>
            <w:rStyle w:val="Hyperlink"/>
          </w:rPr>
          <w:t xml:space="preserve">[3]</w:t>
        </w:r>
      </w:hyperlink>
      <w:r>
        <w:t xml:space="preserve">, reentry-relevant by transfer rather than by direct reentry measurement. Recording these provenances in the certainty assessment is exactly what licenses the priors: a prior whose simulation or analogy origin is documented can legitimately bound a plausibility range, where the same number dressed up as a measured reentry result would be a misrepresentation.</w:t>
      </w:r>
    </w:p>
    <w:p>
      <w:pPr>
        <w:pStyle w:val="BodyText"/>
        <w:spacing w:line="480" w:lineRule="auto"/>
        <w:ind w:firstLine="720"/>
      </w:pPr>
      <w:r>
        <w:t xml:space="preserve">Reasoning it through, with one qualifier held close: the PRISMA reviews supply disciplined prior ranges. What grounds that is the PRISMA 2020 protocol, the 502 traceable included references, and the four-facet coverage that spans every parameter family the model needs. A systematic review run under a registered protocol with documented inclusion criteria is the standard instrument for setting evidence-based priors, and its traceability lets each prior be audited back to its primary source. The central qualifier is that the reviews are secondary and several anchor figures are simulation- or analogy-derived: they bound plausibility, they do not measure the reentry quantity. A critic will press that priors derived from launch-era simulation and licensing analogues could systematically mislead a reentry estimate. The answer is that the priors only bound and contextualize, never substituting for the realized-data estimate, and that any divergence between an executed estimate and its prior would itself be a reported finding. Confidence that the reviews supply legitimate priors is high. Confidence that any single anchor figure transfers exactly to reentry is low, which is exactly why the figures serve as ranges and not as point inputs.</w:t>
      </w:r>
    </w:p>
    <w:bookmarkEnd w:id="113"/>
    <w:bookmarkStart w:id="114" w:name="Xf385f16ed72cb89a1a60317615bd330a6d633e8"/>
    <w:p>
      <w:pPr>
        <w:pStyle w:val="Heading2"/>
        <w:spacing w:line="480" w:lineRule="auto"/>
      </w:pPr>
      <w:r>
        <w:t xml:space="preserve">4.5 The ReentryFlow model: the bridge and the counterfactual simulator</w:t>
      </w:r>
    </w:p>
    <w:p>
      <w:pPr>
        <w:pStyle w:val="FirstParagraph"/>
        <w:spacing w:line="480" w:lineRule="auto"/>
      </w:pPr>
      <w:r>
        <w:t xml:space="preserve">This section argues that ReentryFlow is the deterministic instrument that makes the panel possible, playing two distinct roles, exposure mapping and dynamic-closure simulation, and that because both roles set the model on the causal path, the model is itself an object of validation whose precision and recall against realized FAA exposure must be reported before any of its counterfactual outputs earn trust.</w:t>
      </w:r>
    </w:p>
    <w:p>
      <w:pPr>
        <w:pStyle w:val="BodyText"/>
        <w:spacing w:line="480" w:lineRule="auto"/>
        <w:ind w:firstLine="720"/>
      </w:pPr>
      <w:r>
        <w:rPr>
          <w:b/>
          <w:bCs/>
        </w:rPr>
        <w:t xml:space="preserve">Provenance.</w:t>
      </w:r>
      <w:r>
        <w:t xml:space="preserve"> </w:t>
      </w:r>
      <w:r>
        <w:t xml:space="preserve">ReentryFlow is the reentry-to-airspace economic model maintained in the project’s GitHub repository, with the concept documented at the MITRE project directory. Its provenance as a project-maintained instrument, rather than a third-party black box, is an advantage for the design because the model’s internals, its trajectory-and-dispersion ingestion, its airspace-intersection logic, and its cost-factor application, are inspectable and auditable, which is a precondition for validating it as a measurement instrument.</w:t>
      </w:r>
    </w:p>
    <w:p>
      <w:pPr>
        <w:pStyle w:val="BodyText"/>
        <w:spacing w:line="480" w:lineRule="auto"/>
        <w:ind w:firstLine="720"/>
      </w:pPr>
      <w:r>
        <w:rPr>
          <w:b/>
          <w:bCs/>
        </w:rPr>
        <w:t xml:space="preserve">Access.</w:t>
      </w:r>
      <w:r>
        <w:t xml:space="preserve"> </w:t>
      </w:r>
      <w:r>
        <w:t xml:space="preserve">Access is to the model code and its documentation in the project repository and the MITRE project directory. The model is run as part of the panel-assembly pipeline rather than queried as an external service.</w:t>
      </w:r>
    </w:p>
    <w:p>
      <w:pPr>
        <w:pStyle w:val="BodyText"/>
        <w:spacing w:line="480" w:lineRule="auto"/>
        <w:ind w:firstLine="720"/>
      </w:pPr>
      <w:r>
        <w:rPr>
          <w:b/>
          <w:bCs/>
        </w:rPr>
        <w:t xml:space="preserve">Function and the two roles.</w:t>
      </w:r>
      <w:r>
        <w:t xml:space="preserve"> </w:t>
      </w:r>
      <w:r>
        <w:t xml:space="preserve">ReentryFlow ingests a reentry trajectory and dispersion footprint, intersects it with an airspace traffic scenario, and returns the affected-flight set and an associated cost in delay, distance, fuel, and direct operating cost. Its first role is the deterministic mapping from a treatment, a reentry event and its footprint, to a predicted exposed-flight set and a predicted cost, the bridge between the EU SST event layer and the FAA flight layer, the operation that turns a footprint polygon and a traffic record into the exposure indicator defining treatment at the flight level. Its second role is the simulator generating the counterfactual dynamic-closure regime: for each real event, ReentryFlow recomputes the closure under a prediction-informed dynamic policy and returns the implied cost, so the avoided-cost parameter can be formed as the difference between the realized static-closure cost and the simulated dynamic-closure cost. So the model straddles both ends of the second hypothesis, its intersection-and-reroute logic of the same family as the realistic-reroute generation of Srivastava</w:t>
      </w:r>
      <w:r>
        <w:t xml:space="preserve"> </w:t>
      </w:r>
      <w:hyperlink w:anchor="ref-31">
        <w:r>
          <w:rPr>
            <w:rStyle w:val="Hyperlink"/>
          </w:rPr>
          <w:t xml:space="preserve">[31]</w:t>
        </w:r>
      </w:hyperlink>
      <w:r>
        <w:t xml:space="preserve"> </w:t>
      </w:r>
      <w:r>
        <w:t xml:space="preserve">and the surrogate-trajectory selection of Sherali, Staats, and Trani</w:t>
      </w:r>
      <w:r>
        <w:t xml:space="preserve"> </w:t>
      </w:r>
      <w:hyperlink w:anchor="ref-35">
        <w:r>
          <w:rPr>
            <w:rStyle w:val="Hyperlink"/>
          </w:rPr>
          <w:t xml:space="preserve">[35]</w:t>
        </w:r>
      </w:hyperlink>
      <w:r>
        <w:t xml:space="preserve">, with the probabilistic-footprint estimation of Falsone and Prandini supplying the methodological pattern for characterizing the occupied airspace region under reentry uncertainty as a chance-constrained footprint</w:t>
      </w:r>
      <w:r>
        <w:t xml:space="preserve"> </w:t>
      </w:r>
      <w:hyperlink w:anchor="ref-36">
        <w:r>
          <w:rPr>
            <w:rStyle w:val="Hyperlink"/>
          </w:rPr>
          <w:t xml:space="preserve">[36]</w:t>
        </w:r>
      </w:hyperlink>
      <w:r>
        <w:t xml:space="preserve">.</w:t>
      </w:r>
    </w:p>
    <w:p>
      <w:pPr>
        <w:pStyle w:val="BodyText"/>
        <w:spacing w:line="480" w:lineRule="auto"/>
        <w:ind w:firstLine="720"/>
      </w:pPr>
      <w:r>
        <w:rPr>
          <w:b/>
          <w:bCs/>
        </w:rPr>
        <w:t xml:space="preserve">Validation status as an object.</w:t>
      </w:r>
      <w:r>
        <w:t xml:space="preserve"> </w:t>
      </w:r>
      <w:r>
        <w:t xml:space="preserve">Since the model sits on the causal path in both roles, it cannot pass as a transparent conduit; it is an object of validation. The validation is specified concretely: ReentryFlow’s predicted exposed-flight sets are compared against the realized FAA exposure records for past events, and precision and recall are computed and reported before any counterfactual output earns trust. Precision is the fraction of flights the model predicts as exposed that were in fact exposed; recall is the fraction of actually exposed flights the model captures. This is the validation-against-known-values step for the bridge instrument, and it is non-negotiable: should the model’s exposure prediction fail to reproduce realized exposure within a stated tolerance, its dynamic-closure counterfactual, with no realized counterpart to check against, cannot be trusted either. The dynamic-closure counterfactual is the more delicate of the two roles precisely because it is unobserved. The discipline that guards it is to earn trust in the model on the observable exposure-mapping role first, then extend that trust to the counterfactual role only as far as the validation supports.</w:t>
      </w:r>
    </w:p>
    <w:p>
      <w:pPr>
        <w:pStyle w:val="BodyText"/>
        <w:spacing w:line="480" w:lineRule="auto"/>
        <w:ind w:firstLine="720"/>
      </w:pPr>
      <w:r>
        <w:t xml:space="preserve">Reasoning it through: ReentryFlow is a usable bridge and simulator, conditional on validation. What grounds that is the model’s inspectable, project-maintained provenance and the established lineage of its intersection-and-reroute logic [31, 35, 36]. An instrument on the causal path is only as trustworthy as its agreement with realized values, and an instrument whose internals are auditable can be validated where a black box cannot. The qualifier held here is that the model’s counterfactual outputs are unobserved and inherit whatever error the validation misses. A critic will press that the entire avoided-cost parameter rests on a simulated counterfactual with no realized comparator. The answer is to anchor the model’s credibility in the observable exposure-mapping validation and to report the avoided-cost parameter as conditional on that validated precision and recall, marking confidence down wherever the validation is weak. Once precision and recall are reported, confidence in the exposure-mapping role is moderate to high. Confidence in the dynamic-closure counterfactual is moderate at best, tied explicitly to the validation result.</w:t>
      </w:r>
    </w:p>
    <w:bookmarkEnd w:id="114"/>
    <w:bookmarkStart w:id="115" w:name="Xb8be42f162488f7bdc9b5d4edb80e3180ce0a30"/>
    <w:p>
      <w:pPr>
        <w:pStyle w:val="Heading2"/>
        <w:spacing w:line="480" w:lineRule="auto"/>
      </w:pPr>
      <w:r>
        <w:t xml:space="preserve">4.6 The reentry-prediction surface: measurement backing for treatment intensity</w:t>
      </w:r>
    </w:p>
    <w:p>
      <w:pPr>
        <w:pStyle w:val="FirstParagraph"/>
        <w:spacing w:line="480" w:lineRule="auto"/>
      </w:pPr>
      <w:r>
        <w:t xml:space="preserve">This section argues that the treatment-intensity variable, the prediction-uncertainty bound at closure-decision time, rests on a well-established physical fact: reentry prediction uncertainty runs large at the lead times when static closures are sized and drops sharply as the object nears reentry, so the closure size the uncertainty drives is itself a lever, and measuring it is the empirical foundation of the avoided-cost claim.</w:t>
      </w:r>
    </w:p>
    <w:p>
      <w:pPr>
        <w:pStyle w:val="BodyText"/>
        <w:spacing w:line="480" w:lineRule="auto"/>
        <w:ind w:firstLine="720"/>
      </w:pPr>
      <w:r>
        <w:t xml:space="preserve">The mechanism is physical, and it runs as the chain the bible fixes. A reentry event carries large uncertainty in its predicted epoch and location at the moment a static closure must be decided. That uncertainty traces to the difficulty of predicting atmospheric drag, which turns on the object’s ballistic coefficient, its reentry angle, and the state of the thermosphere through which it decays. What shows up is a large along-track and cross-track dispersion in the predicted footprint, which forces a large withheld airspace volume sized to that dispersion, and with it a large displaced-flight population and cost. So any reduction in the prediction uncertainty available at the closure-decision time flows through the same chain into a smaller withheld volume and a smaller cost, which is the avoided-cost lever the second hypothesis tests.</w:t>
      </w:r>
    </w:p>
    <w:p>
      <w:pPr>
        <w:pStyle w:val="BodyText"/>
        <w:spacing w:line="480" w:lineRule="auto"/>
        <w:ind w:firstLine="720"/>
      </w:pPr>
      <w:r>
        <w:t xml:space="preserve">Each link in this chain is backed by the reentry-prediction literature, and the backing is interpreted rather than listed. The dominant role of atmospheric-density uncertainty is established by Gondelach and Linares, who analyze the uncertainties and modeling in short-term reentry predictions and decompose the error into its drivers, showing that density uncertainty is the principal contributor and that the prediction tightens as the object approaches reentry</w:t>
      </w:r>
      <w:r>
        <w:t xml:space="preserve"> </w:t>
      </w:r>
      <w:hyperlink w:anchor="ref-22">
        <w:r>
          <w:rPr>
            <w:rStyle w:val="Hyperlink"/>
          </w:rPr>
          <w:t xml:space="preserve">[22]</w:t>
        </w:r>
      </w:hyperlink>
      <w:r>
        <w:t xml:space="preserve">. The magnitude of the density problem under disturbed conditions is documented in the thermospheric literature: Sutton, Forbes, and Nerem show, from CHAMP accelerometer data during the severe 2003 geomagnetic storms, that thermospheric density can be enhanced by 200 to 300 percent during maximum geomagnetic activity relative to quiet-time baselines</w:t>
      </w:r>
      <w:r>
        <w:t xml:space="preserve"> </w:t>
      </w:r>
      <w:hyperlink w:anchor="ref-82">
        <w:r>
          <w:rPr>
            <w:rStyle w:val="Hyperlink"/>
          </w:rPr>
          <w:t xml:space="preserve">[82]</w:t>
        </w:r>
      </w:hyperlink>
      <w:r>
        <w:t xml:space="preserve">, and the long-term thermospheric-density studies of Keating, Tolson, and Bradford establish that the baseline itself drifts over decades</w:t>
      </w:r>
      <w:r>
        <w:t xml:space="preserve"> </w:t>
      </w:r>
      <w:hyperlink w:anchor="ref-83">
        <w:r>
          <w:rPr>
            <w:rStyle w:val="Hyperlink"/>
          </w:rPr>
          <w:t xml:space="preserve">[83]</w:t>
        </w:r>
      </w:hyperlink>
      <w:r>
        <w:t xml:space="preserve">. These density swings propagate directly into along-track position error, which is why a closure sized hours in advance under disturbed conditions must be far larger than one sized minutes before reentry. The ballistic-coefficient contribution is quantified by Gondelach, Armellin, and Lidtke, who estimate ballistic coefficients for reentry prediction of rocket bodies in eccentric orbits from two-line-element data across 101 upper stages and characterize how the prediction accuracy improves at shorter lead times</w:t>
      </w:r>
      <w:r>
        <w:t xml:space="preserve"> </w:t>
      </w:r>
      <w:hyperlink w:anchor="ref-55">
        <w:r>
          <w:rPr>
            <w:rStyle w:val="Hyperlink"/>
          </w:rPr>
          <w:t xml:space="preserve">[55]</w:t>
        </w:r>
      </w:hyperlink>
      <w:r>
        <w:t xml:space="preserve">, and the atmospheric-density-model dependence is characterized by Pardini and Anselmo, whose performance evaluation of density models for satellite reentry predictions during high solar activity finds reentry-prediction errors on the order of ten percent computed approximately one month, one week, and one day before final orbital decay, with the error structure depending on the chosen density model</w:t>
      </w:r>
      <w:r>
        <w:t xml:space="preserve"> </w:t>
      </w:r>
      <w:hyperlink w:anchor="ref-54">
        <w:r>
          <w:rPr>
            <w:rStyle w:val="Hyperlink"/>
          </w:rPr>
          <w:t xml:space="preserve">[54]</w:t>
        </w:r>
      </w:hyperlink>
      <w:r>
        <w:t xml:space="preserve">.</w:t>
      </w:r>
    </w:p>
    <w:p>
      <w:pPr>
        <w:pStyle w:val="BodyText"/>
        <w:spacing w:line="480" w:lineRule="auto"/>
        <w:ind w:firstLine="720"/>
      </w:pPr>
      <w:r>
        <w:t xml:space="preserve">The tightening of the prediction near reentry, the property the avoided-cost lever depends on, is documented concretely in the IADC reentry-campaign analyses. Seong and colleagues, analyzing the reentry of the CZ-5B rocket body in the May 2021 IADC campaign, report a ballistic-coefficient-estimation method that achieved a difference of 73 seconds from the realized reentry time, an accuracy attainable only in the final approach to reentry</w:t>
      </w:r>
      <w:r>
        <w:t xml:space="preserve"> </w:t>
      </w:r>
      <w:hyperlink w:anchor="ref-53">
        <w:r>
          <w:rPr>
            <w:rStyle w:val="Hyperlink"/>
          </w:rPr>
          <w:t xml:space="preserve">[53]</w:t>
        </w:r>
      </w:hyperlink>
      <w:r>
        <w:t xml:space="preserve">. The solar-cycle and geomagnetic dependence of decay, and therefore of prediction difficulty, is established by Oliveira and colleagues for 523 Starlink reentries</w:t>
      </w:r>
      <w:r>
        <w:t xml:space="preserve"> </w:t>
      </w:r>
      <w:hyperlink w:anchor="ref-56">
        <w:r>
          <w:rPr>
            <w:rStyle w:val="Hyperlink"/>
          </w:rPr>
          <w:t xml:space="preserve">[56]</w:t>
        </w:r>
      </w:hyperlink>
      <w:r>
        <w:t xml:space="preserve">, by Ashruf and colleagues, who identify a threshold at roughly 67 to 75 percent of the solar-cycle peak above which orbital-decay rates increase sharply</w:t>
      </w:r>
      <w:r>
        <w:t xml:space="preserve"> </w:t>
      </w:r>
      <w:hyperlink w:anchor="ref-84">
        <w:r>
          <w:rPr>
            <w:rStyle w:val="Hyperlink"/>
          </w:rPr>
          <w:t xml:space="preserve">[84]</w:t>
        </w:r>
      </w:hyperlink>
      <w:r>
        <w:t xml:space="preserve">, and is the subject of the decay-time-estimation work for low-Earth-orbit spacecraft</w:t>
      </w:r>
      <w:r>
        <w:t xml:space="preserve"> </w:t>
      </w:r>
      <w:hyperlink w:anchor="ref-66">
        <w:r>
          <w:rPr>
            <w:rStyle w:val="Hyperlink"/>
          </w:rPr>
          <w:t xml:space="preserve">[66]</w:t>
        </w:r>
      </w:hyperlink>
      <w:r>
        <w:t xml:space="preserve">. The footprint-dispersion side of the uncertainty, the cross-track and downrange spread of the debris that the closure must envelope, is characterized by the enhanced covariance-propagation work of Chen, Cao, and Ren, which shows how initial-velocity increments and area-to-mass-ratio diversity amplify the anisotropic spread of the debris cloud and the asymmetry of the hazard-zone boundaries</w:t>
      </w:r>
      <w:r>
        <w:t xml:space="preserve"> </w:t>
      </w:r>
      <w:hyperlink w:anchor="ref-81">
        <w:r>
          <w:rPr>
            <w:rStyle w:val="Hyperlink"/>
          </w:rPr>
          <w:t xml:space="preserve">[81]</w:t>
        </w:r>
      </w:hyperlink>
      <w:r>
        <w:t xml:space="preserve">, and by the re-entry-survival and ground-risk-assessment literature that connects the surviving debris population to the area that must be withheld</w:t>
      </w:r>
      <w:r>
        <w:t xml:space="preserve"> </w:t>
      </w:r>
      <w:hyperlink w:anchor="ref-65">
        <w:r>
          <w:rPr>
            <w:rStyle w:val="Hyperlink"/>
          </w:rPr>
          <w:t xml:space="preserve">[65]</w:t>
        </w:r>
      </w:hyperlink>
      <w:r>
        <w:t xml:space="preserve">. The risk on the ground and in the airspace from uncontrolled reentries, and whether its recent growth should be considered worrying, is assessed directly by Pardini, who ties the rising reentering mass and frequency to a rising airspace dimension of the hazard</w:t>
      </w:r>
      <w:r>
        <w:t xml:space="preserve"> </w:t>
      </w:r>
      <w:hyperlink w:anchor="ref-64">
        <w:r>
          <w:rPr>
            <w:rStyle w:val="Hyperlink"/>
          </w:rPr>
          <w:t xml:space="preserve">[64]</w:t>
        </w:r>
      </w:hyperlink>
      <w:r>
        <w:t xml:space="preserve">.</w:t>
      </w:r>
    </w:p>
    <w:p>
      <w:pPr>
        <w:pStyle w:val="BodyText"/>
        <w:spacing w:line="480" w:lineRule="auto"/>
        <w:ind w:firstLine="720"/>
      </w:pPr>
      <w:r>
        <w:t xml:space="preserve">Reasoning it through, with the confidence calibration stated plainly: prediction uncertainty is large at the static-closure decision time, driven chiefly by atmospheric-density uncertainty modulated by ballistic coefficient and reentry angle, and it falls sharply as the object nears reentry. What supports this is the convergent decomposition and quantification across Gondelach and Linares</w:t>
      </w:r>
      <w:r>
        <w:t xml:space="preserve"> </w:t>
      </w:r>
      <w:hyperlink w:anchor="ref-22">
        <w:r>
          <w:rPr>
            <w:rStyle w:val="Hyperlink"/>
          </w:rPr>
          <w:t xml:space="preserve">[22]</w:t>
        </w:r>
      </w:hyperlink>
      <w:r>
        <w:t xml:space="preserve">, Pardini and Anselmo</w:t>
      </w:r>
      <w:r>
        <w:t xml:space="preserve"> </w:t>
      </w:r>
      <w:hyperlink w:anchor="ref-54">
        <w:r>
          <w:rPr>
            <w:rStyle w:val="Hyperlink"/>
          </w:rPr>
          <w:t xml:space="preserve">[54]</w:t>
        </w:r>
      </w:hyperlink>
      <w:r>
        <w:t xml:space="preserve">, Gondelach, Armellin, and Lidtke</w:t>
      </w:r>
      <w:r>
        <w:t xml:space="preserve"> </w:t>
      </w:r>
      <w:hyperlink w:anchor="ref-55">
        <w:r>
          <w:rPr>
            <w:rStyle w:val="Hyperlink"/>
          </w:rPr>
          <w:t xml:space="preserve">[55]</w:t>
        </w:r>
      </w:hyperlink>
      <w:r>
        <w:t xml:space="preserve">, Seong and colleagues</w:t>
      </w:r>
      <w:r>
        <w:t xml:space="preserve"> </w:t>
      </w:r>
      <w:hyperlink w:anchor="ref-53">
        <w:r>
          <w:rPr>
            <w:rStyle w:val="Hyperlink"/>
          </w:rPr>
          <w:t xml:space="preserve">[53]</w:t>
        </w:r>
      </w:hyperlink>
      <w:r>
        <w:t xml:space="preserve">, the thermospheric-density record [82, 83], the solar-cycle dependence [56, 84], and the dispersion-propagation work [81, 65, 66]. When independent studies drawing on different objects, sensors, and density models converge on the same error structure and the same tightening-near-reentry behavior, the physical fact underneath the treatment-intensity variable is well established. The strongest single anchor is the 73-second realized-versus-predicted agreement achievable in the final approach</w:t>
      </w:r>
      <w:r>
        <w:t xml:space="preserve"> </w:t>
      </w:r>
      <w:hyperlink w:anchor="ref-53">
        <w:r>
          <w:rPr>
            <w:rStyle w:val="Hyperlink"/>
          </w:rPr>
          <w:t xml:space="preserve">[53]</w:t>
        </w:r>
      </w:hyperlink>
      <w:r>
        <w:t xml:space="preserve">, an observed accuracy that shows the tightening is real rather than merely modeled. The qualifier held here is that the magnitude of the uncertainty at any given lead time is itself model-dependent and condition-dependent, shifting with the density model, the solar and geomagnetic state, and the object’s properties. A critic will press that if the uncertainty does not fall far enough between the static and dynamic decision times, the avoided-cost lever is small. The answer is to measure the uncertainty at both decision times empirically from the EU SST catalog’s recorded predictions and realized outcomes, letting the data rather than an assumption set the size of the lever. Confidence that prediction uncertainty drives closure size and tightens near reentry is high. Confidence in the exact fraction by which it tightens for a given event is moderate, treated as an estimand rather than an assumption.</w:t>
      </w:r>
    </w:p>
    <w:bookmarkEnd w:id="115"/>
    <w:bookmarkStart w:id="116" w:name="variable-operationalization"/>
    <w:p>
      <w:pPr>
        <w:pStyle w:val="Heading2"/>
        <w:spacing w:line="480" w:lineRule="auto"/>
      </w:pPr>
      <w:r>
        <w:t xml:space="preserve">4.7 Variable operationalization</w:t>
      </w:r>
    </w:p>
    <w:p>
      <w:pPr>
        <w:pStyle w:val="FirstParagraph"/>
        <w:spacing w:line="480" w:lineRule="auto"/>
      </w:pPr>
      <w:r>
        <w:t xml:space="preserve">This section operationalizes every variable in the notation of the shared bible: for each, it states the construct, the operational definition, the source dataset, and the scale. The convention throughout is that the dependent variables are measured from the FAA operations layer, the treatment and its intensity are measured from the EU SST layer through ReentryFlow, the priors that bound the variables come from the PRISMA reviews, and the covariates come from whichever layer carries them natively. Measurement-error properties are stated for the variables that carry them, because a causal design that hides its measurement error is not honest about its identification.</w:t>
      </w:r>
    </w:p>
    <w:p>
      <w:pPr>
        <w:pStyle w:val="BodyText"/>
        <w:spacing w:line="480" w:lineRule="auto"/>
        <w:ind w:firstLine="720"/>
      </w:pPr>
      <w:r>
        <w:t xml:space="preserve">The four dependent variables are the cost outcomes for cell</w:t>
      </w:r>
      <w:r>
        <w:t xml:space="preserve"> </w:t>
      </w:r>
      <w:r>
        <w:rPr>
          <w:rStyle w:val="VerbatimChar"/>
        </w:rPr>
        <w:t xml:space="preserve">i</w:t>
      </w:r>
      <w:r>
        <w:t xml:space="preserve"> </w:t>
      </w:r>
      <w:r>
        <w:t xml:space="preserve">in window</w:t>
      </w:r>
      <w:r>
        <w:t xml:space="preserve"> </w:t>
      </w:r>
      <w:r>
        <w:rPr>
          <w:rStyle w:val="VerbatimChar"/>
        </w:rPr>
        <w:t xml:space="preserve">t</w:t>
      </w:r>
      <w:r>
        <w:t xml:space="preserve">, jointly denoted</w:t>
      </w:r>
      <w:r>
        <w:t xml:space="preserve"> </w:t>
      </w:r>
      <w:r>
        <w:rPr>
          <w:rStyle w:val="VerbatimChar"/>
        </w:rPr>
        <w:t xml:space="preserve">Y_{i,t}</w:t>
      </w:r>
      <w:r>
        <w:t xml:space="preserve">. Delay minutes capture realized schedule disruption, operationalized as the difference between realized and scheduled gate or fix times for the flights in the cell against an undisrupted baseline, sourced from the FAA SWIM and NAS operations records, measured on a continuous nonnegative minutes scale. Added distance captures routing inefficiency imposed by the closure, operationalized as flown distance minus the great-circle or filed-route distance, sourced from the FAA flown-trajectory records, measured in nautical miles. Fuel burn captures the physical resource cost of the added routing, operationalized as a function of the added distance and the aircraft type through standard burn factors, sourced from the FAA records for distance and aircraft type with published burn coefficients, measured in kilograms or pounds of fuel. Direct operating cost captures the monetized cost of the disruption, operationalized from the delay minutes and added distance through standard per-block-hour and per-nautical-mile cost factors by aircraft class, sourced from the FAA records with published cost factors, measured in U.S. dollars. The expected sign on all four, developed as an expectation and not a result in Chapter 6, is positive under H1.</w:t>
      </w:r>
    </w:p>
    <w:p>
      <w:pPr>
        <w:pStyle w:val="BodyText"/>
        <w:spacing w:line="480" w:lineRule="auto"/>
        <w:ind w:firstLine="720"/>
      </w:pPr>
      <w:r>
        <w:t xml:space="preserve">The treatment is AHA exposure, capturing whether a cell is subject to a reentry-driven closure. It is operationalized as a binary indicator that the cell intersects an active AHA polygon and window, sourced from the EU SST footprint and window mapped onto FAA routes through ReentryFlow, measured as a zero-or-one indicator at the cell level. The treatment cohort</w:t>
      </w:r>
      <w:r>
        <w:t xml:space="preserve"> </w:t>
      </w:r>
      <w:r>
        <w:rPr>
          <w:rStyle w:val="VerbatimChar"/>
        </w:rPr>
        <w:t xml:space="preserve">G_i = g</w:t>
      </w:r>
      <w:r>
        <w:t xml:space="preserve"> </w:t>
      </w:r>
      <w:r>
        <w:t xml:space="preserve">captures first-treatment timing, operationalized as the window in which cell</w:t>
      </w:r>
      <w:r>
        <w:t xml:space="preserve"> </w:t>
      </w:r>
      <w:r>
        <w:rPr>
          <w:rStyle w:val="VerbatimChar"/>
        </w:rPr>
        <w:t xml:space="preserve">i</w:t>
      </w:r>
      <w:r>
        <w:t xml:space="preserve"> </w:t>
      </w:r>
      <w:r>
        <w:t xml:space="preserve">first receives a reentry closure, sourced from the EU SST event timestamps, measured as a discrete window index; the never-treated cells leave</w:t>
      </w:r>
      <w:r>
        <w:t xml:space="preserve"> </w:t>
      </w:r>
      <w:r>
        <w:rPr>
          <w:rStyle w:val="VerbatimChar"/>
        </w:rPr>
        <w:t xml:space="preserve">G_i</w:t>
      </w:r>
      <w:r>
        <w:t xml:space="preserve"> </w:t>
      </w:r>
      <w:r>
        <w:t xml:space="preserve">undefined and serve as clean controls. The treatment is measured with error, its footprint polygons being model outputs; the EU SST uncertainty bounds are propagated into the exposure indicator rather than treated as exact, and the attenuation that classical measurement error in a binary treatment pushes toward the null is acknowledged, so a positive estimate reads as a likely lower bound.</w:t>
      </w:r>
    </w:p>
    <w:p>
      <w:pPr>
        <w:pStyle w:val="BodyText"/>
        <w:spacing w:line="480" w:lineRule="auto"/>
        <w:ind w:firstLine="720"/>
      </w:pPr>
      <w:r>
        <w:t xml:space="preserve">The treatment intensity is the prediction-uncertainty bound at closure-decision time, capturing how large the closure must be. It is operationalized as the along-track and cross-track dispersion magnitude in the predicted footprint when the closure decision is made, sourced from the EU SST catalog’s prediction record and backed physically by the reentry-prediction surface of Section 4.6 [22, 53, 54, 55], measured on a continuous distance scale (kilometers of dispersion) and used as a continuous treatment intensity. This is the variable that lets the design estimate the avoided-cost parameter straight from natural variation in closure tightness across events with differing prediction uncertainty, alongside the estimate through the ReentryFlow static-versus-dynamic counterfactual.</w:t>
      </w:r>
    </w:p>
    <w:p>
      <w:pPr>
        <w:pStyle w:val="BodyText"/>
        <w:spacing w:line="480" w:lineRule="auto"/>
        <w:ind w:firstLine="720"/>
      </w:pPr>
      <w:r>
        <w:t xml:space="preserve">The covariates follow the same discipline, each with its construct, its operational form, its source, and its scale. Baseline sector traffic density stands for how much traffic a closure displaces; it reads as flights per unit time in the sector under undisrupted conditions, drawn from FAA records on a continuous count rate. Time-of-day, day-of-week, and season together carry temporal demand, encoded categorically or cyclically from the window timestamp. Concurrent weather severity is the one that earns the most care, because it is the principal confounder. A weather-severity index over the sector and window, built from meteorological records joined on the operational timeline, gives the design its purchase: with weather held in the model, and with reentry timing independent of weather, the reentry effect can be pulled cleanly apart from the weather effect. Other operational disruptions enter through concurrent non-space traffic-management initiatives, an indicator or count taken from the FAA traffic-management-initiative records. Aircraft-class mix stays in the specification for a specific reason. Tinoco and colleagues show the impact distribution splitting sharply by class</w:t>
      </w:r>
      <w:r>
        <w:t xml:space="preserve"> </w:t>
      </w:r>
      <w:hyperlink w:anchor="ref-3">
        <w:r>
          <w:rPr>
            <w:rStyle w:val="Hyperlink"/>
          </w:rPr>
          <w:t xml:space="preserve">[3]</w:t>
        </w:r>
      </w:hyperlink>
      <w:r>
        <w:t xml:space="preserve">, so the share of flights by class, international carrier, domestic carrier, general aviation, is retained as a set of proportions from FAA records. Great-circle distance of the affected routes closes the list, standing in for the route length that scales absolute cost, measured in nautical miles from the affected flights’ origin-destination pairs.</w:t>
      </w:r>
    </w:p>
    <w:p>
      <w:pPr>
        <w:pStyle w:val="BodyText"/>
        <w:spacing w:line="480" w:lineRule="auto"/>
        <w:ind w:firstLine="720"/>
      </w:pPr>
      <w:r>
        <w:t xml:space="preserve">Two derived parameters round out the operationalization. The disruption parameter captures the per-event NAS cost, operationalized as the aggregated average treatment effect on the treated of AHA exposure on the cost outcomes, estimated by the Callaway and Sant’Anna staggered difference-in-differences estimator</w:t>
      </w:r>
      <w:r>
        <w:t xml:space="preserve"> </w:t>
      </w:r>
      <w:hyperlink w:anchor="ref-14">
        <w:r>
          <w:rPr>
            <w:rStyle w:val="Hyperlink"/>
          </w:rPr>
          <w:t xml:space="preserve">[14]</w:t>
        </w:r>
      </w:hyperlink>
      <w:r>
        <w:t xml:space="preserve"> </w:t>
      </w:r>
      <w:r>
        <w:t xml:space="preserve">and reported on the same scales as the cost outcomes. The avoided-cost parameter captures the value of prediction-informed dynamic closure, operationalized as the realized static-closure cost minus the simulated dynamic-closure cost per event, then averaged, and estimated separately with prediction uncertainty as continuous intensity; it draws on the FAA realized cost and the ReentryFlow dynamic-closure counterfactual, reported in U.S. dollars per event and per planning horizon. Both derived parameters are design-stage estimands, no value filled in.</w:t>
      </w:r>
    </w:p>
    <w:p>
      <w:pPr>
        <w:pStyle w:val="BodyText"/>
        <w:spacing w:line="480" w:lineRule="auto"/>
        <w:ind w:firstLine="720"/>
      </w:pPr>
      <w:r>
        <w:t xml:space="preserve">The operationalization reduces to one claim with a qualifier held close: every variable in the bible carries a construct, a definition, a source, and a scale, and the variables that carry measurement error declare it. What grounds that is the variable-by-variable mapping above and its anchoring in the named sources [3, 14, 22, 53, 54, 55]. A measurement system whose every variable is operationalized to its source and scale, with measurement error stated where it exists, is auditable in the way a doctoral design must be. The qualifier is that the treatment and its intensity are measured with error from model-output footprints, and the dependent variables leave out some economic cost, passenger time value and network knock-on, taken up in Chapter 5. A critic will press that the cost proxies understate the true economic cost. The answer is that the omitted downstream cost is bounded from the network-propagation evidence rather than ignored, so the reported cost is a conservative, stated-floor proxy. Confidence that the operationalization is complete and auditable is high. Confidence that the proxies capture the full economic cost is moderate, bounded rather than asserted.</w:t>
      </w:r>
    </w:p>
    <w:p>
      <w:pPr>
        <w:pStyle w:val="BodyText"/>
        <w:spacing w:line="480" w:lineRule="auto"/>
        <w:ind w:firstLine="720"/>
      </w:pPr>
      <w:r>
        <w:rPr>
          <w:b/>
          <w:bCs/>
        </w:rPr>
        <w:t xml:space="preserve">Table 4.1. Variable operationalization (construct, operational definition, source, scale).</w:t>
      </w:r>
    </w:p>
    <w:tbl>
      <w:tblPr>
        <w:tblStyle w:val="Table"/>
        <w:tblLook w:firstRow="1" w:lastRow="0" w:firstColumn="0" w:lastColumn="0" w:noHBand="0" w:noVBand="0" w:val="0020"/>
        <w:tblLayout w:type="autofit"/>
        <w:tblW w:w="0" w:type="auto"/>
      </w:tblPr>
      <w:tblGrid>
        <w:gridCol w:w="1584"/>
        <w:gridCol w:w="1584"/>
        <w:gridCol w:w="1584"/>
        <w:gridCol w:w="1584"/>
        <w:gridCol w:w="1584"/>
      </w:tblGrid>
      <w:tr>
        <w:trPr>
          <w:tblHeader w:val="on"/>
        </w:trPr>
        <w:tc>
          <w:tcPr>
            <w:tcW w:w="0" w:type="auto"/>
          </w:tcPr>
          <w:p>
            <w:pPr>
              <w:spacing w:line="240" w:lineRule="auto" w:before="0" w:after="0"/>
              <w:pStyle w:val="Compact"/>
            </w:pPr>
            <w:r>
              <w:rPr>
                <w:sz w:val="20"/>
                <w:szCs w:val="20"/>
              </w:rPr>
              <w:t xml:space="preserve">Variable (symbol)</w:t>
            </w:r>
          </w:p>
        </w:tc>
        <w:tc>
          <w:tcPr>
            <w:tcW w:w="0" w:type="auto"/>
          </w:tcPr>
          <w:p>
            <w:pPr>
              <w:spacing w:line="240" w:lineRule="auto" w:before="0" w:after="0"/>
              <w:pStyle w:val="Compact"/>
            </w:pPr>
            <w:r>
              <w:rPr>
                <w:sz w:val="20"/>
                <w:szCs w:val="20"/>
              </w:rPr>
              <w:t xml:space="preserve">Construct</w:t>
            </w:r>
          </w:p>
        </w:tc>
        <w:tc>
          <w:tcPr>
            <w:tcW w:w="0" w:type="auto"/>
          </w:tcPr>
          <w:p>
            <w:pPr>
              <w:spacing w:line="240" w:lineRule="auto" w:before="0" w:after="0"/>
              <w:pStyle w:val="Compact"/>
            </w:pPr>
            <w:r>
              <w:rPr>
                <w:sz w:val="20"/>
                <w:szCs w:val="20"/>
              </w:rPr>
              <w:t xml:space="preserve">Operational definition</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Scale</w:t>
            </w:r>
          </w:p>
        </w:tc>
      </w:tr>
      <w:tr>
        <w:tc>
          <w:tcPr>
            <w:tcW w:w="0" w:type="auto"/>
          </w:tcPr>
          <w:p>
            <w:pPr>
              <w:spacing w:line="240" w:lineRule="auto" w:before="0" w:after="0"/>
              <w:pStyle w:val="Compact"/>
            </w:pPr>
            <w:r>
              <w:rPr>
                <w:sz w:val="20"/>
                <w:szCs w:val="20"/>
              </w:rPr>
              <w:t xml:space="preserve">Delay minutes (</w:t>
            </w:r>
            <w:r>
              <w:rPr>
                <w:rStyle w:val="VerbatimChar"/>
                <w:sz w:val="20"/>
                <w:szCs w:val="20"/>
              </w:rPr>
              <w:t xml:space="preserve">Y_{i,t}</w:t>
            </w:r>
            <w:r>
              <w:rPr>
                <w:sz w:val="20"/>
                <w:szCs w:val="20"/>
              </w:rPr>
              <w:t xml:space="preserve">)</w:t>
            </w:r>
          </w:p>
        </w:tc>
        <w:tc>
          <w:tcPr>
            <w:tcW w:w="0" w:type="auto"/>
          </w:tcPr>
          <w:p>
            <w:pPr>
              <w:spacing w:line="240" w:lineRule="auto" w:before="0" w:after="0"/>
              <w:pStyle w:val="Compact"/>
            </w:pPr>
            <w:r>
              <w:rPr>
                <w:sz w:val="20"/>
                <w:szCs w:val="20"/>
              </w:rPr>
              <w:t xml:space="preserve">Realized schedule disruption</w:t>
            </w:r>
          </w:p>
        </w:tc>
        <w:tc>
          <w:tcPr>
            <w:tcW w:w="0" w:type="auto"/>
          </w:tcPr>
          <w:p>
            <w:pPr>
              <w:spacing w:line="240" w:lineRule="auto" w:before="0" w:after="0"/>
              <w:pStyle w:val="Compact"/>
            </w:pPr>
            <w:r>
              <w:rPr>
                <w:sz w:val="20"/>
                <w:szCs w:val="20"/>
              </w:rPr>
              <w:t xml:space="preserve">Realized minus scheduled times relative to undisrupted baseline</w:t>
            </w:r>
          </w:p>
        </w:tc>
        <w:tc>
          <w:tcPr>
            <w:tcW w:w="0" w:type="auto"/>
          </w:tcPr>
          <w:p>
            <w:pPr>
              <w:spacing w:line="240" w:lineRule="auto" w:before="0" w:after="0"/>
              <w:pStyle w:val="Compact"/>
            </w:pPr>
            <w:r>
              <w:rPr>
                <w:sz w:val="20"/>
                <w:szCs w:val="20"/>
              </w:rPr>
              <w:t xml:space="preserve">FAA SWIM / NAS</w:t>
            </w:r>
          </w:p>
        </w:tc>
        <w:tc>
          <w:tcPr>
            <w:tcW w:w="0" w:type="auto"/>
          </w:tcPr>
          <w:p>
            <w:pPr>
              <w:spacing w:line="240" w:lineRule="auto" w:before="0" w:after="0"/>
              <w:pStyle w:val="Compact"/>
            </w:pPr>
            <w:r>
              <w:rPr>
                <w:sz w:val="20"/>
                <w:szCs w:val="20"/>
              </w:rPr>
              <w:t xml:space="preserve">Continuous, minutes (&gt;=0)</w:t>
            </w:r>
          </w:p>
        </w:tc>
      </w:tr>
      <w:tr>
        <w:tc>
          <w:tcPr>
            <w:tcW w:w="0" w:type="auto"/>
          </w:tcPr>
          <w:p>
            <w:pPr>
              <w:spacing w:line="240" w:lineRule="auto" w:before="0" w:after="0"/>
              <w:pStyle w:val="Compact"/>
            </w:pPr>
            <w:r>
              <w:rPr>
                <w:sz w:val="20"/>
                <w:szCs w:val="20"/>
              </w:rPr>
              <w:t xml:space="preserve">Added distance (</w:t>
            </w:r>
            <w:r>
              <w:rPr>
                <w:rStyle w:val="VerbatimChar"/>
                <w:sz w:val="20"/>
                <w:szCs w:val="20"/>
              </w:rPr>
              <w:t xml:space="preserve">Y_{i,t}</w:t>
            </w:r>
            <w:r>
              <w:rPr>
                <w:sz w:val="20"/>
                <w:szCs w:val="20"/>
              </w:rPr>
              <w:t xml:space="preserve">)</w:t>
            </w:r>
          </w:p>
        </w:tc>
        <w:tc>
          <w:tcPr>
            <w:tcW w:w="0" w:type="auto"/>
          </w:tcPr>
          <w:p>
            <w:pPr>
              <w:spacing w:line="240" w:lineRule="auto" w:before="0" w:after="0"/>
              <w:pStyle w:val="Compact"/>
            </w:pPr>
            <w:r>
              <w:rPr>
                <w:sz w:val="20"/>
                <w:szCs w:val="20"/>
              </w:rPr>
              <w:t xml:space="preserve">Routing inefficiency</w:t>
            </w:r>
          </w:p>
        </w:tc>
        <w:tc>
          <w:tcPr>
            <w:tcW w:w="0" w:type="auto"/>
          </w:tcPr>
          <w:p>
            <w:pPr>
              <w:spacing w:line="240" w:lineRule="auto" w:before="0" w:after="0"/>
              <w:pStyle w:val="Compact"/>
            </w:pPr>
            <w:r>
              <w:rPr>
                <w:sz w:val="20"/>
                <w:szCs w:val="20"/>
              </w:rPr>
              <w:t xml:space="preserve">Flown distance minus great-circle or filed distance</w:t>
            </w:r>
          </w:p>
        </w:tc>
        <w:tc>
          <w:tcPr>
            <w:tcW w:w="0" w:type="auto"/>
          </w:tcPr>
          <w:p>
            <w:pPr>
              <w:spacing w:line="240" w:lineRule="auto" w:before="0" w:after="0"/>
              <w:pStyle w:val="Compact"/>
            </w:pPr>
            <w:r>
              <w:rPr>
                <w:sz w:val="20"/>
                <w:szCs w:val="20"/>
              </w:rPr>
              <w:t xml:space="preserve">FAA flown trajectories</w:t>
            </w:r>
          </w:p>
        </w:tc>
        <w:tc>
          <w:tcPr>
            <w:tcW w:w="0" w:type="auto"/>
          </w:tcPr>
          <w:p>
            <w:pPr>
              <w:spacing w:line="240" w:lineRule="auto" w:before="0" w:after="0"/>
              <w:pStyle w:val="Compact"/>
            </w:pPr>
            <w:r>
              <w:rPr>
                <w:sz w:val="20"/>
                <w:szCs w:val="20"/>
              </w:rPr>
              <w:t xml:space="preserve">Continuous, nautical miles</w:t>
            </w:r>
          </w:p>
        </w:tc>
      </w:tr>
      <w:tr>
        <w:tc>
          <w:tcPr>
            <w:tcW w:w="0" w:type="auto"/>
          </w:tcPr>
          <w:p>
            <w:pPr>
              <w:spacing w:line="240" w:lineRule="auto" w:before="0" w:after="0"/>
              <w:pStyle w:val="Compact"/>
            </w:pPr>
            <w:r>
              <w:rPr>
                <w:sz w:val="20"/>
                <w:szCs w:val="20"/>
              </w:rPr>
              <w:t xml:space="preserve">Fuel burn (</w:t>
            </w:r>
            <w:r>
              <w:rPr>
                <w:rStyle w:val="VerbatimChar"/>
                <w:sz w:val="20"/>
                <w:szCs w:val="20"/>
              </w:rPr>
              <w:t xml:space="preserve">Y_{i,t}</w:t>
            </w:r>
            <w:r>
              <w:rPr>
                <w:sz w:val="20"/>
                <w:szCs w:val="20"/>
              </w:rPr>
              <w:t xml:space="preserve">)</w:t>
            </w:r>
          </w:p>
        </w:tc>
        <w:tc>
          <w:tcPr>
            <w:tcW w:w="0" w:type="auto"/>
          </w:tcPr>
          <w:p>
            <w:pPr>
              <w:spacing w:line="240" w:lineRule="auto" w:before="0" w:after="0"/>
              <w:pStyle w:val="Compact"/>
            </w:pPr>
            <w:r>
              <w:rPr>
                <w:sz w:val="20"/>
                <w:szCs w:val="20"/>
              </w:rPr>
              <w:t xml:space="preserve">Physical resource cost</w:t>
            </w:r>
          </w:p>
        </w:tc>
        <w:tc>
          <w:tcPr>
            <w:tcW w:w="0" w:type="auto"/>
          </w:tcPr>
          <w:p>
            <w:pPr>
              <w:spacing w:line="240" w:lineRule="auto" w:before="0" w:after="0"/>
              <w:pStyle w:val="Compact"/>
            </w:pPr>
            <w:r>
              <w:rPr>
                <w:sz w:val="20"/>
                <w:szCs w:val="20"/>
              </w:rPr>
              <w:t xml:space="preserve">Function of added distance and aircraft type via burn factors</w:t>
            </w:r>
          </w:p>
        </w:tc>
        <w:tc>
          <w:tcPr>
            <w:tcW w:w="0" w:type="auto"/>
          </w:tcPr>
          <w:p>
            <w:pPr>
              <w:spacing w:line="240" w:lineRule="auto" w:before="0" w:after="0"/>
              <w:pStyle w:val="Compact"/>
            </w:pPr>
            <w:r>
              <w:rPr>
                <w:sz w:val="20"/>
                <w:szCs w:val="20"/>
              </w:rPr>
              <w:t xml:space="preserve">FAA records + burn coefficients</w:t>
            </w:r>
          </w:p>
        </w:tc>
        <w:tc>
          <w:tcPr>
            <w:tcW w:w="0" w:type="auto"/>
          </w:tcPr>
          <w:p>
            <w:pPr>
              <w:spacing w:line="240" w:lineRule="auto" w:before="0" w:after="0"/>
              <w:pStyle w:val="Compact"/>
            </w:pPr>
            <w:r>
              <w:rPr>
                <w:sz w:val="20"/>
                <w:szCs w:val="20"/>
              </w:rPr>
              <w:t xml:space="preserve">Continuous, kg or lb fuel</w:t>
            </w:r>
          </w:p>
        </w:tc>
      </w:tr>
      <w:tr>
        <w:tc>
          <w:tcPr>
            <w:tcW w:w="0" w:type="auto"/>
          </w:tcPr>
          <w:p>
            <w:pPr>
              <w:spacing w:line="240" w:lineRule="auto" w:before="0" w:after="0"/>
              <w:pStyle w:val="Compact"/>
            </w:pPr>
            <w:r>
              <w:rPr>
                <w:sz w:val="20"/>
                <w:szCs w:val="20"/>
              </w:rPr>
              <w:t xml:space="preserve">Direct operating cost (</w:t>
            </w:r>
            <w:r>
              <w:rPr>
                <w:rStyle w:val="VerbatimChar"/>
                <w:sz w:val="20"/>
                <w:szCs w:val="20"/>
              </w:rPr>
              <w:t xml:space="preserve">Y_{i,t}</w:t>
            </w:r>
            <w:r>
              <w:rPr>
                <w:sz w:val="20"/>
                <w:szCs w:val="20"/>
              </w:rPr>
              <w:t xml:space="preserve">)</w:t>
            </w:r>
          </w:p>
        </w:tc>
        <w:tc>
          <w:tcPr>
            <w:tcW w:w="0" w:type="auto"/>
          </w:tcPr>
          <w:p>
            <w:pPr>
              <w:spacing w:line="240" w:lineRule="auto" w:before="0" w:after="0"/>
              <w:pStyle w:val="Compact"/>
            </w:pPr>
            <w:r>
              <w:rPr>
                <w:sz w:val="20"/>
                <w:szCs w:val="20"/>
              </w:rPr>
              <w:t xml:space="preserve">Monetized disruption cost</w:t>
            </w:r>
          </w:p>
        </w:tc>
        <w:tc>
          <w:tcPr>
            <w:tcW w:w="0" w:type="auto"/>
          </w:tcPr>
          <w:p>
            <w:pPr>
              <w:spacing w:line="240" w:lineRule="auto" w:before="0" w:after="0"/>
              <w:pStyle w:val="Compact"/>
            </w:pPr>
            <w:r>
              <w:rPr>
                <w:sz w:val="20"/>
                <w:szCs w:val="20"/>
              </w:rPr>
              <w:t xml:space="preserve">Delay and distance via per-block-hour and per-nm cost factors by class</w:t>
            </w:r>
          </w:p>
        </w:tc>
        <w:tc>
          <w:tcPr>
            <w:tcW w:w="0" w:type="auto"/>
          </w:tcPr>
          <w:p>
            <w:pPr>
              <w:spacing w:line="240" w:lineRule="auto" w:before="0" w:after="0"/>
              <w:pStyle w:val="Compact"/>
            </w:pPr>
            <w:r>
              <w:rPr>
                <w:sz w:val="20"/>
                <w:szCs w:val="20"/>
              </w:rPr>
              <w:t xml:space="preserve">FAA records + cost factors</w:t>
            </w:r>
          </w:p>
        </w:tc>
        <w:tc>
          <w:tcPr>
            <w:tcW w:w="0" w:type="auto"/>
          </w:tcPr>
          <w:p>
            <w:pPr>
              <w:spacing w:line="240" w:lineRule="auto" w:before="0" w:after="0"/>
              <w:pStyle w:val="Compact"/>
            </w:pPr>
            <w:r>
              <w:rPr>
                <w:sz w:val="20"/>
                <w:szCs w:val="20"/>
              </w:rPr>
              <w:t xml:space="preserve">Continuous, USD</w:t>
            </w:r>
          </w:p>
        </w:tc>
      </w:tr>
      <w:tr>
        <w:tc>
          <w:tcPr>
            <w:tcW w:w="0" w:type="auto"/>
          </w:tcPr>
          <w:p>
            <w:pPr>
              <w:spacing w:line="240" w:lineRule="auto" w:before="0" w:after="0"/>
              <w:pStyle w:val="Compact"/>
            </w:pPr>
            <w:r>
              <w:rPr>
                <w:sz w:val="20"/>
                <w:szCs w:val="20"/>
              </w:rPr>
              <w:t xml:space="preserve">AHA exposure (treatment)</w:t>
            </w:r>
          </w:p>
        </w:tc>
        <w:tc>
          <w:tcPr>
            <w:tcW w:w="0" w:type="auto"/>
          </w:tcPr>
          <w:p>
            <w:pPr>
              <w:spacing w:line="240" w:lineRule="auto" w:before="0" w:after="0"/>
              <w:pStyle w:val="Compact"/>
            </w:pPr>
            <w:r>
              <w:rPr>
                <w:sz w:val="20"/>
                <w:szCs w:val="20"/>
              </w:rPr>
              <w:t xml:space="preserve">Subject to reentry closure</w:t>
            </w:r>
          </w:p>
        </w:tc>
        <w:tc>
          <w:tcPr>
            <w:tcW w:w="0" w:type="auto"/>
          </w:tcPr>
          <w:p>
            <w:pPr>
              <w:spacing w:line="240" w:lineRule="auto" w:before="0" w:after="0"/>
              <w:pStyle w:val="Compact"/>
            </w:pPr>
            <w:r>
              <w:rPr>
                <w:sz w:val="20"/>
                <w:szCs w:val="20"/>
              </w:rPr>
              <w:t xml:space="preserve">Binary: cell intersects active AHA polygon and window</w:t>
            </w:r>
          </w:p>
        </w:tc>
        <w:tc>
          <w:tcPr>
            <w:tcW w:w="0" w:type="auto"/>
          </w:tcPr>
          <w:p>
            <w:pPr>
              <w:spacing w:line="240" w:lineRule="auto" w:before="0" w:after="0"/>
              <w:pStyle w:val="Compact"/>
            </w:pPr>
            <w:r>
              <w:rPr>
                <w:sz w:val="20"/>
                <w:szCs w:val="20"/>
              </w:rPr>
              <w:t xml:space="preserve">EU SST footprint via ReentryFlow</w:t>
            </w:r>
          </w:p>
        </w:tc>
        <w:tc>
          <w:tcPr>
            <w:tcW w:w="0" w:type="auto"/>
          </w:tcPr>
          <w:p>
            <w:pPr>
              <w:spacing w:line="240" w:lineRule="auto" w:before="0" w:after="0"/>
              <w:pStyle w:val="Compact"/>
            </w:pPr>
            <w:r>
              <w:rPr>
                <w:sz w:val="20"/>
                <w:szCs w:val="20"/>
              </w:rPr>
              <w:t xml:space="preserve">Binary {0,1}; measured with error</w:t>
            </w:r>
          </w:p>
        </w:tc>
      </w:tr>
      <w:tr>
        <w:tc>
          <w:tcPr>
            <w:tcW w:w="0" w:type="auto"/>
          </w:tcPr>
          <w:p>
            <w:pPr>
              <w:spacing w:line="240" w:lineRule="auto" w:before="0" w:after="0"/>
              <w:pStyle w:val="Compact"/>
            </w:pPr>
            <w:r>
              <w:rPr>
                <w:sz w:val="20"/>
                <w:szCs w:val="20"/>
              </w:rPr>
              <w:t xml:space="preserve">First-treatment cohort (</w:t>
            </w:r>
            <w:r>
              <w:rPr>
                <w:rStyle w:val="VerbatimChar"/>
                <w:sz w:val="20"/>
                <w:szCs w:val="20"/>
              </w:rPr>
              <w:t xml:space="preserve">G_i = g</w:t>
            </w:r>
            <w:r>
              <w:rPr>
                <w:sz w:val="20"/>
                <w:szCs w:val="20"/>
              </w:rPr>
              <w:t xml:space="preserve">)</w:t>
            </w:r>
          </w:p>
        </w:tc>
        <w:tc>
          <w:tcPr>
            <w:tcW w:w="0" w:type="auto"/>
          </w:tcPr>
          <w:p>
            <w:pPr>
              <w:spacing w:line="240" w:lineRule="auto" w:before="0" w:after="0"/>
              <w:pStyle w:val="Compact"/>
            </w:pPr>
            <w:r>
              <w:rPr>
                <w:sz w:val="20"/>
                <w:szCs w:val="20"/>
              </w:rPr>
              <w:t xml:space="preserve">First-treatment timing</w:t>
            </w:r>
          </w:p>
        </w:tc>
        <w:tc>
          <w:tcPr>
            <w:tcW w:w="0" w:type="auto"/>
          </w:tcPr>
          <w:p>
            <w:pPr>
              <w:spacing w:line="240" w:lineRule="auto" w:before="0" w:after="0"/>
              <w:pStyle w:val="Compact"/>
            </w:pPr>
            <w:r>
              <w:rPr>
                <w:sz w:val="20"/>
                <w:szCs w:val="20"/>
              </w:rPr>
              <w:t xml:space="preserve">Window of first reentry closure for the cell</w:t>
            </w:r>
          </w:p>
        </w:tc>
        <w:tc>
          <w:tcPr>
            <w:tcW w:w="0" w:type="auto"/>
          </w:tcPr>
          <w:p>
            <w:pPr>
              <w:spacing w:line="240" w:lineRule="auto" w:before="0" w:after="0"/>
              <w:pStyle w:val="Compact"/>
            </w:pPr>
            <w:r>
              <w:rPr>
                <w:sz w:val="20"/>
                <w:szCs w:val="20"/>
              </w:rPr>
              <w:t xml:space="preserve">EU SST event timestamps</w:t>
            </w:r>
          </w:p>
        </w:tc>
        <w:tc>
          <w:tcPr>
            <w:tcW w:w="0" w:type="auto"/>
          </w:tcPr>
          <w:p>
            <w:pPr>
              <w:spacing w:line="240" w:lineRule="auto" w:before="0" w:after="0"/>
              <w:pStyle w:val="Compact"/>
            </w:pPr>
            <w:r>
              <w:rPr>
                <w:sz w:val="20"/>
                <w:szCs w:val="20"/>
              </w:rPr>
              <w:t xml:space="preserve">Discrete window index</w:t>
            </w:r>
          </w:p>
        </w:tc>
      </w:tr>
      <w:tr>
        <w:tc>
          <w:tcPr>
            <w:tcW w:w="0" w:type="auto"/>
          </w:tcPr>
          <w:p>
            <w:pPr>
              <w:spacing w:line="240" w:lineRule="auto" w:before="0" w:after="0"/>
              <w:pStyle w:val="Compact"/>
            </w:pPr>
            <w:r>
              <w:rPr>
                <w:sz w:val="20"/>
                <w:szCs w:val="20"/>
              </w:rPr>
              <w:t xml:space="preserve">Treatment intensity</w:t>
            </w:r>
          </w:p>
        </w:tc>
        <w:tc>
          <w:tcPr>
            <w:tcW w:w="0" w:type="auto"/>
          </w:tcPr>
          <w:p>
            <w:pPr>
              <w:spacing w:line="240" w:lineRule="auto" w:before="0" w:after="0"/>
              <w:pStyle w:val="Compact"/>
            </w:pPr>
            <w:r>
              <w:rPr>
                <w:sz w:val="20"/>
                <w:szCs w:val="20"/>
              </w:rPr>
              <w:t xml:space="preserve">Required closure size</w:t>
            </w:r>
          </w:p>
        </w:tc>
        <w:tc>
          <w:tcPr>
            <w:tcW w:w="0" w:type="auto"/>
          </w:tcPr>
          <w:p>
            <w:pPr>
              <w:spacing w:line="240" w:lineRule="auto" w:before="0" w:after="0"/>
              <w:pStyle w:val="Compact"/>
            </w:pPr>
            <w:r>
              <w:rPr>
                <w:sz w:val="20"/>
                <w:szCs w:val="20"/>
              </w:rPr>
              <w:t xml:space="preserve">Along-track/cross-track dispersion at closure-decision time</w:t>
            </w:r>
          </w:p>
        </w:tc>
        <w:tc>
          <w:tcPr>
            <w:tcW w:w="0" w:type="auto"/>
          </w:tcPr>
          <w:p>
            <w:pPr>
              <w:spacing w:line="240" w:lineRule="auto" w:before="0" w:after="0"/>
              <w:pStyle w:val="Compact"/>
            </w:pPr>
            <w:r>
              <w:rPr>
                <w:sz w:val="20"/>
                <w:szCs w:val="20"/>
              </w:rPr>
              <w:t xml:space="preserve">EU SST prediction record</w:t>
            </w:r>
          </w:p>
        </w:tc>
        <w:tc>
          <w:tcPr>
            <w:tcW w:w="0" w:type="auto"/>
          </w:tcPr>
          <w:p>
            <w:pPr>
              <w:spacing w:line="240" w:lineRule="auto" w:before="0" w:after="0"/>
              <w:pStyle w:val="Compact"/>
            </w:pPr>
            <w:r>
              <w:rPr>
                <w:sz w:val="20"/>
                <w:szCs w:val="20"/>
              </w:rPr>
              <w:t xml:space="preserve">Continuous, km dispersion</w:t>
            </w:r>
          </w:p>
        </w:tc>
      </w:tr>
      <w:tr>
        <w:tc>
          <w:tcPr>
            <w:tcW w:w="0" w:type="auto"/>
          </w:tcPr>
          <w:p>
            <w:pPr>
              <w:spacing w:line="240" w:lineRule="auto" w:before="0" w:after="0"/>
              <w:pStyle w:val="Compact"/>
            </w:pPr>
            <w:r>
              <w:rPr>
                <w:sz w:val="20"/>
                <w:szCs w:val="20"/>
              </w:rPr>
              <w:t xml:space="preserve">Sector traffic density</w:t>
            </w:r>
          </w:p>
        </w:tc>
        <w:tc>
          <w:tcPr>
            <w:tcW w:w="0" w:type="auto"/>
          </w:tcPr>
          <w:p>
            <w:pPr>
              <w:spacing w:line="240" w:lineRule="auto" w:before="0" w:after="0"/>
              <w:pStyle w:val="Compact"/>
            </w:pPr>
            <w:r>
              <w:rPr>
                <w:sz w:val="20"/>
                <w:szCs w:val="20"/>
              </w:rPr>
              <w:t xml:space="preserve">Displaced traffic volume</w:t>
            </w:r>
          </w:p>
        </w:tc>
        <w:tc>
          <w:tcPr>
            <w:tcW w:w="0" w:type="auto"/>
          </w:tcPr>
          <w:p>
            <w:pPr>
              <w:spacing w:line="240" w:lineRule="auto" w:before="0" w:after="0"/>
              <w:pStyle w:val="Compact"/>
            </w:pPr>
            <w:r>
              <w:rPr>
                <w:sz w:val="20"/>
                <w:szCs w:val="20"/>
              </w:rPr>
              <w:t xml:space="preserve">Flights per unit time in undisrupted baseline</w:t>
            </w:r>
          </w:p>
        </w:tc>
        <w:tc>
          <w:tcPr>
            <w:tcW w:w="0" w:type="auto"/>
          </w:tcPr>
          <w:p>
            <w:pPr>
              <w:spacing w:line="240" w:lineRule="auto" w:before="0" w:after="0"/>
              <w:pStyle w:val="Compact"/>
            </w:pPr>
            <w:r>
              <w:rPr>
                <w:sz w:val="20"/>
                <w:szCs w:val="20"/>
              </w:rPr>
              <w:t xml:space="preserve">FAA records</w:t>
            </w:r>
          </w:p>
        </w:tc>
        <w:tc>
          <w:tcPr>
            <w:tcW w:w="0" w:type="auto"/>
          </w:tcPr>
          <w:p>
            <w:pPr>
              <w:spacing w:line="240" w:lineRule="auto" w:before="0" w:after="0"/>
              <w:pStyle w:val="Compact"/>
            </w:pPr>
            <w:r>
              <w:rPr>
                <w:sz w:val="20"/>
                <w:szCs w:val="20"/>
              </w:rPr>
              <w:t xml:space="preserve">Continuous, count rate</w:t>
            </w:r>
          </w:p>
        </w:tc>
      </w:tr>
      <w:tr>
        <w:tc>
          <w:tcPr>
            <w:tcW w:w="0" w:type="auto"/>
          </w:tcPr>
          <w:p>
            <w:pPr>
              <w:spacing w:line="240" w:lineRule="auto" w:before="0" w:after="0"/>
              <w:pStyle w:val="Compact"/>
            </w:pPr>
            <w:r>
              <w:rPr>
                <w:sz w:val="20"/>
                <w:szCs w:val="20"/>
              </w:rPr>
              <w:t xml:space="preserve">Time-of-day / day-of-week / season</w:t>
            </w:r>
          </w:p>
        </w:tc>
        <w:tc>
          <w:tcPr>
            <w:tcW w:w="0" w:type="auto"/>
          </w:tcPr>
          <w:p>
            <w:pPr>
              <w:spacing w:line="240" w:lineRule="auto" w:before="0" w:after="0"/>
              <w:pStyle w:val="Compact"/>
            </w:pPr>
            <w:r>
              <w:rPr>
                <w:sz w:val="20"/>
                <w:szCs w:val="20"/>
              </w:rPr>
              <w:t xml:space="preserve">Temporal demand</w:t>
            </w:r>
          </w:p>
        </w:tc>
        <w:tc>
          <w:tcPr>
            <w:tcW w:w="0" w:type="auto"/>
          </w:tcPr>
          <w:p>
            <w:pPr>
              <w:spacing w:line="240" w:lineRule="auto" w:before="0" w:after="0"/>
              <w:pStyle w:val="Compact"/>
            </w:pPr>
            <w:r>
              <w:rPr>
                <w:sz w:val="20"/>
                <w:szCs w:val="20"/>
              </w:rPr>
              <w:t xml:space="preserve">Categorical/cyclical encodings of window timestamp</w:t>
            </w:r>
          </w:p>
        </w:tc>
        <w:tc>
          <w:tcPr>
            <w:tcW w:w="0" w:type="auto"/>
          </w:tcPr>
          <w:p>
            <w:pPr>
              <w:spacing w:line="240" w:lineRule="auto" w:before="0" w:after="0"/>
              <w:pStyle w:val="Compact"/>
            </w:pPr>
            <w:r>
              <w:rPr>
                <w:sz w:val="20"/>
                <w:szCs w:val="20"/>
              </w:rPr>
              <w:t xml:space="preserve">Window definition</w:t>
            </w:r>
          </w:p>
        </w:tc>
        <w:tc>
          <w:tcPr>
            <w:tcW w:w="0" w:type="auto"/>
          </w:tcPr>
          <w:p>
            <w:pPr>
              <w:spacing w:line="240" w:lineRule="auto" w:before="0" w:after="0"/>
              <w:pStyle w:val="Compact"/>
            </w:pPr>
            <w:r>
              <w:rPr>
                <w:sz w:val="20"/>
                <w:szCs w:val="20"/>
              </w:rPr>
              <w:t xml:space="preserve">Categorical</w:t>
            </w:r>
          </w:p>
        </w:tc>
      </w:tr>
      <w:tr>
        <w:tc>
          <w:tcPr>
            <w:tcW w:w="0" w:type="auto"/>
          </w:tcPr>
          <w:p>
            <w:pPr>
              <w:spacing w:line="240" w:lineRule="auto" w:before="0" w:after="0"/>
              <w:pStyle w:val="Compact"/>
            </w:pPr>
            <w:r>
              <w:rPr>
                <w:sz w:val="20"/>
                <w:szCs w:val="20"/>
              </w:rPr>
              <w:t xml:space="preserve">Weather severity</w:t>
            </w:r>
          </w:p>
        </w:tc>
        <w:tc>
          <w:tcPr>
            <w:tcW w:w="0" w:type="auto"/>
          </w:tcPr>
          <w:p>
            <w:pPr>
              <w:spacing w:line="240" w:lineRule="auto" w:before="0" w:after="0"/>
              <w:pStyle w:val="Compact"/>
            </w:pPr>
            <w:r>
              <w:rPr>
                <w:sz w:val="20"/>
                <w:szCs w:val="20"/>
              </w:rPr>
              <w:t xml:space="preserve">Principal confounder</w:t>
            </w:r>
          </w:p>
        </w:tc>
        <w:tc>
          <w:tcPr>
            <w:tcW w:w="0" w:type="auto"/>
          </w:tcPr>
          <w:p>
            <w:pPr>
              <w:spacing w:line="240" w:lineRule="auto" w:before="0" w:after="0"/>
              <w:pStyle w:val="Compact"/>
            </w:pPr>
            <w:r>
              <w:rPr>
                <w:sz w:val="20"/>
                <w:szCs w:val="20"/>
              </w:rPr>
              <w:t xml:space="preserve">Weather-severity index over sector and window</w:t>
            </w:r>
          </w:p>
        </w:tc>
        <w:tc>
          <w:tcPr>
            <w:tcW w:w="0" w:type="auto"/>
          </w:tcPr>
          <w:p>
            <w:pPr>
              <w:spacing w:line="240" w:lineRule="auto" w:before="0" w:after="0"/>
              <w:pStyle w:val="Compact"/>
            </w:pPr>
            <w:r>
              <w:rPr>
                <w:sz w:val="20"/>
                <w:szCs w:val="20"/>
              </w:rPr>
              <w:t xml:space="preserve">Meteorological records</w:t>
            </w:r>
          </w:p>
        </w:tc>
        <w:tc>
          <w:tcPr>
            <w:tcW w:w="0" w:type="auto"/>
          </w:tcPr>
          <w:p>
            <w:pPr>
              <w:spacing w:line="240" w:lineRule="auto" w:before="0" w:after="0"/>
              <w:pStyle w:val="Compact"/>
            </w:pPr>
            <w:r>
              <w:rPr>
                <w:sz w:val="20"/>
                <w:szCs w:val="20"/>
              </w:rPr>
              <w:t xml:space="preserve">Continuous/ordinal</w:t>
            </w:r>
          </w:p>
        </w:tc>
      </w:tr>
      <w:tr>
        <w:tc>
          <w:tcPr>
            <w:tcW w:w="0" w:type="auto"/>
          </w:tcPr>
          <w:p>
            <w:pPr>
              <w:spacing w:line="240" w:lineRule="auto" w:before="0" w:after="0"/>
              <w:pStyle w:val="Compact"/>
            </w:pPr>
            <w:r>
              <w:rPr>
                <w:sz w:val="20"/>
                <w:szCs w:val="20"/>
              </w:rPr>
              <w:t xml:space="preserve">Concurrent TMIs</w:t>
            </w:r>
          </w:p>
        </w:tc>
        <w:tc>
          <w:tcPr>
            <w:tcW w:w="0" w:type="auto"/>
          </w:tcPr>
          <w:p>
            <w:pPr>
              <w:spacing w:line="240" w:lineRule="auto" w:before="0" w:after="0"/>
              <w:pStyle w:val="Compact"/>
            </w:pPr>
            <w:r>
              <w:rPr>
                <w:sz w:val="20"/>
                <w:szCs w:val="20"/>
              </w:rPr>
              <w:t xml:space="preserve">Other operational disruption</w:t>
            </w:r>
          </w:p>
        </w:tc>
        <w:tc>
          <w:tcPr>
            <w:tcW w:w="0" w:type="auto"/>
          </w:tcPr>
          <w:p>
            <w:pPr>
              <w:spacing w:line="240" w:lineRule="auto" w:before="0" w:after="0"/>
              <w:pStyle w:val="Compact"/>
            </w:pPr>
            <w:r>
              <w:rPr>
                <w:sz w:val="20"/>
                <w:szCs w:val="20"/>
              </w:rPr>
              <w:t xml:space="preserve">Indicator/count of active traffic-management initiatives</w:t>
            </w:r>
          </w:p>
        </w:tc>
        <w:tc>
          <w:tcPr>
            <w:tcW w:w="0" w:type="auto"/>
          </w:tcPr>
          <w:p>
            <w:pPr>
              <w:spacing w:line="240" w:lineRule="auto" w:before="0" w:after="0"/>
              <w:pStyle w:val="Compact"/>
            </w:pPr>
            <w:r>
              <w:rPr>
                <w:sz w:val="20"/>
                <w:szCs w:val="20"/>
              </w:rPr>
              <w:t xml:space="preserve">FAA TMI records</w:t>
            </w:r>
          </w:p>
        </w:tc>
        <w:tc>
          <w:tcPr>
            <w:tcW w:w="0" w:type="auto"/>
          </w:tcPr>
          <w:p>
            <w:pPr>
              <w:spacing w:line="240" w:lineRule="auto" w:before="0" w:after="0"/>
              <w:pStyle w:val="Compact"/>
            </w:pPr>
            <w:r>
              <w:rPr>
                <w:sz w:val="20"/>
                <w:szCs w:val="20"/>
              </w:rPr>
              <w:t xml:space="preserve">Indicator/count</w:t>
            </w:r>
          </w:p>
        </w:tc>
      </w:tr>
      <w:tr>
        <w:tc>
          <w:tcPr>
            <w:tcW w:w="0" w:type="auto"/>
          </w:tcPr>
          <w:p>
            <w:pPr>
              <w:spacing w:line="240" w:lineRule="auto" w:before="0" w:after="0"/>
              <w:pStyle w:val="Compact"/>
            </w:pPr>
            <w:r>
              <w:rPr>
                <w:sz w:val="20"/>
                <w:szCs w:val="20"/>
              </w:rPr>
              <w:t xml:space="preserve">Aircraft-class mix</w:t>
            </w:r>
          </w:p>
        </w:tc>
        <w:tc>
          <w:tcPr>
            <w:tcW w:w="0" w:type="auto"/>
          </w:tcPr>
          <w:p>
            <w:pPr>
              <w:spacing w:line="240" w:lineRule="auto" w:before="0" w:after="0"/>
              <w:pStyle w:val="Compact"/>
            </w:pPr>
            <w:r>
              <w:rPr>
                <w:sz w:val="20"/>
                <w:szCs w:val="20"/>
              </w:rPr>
              <w:t xml:space="preserve">Impact heterogeneity by class</w:t>
            </w:r>
          </w:p>
        </w:tc>
        <w:tc>
          <w:tcPr>
            <w:tcW w:w="0" w:type="auto"/>
          </w:tcPr>
          <w:p>
            <w:pPr>
              <w:spacing w:line="240" w:lineRule="auto" w:before="0" w:after="0"/>
              <w:pStyle w:val="Compact"/>
            </w:pPr>
            <w:r>
              <w:rPr>
                <w:sz w:val="20"/>
                <w:szCs w:val="20"/>
              </w:rPr>
              <w:t xml:space="preserve">Share of flights by class in the cell</w:t>
            </w:r>
          </w:p>
        </w:tc>
        <w:tc>
          <w:tcPr>
            <w:tcW w:w="0" w:type="auto"/>
          </w:tcPr>
          <w:p>
            <w:pPr>
              <w:spacing w:line="240" w:lineRule="auto" w:before="0" w:after="0"/>
              <w:pStyle w:val="Compact"/>
            </w:pPr>
            <w:r>
              <w:rPr>
                <w:sz w:val="20"/>
                <w:szCs w:val="20"/>
              </w:rPr>
              <w:t xml:space="preserve">FAA records</w:t>
            </w:r>
          </w:p>
        </w:tc>
        <w:tc>
          <w:tcPr>
            <w:tcW w:w="0" w:type="auto"/>
          </w:tcPr>
          <w:p>
            <w:pPr>
              <w:spacing w:line="240" w:lineRule="auto" w:before="0" w:after="0"/>
              <w:pStyle w:val="Compact"/>
            </w:pPr>
            <w:r>
              <w:rPr>
                <w:sz w:val="20"/>
                <w:szCs w:val="20"/>
              </w:rPr>
              <w:t xml:space="preserve">Proportions</w:t>
            </w:r>
          </w:p>
        </w:tc>
      </w:tr>
      <w:tr>
        <w:tc>
          <w:tcPr>
            <w:tcW w:w="0" w:type="auto"/>
          </w:tcPr>
          <w:p>
            <w:pPr>
              <w:spacing w:line="240" w:lineRule="auto" w:before="0" w:after="0"/>
              <w:pStyle w:val="Compact"/>
            </w:pPr>
            <w:r>
              <w:rPr>
                <w:sz w:val="20"/>
                <w:szCs w:val="20"/>
              </w:rPr>
              <w:t xml:space="preserve">Great-circle distance</w:t>
            </w:r>
          </w:p>
        </w:tc>
        <w:tc>
          <w:tcPr>
            <w:tcW w:w="0" w:type="auto"/>
          </w:tcPr>
          <w:p>
            <w:pPr>
              <w:spacing w:line="240" w:lineRule="auto" w:before="0" w:after="0"/>
              <w:pStyle w:val="Compact"/>
            </w:pPr>
            <w:r>
              <w:rPr>
                <w:sz w:val="20"/>
                <w:szCs w:val="20"/>
              </w:rPr>
              <w:t xml:space="preserve">Route length scaling cost</w:t>
            </w:r>
          </w:p>
        </w:tc>
        <w:tc>
          <w:tcPr>
            <w:tcW w:w="0" w:type="auto"/>
          </w:tcPr>
          <w:p>
            <w:pPr>
              <w:spacing w:line="240" w:lineRule="auto" w:before="0" w:after="0"/>
              <w:pStyle w:val="Compact"/>
            </w:pPr>
            <w:r>
              <w:rPr>
                <w:sz w:val="20"/>
                <w:szCs w:val="20"/>
              </w:rPr>
              <w:t xml:space="preserve">Great-circle distance of affected origin-destination pairs</w:t>
            </w:r>
          </w:p>
        </w:tc>
        <w:tc>
          <w:tcPr>
            <w:tcW w:w="0" w:type="auto"/>
          </w:tcPr>
          <w:p>
            <w:pPr>
              <w:spacing w:line="240" w:lineRule="auto" w:before="0" w:after="0"/>
              <w:pStyle w:val="Compact"/>
            </w:pPr>
            <w:r>
              <w:rPr>
                <w:sz w:val="20"/>
                <w:szCs w:val="20"/>
              </w:rPr>
              <w:t xml:space="preserve">FAA records</w:t>
            </w:r>
          </w:p>
        </w:tc>
        <w:tc>
          <w:tcPr>
            <w:tcW w:w="0" w:type="auto"/>
          </w:tcPr>
          <w:p>
            <w:pPr>
              <w:spacing w:line="240" w:lineRule="auto" w:before="0" w:after="0"/>
              <w:pStyle w:val="Compact"/>
            </w:pPr>
            <w:r>
              <w:rPr>
                <w:sz w:val="20"/>
                <w:szCs w:val="20"/>
              </w:rPr>
              <w:t xml:space="preserve">Continuous, nautical miles</w:t>
            </w:r>
          </w:p>
        </w:tc>
      </w:tr>
      <w:tr>
        <w:tc>
          <w:tcPr>
            <w:tcW w:w="0" w:type="auto"/>
          </w:tcPr>
          <w:p>
            <w:pPr>
              <w:spacing w:line="240" w:lineRule="auto" w:before="0" w:after="0"/>
              <w:pStyle w:val="Compact"/>
            </w:pPr>
            <w:r>
              <w:rPr>
                <w:sz w:val="20"/>
                <w:szCs w:val="20"/>
              </w:rPr>
              <w:t xml:space="preserve">Disruption parameter</w:t>
            </w:r>
          </w:p>
        </w:tc>
        <w:tc>
          <w:tcPr>
            <w:tcW w:w="0" w:type="auto"/>
          </w:tcPr>
          <w:p>
            <w:pPr>
              <w:spacing w:line="240" w:lineRule="auto" w:before="0" w:after="0"/>
              <w:pStyle w:val="Compact"/>
            </w:pPr>
            <w:r>
              <w:rPr>
                <w:sz w:val="20"/>
                <w:szCs w:val="20"/>
              </w:rPr>
              <w:t xml:space="preserve">Per-event NAS cost</w:t>
            </w:r>
          </w:p>
        </w:tc>
        <w:tc>
          <w:tcPr>
            <w:tcW w:w="0" w:type="auto"/>
          </w:tcPr>
          <w:p>
            <w:pPr>
              <w:spacing w:line="240" w:lineRule="auto" w:before="0" w:after="0"/>
              <w:pStyle w:val="Compact"/>
            </w:pPr>
            <w:r>
              <w:rPr>
                <w:sz w:val="20"/>
                <w:szCs w:val="20"/>
              </w:rPr>
              <w:t xml:space="preserve">Aggregated ATT of AHA exposure on cost outcomes</w:t>
            </w:r>
          </w:p>
        </w:tc>
        <w:tc>
          <w:tcPr>
            <w:tcW w:w="0" w:type="auto"/>
          </w:tcPr>
          <w:p>
            <w:pPr>
              <w:spacing w:line="240" w:lineRule="auto" w:before="0" w:after="0"/>
              <w:pStyle w:val="Compact"/>
            </w:pPr>
            <w:r>
              <w:rPr>
                <w:sz w:val="20"/>
                <w:szCs w:val="20"/>
              </w:rPr>
              <w:t xml:space="preserve">C&amp;S estimator over panel</w:t>
            </w:r>
          </w:p>
        </w:tc>
        <w:tc>
          <w:tcPr>
            <w:tcW w:w="0" w:type="auto"/>
          </w:tcPr>
          <w:p>
            <w:pPr>
              <w:spacing w:line="240" w:lineRule="auto" w:before="0" w:after="0"/>
              <w:pStyle w:val="Compact"/>
            </w:pPr>
            <w:r>
              <w:rPr>
                <w:sz w:val="20"/>
                <w:szCs w:val="20"/>
              </w:rPr>
              <w:t xml:space="preserve">Cost-outcome scales</w:t>
            </w:r>
          </w:p>
        </w:tc>
      </w:tr>
      <w:tr>
        <w:tc>
          <w:tcPr>
            <w:tcW w:w="0" w:type="auto"/>
          </w:tcPr>
          <w:p>
            <w:pPr>
              <w:spacing w:line="240" w:lineRule="auto" w:before="0" w:after="0"/>
              <w:pStyle w:val="Compact"/>
            </w:pPr>
            <w:r>
              <w:rPr>
                <w:sz w:val="20"/>
                <w:szCs w:val="20"/>
              </w:rPr>
              <w:t xml:space="preserve">Avoided-cost parameter</w:t>
            </w:r>
          </w:p>
        </w:tc>
        <w:tc>
          <w:tcPr>
            <w:tcW w:w="0" w:type="auto"/>
          </w:tcPr>
          <w:p>
            <w:pPr>
              <w:spacing w:line="240" w:lineRule="auto" w:before="0" w:after="0"/>
              <w:pStyle w:val="Compact"/>
            </w:pPr>
            <w:r>
              <w:rPr>
                <w:sz w:val="20"/>
                <w:szCs w:val="20"/>
              </w:rPr>
              <w:t xml:space="preserve">Value of dynamic closure</w:t>
            </w:r>
          </w:p>
        </w:tc>
        <w:tc>
          <w:tcPr>
            <w:tcW w:w="0" w:type="auto"/>
          </w:tcPr>
          <w:p>
            <w:pPr>
              <w:spacing w:line="240" w:lineRule="auto" w:before="0" w:after="0"/>
              <w:pStyle w:val="Compact"/>
            </w:pPr>
            <w:r>
              <w:rPr>
                <w:sz w:val="20"/>
                <w:szCs w:val="20"/>
              </w:rPr>
              <w:t xml:space="preserve">Static-closure cost minus simulated dynamic-closure cost</w:t>
            </w:r>
          </w:p>
        </w:tc>
        <w:tc>
          <w:tcPr>
            <w:tcW w:w="0" w:type="auto"/>
          </w:tcPr>
          <w:p>
            <w:pPr>
              <w:spacing w:line="240" w:lineRule="auto" w:before="0" w:after="0"/>
              <w:pStyle w:val="Compact"/>
            </w:pPr>
            <w:r>
              <w:rPr>
                <w:sz w:val="20"/>
                <w:szCs w:val="20"/>
              </w:rPr>
              <w:t xml:space="preserve">FAA realized + ReentryFlow counterfactual</w:t>
            </w:r>
          </w:p>
        </w:tc>
        <w:tc>
          <w:tcPr>
            <w:tcW w:w="0" w:type="auto"/>
          </w:tcPr>
          <w:p>
            <w:pPr>
              <w:spacing w:line="240" w:lineRule="auto" w:before="0" w:after="0"/>
              <w:pStyle w:val="Compact"/>
            </w:pPr>
            <w:r>
              <w:rPr>
                <w:sz w:val="20"/>
                <w:szCs w:val="20"/>
              </w:rPr>
              <w:t xml:space="preserve">USD per event / horizon</w:t>
            </w:r>
          </w:p>
        </w:tc>
      </w:tr>
    </w:tbl>
    <w:bookmarkEnd w:id="116"/>
    <w:bookmarkStart w:id="117" w:name="X0951ab21366a50492dee5a349eb4bc21426dcf5"/>
    <w:p>
      <w:pPr>
        <w:pStyle w:val="Heading2"/>
        <w:spacing w:line="480" w:lineRule="auto"/>
      </w:pPr>
      <w:r>
        <w:t xml:space="preserve">4.8 Data quality, validation against known values, and ethics and access</w:t>
      </w:r>
    </w:p>
    <w:p>
      <w:pPr>
        <w:pStyle w:val="FirstParagraph"/>
        <w:spacing w:line="480" w:lineRule="auto"/>
      </w:pPr>
      <w:r>
        <w:t xml:space="preserve">This section argues that the measurement system carries an explicit data-quality and validation plan, that it checks its instruments against known values before trusting their outputs, and that its ethics and access posture is sound, the data being operational aggregates rather than personal information and reached through authorized institutional channels.</w:t>
      </w:r>
    </w:p>
    <w:p>
      <w:pPr>
        <w:pStyle w:val="BodyText"/>
        <w:spacing w:line="480" w:lineRule="auto"/>
        <w:ind w:firstLine="720"/>
      </w:pPr>
      <w:r>
        <w:rPr>
          <w:b/>
          <w:bCs/>
        </w:rPr>
        <w:t xml:space="preserve">Data quality.</w:t>
      </w:r>
      <w:r>
        <w:t xml:space="preserve"> </w:t>
      </w:r>
      <w:r>
        <w:t xml:space="preserve">The quality plan works at three points in the pipeline. At ingestion, each source is normalized to the common operational timeline the join requires, and records that cannot be aligned in time, the precondition for joining the EU SST treatment to the FAA outcome, are flagged rather than dropped silently, since a systematic alignment failure would itself bias the panel. At construction, the exposure indicator is the highest-risk derived quantity, sitting on the causal path and built from a model-output footprint, so its construction is validated separately (below) rather than assumed correct. At estimation, the cell-level outcomes are checked for the spatial and temporal autocorrelation the inference plan must accommodate, since cells in the same sector and adjacent windows are correlated and naive inference would understate the standard errors; the design’s response, sector-level clustering and, where event counts are low, the wild-cluster bootstrap, is specified in Chapter 5 and named here so the quality plan and the inference plan stay visibly consistent.</w:t>
      </w:r>
    </w:p>
    <w:p>
      <w:pPr>
        <w:pStyle w:val="BodyText"/>
        <w:spacing w:line="480" w:lineRule="auto"/>
        <w:ind w:firstLine="720"/>
      </w:pPr>
      <w:r>
        <w:rPr>
          <w:b/>
          <w:bCs/>
        </w:rPr>
        <w:t xml:space="preserve">Validation against known values.</w:t>
      </w:r>
      <w:r>
        <w:t xml:space="preserve"> </w:t>
      </w:r>
      <w:r>
        <w:t xml:space="preserve">The validation plan has two anchors. The first is the ReentryFlow exposure validation already specified in Section 4.5: the model’s predicted exposed-flight sets are compared against the realized FAA exposure records for past events, and precision and recall are computed and reported before any counterfactual output is trusted. This is validation of the bridge instrument against the FAA ground truth, and it is the gatekeeper for the entire avoided-cost analysis. The second anchor is the validation of the EU SST prediction layer against its own recorded realized outcomes: because the catalog records both the predicted and the realized reentry epoch and location, the prediction error can be computed directly and compared against the independent reentry-prediction literature, which provides the known-value benchmarks. The IADC-campaign agreement of 73 seconds reported by Seong and colleagues</w:t>
      </w:r>
      <w:r>
        <w:t xml:space="preserve"> </w:t>
      </w:r>
      <w:hyperlink w:anchor="ref-53">
        <w:r>
          <w:rPr>
            <w:rStyle w:val="Hyperlink"/>
          </w:rPr>
          <w:t xml:space="preserve">[53]</w:t>
        </w:r>
      </w:hyperlink>
      <w:r>
        <w:t xml:space="preserve">, the roughly ten-percent reentry-prediction errors at one-month, one-week, and one-day lead times reported by Pardini and Anselmo</w:t>
      </w:r>
      <w:r>
        <w:t xml:space="preserve"> </w:t>
      </w:r>
      <w:hyperlink w:anchor="ref-54">
        <w:r>
          <w:rPr>
            <w:rStyle w:val="Hyperlink"/>
          </w:rPr>
          <w:t xml:space="preserve">[54]</w:t>
        </w:r>
      </w:hyperlink>
      <w:r>
        <w:t xml:space="preserve">, and the ballistic-coefficient-estimation accuracy of Gondelach, Armellin, and Lidtke across 101 upper stages</w:t>
      </w:r>
      <w:r>
        <w:t xml:space="preserve"> </w:t>
      </w:r>
      <w:hyperlink w:anchor="ref-55">
        <w:r>
          <w:rPr>
            <w:rStyle w:val="Hyperlink"/>
          </w:rPr>
          <w:t xml:space="preserve">[55]</w:t>
        </w:r>
      </w:hyperlink>
      <w:r>
        <w:t xml:space="preserve"> </w:t>
      </w:r>
      <w:r>
        <w:t xml:space="preserve">are the external known values against which the catalog’s prediction error is sanity-checked; a catalog prediction error grossly inconsistent with this literature would indicate a data-quality problem in the prediction layer that must be resolved before the treatment-intensity variable is trusted. The probabilistic-footprint method of Falsone and Prandini</w:t>
      </w:r>
      <w:r>
        <w:t xml:space="preserve"> </w:t>
      </w:r>
      <w:hyperlink w:anchor="ref-36">
        <w:r>
          <w:rPr>
            <w:rStyle w:val="Hyperlink"/>
          </w:rPr>
          <w:t xml:space="preserve">[36]</w:t>
        </w:r>
      </w:hyperlink>
      <w:r>
        <w:t xml:space="preserve"> </w:t>
      </w:r>
      <w:r>
        <w:t xml:space="preserve">and the covariance-propagation work of Chen, Cao, and Ren</w:t>
      </w:r>
      <w:r>
        <w:t xml:space="preserve"> </w:t>
      </w:r>
      <w:hyperlink w:anchor="ref-81">
        <w:r>
          <w:rPr>
            <w:rStyle w:val="Hyperlink"/>
          </w:rPr>
          <w:t xml:space="preserve">[81]</w:t>
        </w:r>
      </w:hyperlink>
      <w:r>
        <w:t xml:space="preserve"> </w:t>
      </w:r>
      <w:r>
        <w:t xml:space="preserve">provide the corresponding known-value benchmarks for the dispersion footprint that drives the closure size. Validating each instrument against an independent benchmark before using its output is the discipline that keeps a model-output quantity from masquerading as a measured one.</w:t>
      </w:r>
    </w:p>
    <w:p>
      <w:pPr>
        <w:pStyle w:val="BodyText"/>
        <w:spacing w:line="480" w:lineRule="auto"/>
        <w:ind w:firstLine="720"/>
      </w:pPr>
      <w:r>
        <w:rPr>
          <w:b/>
          <w:bCs/>
        </w:rPr>
        <w:t xml:space="preserve">Ethics and access.</w:t>
      </w:r>
      <w:r>
        <w:t xml:space="preserve"> </w:t>
      </w:r>
      <w:r>
        <w:t xml:space="preserve">The ethics posture is favorable, stated plainly rather than waved through. The FAA operations data are operational aggregates of flight movements, delays, reroutes, and airspace activations, records of aircraft and system behavior rather than of identifiable individuals, so the human-subjects concerns that attach to personal data never arise. Access runs through authorized institutional channels, the SWIM subscription channels and FAA operations archives on the aviation side and the EU SST portal under held vault credentials on the reentry side, so the data are used within the terms under which they are provided rather than scraped or repurposed. The Space Data Integrator documented by Mutuel and Murray is the operational platform on the FAA side through which launch and reentry data enter the air-traffic system, confirming the data channels the design relies on as sanctioned operational infrastructure rather than informal sources</w:t>
      </w:r>
      <w:r>
        <w:t xml:space="preserve"> </w:t>
      </w:r>
      <w:hyperlink w:anchor="ref-29">
        <w:r>
          <w:rPr>
            <w:rStyle w:val="Hyperlink"/>
          </w:rPr>
          <w:t xml:space="preserve">[29]</w:t>
        </w:r>
      </w:hyperlink>
      <w:r>
        <w:t xml:space="preserve">. The PRISMA reviews are the dissertation’s own project artifacts, cited as data sources under the project’s authorship. ReentryFlow is a project-maintained model reached through the project repository. The one access-related risk the design records is operational sensitivity: some airspace and traffic-management records carry handling expectations, and the design commits to working within them and to reporting results at the level of aggregate cost rather than in any form that would expose sensitive operational detail.</w:t>
      </w:r>
    </w:p>
    <w:p>
      <w:pPr>
        <w:pStyle w:val="BodyText"/>
        <w:spacing w:line="480" w:lineRule="auto"/>
        <w:ind w:firstLine="720"/>
      </w:pPr>
      <w:r>
        <w:t xml:space="preserve">Reasoning it through, and closing the chapter: the measurement system is quality-controlled, validated against known values, and ethically and procedurally sound. What grounds that is the three-point quality plan, the two-anchor validation plan benchmarked against the independent reentry-prediction literature [53, 54, 55, 36, 81], and the operational-aggregate, authorized-channel access posture</w:t>
      </w:r>
      <w:r>
        <w:t xml:space="preserve"> </w:t>
      </w:r>
      <w:hyperlink w:anchor="ref-29">
        <w:r>
          <w:rPr>
            <w:rStyle w:val="Hyperlink"/>
          </w:rPr>
          <w:t xml:space="preserve">[29]</w:t>
        </w:r>
      </w:hyperlink>
      <w:r>
        <w:t xml:space="preserve">. A design that validates each instrument against an external known value before trusting it, and that draws on operational aggregates through sanctioned channels, meets the data-quality and ethics standards a doctoral measurement chapter must meet. The qualifier is that the panel does not yet exist. The EU SST and SWIM layers are accessed but not joined, so the quality and validation plan is a specification to be executed, not a record of execution. A critic will press that an unexecuted plan cannot demonstrate data quality. The answer is that the chapter’s task at the design stage is to specify a measurement system precise and auditable enough to be executed and checked, and that fixing the validation benchmarks in advance, against the published literature, is exactly what protects the eventual execution from confirmation bias. Confidence that the measurement system is well specified and auditable is high. Confidence that it has been executed is, by the honest design-stage posture of the whole dissertation, deliberately withheld.</w:t>
      </w:r>
    </w:p>
    <w:bookmarkEnd w:id="117"/>
    <w:bookmarkStart w:id="118" w:name="X6c34c4abe148195c30c54113d9625c428022f88"/>
    <w:p>
      <w:pPr>
        <w:pStyle w:val="Heading2"/>
        <w:spacing w:line="480" w:lineRule="auto"/>
      </w:pPr>
      <w:r>
        <w:t xml:space="preserve">4.9 Synthesis: the four layers as one estimable object</w:t>
      </w:r>
    </w:p>
    <w:p>
      <w:pPr>
        <w:pStyle w:val="FirstParagraph"/>
        <w:spacing w:line="480" w:lineRule="auto"/>
      </w:pPr>
      <w:r>
        <w:t xml:space="preserve">The chapter set out to show four heterogeneous layers joining into one estimable panel, and the sections above fix each layer’s part. The EU SST catalog defines a treatment that is real, timed, and intensity-graded, leaning toward larger objects and carrying model-output uncertainty the design propagates [22, 53, 54, 55, 56, 80]. The FAA NAS and SWIM data supply measured outcomes and an observed exposure indicator with comprehensive instrument-flight-rules coverage, under-representing visual-flight-rules general aviation and attributing reroute cause imperfectly, both confronted by the identification strategy rather than waved off [3, 29, 31, 35]. The four IAC-26 PRISMA reviews supply disciplined, traceable prior ranges whose simulation- and analogy-derived anchors are logged in the certainty assessment, so they bound plausibility without passing themselves off as reentry measurements. ReentryFlow bridges the EU SST and FAA layers and simulates the dynamic-closure counterfactual, validated as an object by precision and recall against realized FAA exposure before its counterfactuals earn trust [31, 35, 36]. And the reentry-prediction surface gives the treatment-intensity variable its physical foundation, establishing that prediction uncertainty is large at the static-closure decision time and falls sharply near reentry, the empirical fact the avoided-cost lever depends on [22, 53, 54, 55, 81, 82, 83, 84].</w:t>
      </w:r>
    </w:p>
    <w:p>
      <w:pPr>
        <w:pStyle w:val="BodyText"/>
        <w:spacing w:line="480" w:lineRule="auto"/>
        <w:ind w:firstLine="720"/>
      </w:pPr>
      <w:r>
        <w:t xml:space="preserve">The assurance-case spine runs through these layers in the form the dissertation carries throughout, and the data chapter is where two of its subclaims are evidenced at the level of measurement. That the problem is real, that reentry closures withhold airspace and touch real flights, is grounded in the FAA activation records and the documented reentry-closure events [29, 38, 64]. That the intervention addresses the mechanism, that prediction uncertainty drives closure size and that tighter prediction shrinks the withheld volume, is grounded in the reentry-prediction surface of Section 4.6 [22, 53, 54, 55]. The remaining subclaims, that the problem is material, that the intervention beats the alternatives, and that the residual risk is acceptable, are evidenced in the chapters that argue magnitude, design, and policy; the data chapter’s contribution to the spine is to make the first two subclaims measurable rather than merely asserted. With the measurement system specified, the dissertation turns in Chapter 5 to the identification strategy that converts this panel into a causal estimate, and the threats to validity that the measurement-error properties recorded here oblige it to confront.</w:t>
      </w:r>
    </w:p>
    <w:bookmarkEnd w:id="118"/>
    <w:bookmarkEnd w:id="119"/>
    <w:bookmarkStart w:id="135" w:name="X6de7276aff008920a34d77e89e551f557fc4d43"/>
    <w:p>
      <w:pPr>
        <w:pStyle w:val="Heading1"/>
        <w:spacing w:line="480" w:lineRule="auto"/>
      </w:pPr>
      <w:r>
        <w:t xml:space="preserve">Chapter 5: Research Design and Identification</w:t>
      </w:r>
    </w:p>
    <w:bookmarkStart w:id="120" w:name="X8365df66cd4aa3167979bbae8061f5a88549d85"/>
    <w:p>
      <w:pPr>
        <w:pStyle w:val="Heading2"/>
        <w:spacing w:line="480" w:lineRule="auto"/>
      </w:pPr>
      <w:r>
        <w:t xml:space="preserve">5.1 Chapter thesis and the problem this chapter solves</w:t>
      </w:r>
    </w:p>
    <w:p>
      <w:pPr>
        <w:pStyle w:val="FirstParagraph"/>
        <w:spacing w:line="480" w:lineRule="auto"/>
      </w:pPr>
      <w:r>
        <w:t xml:space="preserve">This chapter establishes the central methodological claim of the dissertation: a staggered difference-in-differences event study, estimated with the Callaway and Sant’Anna (2020) group-time estimator, identifies the per-event cost that a reentry-driven Aircraft Hazard Area (AHA) closure imposes on the U.S. National Airspace System under the assumption that reentry timing is conditionally independent of contemporaneous sector-specific demand shocks</w:t>
      </w:r>
      <w:r>
        <w:t xml:space="preserve"> </w:t>
      </w:r>
      <w:hyperlink w:anchor="ref-14">
        <w:r>
          <w:rPr>
            <w:rStyle w:val="Hyperlink"/>
          </w:rPr>
          <w:t xml:space="preserve">[14]</w:t>
        </w:r>
      </w:hyperlink>
      <w:r>
        <w:t xml:space="preserve">. Everything that follows develops, qualifies, and defends that single claim. The estimator is chosen because the variation it exploits, the staggered arrival of reentry closures across airspace sectors and dates, is exactly the variation that the design-based tradition treats as a natural experiment, and because the recent econometric literature has shown that the conventional two-way fixed-effects (TWFE) difference-in-differences regression is biased for precisely this kind of staggered, heterogeneous treatment [13, 15, 50]. The chapter writes out the estimating equations, argues the identification assumptions formally, enumerates every threat to validity with a paired mitigation, specifies the robustness battery, reports a minimum-detectable-effect analysis at the available sample size, commits the design to pre-registration, and closes with the computational and software plan that makes the whole apparatus reproducible.</w:t>
      </w:r>
    </w:p>
    <w:p>
      <w:pPr>
        <w:pStyle w:val="BodyText"/>
        <w:spacing w:line="480" w:lineRule="auto"/>
        <w:ind w:firstLine="720"/>
      </w:pPr>
      <w:r>
        <w:t xml:space="preserve">The problem takes the shape carried through the dissertation. Today the airspace impact of launch and reentry closures is quantified descriptively, by fast-time simulation over historical traffic, which reports how many flights a closure touches and what the modeled fuel-and-time penalty comes to, without estimating a causal treatment effect against a credible counterfactual [2, 3, 4, 32]. What is wanted instead is a defensible, design-based estimate of the marginal cost of a reentry event, expressed as a treatment effect on realized flight-level cost, one that survives the modern corrections for staggered timing and reports its own residual uncertainty honestly. No such estimate exists in the literature: no prior study lets a credible source of variation carry the causal claim for reentry-to-aviation cost. Leave the gap open and both the regulator weighing a reentry cadence against its aviation burden and the prediction-and-modeling investment that must justify itself against an avoided cost proceed without a measured number, which amounts to proceeding without a price on the externality. This chapter is where the dissertation turns that gap into an executable identification strategy.</w:t>
      </w:r>
    </w:p>
    <w:p>
      <w:pPr>
        <w:pStyle w:val="BodyText"/>
        <w:spacing w:line="480" w:lineRule="auto"/>
        <w:ind w:firstLine="720"/>
      </w:pPr>
      <w:r>
        <w:t xml:space="preserve">The confidence posture of this chapter is design-stage and explicit. Whether the chosen estimator recovers the target parameter without bias hangs on assumptions that are argued here and tested in Chapter 6, never assumed away. Where the chapter says a particular estimator dominates an alternative, a published econometric result backs the claim and a qualifier names the condition under which the dominance holds. No empirical estimate is executed on the full dataset anywhere in this chapter. The few numerical values that appear are illustrative arithmetic or sample-size inputs to a power calculation, and each carries that label.</w:t>
      </w:r>
    </w:p>
    <w:bookmarkEnd w:id="120"/>
    <w:bookmarkStart w:id="121" w:name="the-estimator-and-why-it-is-chosen"/>
    <w:p>
      <w:pPr>
        <w:pStyle w:val="Heading2"/>
        <w:spacing w:line="480" w:lineRule="auto"/>
      </w:pPr>
      <w:r>
        <w:t xml:space="preserve">5.2 The estimator and why it is chosen</w:t>
      </w:r>
    </w:p>
    <w:p>
      <w:pPr>
        <w:pStyle w:val="FirstParagraph"/>
        <w:spacing w:line="480" w:lineRule="auto"/>
      </w:pPr>
      <w:r>
        <w:t xml:space="preserve">The primary estimator is the Callaway and Sant’Anna (2020) doubly robust group-time difference-in-differences estimator, supported by the Goodman-Bacon (2021) decomposition and the de Chaisemartin and D’Haultfoeuille (2023) robust estimator as diagnostics [13, 14, 15]. The argument for this choice runs through a Toulmin structure that is worth stating in full, because the estimator selection is the load-bearing methodological decision of the dissertation and the rest of the design inherits it.</w:t>
      </w:r>
    </w:p>
    <w:p>
      <w:pPr>
        <w:pStyle w:val="BodyText"/>
        <w:spacing w:line="480" w:lineRule="auto"/>
        <w:ind w:firstLine="720"/>
      </w:pPr>
      <w:r>
        <w:t xml:space="preserve">The claim is that the Callaway and Sant’Anna estimator is the correct primary estimator for the reentry-NAS-cost question. It rests on the structure of the treatment. Reentry-driven AHA closures arrive at staggered times across airspace sectors, the treatment effect is expected to run heterogeneous across events because closure size, traffic density, and prediction uncertainty differ event to event, and the panel therefore has precisely the staggered-adoption, heterogeneous-effect structure the recent literature studies. What links that structure to the claim is a now-established result: under staggered timing and heterogeneous effects, the two-way fixed-effects (TWFE) estimator does not recover a clean average treatment effect. It forms a weighted average of all possible two-group, two-period comparisons, some using already-treated units as controls for later-treated units, and those</w:t>
      </w:r>
      <w:r>
        <w:t xml:space="preserve"> </w:t>
      </w:r>
      <w:r>
        <w:t xml:space="preserve">“forbidden comparisons”</w:t>
      </w:r>
      <w:r>
        <w:t xml:space="preserve"> </w:t>
      </w:r>
      <w:r>
        <w:t xml:space="preserve">can pick up negative weights, so the estimated coefficient can carry the wrong sign even when every unit-level effect is positive [13, 15]. A body of methodological work derives and demonstrates this bias. Goodman-Bacon’s decomposition theorem shows the TWFE estimand to be a variance-weighted average of all two-by-two DiD estimates and isolates the forbidden-comparison terms</w:t>
      </w:r>
      <w:r>
        <w:t xml:space="preserve"> </w:t>
      </w:r>
      <w:hyperlink w:anchor="ref-13">
        <w:r>
          <w:rPr>
            <w:rStyle w:val="Hyperlink"/>
          </w:rPr>
          <w:t xml:space="preserve">[13]</w:t>
        </w:r>
      </w:hyperlink>
      <w:r>
        <w:t xml:space="preserve">. De Chaisemartin and D’Haultfoeuille characterize the negative-weighting problem and supply an estimator that avoids it</w:t>
      </w:r>
      <w:r>
        <w:t xml:space="preserve"> </w:t>
      </w:r>
      <w:hyperlink w:anchor="ref-15">
        <w:r>
          <w:rPr>
            <w:rStyle w:val="Hyperlink"/>
          </w:rPr>
          <w:t xml:space="preserve">[15]</w:t>
        </w:r>
      </w:hyperlink>
      <w:r>
        <w:t xml:space="preserve">. Baker, Larcker, and Wang re-examine published staggered-DiD results and find the corrected estimates frequently differing in magnitude and occasionally in sign from the TWFE originals, which marks the bias as a practical hazard rather than a theoretical curiosity</w:t>
      </w:r>
      <w:r>
        <w:t xml:space="preserve"> </w:t>
      </w:r>
      <w:hyperlink w:anchor="ref-50">
        <w:r>
          <w:rPr>
            <w:rStyle w:val="Hyperlink"/>
          </w:rPr>
          <w:t xml:space="preserve">[50]</w:t>
        </w:r>
      </w:hyperlink>
      <w:r>
        <w:t xml:space="preserve">. And Athey and Imbens supply the design-based foundation for treating staggered adoption as the assignment mechanism rather than a nuisance to absorb into fixed effects</w:t>
      </w:r>
      <w:r>
        <w:t xml:space="preserve"> </w:t>
      </w:r>
      <w:hyperlink w:anchor="ref-69">
        <w:r>
          <w:rPr>
            <w:rStyle w:val="Hyperlink"/>
          </w:rPr>
          <w:t xml:space="preserve">[69]</w:t>
        </w:r>
      </w:hyperlink>
      <w:r>
        <w:t xml:space="preserve">. One qualifier holds: the Callaway and Sant’Anna estimator is correct under its own maintained assumptions, principally a conditional parallel-trends assumption and a no-anticipation assumption, both argued in Section 5.4 and tested in Chapter 6, so it is not assumption-free, and its credibility is exactly the credibility of those assumptions. A rebuttal deserves a hearing: an alternative modern estimator, the stacked estimator of Wing, Freedman, and Hollingsworth, or a synthetic difference-in-differences approach, might be preferable. The response is to keep these as robustness checks rather than the primary specification, for reasons given below, so the dissertation reports a frontier-consistent primary estimate and shows the finding independent of the choice among frontier estimators</w:t>
      </w:r>
      <w:r>
        <w:t xml:space="preserve"> </w:t>
      </w:r>
      <w:hyperlink w:anchor="ref-46">
        <w:r>
          <w:rPr>
            <w:rStyle w:val="Hyperlink"/>
          </w:rPr>
          <w:t xml:space="preserve">[46]</w:t>
        </w:r>
      </w:hyperlink>
      <w:r>
        <w:t xml:space="preserve">.</w:t>
      </w:r>
    </w:p>
    <w:p>
      <w:pPr>
        <w:pStyle w:val="BodyText"/>
        <w:spacing w:line="480" w:lineRule="auto"/>
        <w:ind w:firstLine="720"/>
      </w:pPr>
      <w:r>
        <w:t xml:space="preserve">What makes the Callaway and Sant’Anna estimator primary rather than one of several acceptable options is its transparency about the building block of the aggregation. The estimator defines a group-time average treatment effect, the effect for a cohort of cells that first receive a reentry closure in the same window, evaluated at each later window, and it estimates each such parameter from clean controls alone, units never treated in the sample or not yet treated at the comparison time. The overall average treatment effect on the treated, together with the event-study profile by time since closure, then follow as explicit, interpretable weighted aggregations of those group-time parameters. This matters for the reentry application because the treated events are few and the heterogeneity across them is the substance of the question, not noise to average out. An estimator that exposes the group-time building block lets the analysis report which cohorts and which horizons drive the aggregate, and drop forbidden comparisons by construction rather than by hoping the data behave. The de Chaisemartin and D’Haultfoeuille robust estimator rides alongside because it rests on a different aggregation logic and a different handling of treatment reversal, so agreement between the two is evidence the result is no artifact of one estimator’s particular weighting</w:t>
      </w:r>
      <w:r>
        <w:t xml:space="preserve"> </w:t>
      </w:r>
      <w:hyperlink w:anchor="ref-15">
        <w:r>
          <w:rPr>
            <w:rStyle w:val="Hyperlink"/>
          </w:rPr>
          <w:t xml:space="preserve">[15]</w:t>
        </w:r>
      </w:hyperlink>
      <w:r>
        <w:t xml:space="preserve">. The Goodman-Bacon decomposition rides alongside because it makes the TWFE bias visible: by splitting what a naive TWFE regression would have estimated into its component comparisons, it shows outright how much of the naive estimate would have flowed from forbidden comparisons, the most legible demonstration possible that the modern estimator was necessary rather than ornamental</w:t>
      </w:r>
      <w:r>
        <w:t xml:space="preserve"> </w:t>
      </w:r>
      <w:hyperlink w:anchor="ref-13">
        <w:r>
          <w:rPr>
            <w:rStyle w:val="Hyperlink"/>
          </w:rPr>
          <w:t xml:space="preserve">[13]</w:t>
        </w:r>
      </w:hyperlink>
      <w:r>
        <w:t xml:space="preserve">.</w:t>
      </w:r>
    </w:p>
    <w:p>
      <w:pPr>
        <w:pStyle w:val="BodyText"/>
        <w:spacing w:line="480" w:lineRule="auto"/>
        <w:ind w:firstLine="720"/>
      </w:pPr>
      <w:r>
        <w:t xml:space="preserve">Two further estimators are specified as confirmatory rather than primary, and the reasoning for their subordinate status is part of the design. The stacked difference-in-differences estimator constructs a separate clean two-by-two comparison for each treated cohort against its own not-yet-treated controls and then stacks these sub-experiments, which is intuitive and computationally light; but Wing and colleagues show that the most basic stacked estimator does not in general identify any single average causal effect because it applies different implicit weights to treatment and control trends, and that achieving a well-defined trimmed aggregate requires compositional balancing of the event window</w:t>
      </w:r>
      <w:r>
        <w:t xml:space="preserve"> </w:t>
      </w:r>
      <w:hyperlink w:anchor="ref-46">
        <w:r>
          <w:rPr>
            <w:rStyle w:val="Hyperlink"/>
          </w:rPr>
          <w:t xml:space="preserve">[46]</w:t>
        </w:r>
      </w:hyperlink>
      <w:r>
        <w:t xml:space="preserve">. The dissertation therefore reports a stacked estimate as a cross-check but does not rely on it for the headline number. Synthetic difference-in-differences with staggered timing is reported where the never-treated control pool is thin, because it reweights control units to match pre-treatment trends and can be more robust when parallel trends is doubtful, but it imposes its own structure and is less transparent about the group-time building block, so it too is confirmatory</w:t>
      </w:r>
      <w:r>
        <w:t xml:space="preserve"> </w:t>
      </w:r>
      <w:hyperlink w:anchor="ref-51">
        <w:r>
          <w:rPr>
            <w:rStyle w:val="Hyperlink"/>
          </w:rPr>
          <w:t xml:space="preserve">[51]</w:t>
        </w:r>
      </w:hyperlink>
      <w:r>
        <w:t xml:space="preserve">. The methodological reporting template follows recent applied exemplars that estimate a Callaway and Sant’Anna primary specification, supplement it with several robust estimators, and present the event-study profile as the central diagnostic, which is the now-standard form for a credible staggered-DiD paper [72, 73].</w:t>
      </w:r>
    </w:p>
    <w:p>
      <w:pPr>
        <w:pStyle w:val="BodyText"/>
        <w:spacing w:line="480" w:lineRule="auto"/>
        <w:ind w:firstLine="720"/>
      </w:pPr>
      <w:r>
        <w:t xml:space="preserve">On the choice of estimator, confidence runs high, and the reasons are by now well settled. That TWFE carries a bias under staggered heterogeneous timing has been shown and replicated many times over [13, 15, 50]. The Callaway and Sant’Anna estimator is the published, peer-reviewed answer to that bias, with a maintained software implementation behind it</w:t>
      </w:r>
      <w:r>
        <w:t xml:space="preserve"> </w:t>
      </w:r>
      <w:hyperlink w:anchor="ref-14">
        <w:r>
          <w:rPr>
            <w:rStyle w:val="Hyperlink"/>
          </w:rPr>
          <w:t xml:space="preserve">[14]</w:t>
        </w:r>
      </w:hyperlink>
      <w:r>
        <w:t xml:space="preserve">, and the design here follows the template recent applied work has already worn in [72, 73]. Only one thing would shake that confidence: a showing that the reentry panel holds so few treated cohorts that the group-time parameters carry no information on their own and a pooled estimator is all that remains. That contingency belongs to the power analysis of Section 5.7 and to the underpowered-null rule, and even then it touches the precision of the estimate, not the choice of estimator.</w:t>
      </w:r>
    </w:p>
    <w:bookmarkEnd w:id="121"/>
    <w:bookmarkStart w:id="122" w:name="the-specification-written-out"/>
    <w:p>
      <w:pPr>
        <w:pStyle w:val="Heading2"/>
        <w:spacing w:line="480" w:lineRule="auto"/>
      </w:pPr>
      <w:r>
        <w:t xml:space="preserve">5.3 The specification written out</w:t>
      </w:r>
    </w:p>
    <w:p>
      <w:pPr>
        <w:pStyle w:val="FirstParagraph"/>
        <w:spacing w:line="480" w:lineRule="auto"/>
      </w:pPr>
      <w:r>
        <w:t xml:space="preserve">The estimand is built from the potential-outcomes notation fixed in the shared bible and carried verbatim here. The unit of analysis is the airspace-sector-by-time-window cell, indexed (i), observed over windows indexed (t). The outcome (Y_{i,t}) is one of the four cost measures, delay minutes, added flown distance, modeled fuel burn, or direct operating cost, each estimated in its own specification so the treatment effect is reported on every cost margin. Treatment is the binary reentry-driven AHA-exposure indicator: cell (i) is treated in the windows during which an AHA generated by a reentry event is active over that sector, together with the defined event window around the activation. The group variable (G_i = g) marks the window in which cell (i) first receives a reentry closure, sorting cells into cohorts by their first-treatment window. The never-treated potential outcome (Y_{i,t}(0)) is the outcome cell (i) would have realized in window (t) had it never met a reentry closure.</w:t>
      </w:r>
    </w:p>
    <w:p>
      <w:pPr>
        <w:pStyle w:val="BodyText"/>
        <w:spacing w:line="480" w:lineRule="auto"/>
        <w:ind w:firstLine="720"/>
      </w:pPr>
      <w:r>
        <w:t xml:space="preserve">The fundamental building block is the group-time average treatment effect on the treated:</w:t>
      </w:r>
    </w:p>
    <w:p>
      <w:pPr>
        <w:pStyle w:val="BodyText"/>
        <w:spacing w:line="480" w:lineRule="auto"/>
        <w:ind w:firstLine="720"/>
      </w:pPr>
      <w:r>
        <w:t xml:space="preserve">[</w:t>
      </w:r>
      <w:r>
        <w:t xml:space="preserve"> </w:t>
      </w:r>
      <w:r>
        <w:t xml:space="preserve">ATT(g,t) = E</w:t>
      </w:r>
      <w:r>
        <w:t xml:space="preserve">,</w:t>
      </w:r>
      <w:r>
        <w:t xml:space="preserve"> </w:t>
      </w:r>
      <w:r>
        <w:t xml:space="preserve">]</w:t>
      </w:r>
    </w:p>
    <w:p>
      <w:pPr>
        <w:pStyle w:val="BodyText"/>
        <w:spacing w:line="480" w:lineRule="auto"/>
        <w:ind w:firstLine="720"/>
      </w:pPr>
      <w:r>
        <w:t xml:space="preserve">the average difference, for cells whose first closure is in window (g), between their realized outcome and the outcome they would have had absent any closure, evaluated at window (t). Each (ATT(g,t)) is estimated by a difference-in-differences contrast that compares the change in outcome for cohort (g) from a pre-treatment base window to window (t) against the contemporaneous change for a clean control group, where the clean control group is the not-yet-treated cells (those with (G_i &gt; t)) when a not-yet-treated pool is available, and the never-treated cells (those that receive no reentry closure in the sample) otherwise. The estimator is the doubly robust version of Callaway and Sant’Anna, which combines an outcome-regression model for the conditional expectation of the outcome change with an inverse-propensity weighting model for cohort membership given covariates, and is consistent if either model is correctly specified</w:t>
      </w:r>
      <w:r>
        <w:t xml:space="preserve"> </w:t>
      </w:r>
      <w:hyperlink w:anchor="ref-14">
        <w:r>
          <w:rPr>
            <w:rStyle w:val="Hyperlink"/>
          </w:rPr>
          <w:t xml:space="preserve">[14]</w:t>
        </w:r>
      </w:hyperlink>
      <w:r>
        <w:t xml:space="preserve">. Conditioning on covariates is done through these nuisance models rather than by entering covariates additively into a single regression, which is the design feature that allows the parallel-trends assumption to hold conditionally rather than unconditionally.</w:t>
      </w:r>
    </w:p>
    <w:p>
      <w:pPr>
        <w:pStyle w:val="BodyText"/>
        <w:spacing w:line="480" w:lineRule="auto"/>
        <w:ind w:firstLine="720"/>
      </w:pPr>
      <w:r>
        <w:t xml:space="preserve">The group-time parameters aggregate into the two objects the dissertation reports. The overall average treatment effect on the treated is a weighted average of the (ATT(g,t)) over all treated cohorts and all post-treatment windows, weights proportional to cohort size, so it answers the question</w:t>
      </w:r>
      <w:r>
        <w:t xml:space="preserve"> </w:t>
      </w:r>
      <w:r>
        <w:t xml:space="preserve">“what was the average per-event cost of a reentry closure across the closures actually observed.”</w:t>
      </w:r>
      <w:r>
        <w:t xml:space="preserve"> </w:t>
      </w:r>
      <w:r>
        <w:t xml:space="preserve">This aggregated effect on the cost outcomes is the disruption parameter, the first of the two estimable quantities into which H1 decomposes. The event-study profile is a different aggregation: for each value of relative time (e = t - g), the time since closure activation, it averages the (ATT(g, g+e)) across cohorts to produce a coefficient at each lead and lag. The profile at negative (e) (the leads) is the pre-activation behavior and the direct test of the no-anticipation and parallel-trends assumptions; the profile at non-negative (e) (the lags) traces the cost rising at activation and decaying afterward as displaced traffic recovers. The shape of the lag profile is itself a finding, because the network-propagation evidence implies a closure’s cost outliving its active window as delay cascades downstream, so a profile in which the post-activation effect persists past the closed window would signal the within-window cost understating the true per-event cost [12, 44].</w:t>
      </w:r>
    </w:p>
    <w:p>
      <w:pPr>
        <w:pStyle w:val="BodyText"/>
        <w:spacing w:line="480" w:lineRule="auto"/>
        <w:ind w:firstLine="720"/>
      </w:pPr>
      <w:r>
        <w:t xml:space="preserve">The avoided-cost parameter, the second quantity into which H1 decomposes, is estimated by two distinct routes that are designed to triangulate. The first route is the static-versus-dynamic counterfactual difference. For each realized event, the static-closure cost is the realized cost recovered by the disruption estimate above; the dynamic-closure cost is the cost that the ReentryFlow model returns when it recomputes the closure under a prediction-informed dynamic policy that sizes the withheld volume to the uncertainty available shortly before reentry rather than to the worst-case envelope fixed hours in advance. The per-event avoided cost is the difference between these two, and the avoided-cost parameter is the average of that difference over events. The second route uses the prediction-uncertainty bound at closure-decision time as a continuous treatment intensity. Because closure size scales with prediction uncertainty, and because events differ in the uncertainty available when their closure was sized, the data contain natural variation in closure tightness; estimating the dose-response of cost to prediction uncertainty, holding traffic and geometry fixed, recovers the slope along which a reduction in uncertainty reduces cost, which is the same lever the dynamic regime pulls. The continuous-intensity estimate is developed in Chapter 6 with the Callaway, Goodman-Bacon, and Sant’Anna continuous-treatment extension and is mentioned here only to make clear that the avoided-cost parameter is identified by data variation and not solely by the simulator</w:t>
      </w:r>
      <w:r>
        <w:t xml:space="preserve"> </w:t>
      </w:r>
      <w:hyperlink w:anchor="ref-47">
        <w:r>
          <w:rPr>
            <w:rStyle w:val="Hyperlink"/>
          </w:rPr>
          <w:t xml:space="preserve">[47]</w:t>
        </w:r>
      </w:hyperlink>
      <w:r>
        <w:t xml:space="preserve">. That the two routes rest on partly different assumptions is the point: agreement between them raises confidence, and disagreement localizes the dependence on the ReentryFlow counterfactual.</w:t>
      </w:r>
    </w:p>
    <w:bookmarkEnd w:id="122"/>
    <w:bookmarkStart w:id="123" w:name="Xcb5b6b04aab21d6d4b7ae45e407f39b7d059663"/>
    <w:p>
      <w:pPr>
        <w:pStyle w:val="Heading2"/>
        <w:spacing w:line="480" w:lineRule="auto"/>
      </w:pPr>
      <w:r>
        <w:t xml:space="preserve">5.4 The diagnostic estimators and what each reveals</w:t>
      </w:r>
    </w:p>
    <w:p>
      <w:pPr>
        <w:pStyle w:val="FirstParagraph"/>
        <w:spacing w:line="480" w:lineRule="auto"/>
      </w:pPr>
      <w:r>
        <w:t xml:space="preserve">The Goodman-Bacon decomposition and the de Chaisemartin and D’Haultfoeuille robust estimator are reported alongside the primary specification not as redundant alternatives but as instruments that each answer a question the primary estimate does not answer on its own, and this section states what each one is for, because a robustness check that the reader cannot interpret is decoration rather than evidence.</w:t>
      </w:r>
    </w:p>
    <w:p>
      <w:pPr>
        <w:pStyle w:val="BodyText"/>
        <w:spacing w:line="480" w:lineRule="auto"/>
        <w:ind w:firstLine="720"/>
      </w:pPr>
      <w:r>
        <w:t xml:space="preserve">The Goodman-Bacon decomposition answers a backward-looking question: had the analysis used the naive TWFE regression, how much of the resulting coefficient would have come from forbidden comparisons, and which way would they have pulled it. The decomposition theorem writes the TWFE estimand as a variance-weighted average of every possible two-group, two-period difference-in-differences comparison in the panel, splitting those comparisons into three kinds: treated-versus-never-treated, treated-versus-not-yet-treated, and the problematic later-treated-versus-earlier-treated comparisons in which an already-treated cohort serves as a control</w:t>
      </w:r>
      <w:r>
        <w:t xml:space="preserve"> </w:t>
      </w:r>
      <w:hyperlink w:anchor="ref-13">
        <w:r>
          <w:rPr>
            <w:rStyle w:val="Hyperlink"/>
          </w:rPr>
          <w:t xml:space="preserve">[13]</w:t>
        </w:r>
      </w:hyperlink>
      <w:r>
        <w:t xml:space="preserve">. The third kind is the forbidden comparison, and its weight in the naive estimand, together with the sign of the effect it carries, is exactly what makes TWFE unreliable under heterogeneous timing. So reporting the decomposition for the reentry panel does something the primary Callaway and Sant’Anna estimate cannot: it quantifies the size of the problem the modern estimator was adopted to avoid. Where the forbidden-comparison weight is large and the cross-cohort heterogeneity substantial, the decomposition makes plain that a TWFE estimate would have been materially misleading, the most legible justification possible for the entire estimator choice. Where the forbidden-comparison weight is small, the decomposition reports that too, honestly, and the dissertation states that in such a case the modern and naive estimators would have agreed and the correction was a precaution rather than a rescue. Either result informs, and the qualifier is that the decomposition characterizes the naive estimand’s composition, not the truth of any assumption.</w:t>
      </w:r>
    </w:p>
    <w:p>
      <w:pPr>
        <w:pStyle w:val="BodyText"/>
        <w:spacing w:line="480" w:lineRule="auto"/>
        <w:ind w:firstLine="720"/>
      </w:pPr>
      <w:r>
        <w:t xml:space="preserve">The de Chaisemartin and D’Haultfoeuille robust estimator answers a forward-looking question: does the per-event cost estimate survive when the aggregation logic is changed. This estimator is built on a different foundation from Callaway and Sant’Anna. It defines instantaneous and dynamic treatment effects through a different set of clean comparisons, it handles treatment that turns on and off (treatment reversal) natively, which matters because an AHA activates and then deactivates, and it is robust to heterogeneous effects without the negative-weighting pathology of TWFE</w:t>
      </w:r>
      <w:r>
        <w:t xml:space="preserve"> </w:t>
      </w:r>
      <w:hyperlink w:anchor="ref-15">
        <w:r>
          <w:rPr>
            <w:rStyle w:val="Hyperlink"/>
          </w:rPr>
          <w:t xml:space="preserve">[15]</w:t>
        </w:r>
      </w:hyperlink>
      <w:r>
        <w:t xml:space="preserve">. Because the AHA is a transient closure rather than an absorbing state, the treatment-reversal handling is not incidental: a sector is treated during the active window and reverts to untreated afterward, and an estimator that assumes treatment is absorbing would mishandle the post-window recovery. The de Chaisemartin and D’Haultfoeuille estimator accommodates this structure directly, so its agreement with the Callaway and Sant’Anna estimate is evidence that the result is not an artifact of how the primary estimator treats the closure’s transience, and its disagreement would flag exactly that dependence. The qualifier is that both estimators share the conditional parallel-trends and no-anticipation assumptions, so their agreement is evidence against estimator-specific aggregation artifacts but not against a shared failure of the common identifying assumptions; the placebos of Section 5.6, not the cross-estimator comparison, are what test those.</w:t>
      </w:r>
    </w:p>
    <w:p>
      <w:pPr>
        <w:pStyle w:val="BodyText"/>
        <w:spacing w:line="480" w:lineRule="auto"/>
        <w:ind w:firstLine="720"/>
      </w:pPr>
      <w:r>
        <w:t xml:space="preserve">This diagnostic strategy also earns high confidence. Both diagnostics rest on published, replicated results and maintained implementations, and pairing a primary group-time estimate with a Goodman-Bacon decomposition and a second robust estimator as cross-checks is the established template in recent applied staggered-DiD work [50, 72, 73]. The one setting that would weaken confidence is a want of clean comparisons that leaves the diagnostics uncomputable, which is once more a small-sample contingency for the power analysis to handle, not a flaw in the diagnostic logic.</w:t>
      </w:r>
    </w:p>
    <w:bookmarkEnd w:id="123"/>
    <w:bookmarkStart w:id="124" w:name="Xf8f75b9ca26fec54e00862e03e948708a0a6f72"/>
    <w:p>
      <w:pPr>
        <w:pStyle w:val="Heading2"/>
        <w:spacing w:line="480" w:lineRule="auto"/>
      </w:pPr>
      <w:r>
        <w:t xml:space="preserve">5.5 Identification assumptions argued formally</w:t>
      </w:r>
    </w:p>
    <w:p>
      <w:pPr>
        <w:pStyle w:val="FirstParagraph"/>
        <w:spacing w:line="480" w:lineRule="auto"/>
      </w:pPr>
      <w:r>
        <w:t xml:space="preserve">Three assumptions carry the causal interpretation of the disruption parameter. Each is stated in turn, given the mechanism behind it, and defended alongside a frank account of what would break it.</w:t>
      </w:r>
    </w:p>
    <w:p>
      <w:pPr>
        <w:pStyle w:val="BodyText"/>
        <w:spacing w:line="480" w:lineRule="auto"/>
        <w:ind w:firstLine="720"/>
      </w:pPr>
      <w:r>
        <w:t xml:space="preserve">The first assumption, and the most consequential, is the conditional independence of reentry timing from contemporaneous sector-specific demand shocks. It holds that, conditional on the covariate set, the window in which a sector first receives a reentry closure is as good as randomly assigned with respect to the outcome the sector would have had absent the closure. What makes this plausible is physical. The reentry epoch of an uncontrolled object is set by orbital decay, itself driven by the object’s ballistic coefficient, its orbital geometry, and the state of the upper atmosphere, none of which answers to demand for the U.S. airspace sector the object’s footprint happens to cross [21, 22, 55]. A Long March 5B upper stage decays on a schedule fixed by drag physics. That its dispersion footprint crosses a busy transatlantic sector on a Tuesday afternoon rather than a Sunday dawn is, at the resolution that matters for aviation demand, an accident of orbital mechanics and Earth rotation. This links to the independence assumption because an assignment driven by a process orthogonal to the outcome’s determinants is, once the determinants correlated with both are controlled, time of day, day of week, season, independent of the potential outcomes. The backing is the design-based tradition that treats such physically driven timing as a natural experiment and lets it carry the causal claim rather than a functional form</w:t>
      </w:r>
      <w:r>
        <w:t xml:space="preserve"> </w:t>
      </w:r>
      <w:hyperlink w:anchor="ref-69">
        <w:r>
          <w:rPr>
            <w:rStyle w:val="Hyperlink"/>
          </w:rPr>
          <w:t xml:space="preserve">[69]</w:t>
        </w:r>
      </w:hyperlink>
      <w:r>
        <w:t xml:space="preserve">.</w:t>
      </w:r>
    </w:p>
    <w:p>
      <w:pPr>
        <w:pStyle w:val="BodyText"/>
        <w:spacing w:line="480" w:lineRule="auto"/>
        <w:ind w:firstLine="720"/>
      </w:pPr>
      <w:r>
        <w:t xml:space="preserve">This assumption invites a rebuttal that must be stated and answered, because the identification stands or falls on it. The rebuttal is that reentry timing is not really independent of demand: controlled reentries, and the AHA-activation decisions that follow even uncontrolled reentries, come from human schedulers and regulators who may, wittingly or not, place or time closures with an eye on traffic. Three parts answer it. For uncontrolled reentries the epoch is not chosen at all, so the rebuttal reaches only the activation-decision margin, not the event-timing margin, and the design conditions on the activation window and tests sensitivity to its definition. For controlled reentries, where an operator does choose a reentry window, the design conditions on the published schedule and, as a sensitivity check, re-estimates the whole model with all controlled reentries dropped, so the headline estimate can be shown resting on the uncontrolled events whose timing is unambiguously exogenous. And the placebo tests of Section 5.6, the adjacent-sector placebo in particular, supply an empirical check: were reentry closures being timed into already-disrupted windows, the disruption would surface in sectors adjacent to the footprint as well as inside it, so a null effect in the adjacent placebo is evidence against the reverse-causation story. The qualifier, then, is that the assumption holds credibly for uncontrolled reentries unconditionally and for controlled reentries conditionally, and the dissertation reports the controlled-reentry-excluded estimate so the reader can judge how much of the result leans on the conditioning. Confidence is moderate-to-high for the uncontrolled-only estimate and moderate for the full sample. A larger sample of uncontrolled events, letting the uncontrolled-only estimate stand on its own with adequate precision, would raise it; evidence in the activation records that closures cluster non-randomly into high-demand windows would lower it.</w:t>
      </w:r>
    </w:p>
    <w:p>
      <w:pPr>
        <w:pStyle w:val="BodyText"/>
        <w:spacing w:line="480" w:lineRule="auto"/>
        <w:ind w:firstLine="720"/>
      </w:pPr>
      <w:r>
        <w:t xml:space="preserve">The second assumption is conditional parallel trends: absent the reentry closure, the cost outcome in treated cells and in clean-control cells would have followed the same trajectory, conditional on the covariates. The mechanism is that, once time-of-day, day-of-week, season, baseline sector traffic density, concurrent weather, concurrent traffic-management initiatives, aircraft-class mix, and route distance are held fixed through the doubly robust nuisance models, the residual evolution of cost in a sector is driven by common shocks (national weather systems, network-wide delay) that affect treated and control sectors alike. The warrant is that the Callaway and Sant’Anna estimator identifies the group-time ATT under exactly this conditional parallel-trends assumption together with no anticipation</w:t>
      </w:r>
      <w:r>
        <w:t xml:space="preserve"> </w:t>
      </w:r>
      <w:hyperlink w:anchor="ref-14">
        <w:r>
          <w:rPr>
            <w:rStyle w:val="Hyperlink"/>
          </w:rPr>
          <w:t xml:space="preserve">[14]</w:t>
        </w:r>
      </w:hyperlink>
      <w:r>
        <w:t xml:space="preserve">. The backing for treating the assumption as testable rather than merely asserted is that the event-study leads provide a direct, if imperfect, check: under parallel trends and no anticipation, the pre-activation coefficients should be statistically indistinguishable from zero, and a visible pre-trend is evidence that the assumption fails. The qualifier is the standard one, that zero pre-trends are necessary but not sufficient for parallel trends in the post-period, so the leads are evidence rather than proof; the dissertation reports them and, following Roth, interprets the new-method event-study plots correctly, recognizing that the recent estimators construct pre-treatment coefficients asymmetrically from post-treatment ones and that the visual heuristics developed for TWFE plots do not transfer directly</w:t>
      </w:r>
      <w:r>
        <w:t xml:space="preserve"> </w:t>
      </w:r>
      <w:hyperlink w:anchor="ref-49">
        <w:r>
          <w:rPr>
            <w:rStyle w:val="Hyperlink"/>
          </w:rPr>
          <w:t xml:space="preserve">[49]</w:t>
        </w:r>
      </w:hyperlink>
      <w:r>
        <w:t xml:space="preserve">. The rebuttal that a confounder trends differently in treated and control sectors in a way the covariates do not capture is answered by the weather placebo and the adjacent-sector placebo, which are designed precisely to detect a differential trend that the controls miss.</w:t>
      </w:r>
    </w:p>
    <w:p>
      <w:pPr>
        <w:pStyle w:val="BodyText"/>
        <w:spacing w:line="480" w:lineRule="auto"/>
        <w:ind w:firstLine="720"/>
      </w:pPr>
      <w:r>
        <w:t xml:space="preserve">The third assumption is no anticipation: cells do not respond to a reentry closure before it activates. The mechanism by which this could fail is operational; if flight planners reroute in advance of a published closure, the pre-period outcome is already contaminated by the treatment, and the estimated effect at activation understates the total because part of the response has been pulled into the leads. This is not merely a nuisance but a substantive feature of airspace behavior, since closures are often published in advance and operators do plan around them. The design handles this in two ways that are stated here and executed in Chapter 6. First, the event-study leads are inspected directly for the signature of anticipation, a non-zero pre-activation effect; finding it relocates rather than eliminates the effect. Second, when anticipation is present, the treatment window is widened to begin at the publication time rather than the activation time, so that the pre-activation avoidance is captured inside the treated window and the aggregated effect recovers the total cost including the anticipatory component. The qualifier is that widening the window trades a cleaner no-anticipation assumption against a noisier treatment definition, and the dissertation reports the estimate under both the narrow and the widened window so the sensitivity is visible. Confidence that anticipation can be handled is high, because the remedy is a window redefinition that the data support; confidence that anticipation is absent under the narrow window is low, which is exactly why the widened-window estimate is reported as the preferred specification for the total-cost interpretation.</w:t>
      </w:r>
    </w:p>
    <w:p>
      <w:pPr>
        <w:pStyle w:val="BodyText"/>
        <w:spacing w:line="480" w:lineRule="auto"/>
        <w:ind w:firstLine="720"/>
      </w:pPr>
      <w:r>
        <w:t xml:space="preserve">A fourth assumption is required specifically for the avoided-cost parameter when the continuous-intensity route estimates it, and it is more demanding than the binary-treatment assumptions, which is why the dissertation foregrounds it rather than burying it. The continuous treatment is the prediction-uncertainty bound at closure-decision time, and the dose-response reading, that a marginal reduction in prediction uncertainty causes a marginal reduction in cost, takes the level of prediction uncertainty across events to be conditionally independent of the potential cost outcomes. What supports this is the physics of reentry prediction: the uncertainty available when a closure is sized is governed by the object’s ballistic coefficient, the disturbance state of the upper atmosphere, the reentry angle, and how long before reentry the decision is made, none of which are functions of the aviation demand in the affected sector [21, 22, 53, 54, 55]. An object with a poorly constrained ballistic coefficient, or one whose closure had to be sized during a geomagnetic storm that inflated thermospheric density uncertainty, carries a larger prediction envelope for reasons internal to orbital and atmospheric physics, not reasons tied to how busy the airspace below it happens to be [82, 84]. What warrants the inference is that, conditional on the covariates capturing the demand side (traffic density, time-of-day, geometry), variation in prediction uncertainty is variation in an instrument-like physical quantity. The backing is the continuous-treatment difference-in-differences framework of Callaway, Goodman-Bacon, and Sant’Anna, which makes plain that the dose-response comparison across treatment levels takes an assumption stronger than binary parallel trends, since parallel trends alone leaves selection into treatment intensity unruled-out, and which supplies the alternative assumptions that clear that selection bias</w:t>
      </w:r>
      <w:r>
        <w:t xml:space="preserve"> </w:t>
      </w:r>
      <w:hyperlink w:anchor="ref-47">
        <w:r>
          <w:rPr>
            <w:rStyle w:val="Hyperlink"/>
          </w:rPr>
          <w:t xml:space="preserve">[47]</w:t>
        </w:r>
      </w:hyperlink>
      <w:r>
        <w:t xml:space="preserve">. The rebuttal is that prediction uncertainty might correlate with event characteristics (object size, orbit class) that themselves correlate with which sectors are crossed, inducing selection; the response is to condition on those event characteristics where observed and to report the continuous-intensity estimate as corroborating rather than primary evidence for the avoided-cost parameter, with the static-versus-dynamic counterfactual route, which needs no continuous-intensity exogeneity assumption, as the parallel estimate. The qualifier is firm and is why the avoided-cost parameter is identified by two routes: the continuous-intensity slope is causal only under the stronger no-selection-into-intensity assumption, so its agreement with the simulator-based counterfactual difference is what licenses the causal reading, and its confidence is moderate standing alone and higher paired with the counterfactual route.</w:t>
      </w:r>
    </w:p>
    <w:bookmarkEnd w:id="124"/>
    <w:bookmarkStart w:id="129" w:name="Xd481f0d212b05dc4a5a2f722b6cf3dfbc2945c9"/>
    <w:p>
      <w:pPr>
        <w:pStyle w:val="Heading2"/>
        <w:spacing w:line="480" w:lineRule="auto"/>
      </w:pPr>
      <w:r>
        <w:t xml:space="preserve">5.6 Threats to validity and their mitigations</w:t>
      </w:r>
    </w:p>
    <w:p>
      <w:pPr>
        <w:pStyle w:val="FirstParagraph"/>
        <w:spacing w:line="480" w:lineRule="auto"/>
      </w:pPr>
      <w:r>
        <w:t xml:space="preserve">Each of the four classical validity threats gets its own turn here, stated as a claim about a specific hazard and set beside the design feature built to confront it.</w:t>
      </w:r>
    </w:p>
    <w:bookmarkStart w:id="125" w:name="internal-validity"/>
    <w:p>
      <w:pPr>
        <w:pStyle w:val="Heading3"/>
        <w:spacing w:line="480" w:lineRule="auto"/>
      </w:pPr>
      <w:r>
        <w:t xml:space="preserve">5.6.1 Internal validity</w:t>
      </w:r>
    </w:p>
    <w:p>
      <w:pPr>
        <w:pStyle w:val="FirstParagraph"/>
        <w:spacing w:line="480" w:lineRule="auto"/>
      </w:pPr>
      <w:r>
        <w:t xml:space="preserve">The chief internal-validity threat is confounding by concurrent disruptions, chiefly weather, which also closes or constrains airspace and dominates the delay record in absolute terms. The hazard is that a reentry closure coincides with a weather event and the design charges the weather-driven cost to the closure. Three features meet this. Concurrent weather severity enters the covariate set, so the doubly robust estimator conditions on it directly. The identifying variation is the orbital-mechanics timing of reentry, independent of weather, so across many events weather coincidences average out in a way they would not if reentry timing tracked weather. And the weather placebo test re-runs the estimation on weather-only closures, sector-windows constrained by weather but holding no reentry event, as a falsification sample: a design that correctly isolates the reentry effect should charge no spurious reentry effect to weather-only windows. A second internal threat, the TWFE bias under staggered heterogeneous timing, the estimator choice itself handles, made visible by the Goodman-Bacon decomposition reported alongside [13, 14, 15]. A third, anticipation, Section 5.4 already handles through the lead inspection and window widening. A fourth, reverse causation, that closures are scheduled into already-disrupted windows, the controlled-reentry exclusion and the adjacent-sector placebo handle. So the internal-validity mitigation is no single device but a layered set, covariate conditioning, exogenous timing, falsification placebos, and the modern estimator, each catching a different failure mode.</w:t>
      </w:r>
    </w:p>
    <w:bookmarkEnd w:id="125"/>
    <w:bookmarkStart w:id="126" w:name="external-validity"/>
    <w:p>
      <w:pPr>
        <w:pStyle w:val="Heading3"/>
        <w:spacing w:line="480" w:lineRule="auto"/>
      </w:pPr>
      <w:r>
        <w:t xml:space="preserve">5.6.2 External validity</w:t>
      </w:r>
    </w:p>
    <w:p>
      <w:pPr>
        <w:pStyle w:val="FirstParagraph"/>
        <w:spacing w:line="480" w:lineRule="auto"/>
      </w:pPr>
      <w:r>
        <w:t xml:space="preserve">The external-validity threat is that an estimate from the current U.S. reentry mix and cadence may not carry to a future high-cadence down-mass regime in which reentries are frequent, controlled, and clustered near specific recovery sites. This is the local-effect caution built into the design-based tradition: a credible causal estimate is local to the events and margins observed, and honesty means saying so rather than dressing a local estimate as a universal constant. The design answers not by claiming external validity it cannot support but by changing the object it reports. In place of a single scalar per-event cost, the dissertation estimates the cost as a function of cadence and of prediction uncertainty, through the continuous-intensity specification and through the cohort-level heterogeneity the group-time estimator exposes. Extrapolation to a future regime then stays explicit and conditional: a reader who posits a future cadence and a future prediction-uncertainty level can read off the implied cost from the estimated function, with the caveat that the function is fitted over the observed support and that extrapolation past that support is the reader’s assumption, not the dissertation’s finding. The qualifier is firm: the estimated cost function interpolates over the observed range of cadence and uncertainty and grows less credible the further a future scenario lies outside that range.</w:t>
      </w:r>
    </w:p>
    <w:bookmarkEnd w:id="126"/>
    <w:bookmarkStart w:id="127" w:name="construct-validity"/>
    <w:p>
      <w:pPr>
        <w:pStyle w:val="Heading3"/>
        <w:spacing w:line="480" w:lineRule="auto"/>
      </w:pPr>
      <w:r>
        <w:t xml:space="preserve">5.6.3 Construct validity</w:t>
      </w:r>
    </w:p>
    <w:p>
      <w:pPr>
        <w:pStyle w:val="FirstParagraph"/>
        <w:spacing w:line="480" w:lineRule="auto"/>
      </w:pPr>
      <w:r>
        <w:t xml:space="preserve">The construct-validity threat concerns how well the measured proxies match the constructs they stand for. The outcome construct is the economic cost of disruption, proxied by delay minutes, added distance, fuel burn, and direct operating cost. Those proxies leave out at least two cost components: the value of passenger time, which turns delay minutes into welfare loss at a rate the operating-cost factors miss, and the schedule-network knock-on cost, the downstream delay propagation a localized disruption seeds across the network. The omission is named rather than ignored, and the network-propagation literature bounds the omitted downstream cost: the empirical characterization of how a primary delay magnifies and spreads through the U.S. air-transportation network supplies an upper-bound multiplier on the within-window cost, so the dissertation can report both the directly measured cost and a propagation-bounded total [12, 43, 44]. The treatment construct, AHA exposure, is measured with error, its footprint polygons model outputs from the EU SST prediction and from ReentryFlow rather than observed boundaries. That measurement error is not assumed away. The EU SST prediction-uncertainty bounds are propagated into the exposure measure, so a cell near the footprint edge draws a probabilistic rather than deterministic exposure, and the estimate’s sensitivity to the exposure threshold is reported. The randomized footprint-estimation method of Falsone and Prandini backs treating the footprint as a probabilistic region rather than a hard boundary</w:t>
      </w:r>
      <w:r>
        <w:t xml:space="preserve"> </w:t>
      </w:r>
      <w:hyperlink w:anchor="ref-36">
        <w:r>
          <w:rPr>
            <w:rStyle w:val="Hyperlink"/>
          </w:rPr>
          <w:t xml:space="preserve">[36]</w:t>
        </w:r>
      </w:hyperlink>
      <w:r>
        <w:t xml:space="preserve">. The qualifier is that the cost proxies bound the true cost from below and the propagation evidence bounds the omitted component from above, so the reported interval brackets the construct rather than claiming to measure it exactly.</w:t>
      </w:r>
    </w:p>
    <w:bookmarkEnd w:id="127"/>
    <w:bookmarkStart w:id="128" w:name="statistical-conclusion-validity"/>
    <w:p>
      <w:pPr>
        <w:pStyle w:val="Heading3"/>
        <w:spacing w:line="480" w:lineRule="auto"/>
      </w:pPr>
      <w:r>
        <w:t xml:space="preserve">5.6.4 Statistical-conclusion validity</w:t>
      </w:r>
    </w:p>
    <w:p>
      <w:pPr>
        <w:pStyle w:val="FirstParagraph"/>
        <w:spacing w:line="480" w:lineRule="auto"/>
      </w:pPr>
      <w:r>
        <w:t xml:space="preserve">The statistical-conclusion threat is that the inference understates uncertainty because the cells are spatially and temporally correlated, adjacent sectors sharing traffic and weather and a sector’s cost running serially correlated across windows. Treat the cells as independent and the standard errors come out too small and the significance overstated. The mitigation is to cluster the inference at the airspace-sector level, allowing arbitrary within-sector correlation across windows, and, because the treated clusters are few, to use the wild-cluster bootstrap for the small-sample correction rather than lean on the asymptotic cluster-robust variance, unreliable with few clusters. A second statistical-conclusion threat, serious for this application, is low power: the U.S.-airspace-intersecting reentry events in the current record are few, so the design may fail to reject a false null simply because it cannot detect an effect of plausible size. The minimum-detectable-effect analysis of Section 5.7 addresses this structurally, together with the standing rule, fixed in the contribution, that an underpowered null is inconclusive and never confirmation of H0. So statistical-conclusion validity comes down to inference honest about both the dependence structure and the power constraint, the design pre-committing to treat an imprecise null as a non-finding rather than evidence for the null.</w:t>
      </w:r>
    </w:p>
    <w:bookmarkEnd w:id="128"/>
    <w:bookmarkEnd w:id="129"/>
    <w:bookmarkStart w:id="130" w:name="robustness-battery-and-placebo-tests"/>
    <w:p>
      <w:pPr>
        <w:pStyle w:val="Heading2"/>
        <w:spacing w:line="480" w:lineRule="auto"/>
      </w:pPr>
      <w:r>
        <w:t xml:space="preserve">5.7 Robustness battery and placebo tests</w:t>
      </w:r>
    </w:p>
    <w:p>
      <w:pPr>
        <w:pStyle w:val="FirstParagraph"/>
        <w:spacing w:line="480" w:lineRule="auto"/>
      </w:pPr>
      <w:r>
        <w:t xml:space="preserve">Specifying the robustness battery in advance is what keeps it from being assembled after the fact to rescue a preferred result. Five families of checks make it up, and each one takes aim at a specific assumption.</w:t>
      </w:r>
    </w:p>
    <w:p>
      <w:pPr>
        <w:pStyle w:val="BodyText"/>
        <w:spacing w:line="480" w:lineRule="auto"/>
        <w:ind w:firstLine="720"/>
      </w:pPr>
      <w:r>
        <w:t xml:space="preserve">The weather placebo targets the weather-confounding threat. It re-estimates the full specification on a sample of sector-windows constrained by weather but holding no reentry event, assigning a synthetic</w:t>
      </w:r>
      <w:r>
        <w:t xml:space="preserve"> </w:t>
      </w:r>
      <w:r>
        <w:t xml:space="preserve">“treatment”</w:t>
      </w:r>
      <w:r>
        <w:t xml:space="preserve"> </w:t>
      </w:r>
      <w:r>
        <w:t xml:space="preserve">at the weather-constraint time. A correctly specified design returns a null reentry effect on this placebo, there being no reentry to cause one; a non-null effect would flag the estimator picking up weather-driven cost and mislabeling it as reentry cost.</w:t>
      </w:r>
    </w:p>
    <w:p>
      <w:pPr>
        <w:pStyle w:val="BodyText"/>
        <w:spacing w:line="480" w:lineRule="auto"/>
        <w:ind w:firstLine="720"/>
      </w:pPr>
      <w:r>
        <w:t xml:space="preserve">The adjacent-sector placebo targets both the reverse-causation threat and residual confounding. It assigns a placebo treatment to sectors spatially adjacent to a reentry footprint but lying outside it, during the same active window. These sectors are not closed, so they should show no treatment effect; a measured effect would point either to a mis-drawn footprint, the adjacent sector in fact partly affected, a measurement issue the probabilistic exposure handles, or to some sector-level confounder correlated with proximity to reentry events driving the result. The construction of realistic reroutes around blocked airspace, and the airspace-planning model that assigns surrogate trajectories under closure scenarios, supply the machinery for deciding which adjacent sectors absorb displaced traffic and which do not, so the placebo is geometrically disciplined rather than arbitrary [31, 35].</w:t>
      </w:r>
    </w:p>
    <w:p>
      <w:pPr>
        <w:pStyle w:val="BodyText"/>
        <w:spacing w:line="480" w:lineRule="auto"/>
        <w:ind w:firstLine="720"/>
      </w:pPr>
      <w:r>
        <w:t xml:space="preserve">The controlled-reentry exclusion targets the conditional-independence assumption at its weakest margin. It re-estimates the model with every controlled reentry dropped, leaving only uncontrolled events whose timing is set by orbital decay and so exogenous without conditioning. Agreement between the full-sample and uncontrolled-only estimates is evidence the conditioning on controlled-reentry schedules is not doing the work; divergence localizes the dependence on that conditioning.</w:t>
      </w:r>
    </w:p>
    <w:p>
      <w:pPr>
        <w:pStyle w:val="BodyText"/>
        <w:spacing w:line="480" w:lineRule="auto"/>
        <w:ind w:firstLine="720"/>
      </w:pPr>
      <w:r>
        <w:t xml:space="preserve">The anticipation-leads check targets the no-anticipation assumption. It is the inspection of the event-study leads described in Section 5.4, reported under both the narrow (activation-time) and widened (publication-time) treatment windows, with the dynamic-response counterfactual of the dynamic flight-path tool used to characterize how much pre-activation rerouting a rational operator would undertake, which calibrates how wide the window must be to capture it</w:t>
      </w:r>
      <w:r>
        <w:t xml:space="preserve"> </w:t>
      </w:r>
      <w:hyperlink w:anchor="ref-79">
        <w:r>
          <w:rPr>
            <w:rStyle w:val="Hyperlink"/>
          </w:rPr>
          <w:t xml:space="preserve">[79]</w:t>
        </w:r>
      </w:hyperlink>
      <w:r>
        <w:t xml:space="preserve">.</w:t>
      </w:r>
    </w:p>
    <w:p>
      <w:pPr>
        <w:pStyle w:val="BodyText"/>
        <w:spacing w:line="480" w:lineRule="auto"/>
        <w:ind w:firstLine="720"/>
      </w:pPr>
      <w:r>
        <w:t xml:space="preserve">The alternative-cost-factors check targets construct validity in the outcome. It recomputes the direct operating cost and fuel burn under alternative per-block-hour and per-nautical-mile cost factors by aircraft class, and under alternative fuel-price assumptions, showing the dollar-denominated effect robust to the cost-conversion parameters rather than an artifact of one cost schedule. Since the launch-era evidence shows the impact distribution splitting sharply between general aviation and international carriers, the cost-factor sensitivity is reported separately by aircraft class, which also tests whether one class drives the aggregate effect disproportionately [3, 32].</w:t>
      </w:r>
    </w:p>
    <w:p>
      <w:pPr>
        <w:pStyle w:val="BodyText"/>
        <w:spacing w:line="480" w:lineRule="auto"/>
        <w:ind w:firstLine="720"/>
      </w:pPr>
      <w:r>
        <w:t xml:space="preserve">Each check carries a pre-stated interpretation: what result confirms the assumption and what result would force a revision. The battery is reported in full whether or not the headline estimate is significant, so a reader sees the design’s behavior under stress rather than only its behavior on the preferred specification.</w:t>
      </w:r>
    </w:p>
    <w:bookmarkEnd w:id="130"/>
    <w:bookmarkStart w:id="131" w:name="Xa4afaa43e7c2235e543f67441950575f2fda392"/>
    <w:p>
      <w:pPr>
        <w:pStyle w:val="Heading2"/>
        <w:spacing w:line="480" w:lineRule="auto"/>
      </w:pPr>
      <w:r>
        <w:t xml:space="preserve">5.8 Power and minimum-detectable-effect analysis</w:t>
      </w:r>
    </w:p>
    <w:p>
      <w:pPr>
        <w:pStyle w:val="FirstParagraph"/>
        <w:spacing w:line="480" w:lineRule="auto"/>
      </w:pPr>
      <w:r>
        <w:t xml:space="preserve">Power is a first-order concern for this design, not an afterthought, the binding constraint being the modest number of U.S.-airspace-intersecting reentry events in the available record. This section commits the design to reporting, in advance, the smallest treatment effect it could detect at the available sample size, and to reading an imprecise null as inconclusive. The reasoning is plain statistical-power logic: the minimum detectable effect (MDE) at a given significance level and power is proportional to the standard error of the estimated ATT, which in a clustered design scales with the residual outcome variance, inversely with the square root of the treated clusters, and with the intraclass correlation the sector-level clustering induces. With few treated sectors and serially correlated within-sector outcomes, the effective sample size sits far below the raw count of cell-window observations, and the MDE runs correspondingly larger than a naive calculation would suggest.</w:t>
      </w:r>
    </w:p>
    <w:p>
      <w:pPr>
        <w:pStyle w:val="BodyText"/>
        <w:spacing w:line="480" w:lineRule="auto"/>
        <w:ind w:firstLine="720"/>
      </w:pPr>
      <w:r>
        <w:t xml:space="preserve">The power analysis runs in three steps, all design-stage and none executed on the full dataset. Step one fixes the inference parameters: a two-sided test at the conventional five-percent level and eighty-percent power as the reporting standard, with the MDE also reported at ninety-percent power for transparency. Step two draws the variance components from the prior literature rather than from the unexecuted estimation, seeding the residual variance of the delay-cost outcome and its intraclass correlation from the published delay-distribution and delay-propagation characterizations, which document the heavy-tailed, serially correlated structure of NAS delay [12, 40, 43, 77]. These are priors on the variance, flagged as priors, used only to size the MDE and never to claim a result. Step three computes the MDE as a function of the number of treated events, yielding a curve rather than a single number, so the reader watches the detectable effect shrink as more events accumulate. Chapter 6 presents the illustrative arithmetic of that curve with every quantity left as a symbol or seeded from a labeled prior. Here the design commits to the structure of the calculation and to what follows from it.</w:t>
      </w:r>
    </w:p>
    <w:p>
      <w:pPr>
        <w:pStyle w:val="BodyText"/>
        <w:spacing w:line="480" w:lineRule="auto"/>
        <w:ind w:firstLine="720"/>
      </w:pPr>
      <w:r>
        <w:t xml:space="preserve">The consequence is the underpowered-null rule, part of the dissertation’s contribution and restated here as a design commitment. If the estimated disruption effect is near zero but its confidence interval is wide enough to hold economically meaningful effects, wider than the MDE, the result is reported as inconclusive: the design could not have detected an effect of the size the literature leads us to expect, so the failure to find one says nothing about H0. H0 is retained as a substantive finding only if the disruption estimate is near zero and its confidence interval is tight enough to exclude economically meaningful effects, which takes the MDE check passing. This asymmetry is deliberate, the safeguard against the most likely failure mode of a small-sample design, mistaking a wide null for evidence of no effect. The qualifier is explicit: a precisely estimated null falsifies the first part of the contribution and is a publishable, decision-relevant result; an imprecise null falsifies nothing and signals the design must wait for more events. Confidence that the power analysis characterizes the design’s sensitivity correctly is high, the calculation standard and the variance priors drawn from peer-reviewed delay characterizations. Confidence that the available sample is adequately powered is, by the nature of the constraint, low, and the dissertation does not pretend otherwise.</w:t>
      </w:r>
    </w:p>
    <w:bookmarkEnd w:id="131"/>
    <w:bookmarkStart w:id="132" w:name="pre-registration-commitment"/>
    <w:p>
      <w:pPr>
        <w:pStyle w:val="Heading2"/>
        <w:spacing w:line="480" w:lineRule="auto"/>
      </w:pPr>
      <w:r>
        <w:t xml:space="preserve">5.9 Pre-registration commitment</w:t>
      </w:r>
    </w:p>
    <w:p>
      <w:pPr>
        <w:pStyle w:val="FirstParagraph"/>
        <w:spacing w:line="480" w:lineRule="auto"/>
      </w:pPr>
      <w:r>
        <w:t xml:space="preserve">Pre-registration is a commitment the design makes for the very reason pre-registration exists. A modest sample, a two-part hypothesis, and a rich robustness battery together open many researcher degrees of freedom, and the credibility of the eventual estimate turns on fixing those degrees of freedom before the outcome comes into view. Read that way, the pre-registration is no formality. It is the mechanism that keeps the falsifiability claim honest.</w:t>
      </w:r>
    </w:p>
    <w:p>
      <w:pPr>
        <w:pStyle w:val="BodyText"/>
        <w:spacing w:line="480" w:lineRule="auto"/>
        <w:ind w:firstLine="720"/>
      </w:pPr>
      <w:r>
        <w:t xml:space="preserve">Before any estimation on the full panel, the pre-registered document fixes the following. It fixes the primary estimator (Callaway and Sant’Anna doubly robust) and the diagnostic estimators (Goodman-Bacon decomposition, de Chaisemartin and D’Haultfoeuille robust estimator), so the choice among frontier estimators cannot be steered toward a result [13, 14, 15]. It fixes the four outcome variables, the binary treatment definition, the continuous treatment-intensity definition (the prediction-uncertainty bound at closure-decision time), the cohort definition (first-closure window), and the covariate set, so no outcome or specification can be picked after the fact. It fixes the two aggregation targets (the overall ATT and the event-study profile) and the two estimation routes for the avoided-cost parameter (the static-versus-dynamic counterfactual difference and the continuous-intensity dose-response). It fixes the entire robustness battery of Section 5.6, with the pre-stated interpretation of each check, so the placebos cannot be selectively reported. It fixes the inference procedure (sector-level clustering, wild-cluster bootstrap for the small-sample correction) and the power-reporting standard. And it fixes the decision rule on H0 and H1, the underpowered-null rule included, so neither the rejection nor the retention of the null can be retrofitted to the realized estimate. The pre-registration draws an explicit line between the confirmatory analyses, the pre-registered specifications above, and any exploratory analyses, which are permitted but labeled exploratory and kept out of adjudicating the hypotheses. The qualifier is that pre-registration constrains the analysis, not the data: it cannot repair a power deficit or a failed assumption, and the dissertation commits to reporting the pre-registered analysis as run, failures included, rather than swapping in a better-behaved post hoc specification.</w:t>
      </w:r>
    </w:p>
    <w:bookmarkEnd w:id="132"/>
    <w:bookmarkStart w:id="133" w:name="computational-and-software-plan"/>
    <w:p>
      <w:pPr>
        <w:pStyle w:val="Heading2"/>
        <w:spacing w:line="480" w:lineRule="auto"/>
      </w:pPr>
      <w:r>
        <w:t xml:space="preserve">5.10 Computational and software plan</w:t>
      </w:r>
    </w:p>
    <w:p>
      <w:pPr>
        <w:pStyle w:val="FirstParagraph"/>
        <w:spacing w:line="480" w:lineRule="auto"/>
      </w:pPr>
      <w:r>
        <w:t xml:space="preserve">Reproducibility is what the computational plan buys. By naming the tools, the pipeline, and the validation gates, it turns the estimation into an executable procedure rather than a description of one.</w:t>
      </w:r>
    </w:p>
    <w:p>
      <w:pPr>
        <w:pStyle w:val="BodyText"/>
        <w:spacing w:line="480" w:lineRule="auto"/>
        <w:ind w:firstLine="720"/>
      </w:pPr>
      <w:r>
        <w:t xml:space="preserve">The estimation draws on maintained, peer-reviewed implementations of the frontier estimators. The group-time difference-in-differences runs on the Callaway and Sant’Anna estimator as implemented in its standard statistical package, which supplies the doubly robust group-time ATT, the cohort and event-study aggregations, and the simultaneous-inference confidence bands for the event-study profile</w:t>
      </w:r>
      <w:r>
        <w:t xml:space="preserve"> </w:t>
      </w:r>
      <w:hyperlink w:anchor="ref-14">
        <w:r>
          <w:rPr>
            <w:rStyle w:val="Hyperlink"/>
          </w:rPr>
          <w:t xml:space="preserve">[14]</w:t>
        </w:r>
      </w:hyperlink>
      <w:r>
        <w:t xml:space="preserve">. The de Chaisemartin and D’Haultfoeuille robust estimator and the Goodman-Bacon decomposition run from their own maintained packages, so their authors’ implementations compute the diagnostics rather than a re-implementation that might differ subtly [13, 15]. The stacked and synthetic-difference-in-differences confirmatory estimates use their respective published implementations [46, 51]. Inference uses a wild-cluster bootstrap implementation fit for few-cluster settings. The continuous-treatment-intensity estimate, developed in Chapter 6, uses the continuous-treatment difference-in-differences extension and its accompanying selection-bias diagnostics</w:t>
      </w:r>
      <w:r>
        <w:t xml:space="preserve"> </w:t>
      </w:r>
      <w:hyperlink w:anchor="ref-47">
        <w:r>
          <w:rPr>
            <w:rStyle w:val="Hyperlink"/>
          </w:rPr>
          <w:t xml:space="preserve">[47]</w:t>
        </w:r>
      </w:hyperlink>
      <w:r>
        <w:t xml:space="preserve">. Naming the implementations serves reproducibility: a reader with the same panel and the same package versions should recover the same estimates, and the pre-registration records the package versions so the computational environment is itself fixed.</w:t>
      </w:r>
    </w:p>
    <w:p>
      <w:pPr>
        <w:pStyle w:val="BodyText"/>
        <w:spacing w:line="480" w:lineRule="auto"/>
        <w:ind w:firstLine="720"/>
      </w:pPr>
      <w:r>
        <w:t xml:space="preserve">The data pipeline is a five-stage process whose stages map onto the estimation procedure of Chapter 6 and whose intermediate products are validated before they pass downstream. The first stage assembles the panel, joining the EU SST reentry-event layer to the FAA NAS and SWIM flight layer through the ReentryFlow exposure mapping to produce the sector-by-window cells with treatment indicators, treatment intensities, outcomes, and covariates. The second stage is a validation gate rather than an estimation step: ReentryFlow’s predicted exposed-flight sets are compared against realized FAA exposure for past events, and precision and recall are reported; ReentryFlow’s counterfactual outputs earn no trust, and the avoided-cost estimation does not proceed, until this gate is passed, because an exposure-mapping instrument that mislabels which flights a closure touches would corrupt both the disruption estimate and the counterfactual. The third stage estimates the disruption parameter and runs the diagnostics. The fourth stage estimates the avoided-cost parameter by both routes. The fifth stage runs the robustness and placebo battery. The pipeline is built so each stage’s output is a versioned, inspectable artifact, and so the validation gate at stage two is a hard stop rather than an advisory.</w:t>
      </w:r>
    </w:p>
    <w:p>
      <w:pPr>
        <w:pStyle w:val="BodyText"/>
        <w:spacing w:line="480" w:lineRule="auto"/>
        <w:ind w:firstLine="720"/>
      </w:pPr>
      <w:r>
        <w:t xml:space="preserve">The software plan also commits to the data-handling discipline that the access constraints require. The EU SST reentry catalog is accessed through its reentry-bulletin feed under the program’s vault credentials; the FAA SWIM feeds and NAS operations archives are accessed through their subscription channels; the four IAC-26 PRISMA reviews are read directly as project artifacts and supply prior ranges rather than panel observations; and ReentryFlow is run from its project repository as both the exposure-mapping instrument and the dynamic-closure simulator. The reentry-prediction surface that defines the treatment intensity is grounded in the published characterization of reentry-prediction uncertainty, its atmospheric-density, ballistic-coefficient, and reentry-angle drivers, and its tightening as the object nears reentry, so that the treatment-intensity variable is a measured quantity with a documented error model rather than a free parameter [21, 22, 53, 54, 55]. The qualifier on the computational plan is that the panel does not yet exist: the plan describes the construction and the validation gates, and the dissertation is honest that the pipeline is specified and the instruments are accessed but the joined panel is not built, which is the design-stage posture the whole work maintains.</w:t>
      </w:r>
    </w:p>
    <w:bookmarkEnd w:id="133"/>
    <w:bookmarkStart w:id="134" w:name="assurance-case-position-of-this-chapter"/>
    <w:p>
      <w:pPr>
        <w:pStyle w:val="Heading2"/>
        <w:spacing w:line="480" w:lineRule="auto"/>
      </w:pPr>
      <w:r>
        <w:t xml:space="preserve">5.11 Assurance-case position of this chapter</w:t>
      </w:r>
    </w:p>
    <w:p>
      <w:pPr>
        <w:pStyle w:val="FirstParagraph"/>
        <w:spacing w:line="480" w:lineRule="auto"/>
      </w:pPr>
      <w:r>
        <w:t xml:space="preserve">This chapter sits at the third subclaim in the dissertation’s assurance case, that the design addresses the causal mechanism, and supplies the method backing for the identification the contribution requires. That the problem is real and material the literature already establishes, and the chapter does not re-argue it. What the chapter argues is that the chosen design recovers the per-event cost and the avoided cost without the bias that would invalidate a naive estimator, and that it does so under assumptions stated, defended, and tested rather than assumed. The design beats the alternatives in a precise sense: the Callaway and Sant’Anna estimator is provably unbiased under staggered heterogeneous timing where the TWFE estimator is provably biased, and the robustness battery shows the result independent of the choice among frontier estimators [13, 14, 15, 46, 50, 51]. The residual risk is acceptable in a precise sense too: every threat to validity is paired with a mitigation, and the most dangerous residual, low power, is met not by wishing it away but by the underpowered-null rule that refuses to read an imprecise null as confirmation of the null. One qualifier runs through the chapter, the one the design-based tradition demands: the estimate is local to the observed events and credible exactly to the degree its identifying assumptions hold, and the dissertation commits to reporting those assumptions’ tests transparently rather than claiming a certainty the design cannot deliver. The next chapter turns this design into a fixed, pre-committed analysis plan with an explicit decision rule, so neither the confirmation nor the falsification of the contribution can be retrofitted once the estimates are seen.</w:t>
      </w:r>
    </w:p>
    <w:bookmarkEnd w:id="134"/>
    <w:bookmarkEnd w:id="135"/>
    <w:bookmarkStart w:id="155" w:name="X8e3c53fafd579d00ea90a743c81d5f02484ecb8"/>
    <w:p>
      <w:pPr>
        <w:pStyle w:val="Heading1"/>
        <w:spacing w:line="480" w:lineRule="auto"/>
      </w:pPr>
      <w:r>
        <w:t xml:space="preserve">Chapter 6: Analysis Plan and Expected Results</w:t>
      </w:r>
    </w:p>
    <w:bookmarkStart w:id="136" w:name="chapter-thesis-and-problem-frame"/>
    <w:p>
      <w:pPr>
        <w:pStyle w:val="Heading2"/>
        <w:spacing w:line="480" w:lineRule="auto"/>
      </w:pPr>
      <w:r>
        <w:t xml:space="preserve">6.1 Chapter Thesis and Problem Frame</w:t>
      </w:r>
    </w:p>
    <w:p>
      <w:pPr>
        <w:pStyle w:val="FirstParagraph"/>
        <w:spacing w:line="480" w:lineRule="auto"/>
      </w:pPr>
      <w:r>
        <w:t xml:space="preserve">This chapter’s thesis is that a fixed, five-step estimation procedure paired with a decision rule committed in advance is what turns the design of Chapters 4 and 5 into a test that neither outcome can be retrofitted to confirm. The disruption parameter and the avoided-cost parameter each receive an estimation path, a sign the literature leads us to expect, a mechanism that explains that sign, and a numerical threshold the executed estimate must clear before H1 may be declared to survive. The result tables that would carry the executed numbers are specified here in full and left empty by design, because this dissertation is presented at the design stage and no estimate has run on the assembled panel. So the chapter’s contribution is not a finding. It is the demonstration that the finding, when it arrives, will read as evidence rather than as the product of analytic latitude.</w:t>
      </w:r>
    </w:p>
    <w:p>
      <w:pPr>
        <w:pStyle w:val="BodyText"/>
        <w:spacing w:line="480" w:lineRule="auto"/>
        <w:ind w:firstLine="720"/>
      </w:pPr>
      <w:r>
        <w:t xml:space="preserve">The problem is specific and follows the shape carried through the dissertation. Today, quantification of launch and reentry airspace impact in this corner of the literature runs on simulation and historical-traffic accounting [2, 3, 4, 5], reported as descriptive counts of affected flights and modeled fuel-and-time penalties, with no pre-committed rule to tell a confirming result from a disconfirming one. What is wanted instead is a plan that writes down the estimand, the estimator, the controls, the diagnostics, and the threshold for each hypothesis before estimation, so the difference-in-differences machinery selected in Chapter 5 produces a number whose meaning was fixed before its value was known. No prior study of reentry airspace cost has been pre-registered in this sense, and the modern staggered difference-in-differences literature warns exactly that flexible, post-hoc specification choices under heterogeneous treatment timing can manufacture the sign and significance an analyst expects [13, 15, 50]. Leave the gap open and even a correctly specified estimate stays open to the charge that its design was tuned to its outcome, which would weaken the very regulatory and investment decisions the estimate is meant to inform. Closing that gap is the work of this chapter.</w:t>
      </w:r>
    </w:p>
    <w:p>
      <w:pPr>
        <w:pStyle w:val="BodyText"/>
        <w:spacing w:line="480" w:lineRule="auto"/>
        <w:ind w:firstLine="720"/>
      </w:pPr>
      <w:r>
        <w:t xml:space="preserve">A note on register and honesty governs everything below. Every quantity that appears with a sign attached is labeled as expected, meaning it is the direction the mechanism and the prior literature lead us to anticipate, not a measured value. Every quantity that appears inside the illustrative simulation is labeled as illustrative, meaning it is a symbol or a placeholder used to show the arithmetic of the design, not an estimate. The result tables in Section 6.8 are specified-but-unpopulated by design. This is the standing guardrail of the dissertation, and it is restated here because Chapter 6 is the chapter where the temptation to present expectation as result is greatest.</w:t>
      </w:r>
    </w:p>
    <w:bookmarkEnd w:id="136"/>
    <w:bookmarkStart w:id="143" w:name="the-five-step-estimation-procedure"/>
    <w:p>
      <w:pPr>
        <w:pStyle w:val="Heading2"/>
        <w:spacing w:line="480" w:lineRule="auto"/>
      </w:pPr>
      <w:r>
        <w:t xml:space="preserve">6.2 The Five-Step Estimation Procedure</w:t>
      </w:r>
    </w:p>
    <w:p>
      <w:pPr>
        <w:pStyle w:val="FirstParagraph"/>
        <w:spacing w:line="480" w:lineRule="auto"/>
      </w:pPr>
      <w:r>
        <w:t xml:space="preserve">The estimation procedure has five steps, executed in order, each one gating the next. The ordering is itself part of the pre-registration: a downstream step may never send the analyst back to re-specify an upstream step for reasons that depend on the downstream result. The five steps are panel assembly, ReentryFlow validation, disruption-parameter estimation, avoided-cost estimation, and the robustness-and-placebo battery. This section specifies each.</w:t>
      </w:r>
    </w:p>
    <w:bookmarkStart w:id="137" w:name="step-one-panel-assembly"/>
    <w:p>
      <w:pPr>
        <w:pStyle w:val="Heading3"/>
        <w:spacing w:line="480" w:lineRule="auto"/>
      </w:pPr>
      <w:r>
        <w:t xml:space="preserve">6.2.1 Step one: panel assembly</w:t>
      </w:r>
    </w:p>
    <w:p>
      <w:pPr>
        <w:pStyle w:val="FirstParagraph"/>
        <w:spacing w:line="480" w:lineRule="auto"/>
      </w:pPr>
      <w:r>
        <w:t xml:space="preserve">The first step assembles the analysis panel by joining the EU SST reentry-event layer to the FAA NAS and SWIM flight layer through the ReentryFlow exposure mapping, producing the airspace-sector-by-time-window cells, indexed (i) over sectors and (t) over windows, that are the units of analysis fixed in the notation of the bible. Each cell carries a binary treatment indicator (whether a reentry-driven Aircraft Hazard Area, AHA, was active over that sector in that window), a treatment intensity (the prediction-uncertainty bound at the closure-decision time, drawn from the EU SST layer), the four outcome measures (delay minutes, added distance, fuel burn, and direct operating cost), and the covariate vector (baseline sector traffic density, time-of-day, day-of-week, season, concurrent weather severity, concurrent non-space traffic-management initiatives, aircraft-class mix, and the great-circle distance of the affected routes). The cohort variable (G_i = g) records the window in which cell (i) first receives a reentry closure, which is the object the Callaway and Sant’Anna estimator partitions on</w:t>
      </w:r>
      <w:r>
        <w:t xml:space="preserve"> </w:t>
      </w:r>
      <w:hyperlink w:anchor="ref-14">
        <w:r>
          <w:rPr>
            <w:rStyle w:val="Hyperlink"/>
          </w:rPr>
          <w:t xml:space="preserve">[14]</w:t>
        </w:r>
      </w:hyperlink>
      <w:r>
        <w:t xml:space="preserve">.</w:t>
      </w:r>
    </w:p>
    <w:p>
      <w:pPr>
        <w:pStyle w:val="BodyText"/>
        <w:spacing w:line="480" w:lineRule="auto"/>
        <w:ind w:firstLine="720"/>
      </w:pPr>
      <w:r>
        <w:t xml:space="preserve">Whether this join is feasible rests on the connecting instruments existing, not on their having been run. The EU SST service issues per-event reentry predictions with uncertainty windows and footprint polygons, SWIM feeds and FAA operations archives carry flight-level trajectories and special-use and hazard-airspace activation records, and the Space Data Integrator platform was built by the FAA expressly to automate the situational-awareness pipeline linking a reentry vehicle’s position and mission parameters to NAS operations</w:t>
      </w:r>
      <w:r>
        <w:t xml:space="preserve"> </w:t>
      </w:r>
      <w:hyperlink w:anchor="ref-29">
        <w:r>
          <w:rPr>
            <w:rStyle w:val="Hyperlink"/>
          </w:rPr>
          <w:t xml:space="preserve">[29]</w:t>
        </w:r>
      </w:hyperlink>
      <w:r>
        <w:t xml:space="preserve">. From those facts the feasibility follows, because an exposure measure can be built wherever a footprint polygon with a time window meets a filed-or-flown trajectory, the operation the footprint-estimation literature formalizes probabilistically [36, 31]. The qualifier is that the join is described here, not built. The panel does not yet exist, and this step specifies how it will be made rather than reporting that it has been. An examiner might object that the EU SST and SWIM record systems could prove non-conformable at the timestamp or polygon resolution required. The response is that conformability is exactly what step two tests before any causal estimate is trusted, so the risk sits contained inside the procedure rather than waved off.</w:t>
      </w:r>
    </w:p>
    <w:bookmarkEnd w:id="137"/>
    <w:bookmarkStart w:id="138" w:name="Xbe2bbaa1a89cde865fbfd6fbbf3eed349c5b2d4"/>
    <w:p>
      <w:pPr>
        <w:pStyle w:val="Heading3"/>
        <w:spacing w:line="480" w:lineRule="auto"/>
      </w:pPr>
      <w:r>
        <w:t xml:space="preserve">6.2.2 Step two: ReentryFlow validation by precision and recall</w:t>
      </w:r>
    </w:p>
    <w:p>
      <w:pPr>
        <w:pStyle w:val="FirstParagraph"/>
        <w:spacing w:line="480" w:lineRule="auto"/>
      </w:pPr>
      <w:r>
        <w:t xml:space="preserve">The second step validates the ReentryFlow model as a measurement instrument before its outputs are used either as the exposure bridge or as the counterfactual simulator. ReentryFlow ingests a reentry trajectory and dispersion footprint, intersects it with an airspace traffic scenario, and returns a predicted affected-flight set and an associated cost. Its predicted exposed-flight sets are compared against the realized FAA exposure records for past events, and precision and recall are reported. Precision is the share of flights ReentryFlow predicts to be exposed that the FAA record confirms were exposed; recall is the share of flights the FAA record shows were exposed that ReentryFlow predicts. Only when these metrics clear a stated threshold is ReentryFlow trusted to generate the dynamic-closure counterfactual in step four.</w:t>
      </w:r>
    </w:p>
    <w:p>
      <w:pPr>
        <w:pStyle w:val="BodyText"/>
        <w:spacing w:line="480" w:lineRule="auto"/>
        <w:ind w:firstLine="720"/>
      </w:pPr>
      <w:r>
        <w:t xml:space="preserve">This validation gate is load-bearing and sits second on purpose. Why it is necessary runs as follows: ReentryFlow is the deterministic mapping from a treatment, a reentry event and its footprint, to a predicted exposed-flight set, so any systematic error in that mapping flows straight into the exposure measure that defines treatment, and from there into the disruption parameter. Over-predict exposure and treated cells fill with unexposed flights, biasing the estimated cost toward zero; under-predict and genuinely exposed flights get mislabeled as controls, corrupting the parallel-trends comparison. Checking precision and recall first catches both failure modes before they reach the causal estimate. Confidence in the validation step itself is moderate at the design stage, because the realized-exposure ground truth leans on the completeness of the FAA activation records, which attribute reroute cause imperfectly. A larger set of past reentry events with clean FAA exposure attribution would raise this confidence; a finding that the footprint polygons and the flight records disagree at the resolution the join requires would lower it.</w:t>
      </w:r>
    </w:p>
    <w:bookmarkEnd w:id="138"/>
    <w:bookmarkStart w:id="139" w:name="X9089d82e53c9e2e69efc27c630d072ecac828b0"/>
    <w:p>
      <w:pPr>
        <w:pStyle w:val="Heading3"/>
        <w:spacing w:line="480" w:lineRule="auto"/>
      </w:pPr>
      <w:r>
        <w:t xml:space="preserve">6.2.3 Step three: disruption-parameter estimation</w:t>
      </w:r>
    </w:p>
    <w:p>
      <w:pPr>
        <w:pStyle w:val="FirstParagraph"/>
        <w:spacing w:line="480" w:lineRule="auto"/>
      </w:pPr>
      <w:r>
        <w:t xml:space="preserve">The third step estimates the disruption parameter, which is the aggregated average treatment effect on the treated (ATT) of a reentry-driven AHA closure on the cost outcomes. The primary estimator is the Callaway and Sant’Anna staggered difference-in-differences estimator, which defines the group-time average treatment effect</w:t>
      </w:r>
    </w:p>
    <w:p>
      <w:pPr>
        <w:pStyle w:val="BodyText"/>
        <w:spacing w:line="480" w:lineRule="auto"/>
        <w:ind w:firstLine="720"/>
      </w:pPr>
      <w:r>
        <w:t xml:space="preserve">[</w:t>
      </w:r>
      <w:r>
        <w:t xml:space="preserve"> </w:t>
      </w:r>
      <w:r>
        <w:t xml:space="preserve">ATT(g,t) = E</w:t>
      </w:r>
      <w:r>
        <w:t xml:space="preserve">,</w:t>
      </w:r>
      <w:r>
        <w:t xml:space="preserve"> </w:t>
      </w:r>
      <w:r>
        <w:t xml:space="preserve">]</w:t>
      </w:r>
    </w:p>
    <w:p>
      <w:pPr>
        <w:pStyle w:val="BodyText"/>
        <w:spacing w:line="480" w:lineRule="auto"/>
        <w:ind w:firstLine="720"/>
      </w:pPr>
      <w:r>
        <w:t xml:space="preserve">estimates each (ATT(g,t)) against not-yet-treated and never-treated control cells, and aggregates the estimates with valid weights into an overall ATT and into an event-study profile by time-since-closure</w:t>
      </w:r>
      <w:r>
        <w:t xml:space="preserve"> </w:t>
      </w:r>
      <w:hyperlink w:anchor="ref-14">
        <w:r>
          <w:rPr>
            <w:rStyle w:val="Hyperlink"/>
          </w:rPr>
          <w:t xml:space="preserve">[14]</w:t>
        </w:r>
      </w:hyperlink>
      <w:r>
        <w:t xml:space="preserve">. The disruption parameter is the aggregated effect on the four cost outcomes. Two diagnostics accompany the primary estimate and are reported regardless of whether they agree with it. The Goodman-Bacon decomposition expresses any two-way fixed-effects analogue as a weighted average of all possible two-group, two-period comparisons and exposes the forbidden comparisons that use already-treated cells as controls, which is the source of bias under staggered, heterogeneous timing</w:t>
      </w:r>
      <w:r>
        <w:t xml:space="preserve"> </w:t>
      </w:r>
      <w:hyperlink w:anchor="ref-13">
        <w:r>
          <w:rPr>
            <w:rStyle w:val="Hyperlink"/>
          </w:rPr>
          <w:t xml:space="preserve">[13]</w:t>
        </w:r>
      </w:hyperlink>
      <w:r>
        <w:t xml:space="preserve">. The de Chaisemartin and D’Haultfoeuille robust estimator provides a second, separately constructed estimate that does not rely on the same weighting and so functions as an independent check</w:t>
      </w:r>
      <w:r>
        <w:t xml:space="preserve"> </w:t>
      </w:r>
      <w:hyperlink w:anchor="ref-15">
        <w:r>
          <w:rPr>
            <w:rStyle w:val="Hyperlink"/>
          </w:rPr>
          <w:t xml:space="preserve">[15]</w:t>
        </w:r>
      </w:hyperlink>
      <w:r>
        <w:t xml:space="preserve">. The interpretation of the event-study leads and lags follows Roth’s caution that the pre-treatment coefficients produced by the new methods are constructed asymmetrically from the post-treatment coefficients, so the visual heuristics developed for two-way fixed-effects event studies do not transfer unaltered</w:t>
      </w:r>
      <w:r>
        <w:t xml:space="preserve"> </w:t>
      </w:r>
      <w:hyperlink w:anchor="ref-49">
        <w:r>
          <w:rPr>
            <w:rStyle w:val="Hyperlink"/>
          </w:rPr>
          <w:t xml:space="preserve">[49]</w:t>
        </w:r>
      </w:hyperlink>
      <w:r>
        <w:t xml:space="preserve">.</w:t>
      </w:r>
    </w:p>
    <w:p>
      <w:pPr>
        <w:pStyle w:val="BodyText"/>
        <w:spacing w:line="480" w:lineRule="auto"/>
        <w:ind w:firstLine="720"/>
      </w:pPr>
      <w:r>
        <w:t xml:space="preserve">Why this estimator is primary rather than a conventional two-way fixed-effects regression is argued in full in Chapter 5 and summarized here only where it shapes the analysis plan. It rests on the now-settled econometric result that two-way fixed effects is biased under staggered timing and heterogeneous effects [13, 15, 50], on the Callaway and Sant’Anna construction restricting comparisons to clean controls and aggregating with weights that cannot go negative</w:t>
      </w:r>
      <w:r>
        <w:t xml:space="preserve"> </w:t>
      </w:r>
      <w:hyperlink w:anchor="ref-14">
        <w:r>
          <w:rPr>
            <w:rStyle w:val="Hyperlink"/>
          </w:rPr>
          <w:t xml:space="preserve">[14]</w:t>
        </w:r>
      </w:hyperlink>
      <w:r>
        <w:t xml:space="preserve">, and on the design-based tradition that lets the comparison structure rather than a functional form carry the causal claim [69, 71]. The qualifier is that this estimator buys unbiasedness at the price of precision, discarding the forbidden comparisons a naive estimator would have used, so its standard errors run wider and the power concern of Chapter 5 is sharpened, not eased, by the choice. Confidence that the estimator is the correct primary specification is high, the methodological literature unusually convergent on the point. Confidence that it will yield a precisely estimated effect is only moderate, conditioned on the sample size, which the minimum-detectable-effect analysis carried over from the design chapter addresses.</w:t>
      </w:r>
    </w:p>
    <w:bookmarkEnd w:id="139"/>
    <w:bookmarkStart w:id="140" w:name="step-four-avoided-cost-estimation"/>
    <w:p>
      <w:pPr>
        <w:pStyle w:val="Heading3"/>
        <w:spacing w:line="480" w:lineRule="auto"/>
      </w:pPr>
      <w:r>
        <w:t xml:space="preserve">6.2.4 Step four: avoided-cost estimation</w:t>
      </w:r>
    </w:p>
    <w:p>
      <w:pPr>
        <w:pStyle w:val="FirstParagraph"/>
        <w:spacing w:line="480" w:lineRule="auto"/>
      </w:pPr>
      <w:r>
        <w:t xml:space="preserve">The fourth step estimates the avoided-cost parameter by two routes built to corroborate each other. The first differences the realized static-closure cost against the ReentryFlow dynamic-closure counterfactual: for each real event, ReentryFlow recomputes the closure under a prediction-informed dynamic policy that sizes the withheld volume to the uncertainty available shortly before reentry rather than a worst-case envelope fixed hours ahead, returns the implied cost, and the avoided cost per event is the realized static cost minus the simulated dynamic cost, then averaged across events. The second uses the prediction-uncertainty bound at closure-decision time as a continuous treatment intensity and estimates how the cost outcome scales with that intensity straight from the natural variation across events whose predictions were tighter or looser when the closure was sized. Since the second route treats intensity as continuous, it runs under the difference-in-differences-with-continuous-treatment framework, which identifies treatment-on-the-treated parameters under a parallel-trends assumption analogous to the binary case yet warns that comparing those parameters across intensity levels takes stronger assumptions ruling out selection on the intensity itself</w:t>
      </w:r>
      <w:r>
        <w:t xml:space="preserve"> </w:t>
      </w:r>
      <w:hyperlink w:anchor="ref-47">
        <w:r>
          <w:rPr>
            <w:rStyle w:val="Hyperlink"/>
          </w:rPr>
          <w:t xml:space="preserve">[47]</w:t>
        </w:r>
      </w:hyperlink>
      <w:r>
        <w:t xml:space="preserve">. The two routes stay separate and are reported separately; agreement between a counterfactual-simulation estimate and a continuous-intensity estimate is mutual corroboration, while disagreement is itself reported as a finding about the avoided cost’s dependence on the modeling route.</w:t>
      </w:r>
    </w:p>
    <w:p>
      <w:pPr>
        <w:pStyle w:val="BodyText"/>
        <w:spacing w:line="480" w:lineRule="auto"/>
        <w:ind w:firstLine="720"/>
      </w:pPr>
      <w:r>
        <w:t xml:space="preserve">What grounds the expected positive sign of this parameter is the dissertation’s central causal chain, turned on the avoided-cost lever. A reentry event with large prediction uncertainty drives a conservative static AHA sized to a worst-case dispersion envelope, which withholds a large airspace volume over a sector-time window, which forces exposed flights to delay, hold, or reroute. The avoided-cost lever acts on the first link. Prediction uncertainty drops sharply as the object nears reentry, so a dynamic closure sized to the late-available uncertainty withholds a smaller volume and displaces fewer flights, and the cost gap between the two closure sizes is the avoided cost. That the late-available uncertainty runs materially smaller is supported by the short-term reentry-prediction literature, which documents prediction error tightening as the object approaches reentry and decomposes the dominant uncertainty drivers of atmospheric density, ballistic coefficient, and reentry angle [22, 55, 53]. That a dynamic closure can in fact seize that tightening is supported by the trajectory-accuracy-requirements line of work, which derives the predicted-trajectory accuracy that lets automation decide which flights clear a hazard area before activation, and by the launch-coordination-center concept that begins to quantify how dynamic handling cuts the closure footprint against static policy [9, 33, 10, 28]. Confidence in the positive sign is moderate rather than high, since all this component evidence is launch-centric or analogue-based and no prior measured reentry avoided cost exists. That is recorded as an evidence gap, and it is why the parameter is labeled expected throughout.</w:t>
      </w:r>
    </w:p>
    <w:bookmarkEnd w:id="140"/>
    <w:bookmarkStart w:id="141" w:name="X54f445a444d8b1679d624b0a7619ef3995ba423"/>
    <w:p>
      <w:pPr>
        <w:pStyle w:val="Heading3"/>
        <w:spacing w:line="480" w:lineRule="auto"/>
      </w:pPr>
      <w:r>
        <w:t xml:space="preserve">6.2.5 Step five: the robustness-and-placebo battery</w:t>
      </w:r>
    </w:p>
    <w:p>
      <w:pPr>
        <w:pStyle w:val="FirstParagraph"/>
        <w:spacing w:line="480" w:lineRule="auto"/>
      </w:pPr>
      <w:r>
        <w:t xml:space="preserve">The fifth step runs the robustness-and-placebo battery specified in Chapter 5 and re-stated here as a fixed checklist so that it cannot be selectively reported. The battery comprises weather placebos (sectors and windows with comparable weather severity but no reentry closure, to confirm the effect does not appear where the mechanism is absent), adjacent-sector placebos (sectors bordering but outside the closure footprint, to confirm the effect localizes to the withheld volume), controlled-reentry exclusion (re-estimation dropping operator-scheduled reentries, whose timing is not set by orbital decay alone and could in principle correlate with airspace demand), anticipation leads (inspection of the event-study leads for pre-activation cost that would indicate flights rerouting before the closure activates), and alternative cost factors (re-computation of fuel burn and direct operating cost under different per-block-hour and per-nautical-mile assumptions by aircraft class). Each element of the battery is committed in advance, and the plan states that all elements are reported whether or not they are favorable to H1. Where the closure structure has spatial reach beyond the nominal sector, the spatial-spillover correction is applied, because treatment assigned along geographic boundaries biases a classical difference-in-differences estimate when the effect crosses the border, both by contaminating the control trend and by mixing own-treatment and neighbor-treatment effects</w:t>
      </w:r>
      <w:r>
        <w:t xml:space="preserve"> </w:t>
      </w:r>
      <w:hyperlink w:anchor="ref-48">
        <w:r>
          <w:rPr>
            <w:rStyle w:val="Hyperlink"/>
          </w:rPr>
          <w:t xml:space="preserve">[48]</w:t>
        </w:r>
      </w:hyperlink>
      <w:r>
        <w:t xml:space="preserve">. A synthetic difference-in-differences specification with staggered timing is reported as a further robustness check on the aggregated ATT, because it reweights controls to match pre-trends and provides a complementary identification route to the Callaway and Sant’Anna primary</w:t>
      </w:r>
      <w:r>
        <w:t xml:space="preserve"> </w:t>
      </w:r>
      <w:hyperlink w:anchor="ref-51">
        <w:r>
          <w:rPr>
            <w:rStyle w:val="Hyperlink"/>
          </w:rPr>
          <w:t xml:space="preserve">[51]</w:t>
        </w:r>
      </w:hyperlink>
      <w:r>
        <w:t xml:space="preserve">.</w:t>
      </w:r>
    </w:p>
    <w:bookmarkEnd w:id="141"/>
    <w:bookmarkStart w:id="142" w:name="Xbe7d2cfc2d921924dbda1139fe5c26761931a1b"/>
    <w:p>
      <w:pPr>
        <w:pStyle w:val="Heading3"/>
        <w:spacing w:line="480" w:lineRule="auto"/>
      </w:pPr>
      <w:r>
        <w:t xml:space="preserve">6.2.6 Outcome construction and inference within the procedure</w:t>
      </w:r>
    </w:p>
    <w:p>
      <w:pPr>
        <w:pStyle w:val="FirstParagraph"/>
        <w:spacing w:line="480" w:lineRule="auto"/>
      </w:pPr>
      <w:r>
        <w:t xml:space="preserve">Two operational matters cut across all five steps and are specified here so the procedure is reproducible rather than gestured at: how the four cost outcomes are built from the raw records, and how inference is conducted on the resulting estimates. Both are committed in advance because each carries a degree of analytic freedom that, left open, would let an analyst tune the result after seeing it.</w:t>
      </w:r>
    </w:p>
    <w:p>
      <w:pPr>
        <w:pStyle w:val="BodyText"/>
        <w:spacing w:line="480" w:lineRule="auto"/>
        <w:ind w:firstLine="720"/>
      </w:pPr>
      <w:r>
        <w:t xml:space="preserve">The four outcome measures are built in a fixed order from a fixed source hierarchy. Delay minutes are computed against two baselines, the published schedule and an undisrupted-routing counterfactual, and both are reported, because a schedule-relative delay absorbs ambient lateness that an undisrupted-routing-relative delay strips out to isolate the closure. Added distance is the difference between the flown or rerouted path and the filed or great-circle reference, taken from the SWIM trajectory records. Fuel burn is modeled from the added distance and the aircraft type using standard burn factors by aircraft class, and direct operating cost is modeled from the distance and time penalties using per-block-hour and per-nautical-mile cost factors by class. This construction is defensible because it is a documented, reproducible mapping from observable inputs rather than a discretionary scoring: the launch-era airspace-impact studies establish exactly this distance-to-fuel-to-cost translation as the standard accounting for a closure’s penalty [2, 4], and holding the burn and cost factors fixed by class rather than fitting them to the sample closes the route by which outcome construction could be reverse-engineered to a desired sign. The qualifier is that these factors are class averages and leave out operator-specific cost structures, so the cost outcome is a standardized figure rather than a carrier-exact one. The objection that the standardization understates high-cost operators is met by the alternative-cost-factors element of the robustness battery, which recomputes the outcomes under perturbed factors and reports the sensitivity. What makes the reroute itself measurable rather than assumed is the realistic-reroute generation method that builds the surrogate trajectories a flight would fly around a blocked airspace, supplying the flown-path counterfactual that added distance is measured against [31, 35]. Confidence in the outcome construction is high for the distance and delay measures, which come straight from trajectory records, and moderate for the fuel and cost measures, which lean on the class-average factors.</w:t>
      </w:r>
    </w:p>
    <w:p>
      <w:pPr>
        <w:pStyle w:val="BodyText"/>
        <w:spacing w:line="480" w:lineRule="auto"/>
        <w:ind w:firstLine="720"/>
      </w:pPr>
      <w:r>
        <w:t xml:space="preserve">Inference runs under the correlation structure the data impose, not the independence assumption the data violate. Cells in the same sector across adjacent windows are serially correlated, and cells in neighboring sectors within the same window are spatially correlated, so the plan clusters standard errors at the sector level as the primary inference and reports, where the treated sectors are few, the wild-cluster bootstrap as the small-sample correction. The case for clustering is the spatial and temporal dependence of the panel established in the data chapter, because ignoring that dependence understates the standard errors and inflates the apparent significance, manufacturing a confirming result for H1 out of correlated noise; the staggered difference-in-differences methodological literature backs it, treating correct clustering as a precondition for valid inference under heterogeneous timing [50, 14]. The qualifier is decisive and echoes the power concern that governs the decision rule: with few treated sectors, even correctly clustered inference yields wide intervals, so the wild-cluster bootstrap is no way to recover significance the data lack but a way to avoid overstating significance the data cannot support. Section 6.3 carries the operational consequence forward: a near-zero estimate with a wide clustered interval is reported as underpowered and inconclusive, never as confirmation of H0. Confidence that the clustering scheme is correct is high. Confidence that it will leave enough power to detect a moderate effect is the open empirical question the executed study resolves.</w:t>
      </w:r>
    </w:p>
    <w:bookmarkEnd w:id="142"/>
    <w:bookmarkEnd w:id="143"/>
    <w:bookmarkStart w:id="144" w:name="the-fixed-decision-rule-on-h0-and-h1"/>
    <w:p>
      <w:pPr>
        <w:pStyle w:val="Heading2"/>
        <w:spacing w:line="480" w:lineRule="auto"/>
      </w:pPr>
      <w:r>
        <w:t xml:space="preserve">6.3 The Fixed Decision Rule on H0 and H1</w:t>
      </w:r>
    </w:p>
    <w:p>
      <w:pPr>
        <w:pStyle w:val="FirstParagraph"/>
        <w:spacing w:line="480" w:lineRule="auto"/>
      </w:pPr>
      <w:r>
        <w:t xml:space="preserve">The decision rule is the heart of the pre-registration and is stated so that it binds the interpretation of whatever the executed estimates turn out to be. It is reproduced from the contribution and hypotheses fixed in the prospectus and the bible, and it is not reworded in substance.</w:t>
      </w:r>
    </w:p>
    <w:p>
      <w:pPr>
        <w:pStyle w:val="BodyText"/>
        <w:spacing w:line="480" w:lineRule="auto"/>
        <w:ind w:firstLine="720"/>
      </w:pPr>
      <w:r>
        <w:t xml:space="preserve">The null hypothesis, H0, is that spacecraft reentry and down-mass operations impose no measurable cost on the NAS, meaning that the average treatment effect of a reentry-driven AHA activation on exposed-flight cost is statistically indistinguishable from zero. The alternative, H1, is that reentry and down-mass operations impose a measurable, positive disruption cost on the NAS in delay, reroute, and closure, and that improved reentry prediction combined with dynamic airspace management yields a positive, statistically distinguishable avoided cost. H1 decomposes into the two estimable parameters: the disruption parameter (the aggregated ATT on the cost outcomes) and the avoided-cost parameter (the difference between static-closure and dynamic-closure cost).</w:t>
      </w:r>
    </w:p>
    <w:p>
      <w:pPr>
        <w:pStyle w:val="BodyText"/>
        <w:spacing w:line="480" w:lineRule="auto"/>
        <w:ind w:firstLine="720"/>
      </w:pPr>
      <w:r>
        <w:t xml:space="preserve">The rule runs in three clauses. For the disruption part of H1 to survive, the executed disruption estimate must come back positive, of non-trivial magnitude, and statistically distinguishable from zero under the Callaway and Sant’Anna primary specification, and it must hold under the Goodman-Bacon and de Chaisemartin and D’Haultfoeuille diagnostics; a sign or significance that flips between the primary and the diagnostics is reported as an unresolved result, not a confirmation. For the avoided-cost part to survive, the executed avoided-cost estimate must come back positive and statistically distinguishable from zero under at least the counterfactual-differencing route, the continuous-intensity route reported alongside as corroboration; an avoided cost positive under one route and null under the other is reported as route-dependent and marks the confidence in the parameter down accordingly. The third clause matters most for honesty. H0 is retained as a substantive finding only if the disruption estimate is near zero with a confidence interval tight enough to exclude economically meaningful effects, which takes the minimum-detectable-effect check passing at the available sample size; a near-zero estimate whose confidence interval is too wide to exclude meaningful effects is reported as inconclusive and underpowered, never as confirmation of H0.</w:t>
      </w:r>
    </w:p>
    <w:p>
      <w:pPr>
        <w:pStyle w:val="BodyText"/>
        <w:spacing w:line="480" w:lineRule="auto"/>
        <w:ind w:firstLine="720"/>
      </w:pPr>
      <w:r>
        <w:t xml:space="preserve">The asymmetry in the third clause is deliberate, the rule that protects the design from the most common failure of a null-result reading. A failure to reject a null is not evidence for the null unless the test held the power to detect the effect it missed. Why this matters here is concrete: the U.S.-airspace-intersecting reentry events in the current record are modest in number, so the staggered estimator, already discarding forbidden comparisons, may return a wide confidence interval around a small point estimate. Read naively, that wide interval would pass for support of H0. The decision rule shuts that reading down by requiring the minimum-detectable-effect threshold met before any null is called substantive. Confidence that this rule disciplines the inference correctly is high, because it follows straight from the logic of statistical power. What stays uncertain at the design stage is whether the sample will in fact deliver the power the rule demands, an empirical question the executed study will answer and the chapter does not pretend to resolve.</w:t>
      </w:r>
    </w:p>
    <w:bookmarkEnd w:id="144"/>
    <w:bookmarkStart w:id="149" w:name="X086cf4f8ab0696ce7c78d0d147c9f84bdbfe7b7"/>
    <w:p>
      <w:pPr>
        <w:pStyle w:val="Heading2"/>
        <w:spacing w:line="480" w:lineRule="auto"/>
      </w:pPr>
      <w:r>
        <w:t xml:space="preserve">6.4 Expected Signs with Detailed Mechanism Reasoning</w:t>
      </w:r>
    </w:p>
    <w:p>
      <w:pPr>
        <w:pStyle w:val="FirstParagraph"/>
        <w:spacing w:line="480" w:lineRule="auto"/>
      </w:pPr>
      <w:r>
        <w:t xml:space="preserve">This section states the signs the design leads us to expect for each parameter, attaches the mechanism that explains each sign, and labels every expectation as expected rather than estimated. The purpose is to make the predictions explicit and falsifiable, so that an executed estimate of the opposite sign or of indistinguishable-from-zero magnitude would be recognized immediately as disconfirming rather than absorbed by reinterpretation.</w:t>
      </w:r>
    </w:p>
    <w:bookmarkStart w:id="145" w:name="X8fd2f33edc352bb4f37bb84786558ed97eb1a2e"/>
    <w:p>
      <w:pPr>
        <w:pStyle w:val="Heading3"/>
        <w:spacing w:line="480" w:lineRule="auto"/>
      </w:pPr>
      <w:r>
        <w:t xml:space="preserve">6.4.1 Expected sign of the disruption parameter</w:t>
      </w:r>
    </w:p>
    <w:p>
      <w:pPr>
        <w:pStyle w:val="FirstParagraph"/>
        <w:spacing w:line="480" w:lineRule="auto"/>
      </w:pPr>
      <w:r>
        <w:t xml:space="preserve">The disruption parameter is expected positive. A reentry-driven AHA closure, the claim runs, raises the cost borne by exposed flights in delay minutes, added distance, fuel burn, and direct operating cost. The launch-era record grounds it: every quantified study of launch and reentry airspace closure reports the closure forcing affected flights to reroute, which lifts flown distance, delay, and fuel burn above the undisrupted route [2, 3, 4, 5, 30]. The link to the expectation is mechanical and runs one way only. A withheld volume of airspace removes route options, and removing route options can only weakly raise, never lower, the cost of the constrained routing problem, so larger withheld volume, longer window, and denser displaced traffic each push the cost up. The airspace-planning and collaborative-decision-making formalization backs this, assigning a set of flights to surrogate trajectories around a restriction under an objective that accumulates rerouting, workload, and equity costs rising with the restriction</w:t>
      </w:r>
      <w:r>
        <w:t xml:space="preserve"> </w:t>
      </w:r>
      <w:hyperlink w:anchor="ref-35">
        <w:r>
          <w:rPr>
            <w:rStyle w:val="Hyperlink"/>
          </w:rPr>
          <w:t xml:space="preserve">[35]</w:t>
        </w:r>
      </w:hyperlink>
      <w:r>
        <w:t xml:space="preserve">. The qualifier is that magnitude, not sign, is uncertain, and that the cost is expected to concentrate in a minority of exposed flights rather than spread evenly, which Section 6.4.3 takes up. An examiner might object that operators could fully anticipate and pre-absorb the closure, leaving no marginal cost at activation. The response is that the anticipation-leads element of the placebo battery tests exactly this, and that finding pre-activation cost would relocate the effect into the pre-period rather than erase it. Confidence in the positive sign is high, because every mechanism in the literature points one way and no credible mechanism points the other. Confidence in any particular magnitude is low at the design stage.</w:t>
      </w:r>
    </w:p>
    <w:bookmarkEnd w:id="145"/>
    <w:bookmarkStart w:id="146" w:name="X16b8e932f91a532c3d430af6b8de781c7251610"/>
    <w:p>
      <w:pPr>
        <w:pStyle w:val="Heading3"/>
        <w:spacing w:line="480" w:lineRule="auto"/>
      </w:pPr>
      <w:r>
        <w:t xml:space="preserve">6.4.2 Expected sign of the avoided-cost parameter</w:t>
      </w:r>
    </w:p>
    <w:p>
      <w:pPr>
        <w:pStyle w:val="FirstParagraph"/>
        <w:spacing w:line="480" w:lineRule="auto"/>
      </w:pPr>
      <w:r>
        <w:t xml:space="preserve">The avoided-cost parameter is expected positive, meaning a prediction-informed dynamic closure costs less than a static one for the same event. A two-part empirical premise from step four grounds it: prediction uncertainty falls as the object nears reentry [22, 55, 53], and a dynamic closure can seize that fall to withhold a smaller volume [9, 33, 10, 28]. Since closure cost rises with withheld volume, established in Section 6.4.1, a smaller withheld volume yields a smaller cost, and the difference is the avoided cost. Two lines of evidence back this: the dynamic-airspace-management literature, which shows in the launch case that real-time situational information can minimize the impact of a space operation on air traffic while holding an acceptable safety level</w:t>
      </w:r>
      <w:r>
        <w:t xml:space="preserve"> </w:t>
      </w:r>
      <w:hyperlink w:anchor="ref-79">
        <w:r>
          <w:rPr>
            <w:rStyle w:val="Hyperlink"/>
          </w:rPr>
          <w:t xml:space="preserve">[79]</w:t>
        </w:r>
      </w:hyperlink>
      <w:r>
        <w:t xml:space="preserve">, and the minimizing-disruption analysis that recasts the spatial closure problem as a temporal one and argues any given location is at risk for no more than about one minute, the conceptual basis for a tightly time-bounded dynamic closure</w:t>
      </w:r>
      <w:r>
        <w:t xml:space="preserve"> </w:t>
      </w:r>
      <w:hyperlink w:anchor="ref-37">
        <w:r>
          <w:rPr>
            <w:rStyle w:val="Hyperlink"/>
          </w:rPr>
          <w:t xml:space="preserve">[37]</w:t>
        </w:r>
      </w:hyperlink>
      <w:r>
        <w:t xml:space="preserve">. This carries the strongest qualifier in the chapter. No prior measured reentry avoided cost exists, the component evidence is launch-centric or analogue-based, and the parameter is therefore labeled expected with the evidence gap named outright. The rebuttal is that a dynamic closure might trade a smaller spatial footprint for larger residual ground or air risk, making the cost saving illusory once safety is held equal. The response is that the residual-risk subclaim of the assurance case bounds the narrowing by validated prediction accuracy, so the avoided cost is defined at equal safety, not degraded safety. Confidence in the positive sign is moderate, below that for the disruption parameter, precisely because the supporting evidence sits one analogical step from the reentry case.</w:t>
      </w:r>
    </w:p>
    <w:bookmarkEnd w:id="146"/>
    <w:bookmarkStart w:id="147" w:name="Xc8aa0e2deb24ae1e6ad25d9910424c536534501"/>
    <w:p>
      <w:pPr>
        <w:pStyle w:val="Heading3"/>
        <w:spacing w:line="480" w:lineRule="auto"/>
      </w:pPr>
      <w:r>
        <w:t xml:space="preserve">6.4.3 Expected distribution of the cost across flights and aircraft classes</w:t>
      </w:r>
    </w:p>
    <w:p>
      <w:pPr>
        <w:pStyle w:val="FirstParagraph"/>
        <w:spacing w:line="480" w:lineRule="auto"/>
      </w:pPr>
      <w:r>
        <w:t xml:space="preserve">The cost is expected to fall concentrated rather than uniform, and to differ by aircraft class. A minority of exposed flights bears most of the cost, the claim runs, and the impact share splits sharply between general aviation and international carriers. Launch-era simulation grounds it: in a four-dimensional closure analysis at Cape Canaveral, international carriers ran on the order of 8 to 10 percent of impacted flights and general aviation roughly one third, the precise figures sensitive to site, geometry, and timing [3, 32, 2]. Exposure comes from the geometric and temporal intersection of a flight’s route and schedule with the closure, heterogeneous across the traffic population, so the cost lands on whoever happens to be routed through the withheld volume during the active window rather than spreading across all flights. The broader delay-economics result backs this, that disruption cost is unevenly borne and a localized capacity shock concentrates on the subset of operations that must absorb it</w:t>
      </w:r>
      <w:r>
        <w:t xml:space="preserve"> </w:t>
      </w:r>
      <w:hyperlink w:anchor="ref-11">
        <w:r>
          <w:rPr>
            <w:rStyle w:val="Hyperlink"/>
          </w:rPr>
          <w:t xml:space="preserve">[11]</w:t>
        </w:r>
      </w:hyperlink>
      <w:r>
        <w:t xml:space="preserve">. The qualifier is that these percentages are launch-derived priors imported to set expectations, not reentry-measured shares, and the general-aviation figure in particular stays uncertain because visual-flight-rules general aviation is under-represented in the instrument-flight-rules-complete FAA records, which biases the observed share below the true one. Chapter 7 keeps the operational consequence: the aircraft-class mix stays a covariate and the impact distribution is reported by class, because a policy instrument that prices the externality has to know whose cost it prices. Confidence in the qualitative pattern, concentrated and class-differentiated, is high. Confidence in the specific launch-era percentages carrying over to reentry is low.</w:t>
      </w:r>
    </w:p>
    <w:bookmarkEnd w:id="147"/>
    <w:bookmarkStart w:id="148" w:name="X7dcde904a2e3b961f84a36faba9397189a4e025"/>
    <w:p>
      <w:pPr>
        <w:pStyle w:val="Heading3"/>
        <w:spacing w:line="480" w:lineRule="auto"/>
      </w:pPr>
      <w:r>
        <w:t xml:space="preserve">6.4.4 Expected behavior of the diagnostics relative to the primary estimate</w:t>
      </w:r>
    </w:p>
    <w:p>
      <w:pPr>
        <w:pStyle w:val="FirstParagraph"/>
        <w:spacing w:line="480" w:lineRule="auto"/>
      </w:pPr>
      <w:r>
        <w:t xml:space="preserve">A prediction is owed not only about the parameters but about how the diagnostics should behave against the primary estimate, because the diagnostics turn a single number into a defended one, and saying in advance what their agreement or disagreement would mean forecloses a post-hoc choice of which estimator to believe. The expectation is that the Goodman-Bacon decomposition and the de Chaisemartin and D’Haultfoeuille robust estimator broadly agree in sign with the Callaway and Sant’Anna primary, and that any divergence runs in the direction the methodological literature predicts rather than an arbitrary one. This rests on the structure of the bias each diagnostic isolates: the Goodman-Bacon decomposition exposes the forbidden comparisons in which already-treated cells serve as controls, and under staggered timing with effects that grow over the post-period those comparisons drag a naive estimate toward zero or even flip its sign</w:t>
      </w:r>
      <w:r>
        <w:t xml:space="preserve"> </w:t>
      </w:r>
      <w:hyperlink w:anchor="ref-13">
        <w:r>
          <w:rPr>
            <w:rStyle w:val="Hyperlink"/>
          </w:rPr>
          <w:t xml:space="preserve">[13]</w:t>
        </w:r>
      </w:hyperlink>
      <w:r>
        <w:t xml:space="preserve">. So the expectation is directional. If the primary estimate is positive and the naive two-way-fixed-effects analogue is smaller or wrong-signed, the decomposition should charge the gap to the forbidden comparisons, and that attribution confirms the primary rather than challenging it. The de Chaisemartin and D’Haultfoeuille estimator, built without the same weighting, should land near the primary under moderate heterogeneity and diverge in a quantifiable way under severe heterogeneity; either outcome informs, and the plan reports the divergence rather than suppressing it [15, 50]. The applied-exemplar practice backs this, reporting a doubly robust primary alongside a panel of robust estimators and reading their convergence as the credibility check it is [73, 72]. The qualifier is that the diagnostics are no independent oracles: they share the same panel and the same exposure measure, so a flaw in the panel assembly or the ReentryFlow exposure mapping would flow into all three estimators alike, which is exactly why the step-two validation gate sits upstream of the estimation. An examiner might object that broad agreement among the three could reflect a shared bias rather than a robust truth. The response is that the placebo battery, probing the exposure measure against weather and adjacent-sector falsification, is the independent check the shared-bias worry requires, so the estimate’s credibility rests on estimator agreement and placebo survival together, not estimator agreement alone. Confidence that the diagnostics behave as predicted is moderate-to-high, conditioned on the panel passing the validation gate. What cannot be predicted in advance is the magnitude of any divergence, itself one of the reported quantities.</w:t>
      </w:r>
    </w:p>
    <w:bookmarkEnd w:id="148"/>
    <w:bookmarkEnd w:id="149"/>
    <w:bookmarkStart w:id="150" w:name="design-of-the-illustrative-simulation"/>
    <w:p>
      <w:pPr>
        <w:pStyle w:val="Heading2"/>
        <w:spacing w:line="480" w:lineRule="auto"/>
      </w:pPr>
      <w:r>
        <w:t xml:space="preserve">6.5 Design of the Illustrative Simulation</w:t>
      </w:r>
    </w:p>
    <w:p>
      <w:pPr>
        <w:pStyle w:val="FirstParagraph"/>
        <w:spacing w:line="480" w:lineRule="auto"/>
      </w:pPr>
      <w:r>
        <w:t xml:space="preserve">The illustrative simulation exists to show the arithmetic of the avoided-cost estimate without claiming any of its inputs as measured. Every quantity in it is left as a symbol, and the purpose is pedagogical: to make the structure of the calculation auditable in advance, so that when the executed estimate fills the symbols with values, the reader already knows the formula those values enter.</w:t>
      </w:r>
    </w:p>
    <w:p>
      <w:pPr>
        <w:pStyle w:val="BodyText"/>
        <w:spacing w:line="480" w:lineRule="auto"/>
        <w:ind w:firstLine="720"/>
      </w:pPr>
      <w:r>
        <w:t xml:space="preserve">The simulation runs as follows. Let a static closure withhold a volume sized to a worst-case dispersion envelope fixed at a decision time several hours before reentry, and let the along-track prediction uncertainty at that decision time carry a symbol that drives the footprint length. Let a prediction-informed dynamic closure instead withhold a volume sized to the uncertainty available at a later decision time shortly before reentry, carrying a second, smaller symbol. Footprint length, and with it the withheld area and the population of displaced flights, scales with the along-track uncertainty, so if that uncertainty drops by some fraction between the two decision times, the withheld area and the displaced-flight population fall in rough proportion. The realized static-closure cost for the event is the cost over the static-closure displaced-flight set; the simulated dynamic-closure cost is the cost over the dynamic-closure displaced-flight set; and the avoided cost per event is the first minus the second. The program-level avoided cost is the per-event avoided cost times the projected reentry cadence over the planning horizon. No symbol here gets a number, because the dissertation does not yet hold the executed estimates to assign, and putting illustrative numbers in would risk their being read as results.</w:t>
      </w:r>
    </w:p>
    <w:p>
      <w:pPr>
        <w:pStyle w:val="BodyText"/>
        <w:spacing w:line="480" w:lineRule="auto"/>
        <w:ind w:firstLine="720"/>
      </w:pPr>
      <w:r>
        <w:t xml:space="preserve">The one external figure entering this section enters strictly as an order-of-magnitude analogue, not a finding. The IAC-26 governance review reports digital-licensing processing-time reductions on the order of 67 to 84 percent from process and modeling improvements in the authorization pipeline. That figure serves here only to anchor a prior for what process and modeling improvement can plausibly achieve when turned on a different target, the closure footprint, and it is expressly an analogue from licensing-paperwork time to airspace-footprint size, not a measured reduction in closure cost. What makes the analogue admissible is that both quantities are driven by the resolution of an uncertainty, the authorization decision in one case and the reentry prediction in the other, so tightening the uncertainty shrinks the conservative margin in both; what makes it imperfect, and keeps it a prior rather than an estimate, is that the elasticities of the two quantities to their respective uncertainties differ and have never been jointly measured. Confidence in the analogue as a loose order-of-magnitude anchor is low-to-moderate; a direct measurement of closure-footprint elasticity to prediction uncertainty would raise it, which is exactly what the continuous-intensity route of step four is designed to produce.</w:t>
      </w:r>
    </w:p>
    <w:p>
      <w:pPr>
        <w:pStyle w:val="BodyText"/>
        <w:spacing w:line="480" w:lineRule="auto"/>
        <w:ind w:firstLine="720"/>
      </w:pPr>
      <w:r>
        <w:t xml:space="preserve">The simulation is structured to be reported as a surface rather than a point, and this structural choice is the design feature that disciplines the external-validity claim of the whole dissertation. The program-level avoided cost is the product of two quantities that the executed study will estimate separately: the per-event avoided cost, which depends on how far prediction uncertainty falls between the static and dynamic decision times, and the reentry cadence over the planning horizon, which is a projection rather than a measured quantity. Because the cadence is projected and uncertain, the simulation does not collapse to a single program-level number; it is reported across a grid of cadence assumptions and a grid of prediction-uncertainty-reduction fractions, so that the program-level cost is a function of those two inputs rather than a scalar that conceals its own dependence. The mechanism that makes this the honest representation is that both inputs are genuinely uncertain at the design stage: the cadence depends on large-constellation deorbit rates and the maturation of a commercial down-mass sector, and the uncertainty-reduction fraction depends on the still-maturing dynamic-closure capability whose components are documented for launch but not yet measured for reentry [37, 9]. The operational consequence carried into Chapter 7 is that the dissertation reports the cost as a conditional surface and states its extrapolation to a future high-cadence regime explicitly, rather than asserting a single figure whose apparent precision would misrepresent the design-stage evidence grade. Confidence that the surface representation is the correct one is high, because it follows from the fact that the inputs are projections; confidence in any single cell of the surface is no higher than the confidence in the two projections that define that cell, which is the property the labeling is meant to preserve.</w:t>
      </w:r>
    </w:p>
    <w:bookmarkEnd w:id="150"/>
    <w:bookmarkStart w:id="151" w:name="X144154127abdac67a139f7563c7581a3fdde3e1"/>
    <w:p>
      <w:pPr>
        <w:pStyle w:val="Heading2"/>
        <w:spacing w:line="480" w:lineRule="auto"/>
      </w:pPr>
      <w:r>
        <w:t xml:space="preserve">6.6 Continuous-Treatment and Spillover Handling</w:t>
      </w:r>
    </w:p>
    <w:p>
      <w:pPr>
        <w:pStyle w:val="FirstParagraph"/>
        <w:spacing w:line="480" w:lineRule="auto"/>
      </w:pPr>
      <w:r>
        <w:t xml:space="preserve">The intensity estimate and the spatial structure of closures require two methodological adaptations beyond the binary staggered estimator, and both are specified here so that the analysis plan is complete rather than gestured at. The thesis of this section is that treating prediction uncertainty as a continuous intensity and treating the closure as a spatially extended object are not optional refinements; they are required by the structure of the data, and omitting either would bias the avoided-cost estimate in a known direction.</w:t>
      </w:r>
    </w:p>
    <w:p>
      <w:pPr>
        <w:pStyle w:val="BodyText"/>
        <w:spacing w:line="480" w:lineRule="auto"/>
        <w:ind w:firstLine="720"/>
      </w:pPr>
      <w:r>
        <w:t xml:space="preserve">The continuous-treatment adaptation concerns the second avoided-cost route. When prediction uncertainty serves as a continuous treatment intensity, the relevant estimand is a dose-response relationship between intensity and cost, not a single binary contrast. The Callaway, Goodman-Bacon, and Sant’Anna continuous-treatment framework shows a treatment-on-the-treated-type parameter identified under a parallel-trends assumption analogous to the binary case, while comparing the parameter across intensity levels is no innocent move, because parallel trends does not on its own rule out selection bias in which units of different intensities were on different trends for reasons tied to the intensity</w:t>
      </w:r>
      <w:r>
        <w:t xml:space="preserve"> </w:t>
      </w:r>
      <w:hyperlink w:anchor="ref-47">
        <w:r>
          <w:rPr>
            <w:rStyle w:val="Hyperlink"/>
          </w:rPr>
          <w:t xml:space="preserve">[47]</w:t>
        </w:r>
      </w:hyperlink>
      <w:r>
        <w:t xml:space="preserve">. So this plan reports the continuous-intensity estimate as a level-specific dose response with its identifying assumption stated, and makes cross-level comparisons only under the stronger, explicitly flagged assumptions the framework requires; the de Chaisemartin and D’Haultfoeuille intertemporal estimator rides alongside as the dynamic-effects complement fit for when the intensity varies over time within the event window</w:t>
      </w:r>
      <w:r>
        <w:t xml:space="preserve"> </w:t>
      </w:r>
      <w:hyperlink w:anchor="ref-52">
        <w:r>
          <w:rPr>
            <w:rStyle w:val="Hyperlink"/>
          </w:rPr>
          <w:t xml:space="preserve">[52]</w:t>
        </w:r>
      </w:hyperlink>
      <w:r>
        <w:t xml:space="preserve">. Where the heterogeneity of the cost response across the traffic distribution is of interest, the quantile-treatment-effect extension for staggered adoption supplies the right estimand, because the concentrated, class-differentiated cost distribution expected in Section 6.4.3 implies the mean ATT understating the cost in the upper tail of affected flights</w:t>
      </w:r>
      <w:r>
        <w:t xml:space="preserve"> </w:t>
      </w:r>
      <w:hyperlink w:anchor="ref-70">
        <w:r>
          <w:rPr>
            <w:rStyle w:val="Hyperlink"/>
          </w:rPr>
          <w:t xml:space="preserve">[70]</w:t>
        </w:r>
      </w:hyperlink>
      <w:r>
        <w:t xml:space="preserve">.</w:t>
      </w:r>
    </w:p>
    <w:p>
      <w:pPr>
        <w:pStyle w:val="BodyText"/>
        <w:spacing w:line="480" w:lineRule="auto"/>
        <w:ind w:firstLine="720"/>
      </w:pPr>
      <w:r>
        <w:t xml:space="preserve">The spillover adaptation concerns the spatial structure of the closure. A reentry AHA is assigned over a geographic sector, and its effect can spill across the sector boundary when displaced flights reroute into adjacent sectors, raising cost there. The spatial-spillover decomposition shows that under such cross-border effects a classical difference-in-differences estimate goes biased two ways: the control sectors no longer identify the counterfactual trend, their outcomes themselves touched by the treatment, and the treated-sector change blends the effect of own treatment with the effect of nearby treatment</w:t>
      </w:r>
      <w:r>
        <w:t xml:space="preserve"> </w:t>
      </w:r>
      <w:hyperlink w:anchor="ref-48">
        <w:r>
          <w:rPr>
            <w:rStyle w:val="Hyperlink"/>
          </w:rPr>
          <w:t xml:space="preserve">[48]</w:t>
        </w:r>
      </w:hyperlink>
      <w:r>
        <w:t xml:space="preserve">. So the adjacent-sector placebo in the robustness battery pulls double duty: a falsification test, since the effect should localize to the withheld volume, and a spillover diagnostic, since any cost showing in adjacent sectors is the spillover the decomposition warns about, added back into the total rather than discarded. What makes spillover the expected direction of leakage is the network-propagation result carried from Chapter 2: a localized capacity shock displaces traffic that then congests neighboring nodes, so the closure’s cost does not stop at the closure’s edge</w:t>
      </w:r>
      <w:r>
        <w:t xml:space="preserve"> </w:t>
      </w:r>
      <w:hyperlink w:anchor="ref-12">
        <w:r>
          <w:rPr>
            <w:rStyle w:val="Hyperlink"/>
          </w:rPr>
          <w:t xml:space="preserve">[12]</w:t>
        </w:r>
      </w:hyperlink>
      <w:r>
        <w:t xml:space="preserve">. Confidence that spillover must be handled is high, the displacement mechanism well established. Confidence in its magnitude is low, one of the quantities the executed adjacent-sector analysis will estimate.</w:t>
      </w:r>
    </w:p>
    <w:p>
      <w:pPr>
        <w:pStyle w:val="BodyText"/>
        <w:spacing w:line="480" w:lineRule="auto"/>
        <w:ind w:firstLine="720"/>
      </w:pPr>
      <w:r>
        <w:t xml:space="preserve">The reporting template for the staggered, intensity-aware design follows applied exemplars that pair a Callaway and Sant’Anna primary with robust-estimator corroboration and an event-study profile. A staggered difference-in-differences analysis of prosecutor policy and crime deterrence and a cross-country staggered analysis of national AI strategies each show the reporting shape this dissertation adopts: a doubly robust primary estimate, a panel of additional robust estimators, an event-study plot with leads and lags, and an explicit statement of the identifying assumption [72, 73]. These are cited as templates for the form of the reporting, not as substantive findings imported into the reentry case; their relevance is methodological, showing the staggered-design reporting standard this chapter commits to as the standard the current applied literature uses.</w:t>
      </w:r>
    </w:p>
    <w:bookmarkEnd w:id="151"/>
    <w:bookmarkStart w:id="152" w:name="event-study-profile-interpretation"/>
    <w:p>
      <w:pPr>
        <w:pStyle w:val="Heading2"/>
        <w:spacing w:line="480" w:lineRule="auto"/>
      </w:pPr>
      <w:r>
        <w:t xml:space="preserve">6.7 Event-Study Profile Interpretation</w:t>
      </w:r>
    </w:p>
    <w:p>
      <w:pPr>
        <w:pStyle w:val="FirstParagraph"/>
        <w:spacing w:line="480" w:lineRule="auto"/>
      </w:pPr>
      <w:r>
        <w:t xml:space="preserve">The event-study profile is the second principal output of the disruption-parameter estimation, and its interpretation is fixed in advance here because the shape of the profile, not only its aggregated height, carries evidence. The profile plots the treatment effect by time relative to closure activation, with negative time indexing the leads (windows before activation) and positive time indexing the lags (windows after activation).</w:t>
      </w:r>
    </w:p>
    <w:p>
      <w:pPr>
        <w:pStyle w:val="BodyText"/>
        <w:spacing w:line="480" w:lineRule="auto"/>
        <w:ind w:firstLine="720"/>
      </w:pPr>
      <w:r>
        <w:t xml:space="preserve">A credible result carries a specific expected shape, and each feature of that shape is a testable prediction. The leads should sit near zero, marking no anticipation and no pre-trend; a jump should appear at activation, marking the closure’s onset; and the lags should decay back toward zero as displaced traffic recovers. The near-zero leads follow because reentry timing for uncontrolled objects is set by orbital decay and is not chosen with an eye on airspace demand, so no systematic cost movement should show in the windows before a closure the affected flights had no reason to anticipate. The jump follows from the abrupt withholding of the airspace volume at activation. The decay follows from the displaced traffic returning to its normal routing once the volume is released. Confidence that this is the credible shape is high, following from the identification logic and the mechanism; the value of stating it in advance is that departures from it are diagnostic.</w:t>
      </w:r>
    </w:p>
    <w:p>
      <w:pPr>
        <w:pStyle w:val="BodyText"/>
        <w:spacing w:line="480" w:lineRule="auto"/>
        <w:ind w:firstLine="720"/>
      </w:pPr>
      <w:r>
        <w:t xml:space="preserve">Two departures carry fixed interpretations. If the post-activation effect persists well past the active closure window rather than decaying promptly, that persistence reads as evidence the within-window cost understates the true cost, because the closure’s effect has cascaded downstream through the network. The delay-propagation literature backs the reading, establishing that a primary delay magnifies and spreads through the schedule and the network, so a localized shock outlives its immediate window [12, 43, 44]. So a persistent lag profile lifts the estimated per-event NAS cost above a within-window-only accounting, and the plan commits to reporting both the within-window effect and the cumulative effect over the full lag horizon, keeping the network-propagation component visible rather than buried. If instead the leads are non-zero, that reads as anticipation: flights rerouting before the closure activates, contaminating the pre-period and relocating rather than erasing part of the effect. So the treatment window is widened to capture the pre-activation avoidance, and the anticipation is reported as part of the cost rather than discarded as a pre-trend violation. The qualifier on both is that the asymmetric construction of leads and lags in the modern estimators means the lead coefficients must be read with Roth’s caution rather than against the two-way-fixed-effects visual heuristic</w:t>
      </w:r>
      <w:r>
        <w:t xml:space="preserve"> </w:t>
      </w:r>
      <w:hyperlink w:anchor="ref-49">
        <w:r>
          <w:rPr>
            <w:rStyle w:val="Hyperlink"/>
          </w:rPr>
          <w:t xml:space="preserve">[49]</w:t>
        </w:r>
      </w:hyperlink>
      <w:r>
        <w:t xml:space="preserve">. Confidence in these two conditional interpretations is high, each following from an established mechanism and each committed before the profile is seen.</w:t>
      </w:r>
    </w:p>
    <w:bookmarkEnd w:id="152"/>
    <w:bookmarkStart w:id="153" w:name="specified-but-unpopulated-result-tables"/>
    <w:p>
      <w:pPr>
        <w:pStyle w:val="Heading2"/>
        <w:spacing w:line="480" w:lineRule="auto"/>
      </w:pPr>
      <w:r>
        <w:t xml:space="preserve">6.8 Specified-but-Unpopulated Result Tables</w:t>
      </w:r>
    </w:p>
    <w:p>
      <w:pPr>
        <w:pStyle w:val="FirstParagraph"/>
        <w:spacing w:line="480" w:lineRule="auto"/>
      </w:pPr>
      <w:r>
        <w:t xml:space="preserve">The result tables are specified here in full structure and left empty by design. This is the most explicit expression of the design-stage guardrail: the tables that will carry the executed numbers exist as templates, their rows and columns are fixed, and their cells are blank because no estimate has been run on the assembled panel. Populating them with illustrative numbers would invite their being read as results, so they are left unpopulated. Their templates appear in Appendix D of the backmatter; their structure is described here so the analysis plan is self-contained.</w:t>
      </w:r>
    </w:p>
    <w:p>
      <w:pPr>
        <w:pStyle w:val="BodyText"/>
        <w:spacing w:line="480" w:lineRule="auto"/>
        <w:ind w:firstLine="720"/>
      </w:pPr>
      <w:r>
        <w:t xml:space="preserve">Table 6.1, the disruption-parameter table, carries one row per cost outcome (delay minutes, added distance, fuel burn, direct operating cost) and columns for the Callaway and Sant’Anna aggregated ATT point estimate, its clustered standard error, its confidence interval, the de Chaisemartin and D’Haultfoeuille robust estimate, and the Goodman-Bacon decomposition summary. Every cell is blank. The table is laid out so the decision rule of Section 6.3 applies to it directly: the first-row, first-column cell, once filled, is the headline per-event delay cost, and its confidence interval is the quantity the minimum-detectable-effect check evaluates.</w:t>
      </w:r>
    </w:p>
    <w:p>
      <w:pPr>
        <w:pStyle w:val="BodyText"/>
        <w:spacing w:line="480" w:lineRule="auto"/>
        <w:ind w:firstLine="720"/>
      </w:pPr>
      <w:r>
        <w:t xml:space="preserve">Table 6.2, the avoided-cost-parameter table, carries one row for the counterfactual-differencing route and one for the continuous-intensity route, with columns for the point estimate, the standard error, the confidence interval, and the per-event-versus-program-level scaling. Every cell is blank. The two rows sit adjacent so the corroboration-or-divergence reading of Section 6.2.4 is immediate once the cells are filled.</w:t>
      </w:r>
    </w:p>
    <w:p>
      <w:pPr>
        <w:pStyle w:val="BodyText"/>
        <w:spacing w:line="480" w:lineRule="auto"/>
        <w:ind w:firstLine="720"/>
      </w:pPr>
      <w:r>
        <w:t xml:space="preserve">Table 6.3, the event-study coefficient table, carries one row per time-relative-to-activation index spanning the leads and the lags, with columns for the coefficient and its confidence interval, laid out to be read against the credible-shape prediction of Section 6.7. Every cell is blank.</w:t>
      </w:r>
    </w:p>
    <w:p>
      <w:pPr>
        <w:pStyle w:val="BodyText"/>
        <w:spacing w:line="480" w:lineRule="auto"/>
        <w:ind w:firstLine="720"/>
      </w:pPr>
      <w:r>
        <w:t xml:space="preserve">Table 6.4, the robustness-and-placebo summary, carries one row per battery element (weather placebo, adjacent-sector placebo, controlled-reentry exclusion, anticipation leads, alternative cost factors, spatial-spillover correction, synthetic difference-in-differences) with columns recording whether the element ran favorable, neutral, or unfavorable to H1 and the re-estimated headline effect under it. Every cell is blank, and the plan commits to filling every row whatever the outcome, the mechanism that blocks selective reporting.</w:t>
      </w:r>
    </w:p>
    <w:p>
      <w:pPr>
        <w:pStyle w:val="BodyText"/>
        <w:spacing w:line="480" w:lineRule="auto"/>
        <w:ind w:firstLine="720"/>
      </w:pPr>
      <w:r>
        <w:t xml:space="preserve">The reason the empty tables are themselves a contribution, rather than an absence to be apologized for, is that they fix the analytic surface before the data are seen. The grounds are that pre-specifying the table structure removes the degree of freedom by which an analyst chooses, after seeing the estimates, which outcomes and which robustness checks to feature</w:t>
      </w:r>
      <w:r>
        <w:t xml:space="preserve"> </w:t>
      </w:r>
      <w:hyperlink w:anchor="ref-50">
        <w:r>
          <w:rPr>
            <w:rStyle w:val="Hyperlink"/>
          </w:rPr>
          <w:t xml:space="preserve">[50]</w:t>
        </w:r>
      </w:hyperlink>
      <w:r>
        <w:t xml:space="preserve">. The warrant is that a result whose presentation format was committed before its value was known cannot have been formatted to flatter the value. The qualifier is that pre-specification disciplines presentation, not estimation quality; an underpowered sample remains underpowered no matter how carefully its tables are pre-registered, which is why the power concern is carried as a standing limitation rather than resolved by the table design. Confidence that the empty-table commitment strengthens the eventual inference is high; it is one of the few claims in the chapter that does not depend on the data, because it is a claim about analytic procedure rather than about the world.</w:t>
      </w:r>
    </w:p>
    <w:bookmarkEnd w:id="153"/>
    <w:bookmarkStart w:id="154" w:name="assurance-case-position-and-synthesis"/>
    <w:p>
      <w:pPr>
        <w:pStyle w:val="Heading2"/>
        <w:spacing w:line="480" w:lineRule="auto"/>
      </w:pPr>
      <w:r>
        <w:t xml:space="preserve">6.9 Assurance-Case Position and Synthesis</w:t>
      </w:r>
    </w:p>
    <w:p>
      <w:pPr>
        <w:pStyle w:val="FirstParagraph"/>
        <w:spacing w:line="480" w:lineRule="auto"/>
      </w:pPr>
      <w:r>
        <w:t xml:space="preserve">This chapter occupies a specific place in the assurance-case spine that the dissertation carries from claim to claim, and naming that place clarifies what Chapter 6 does and does not establish. The spine has five subclaims: the problem is real, the problem is material, the intervention addresses the mechanism, the intervention beats the alternatives, and the residual risk is acceptable. Chapters 3 and 4 establish that the problem is real and material from the descriptive and simulation literature. Chapter 5 establishes the identification by which the materiality can be measured causally. Chapter 6 does not add a new subclaim; it specifies the test that will, when executed, convert the third and fourth subclaims from expectation into measurement. The disruption-parameter estimate operationalizes the materiality subclaim as a number; the avoided-cost-parameter estimate operationalizes the intervention-addresses-the-mechanism and intervention-beats-the-alternatives subclaims as a number; and the residual-risk subclaim is what bounds the avoided cost at equal safety, which is why the avoided cost is defined against an equal-safety dynamic closure and not against a riskier one.</w:t>
      </w:r>
    </w:p>
    <w:p>
      <w:pPr>
        <w:pStyle w:val="BodyText"/>
        <w:spacing w:line="480" w:lineRule="auto"/>
        <w:ind w:firstLine="720"/>
      </w:pPr>
      <w:r>
        <w:t xml:space="preserve">The synthesis of the chapter comes down to a single disciplined commitment. The procedure is fixed in five gated steps. The decision rule is committed in advance with the power-asymmetry clause that keeps a null from being over-read. The expected signs are stated with their mechanisms and their confidence grades, so a disconfirming estimate would be recognized on sight. The illustrative simulation shows the arithmetic without claiming any input as measured. The continuous-treatment and spillover adaptations are specified because the data structure demands them. The event-study profile has its credible shape and its two diagnostic departures fixed ahead of time, and the result tables are specified and left empty. Nothing in this chapter is a result. Everything in it is the apparatus that makes a result interpretable. The value of that apparatus is independent of which way the executed estimates fall: a positive, significant disruption parameter and a positive avoided cost would confirm H1 and supply the externality price that the regulatory and investment decisions of Chapter 7 require, while a precisely estimated near-zero disruption parameter would falsify the contribution and be, equally, a publishable and decision-relevant result. The design is built so that both outcomes are informative, which is the mark of a falsifiable plan rather than a foregone conclusion. The mechanism that guarantees this property is the conjunction of the pre-committed decision rule and the empty pre-specified tables: together they fix what a confirming and a disconfirming result each look like before either is observed, and that fixing is what this chapter contributes to the dissertation as a whole.</w:t>
      </w:r>
    </w:p>
    <w:bookmarkEnd w:id="154"/>
    <w:bookmarkEnd w:id="155"/>
    <w:bookmarkStart w:id="169" w:name="chapter-7-discussion"/>
    <w:p>
      <w:pPr>
        <w:pStyle w:val="Heading1"/>
        <w:spacing w:line="480" w:lineRule="auto"/>
      </w:pPr>
      <w:r>
        <w:t xml:space="preserve">Chapter 7: Discussion</w:t>
      </w:r>
    </w:p>
    <w:bookmarkStart w:id="156" w:name="chapter-thesis"/>
    <w:p>
      <w:pPr>
        <w:pStyle w:val="Heading2"/>
        <w:spacing w:line="480" w:lineRule="auto"/>
      </w:pPr>
      <w:r>
        <w:t xml:space="preserve">7.1 Chapter thesis</w:t>
      </w:r>
    </w:p>
    <w:p>
      <w:pPr>
        <w:pStyle w:val="FirstParagraph"/>
        <w:spacing w:line="480" w:lineRule="auto"/>
      </w:pPr>
      <w:r>
        <w:t xml:space="preserve">This dissertation’s value to NASA, to the Jet Propulsion Laboratory, and to the wider civil-space enterprise does not hang on which way the estimate lands. Large or small on the disruption parameter, generous or thin on the avoided cost, the contribution holds steady: a defensible, design-based price for the cost that spacecraft reentry imposes on the National Airspace System, and a defensible number for the cost that better reentry prediction combined with dynamic airspace management would avoid. That price and that avoided cost are what a regulator needs to weigh a reentry cadence against its aviation burden, and what a prediction-and-modeling investment such as ReentryFlow needs to know what avoided cost it must clear to earn its funding. The dissertation is built so that a near-zero, precisely estimated effect would falsify the contribution rather than embarrass it. That symmetry is where the value comes from, because a number that can be wrong is a number a decision-maker can actually use.</w:t>
      </w:r>
    </w:p>
    <w:p>
      <w:pPr>
        <w:pStyle w:val="BodyText"/>
        <w:spacing w:line="480" w:lineRule="auto"/>
        <w:ind w:firstLine="720"/>
      </w:pPr>
      <w:r>
        <w:t xml:space="preserve">Five lines carry the thesis forward through this chapter. The first reads the design under both outcomes, the world where the alternative hypothesis H1 holds and the world where the null H0 holds, and it grants the second world the standing of a real empirical possibility rather than a formality to be waved past. A second line follows the theoretical contribution back to each of the three methodological anchors the dissertation is built on, asking what the measurement returns to Rao’s account of orbital-economy externalities, to North’s account of institutions and transaction costs, and to the design-based identification tradition of Angrist and Pischke. It draws out the policy and mission implications for the named stakeholders, anchored in the live NASA Langley airspace-modeling line and the civil-space enterprise’s interest in pricing the reentry externality. It engages the rival explanations in full, naming for each the specific feature of the research design that confronts it. And it states the external-validity position honestly, locating the estimate where the design-based tradition insists it belongs: local to the cadence and event mix observed, reported as a function of cadence and prediction uncertainty so that any extrapolation is conditional and explicit rather than assumed. Throughout, the design-stage discipline of the dissertation holds. No estimate is claimed on the full dataset; every number that appears is labeled expected or illustrative, and the discussion is a discussion of what the design is built to establish, not of what it has established.</w:t>
      </w:r>
    </w:p>
    <w:bookmarkEnd w:id="156"/>
    <w:bookmarkStart w:id="157" w:name="the-problem-this-chapter-addresses"/>
    <w:p>
      <w:pPr>
        <w:pStyle w:val="Heading2"/>
        <w:spacing w:line="480" w:lineRule="auto"/>
      </w:pPr>
      <w:r>
        <w:t xml:space="preserve">7.2 The problem this chapter addresses</w:t>
      </w:r>
    </w:p>
    <w:p>
      <w:pPr>
        <w:pStyle w:val="FirstParagraph"/>
        <w:spacing w:line="480" w:lineRule="auto"/>
      </w:pPr>
      <w:r>
        <w:t xml:space="preserve">The problem here is interpretive rather than empirical. What Chapters 4 through 6 hand forward is a fully specified design with two estimable parameters, a fixed decision rule, and a pre-committed account of what each parameter must show for the alternative hypothesis to survive. What is wanted next is a clear, decision-relevant reading of what follows for the science, the policy, and the stakeholders under each admissible outcome, with the rival explanations confronted and the reach of the estimate stated honestly. Between the two lies the work of interpretation: a design, however careful, does not on its own say what its results would mean, which rivals would remain standing, or how far its number would travel. Leave that gap open and the dissertation can estimate a parameter yet cannot tell a regulator or a program office what to do with it, forfeiting the whole practical point of building a falsifiable measurement. This chapter closes the gap by reading the design through both outcomes, through theory and policy alike, and through the full set of competing explanations, so the executed study, whatever it returns, lands as evidence a decision-maker can act on.</w:t>
      </w:r>
    </w:p>
    <w:bookmarkEnd w:id="157"/>
    <w:bookmarkStart w:id="159" w:name="implications-if-h1-holds"/>
    <w:p>
      <w:pPr>
        <w:pStyle w:val="Heading2"/>
        <w:spacing w:line="480" w:lineRule="auto"/>
      </w:pPr>
      <w:r>
        <w:t xml:space="preserve">7.3 Implications if H1 holds</w:t>
      </w:r>
    </w:p>
    <w:p>
      <w:pPr>
        <w:pStyle w:val="FirstParagraph"/>
        <w:spacing w:line="480" w:lineRule="auto"/>
      </w:pPr>
      <w:r>
        <w:t xml:space="preserve">Start with the world in which the design returns the expected signs. Should H1 hold, the dissertation supplies two operationally distinct quantities, each turning a standing policy ambiguity into a priced decision. Why treat this as the expected outcome is laid out across the literature review: every mechanism in the airspace-disruption record points one way, with larger withheld volumes, longer windows, and denser displaced traffic each raising the cost of a closure [2, 3, 4, 5, 1]. The causal chain fixed in the design connects those grounds to the claim. A reentry event carrying large prediction uncertainty forces a conservative static Aircraft Hazard Area sized to a worst-case dispersion envelope, that envelope withholds a large airspace volume over a sector-time window, exposed flights respond by delaying, holding, or rerouting, and those responses register as added delay minutes, added distance, fuel burn, and direct operating cost, with network propagation carrying the cost past the closed window</w:t>
      </w:r>
      <w:r>
        <w:t xml:space="preserve"> </w:t>
      </w:r>
      <w:hyperlink w:anchor="ref-12">
        <w:r>
          <w:rPr>
            <w:rStyle w:val="Hyperlink"/>
          </w:rPr>
          <w:t xml:space="preserve">[12]</w:t>
        </w:r>
      </w:hyperlink>
      <w:r>
        <w:t xml:space="preserve">. Convergent simulation and historical-traffic evidence backs the chain, showing closures touching real flights in measurable numbers, international carriers on the order of eight to ten percent of affected flights and general aviation near one third at a major coastal site [3, 2]. One qualifier is essential and held here: these are expected signs drawn from launch-era evidence and the four PRISMA reviews, not executed estimates, and confidence in the expectation is moderate, grounded in convergent but indirect evidence rather than a prior causal estimate that does not exist.</w:t>
      </w:r>
    </w:p>
    <w:p>
      <w:pPr>
        <w:pStyle w:val="BodyText"/>
        <w:spacing w:line="480" w:lineRule="auto"/>
        <w:ind w:firstLine="720"/>
      </w:pPr>
      <w:r>
        <w:t xml:space="preserve">Should H1 hold, the disruption parameter, the aggregated average treatment effect on the treated of a reentry-driven closure on the cost outcomes, is the first operational quantity. What it delivers is concrete: a regulator gains the marginal aviation cost of one reentry-driven closure, expressed in the same currency, dollars of direct operating cost and minutes of delay, that the regulator already uses to account for every other source of airspace disruption. This matters because the present authorization regime holds no such number. The Federal Aviation Administration integrates launch and reentry mainly by closing large, predetermined hazard areas for windows historically measured in hours, a posture conservative by design that has preserved a strong safety record [2, 4]. What that posture has never carried is a price on the disruption it produces, so the regulator deciding whether to permit a given reentry cadence has been setting a known safety benefit against an unmeasured cost. A measured disruption parameter cancels the asymmetry. It tells the regulator how much aviation cost a cadence of one reentry per week, or per day, will impose, and it does so at the margin, per event, so the cost of each incremental increase in cadence is legible rather than guessed.</w:t>
      </w:r>
    </w:p>
    <w:p>
      <w:pPr>
        <w:pStyle w:val="BodyText"/>
        <w:spacing w:line="480" w:lineRule="auto"/>
        <w:ind w:firstLine="720"/>
      </w:pPr>
      <w:r>
        <w:t xml:space="preserve">Should H1 hold, the second operational quantity is the avoided-cost parameter: the difference in cost between a static-closure regime and a prediction-informed dynamic-closure regime that narrows the withheld volume in time and space as the reentry prediction tightens. What it delivers is a price on a specific, buildable intervention rather than an abstraction. The design identifies the causal lever cleanly. Closure size scales with prediction uncertainty, and that uncertainty drops sharply as the object nears reentry, falling from large atmospheric-density, ballistic-coefficient, and reentry-angle uncertainties toward a tighter late-available envelope [21, 22]. A dynamic closure sized to the uncertainty available shortly before reentry therefore withholds a smaller volume and displaces fewer flights than a static closure sized to a worst-case envelope fixed hours ahead. The avoided cost is that difference, and the components of the dynamic regime whose value it captures are already in hand. Trajectory-accuracy requirements that let automation decide which flights clear a hazard area before activation have been derived</w:t>
      </w:r>
      <w:r>
        <w:t xml:space="preserve"> </w:t>
      </w:r>
      <w:hyperlink w:anchor="ref-9">
        <w:r>
          <w:rPr>
            <w:rStyle w:val="Hyperlink"/>
          </w:rPr>
          <w:t xml:space="preserve">[9]</w:t>
        </w:r>
      </w:hyperlink>
      <w:r>
        <w:t xml:space="preserve">. Predicted-trajectory accuracy thresholds for reducing aviation impact have been worked out for launch and reentry</w:t>
      </w:r>
      <w:r>
        <w:t xml:space="preserve"> </w:t>
      </w:r>
      <w:hyperlink w:anchor="ref-33">
        <w:r>
          <w:rPr>
            <w:rStyle w:val="Hyperlink"/>
          </w:rPr>
          <w:t xml:space="preserve">[33]</w:t>
        </w:r>
      </w:hyperlink>
      <w:r>
        <w:t xml:space="preserve">. Collaborative information exchange for tactical airspace management during space operations has been prototyped</w:t>
      </w:r>
      <w:r>
        <w:t xml:space="preserve"> </w:t>
      </w:r>
      <w:hyperlink w:anchor="ref-28">
        <w:r>
          <w:rPr>
            <w:rStyle w:val="Hyperlink"/>
          </w:rPr>
          <w:t xml:space="preserve">[28]</w:t>
        </w:r>
      </w:hyperlink>
      <w:r>
        <w:t xml:space="preserve">. And a launch coordination center concept has been tested in European airspace, starting to quantify how dynamic handling shrinks the closure footprint against static policy</w:t>
      </w:r>
      <w:r>
        <w:t xml:space="preserve"> </w:t>
      </w:r>
      <w:hyperlink w:anchor="ref-10">
        <w:r>
          <w:rPr>
            <w:rStyle w:val="Hyperlink"/>
          </w:rPr>
          <w:t xml:space="preserve">[10]</w:t>
        </w:r>
      </w:hyperlink>
      <w:r>
        <w:t xml:space="preserve">. Read this way, the avoided-cost parameter measures the value of finishing an adaptation the field has already begun for launch and carrying it to reentry, not the value of inventing a capability from scratch. Confidence here runs below that for the disruption parameter, and the dissertation says so: the avoided cost has no direct empirical precedent, its support is component evidence and analogue rather than a measured reentry avoided cost, and the rebuttal that the components fail to compose into the projected saving once assembled for reentry is admitted and met by the requirement that ReentryFlow’s counterfactual outputs be validated against realized exposure before they earn trust.</w:t>
      </w:r>
    </w:p>
    <w:p>
      <w:pPr>
        <w:pStyle w:val="BodyText"/>
        <w:spacing w:line="480" w:lineRule="auto"/>
        <w:ind w:firstLine="720"/>
      </w:pPr>
      <w:r>
        <w:t xml:space="preserve">If both parameters return positive and statistically distinguishable from zero, the joint implication is a priced trade. The regulator can set the disruption parameter, the cost of doing nothing differently as cadence rises, against the avoided-cost parameter, the cost recovered by moving to dynamic closure, and can decide whether the investment in prediction and dynamic airspace management pays at the cadence it expects. That is the decision the dissertation is built to inform, and under H1 it informs it with two numbers that are commensurable, marginal, and falsifiable.</w:t>
      </w:r>
    </w:p>
    <w:bookmarkStart w:id="158" w:name="Xfcffd024c03cd75eb8b49d06dab445d15a73a97"/>
    <w:p>
      <w:pPr>
        <w:pStyle w:val="Heading3"/>
        <w:spacing w:line="480" w:lineRule="auto"/>
      </w:pPr>
      <w:r>
        <w:t xml:space="preserve">7.3.1 Why a positive disruption parameter is a congestion externality, not merely a private cost</w:t>
      </w:r>
    </w:p>
    <w:p>
      <w:pPr>
        <w:pStyle w:val="FirstParagraph"/>
        <w:spacing w:line="480" w:lineRule="auto"/>
      </w:pPr>
      <w:r>
        <w:t xml:space="preserve">A positive disruption parameter under H1 is more than a private inconvenience to the affected carriers, and reading it right is essential to the policy claims that follow. The measured cost is a congestion externality in the precise economic sense, and that classification, not the raw dollar figure, is what makes the measurement a price rather than an accounting curiosity. The cost-of-delay economics supply the grounds. Air traffic delay is in part a congestion externality: when one user consumes scarce airspace capacity, it imposes delay on others that it does not bear, the textbook condition under which a market under-provides the avoidance of disruption</w:t>
      </w:r>
      <w:r>
        <w:t xml:space="preserve"> </w:t>
      </w:r>
      <w:hyperlink w:anchor="ref-11">
        <w:r>
          <w:rPr>
            <w:rStyle w:val="Hyperlink"/>
          </w:rPr>
          <w:t xml:space="preserve">[11]</w:t>
        </w:r>
      </w:hyperlink>
      <w:r>
        <w:t xml:space="preserve">. A reentry-driven closure is exactly such a consumption of scarce capacity, and sharper than ordinary congestion, because the consuming party, the space operator, is not even a participant in the aviation market that bears the cost. So the measured cost earns the externality label for a plain reason: it falls on third parties who neither caused it nor are compensated for it, the defining mark of an externality and the reason its measurement is the precondition for any corrective instrument.</w:t>
      </w:r>
    </w:p>
    <w:p>
      <w:pPr>
        <w:pStyle w:val="BodyText"/>
        <w:spacing w:line="480" w:lineRule="auto"/>
        <w:ind w:firstLine="720"/>
      </w:pPr>
      <w:r>
        <w:t xml:space="preserve">The classification has a second consequence that the headline number alone would hide, and the design is built to expose it. The within-window cost understates the true cost, because a localized airspace disruption propagates through the network: delay at one node raises delay downstream, so the cost of a closure outlives its active window as displaced traffic cascades</w:t>
      </w:r>
      <w:r>
        <w:t xml:space="preserve"> </w:t>
      </w:r>
      <w:hyperlink w:anchor="ref-12">
        <w:r>
          <w:rPr>
            <w:rStyle w:val="Hyperlink"/>
          </w:rPr>
          <w:t xml:space="preserve">[12]</w:t>
        </w:r>
      </w:hyperlink>
      <w:r>
        <w:t xml:space="preserve">. This means that a positive disruption parameter measured on the activation window is a lower bound on the externality, and that the event-study profile’s post-activation decay shape is itself a substantive finding about how much of the cost the within-window measure misses. The interpretive implication for the stakeholders is that a regulator pricing the externality on the within-window cost alone would under-price it, and the dissertation’s event-study structure is what lets the regulator see and, if it chooses, incorporate the propagated tail. The qualifier is that the network-propagation magnitude is bounded rather than precisely estimated in this design, because the outcome construct, delay and direct operating cost on the exposed flights, omits passenger time value and full schedule-network knock-on; the propagation evidence is used to bound the omitted downstream cost rather than to estimate it, and the confidence in the bound is moderate. Read this way, a positive disruption parameter is not a complaint on behalf of carriers; it is the empirical content of an unpriced externality on shared national infrastructure, and that is the reading the policy section carries forward.</w:t>
      </w:r>
    </w:p>
    <w:bookmarkEnd w:id="158"/>
    <w:bookmarkEnd w:id="159"/>
    <w:bookmarkStart w:id="160" w:name="implications-if-h0-holds"/>
    <w:p>
      <w:pPr>
        <w:pStyle w:val="Heading2"/>
        <w:spacing w:line="480" w:lineRule="auto"/>
      </w:pPr>
      <w:r>
        <w:t xml:space="preserve">7.4 Implications if H0 holds</w:t>
      </w:r>
    </w:p>
    <w:p>
      <w:pPr>
        <w:pStyle w:val="FirstParagraph"/>
        <w:spacing w:line="480" w:lineRule="auto"/>
      </w:pPr>
      <w:r>
        <w:t xml:space="preserve">Treating the null as a failure to explain away gets it wrong. It is an admissible scientific result, one that carries its own implications, and the chapter develops them at full weight. Should H0 hold in its strong form, a precisely estimated disruption effect near zero with a confidence interval tight enough to exclude economically meaningful effects, the dissertation delivers a finding of equal decision value to H1: that the present static-closure posture imposes no material marginal cost on the NAS at the observed cadence, and that the case for investing in dynamic closure on cost grounds is correspondingly weak. Taking this seriously has a structural basis. The U.S.-airspace-intersecting reentry events in the current record are modest in number, concentrated in particular sectors and seasons, and the displaced traffic may hold ample slack to absorb a closure without measurable cost when cadence is low. Read the same causal chain in reverse: if the withheld volume is small against available capacity, or if exposed flights reroute at negligible marginal cost because alternative routings are nearly as efficient, the mechanism that turns a closure into a cost is throttled, and the observed effect sits near zero not because the design is blind but because the cost genuinely is small at this cadence.</w:t>
      </w:r>
    </w:p>
    <w:p>
      <w:pPr>
        <w:pStyle w:val="BodyText"/>
        <w:spacing w:line="480" w:lineRule="auto"/>
        <w:ind w:firstLine="720"/>
      </w:pPr>
      <w:r>
        <w:t xml:space="preserve">The load-bearing discipline the design imposes here is the distinction between a strong null and an underpowered one. A precisely estimated near-zero effect, its confidence interval ruling out the economically meaningful effect sizes the launch-era evidence would lead one to expect, is a substantive finding: it says reentry at current cadence is, on the evidence, no material aviation-cost problem. An imprecisely estimated null, its confidence interval wide enough to hold both zero and a large effect, is no finding at all. It is the design reporting that the available sample cannot resolve the question. The dissertation refuses to let the second pass for the first. The minimum-detectable-effect check is the gate. The analysis plan reports the smallest effect the available sample can detect at the chosen power, and an estimated null counts as confirmation of H0 only when that check certifies an economically meaningful effect would have been detected had it been present. Where the check fails, the result is reported as inconclusive, the question stays open, and the path to resolving it, more events as cadence rises, is named rather than papered over. That is the honest reading of the design-based tradition’s caution that an estimate is local to the events and margins observed: where the observed margins hold too little treatment variation to identify the effect, the design says so.</w:t>
      </w:r>
    </w:p>
    <w:p>
      <w:pPr>
        <w:pStyle w:val="BodyText"/>
        <w:spacing w:line="480" w:lineRule="auto"/>
        <w:ind w:firstLine="720"/>
      </w:pPr>
      <w:r>
        <w:t xml:space="preserve">If H0 holds in its strong form, the implications for the stakeholders are not negative; they are reorienting. For the regulator, a credible strong null says that the current conservative posture is not, at present cadence, a structural drag on the NAS, and that resources earmarked for dynamic-closure capability could be deferred or redirected until cadence rises to a level at which the cost reappears. For a prediction-and-modeling investment such as ReentryFlow, a strong null on the disruption parameter, or a near-zero avoided-cost parameter, says plainly that better prediction does not pay on aviation-cost grounds at the cadence studied, which is exactly the kind of result that a responsible investment decision needs and that an advocacy posture would suppress. The dissertation’s value proposition is precisely that it would report this. A near-zero avoided-cost parameter would imply that dynamic closure buys nothing over static closure in cost terms, that the safety case for the existing posture stands without an offsetting cost penalty, and that the field’s investment in trajectory-accuracy and tactical-exchange capability should be justified on safety, capacity-headroom, or future-cadence grounds rather than on present cost avoidance. Each of these is a publishable, decision-relevant result. The mark of a genuinely falsifiable design, as opposed to a foregone conclusion dressed as research, is that the null outcome is as informative as the alternative, and this chapter treats it that way.</w:t>
      </w:r>
    </w:p>
    <w:p>
      <w:pPr>
        <w:pStyle w:val="BodyText"/>
        <w:spacing w:line="480" w:lineRule="auto"/>
        <w:ind w:firstLine="720"/>
      </w:pPr>
      <w:r>
        <w:t xml:space="preserve">A third reading sits between the strong null and H1, one the design accommodates and the discussion flags. The disruption parameter may come back positive and distinguishable from zero, confirming the first part of H1, while the avoided-cost parameter lands near zero, falsifying the second. That combination means something specific and important: reentry imposes a real, measurable cost on the NAS, yet better prediction and dynamic closure do not cut it, perhaps because the binding constraint on closure size is not prediction uncertainty but a residual ground-and-air risk floor no amount of prediction can shrink below, or because the dynamic regime’s coordination overhead swallows its footprint saving. That reading would steer the policy conversation away from prediction investment and toward the risk-acceptance threshold itself, toward whether the regulator will price residual risk differently. The design keeps the two parameters apart precisely so this intermediate outcome stays legible rather than averaged into a single ambiguous number.</w:t>
      </w:r>
    </w:p>
    <w:bookmarkEnd w:id="160"/>
    <w:bookmarkStart w:id="164" w:name="Xf931f13f6af047536e3d78a89f1aa053856b71a"/>
    <w:p>
      <w:pPr>
        <w:pStyle w:val="Heading2"/>
        <w:spacing w:line="480" w:lineRule="auto"/>
      </w:pPr>
      <w:r>
        <w:t xml:space="preserve">7.5 Theoretical contribution back to the anchors</w:t>
      </w:r>
    </w:p>
    <w:p>
      <w:pPr>
        <w:pStyle w:val="FirstParagraph"/>
        <w:spacing w:line="480" w:lineRule="auto"/>
      </w:pPr>
      <w:r>
        <w:t xml:space="preserve">The dissertation borrows three frameworks and is built to give something back to each. This section states what the measurement returns to Rao’s externality economics, to North’s institutional economics, and to the design-based identification tradition associated with Angrist and Pischke, and it is careful to claim only what a design-stage contribution can claim.</w:t>
      </w:r>
    </w:p>
    <w:bookmarkStart w:id="161" w:name="the-externality-price-rao"/>
    <w:p>
      <w:pPr>
        <w:pStyle w:val="Heading3"/>
        <w:spacing w:line="480" w:lineRule="auto"/>
      </w:pPr>
      <w:r>
        <w:t xml:space="preserve">7.5.1 The externality price (Rao)</w:t>
      </w:r>
    </w:p>
    <w:p>
      <w:pPr>
        <w:pStyle w:val="FirstParagraph"/>
        <w:spacing w:line="480" w:lineRule="auto"/>
      </w:pPr>
      <w:r>
        <w:t xml:space="preserve">Rao and colleagues read the orbital environment as a congestible common in which a launching party imposes collision and debris risk on others without pricing it, and they show an orbital-use fee that internalizes the externality could raise the value of the satellite industry substantially over the open-access outcome</w:t>
      </w:r>
      <w:r>
        <w:t xml:space="preserve"> </w:t>
      </w:r>
      <w:hyperlink w:anchor="ref-23">
        <w:r>
          <w:rPr>
            <w:rStyle w:val="Hyperlink"/>
          </w:rPr>
          <w:t xml:space="preserve">[23]</w:t>
        </w:r>
      </w:hyperlink>
      <w:r>
        <w:t xml:space="preserve">. The transfer this dissertation makes is to see the reentry-airspace problem as the terrestrial analogue of that orbital externality. A reentry-driven closure is a capacity shock a space operator imposes on aviation users party to none of the authorization decision, who bear the resulting delay, reroute, and fuel cost while the operator faces none of it, so the airspace common is over-consumed in exactly the structural sense Rao’s framework formalizes for orbit. What the dissertation gives back to the framework is the missing empirical primitive. Rao’s mechanism needs a measured marginal external cost to set the fee that internalizes it; the orbital-debris literature holds that primitive for collision risk, but the reentry-airspace literature has lacked it for delay. The disruption parameter is that primitive for the airspace case. It supplies the marginal external cost of a reentry-driven closure, the quantity any Pigouvian instrument on reentry, a corridor-access fee, a closure-time charge, or a tradable closure right, would have to reference. The qualifier guards the claim: the dissertation supplies the externality price, not the optimal fee, because the optimal fee turns on the elasticity of reentry demand and on the social cost of the residual risk, neither of which this design estimates. The contribution is the term in the numerator, not the full optimization, and the chapter says so plainly. The supporting space-economy literature reinforces that this primitive is the operative one: market formation in the new space economy is governed by the correct pricing of externalities and by institutional design rather than technology readiness alone [16, 18, 17].</w:t>
      </w:r>
    </w:p>
    <w:bookmarkEnd w:id="161"/>
    <w:bookmarkStart w:id="162" w:name="the-institution-the-price-enables-north"/>
    <w:p>
      <w:pPr>
        <w:pStyle w:val="Heading3"/>
        <w:spacing w:line="480" w:lineRule="auto"/>
      </w:pPr>
      <w:r>
        <w:t xml:space="preserve">7.5.2 The institution the price enables (North)</w:t>
      </w:r>
    </w:p>
    <w:p>
      <w:pPr>
        <w:pStyle w:val="FirstParagraph"/>
        <w:spacing w:line="480" w:lineRule="auto"/>
      </w:pPr>
      <w:r>
        <w:t xml:space="preserve">North separates institutions, the rules of the game, from organizations, the players, and holds that institutions exist to lower the transaction costs of impersonal exchange</w:t>
      </w:r>
      <w:r>
        <w:t xml:space="preserve"> </w:t>
      </w:r>
      <w:hyperlink w:anchor="ref-24">
        <w:r>
          <w:rPr>
            <w:rStyle w:val="Hyperlink"/>
          </w:rPr>
          <w:t xml:space="preserve">[24]</w:t>
        </w:r>
      </w:hyperlink>
      <w:r>
        <w:t xml:space="preserve">. The dissertation’s transfer is to read the reentry-authorization regime as an institution and sort its two candidate forms by their transaction costs. Static, case-by-case AHA closure is a high-transaction-cost rule: every event is adjudicated conservatively and afresh, the cost lands on third parties outside the decision, and the adjudication never accumulates into a reusable schedule. A repeatable, prediction-informed, dynamic-closure rule is a lower-transaction-cost institution: it swaps bespoke adjudication for a standing decision procedure keyed to the prediction available at closure time. What the dissertation gives back to North’s framework is the precise input that gates the move between the two institutions. North’s account explains why a lower-transaction-cost rule is desirable but does not, on its own, tell a particular regulator how to justify the switch; the switch takes a regulator able to weigh the narrower closure’s residual risk against its cost saving, and that weighing takes a measured price for the disruption the current rule imposes. The dissertation supplies that price. In North’s terms the avoided-cost parameter is the transaction-cost saving of the institutional change, and the disruption parameter is the cost of the status quo against which that saving is measured. So the measurement is institutionally load-bearing, no academic ornament but the specific empirical input without which the rule change cannot be justified on its own terms. The space-economy literature converges again, locating the public-to-commercial transition in institutional design and authorization predictability rather than engineering milestones [16, 18, 17]. The qualifier is that the dissertation prices the inputs to the institutional choice; it does not design the dynamic-closure rule itself, a regulatory and architectural task the trajectory-accuracy and tactical-exchange literatures address [9, 33, 28] and one that lies beyond an econometric measurement.</w:t>
      </w:r>
    </w:p>
    <w:bookmarkEnd w:id="162"/>
    <w:bookmarkStart w:id="163" w:name="X2fb5d3f5cbd148576ff338821c3ac085b867ec6"/>
    <w:p>
      <w:pPr>
        <w:pStyle w:val="Heading3"/>
        <w:spacing w:line="480" w:lineRule="auto"/>
      </w:pPr>
      <w:r>
        <w:t xml:space="preserve">7.5.3 The design-based local estimate and its honest caution (Angrist and Pischke)</w:t>
      </w:r>
    </w:p>
    <w:p>
      <w:pPr>
        <w:pStyle w:val="FirstParagraph"/>
        <w:spacing w:line="480" w:lineRule="auto"/>
      </w:pPr>
      <w:r>
        <w:t xml:space="preserve">The methodological anchor contributes the discipline that makes the two prior contributions credible, and the dissertation gives back to it a worked application in a domain it has not previously reached. The design-based tradition insists that a credible source of variation and an explicit treatment-and-control definition carry the causal claim rather than functional-form assumptions. The natural experiment here is the reentry event itself, its timing for uncontrolled objects set by orbital decay and plausibly unrelated to contemporaneous demand for the affected sector, conditional on covariates. What the dissertation returns to the tradition runs two ways. It carries the staggered difference-in-differences frontier, the Callaway and Sant’Anna estimator with the Goodman-Bacon and de Chaisemartin and D’Haultfoeuille diagnostics, into a space-infrastructure application where treatment timing is genuinely staggered and heterogeneous and where the forbidden-comparison pathologies of two-way fixed effects would otherwise bite [14, 13, 15]. And, more important for the discussion, it carries the tradition’s signature epistemic caution into a policy domain that has tended to report simulation outputs as though they were estimates. The honest external-validity statement, developed in Section 7.7, expresses that caution directly: the estimate is local to the observed cadence and event mix, and the dissertation reports the cost as a function of cadence and prediction uncertainty so extrapolation stays conditional and stated. So what returns to the anchor is not a new estimator but a demonstration that the design-based posture, identify cleanly, estimate locally, extrapolate explicitly, disciplines a space-policy question the descriptive and simulation literatures have left under-identified. The qualifier is the one the tradition itself demands and this chapter never relaxes: a clean design does not manufacture power, and where the sample cannot resolve the effect, the design reports inconclusiveness rather than a result.</w:t>
      </w:r>
    </w:p>
    <w:bookmarkEnd w:id="163"/>
    <w:bookmarkEnd w:id="164"/>
    <w:bookmarkStart w:id="165" w:name="policy-and-mission-implications"/>
    <w:p>
      <w:pPr>
        <w:pStyle w:val="Heading2"/>
        <w:spacing w:line="480" w:lineRule="auto"/>
      </w:pPr>
      <w:r>
        <w:t xml:space="preserve">7.6 Policy and mission implications</w:t>
      </w:r>
    </w:p>
    <w:p>
      <w:pPr>
        <w:pStyle w:val="FirstParagraph"/>
        <w:spacing w:line="480" w:lineRule="auto"/>
      </w:pPr>
      <w:r>
        <w:t xml:space="preserve">The policy and mission implications follow directly from the two operational quantities, and the claim of this section is that the dissertation’s number, in either direction, is the evidence base on which a reentry-authorization or corridor-pricing institution must rest, and the specific input that lets NASA and its partners act as economic enablers of the down-mass sector rather than as passive licensors.</w:t>
      </w:r>
    </w:p>
    <w:p>
      <w:pPr>
        <w:pStyle w:val="BodyText"/>
        <w:spacing w:line="480" w:lineRule="auto"/>
        <w:ind w:firstLine="720"/>
      </w:pPr>
      <w:r>
        <w:t xml:space="preserve">The implication bites hardest for the down-mass sector, and the discussion makes that case before the general regulatory one, because the down-mass case is where the externality binds hardest. The return to Earth of objects mined, refined, or manufactured in space is not launch played backward: reentry trajectories carry greater inherent prediction uncertainty than ascent, spread hazard over larger geographic areas, and cross cruise altitudes differently, so the airspace cost of a down-mass return runs structurally larger and harder to predict than the airspace cost of a launch [4, 1]. For a down-mass operator, the returned product’s value depends on delivering it through occupied airspace to a point near where it enters a terrestrial supply chain, so the return leg is integral to the business rather than incidental, and the airspace cost is a direct input to the operator’s economics rather than an externality the operator can ignore. So pricing the externality is not only about protecting aviation users; it is about handing the down-mass operator and its public partner a legible cost to plan against. The space-economy literature treats authorization predictability and corridor access as first-order economic variables that pace market formation [17, 18], and the business-model literature on the new space economy locates the binding constraint downstream of propulsion in exactly these institutional terms</w:t>
      </w:r>
      <w:r>
        <w:t xml:space="preserve"> </w:t>
      </w:r>
      <w:hyperlink w:anchor="ref-17">
        <w:r>
          <w:rPr>
            <w:rStyle w:val="Hyperlink"/>
          </w:rPr>
          <w:t xml:space="preserve">[17]</w:t>
        </w:r>
      </w:hyperlink>
      <w:r>
        <w:t xml:space="preserve">. The dissertation’s number is what lets that constraint be priced rather than feared, the precondition for the down-mass market to form at a cost its participants can anticipate.</w:t>
      </w:r>
    </w:p>
    <w:p>
      <w:pPr>
        <w:pStyle w:val="BodyText"/>
        <w:spacing w:line="480" w:lineRule="auto"/>
        <w:ind w:firstLine="720"/>
      </w:pPr>
      <w:r>
        <w:t xml:space="preserve">The most immediate implication for the regulator’s authorization architecture follows. The governance literature frames the choice of authorization architecture as a first-order economic variable and surveys cross-domain precedents for managing shared corridors, drawing lessons from air and maritime treaty governance for space traffic management</w:t>
      </w:r>
      <w:r>
        <w:t xml:space="preserve"> </w:t>
      </w:r>
      <w:hyperlink w:anchor="ref-61">
        <w:r>
          <w:rPr>
            <w:rStyle w:val="Hyperlink"/>
          </w:rPr>
          <w:t xml:space="preserve">[61]</w:t>
        </w:r>
      </w:hyperlink>
      <w:r>
        <w:t xml:space="preserve"> </w:t>
      </w:r>
      <w:r>
        <w:t xml:space="preserve">and assembling the emerging body of space-traffic-management doctrine</w:t>
      </w:r>
      <w:r>
        <w:t xml:space="preserve"> </w:t>
      </w:r>
      <w:hyperlink w:anchor="ref-62">
        <w:r>
          <w:rPr>
            <w:rStyle w:val="Hyperlink"/>
          </w:rPr>
          <w:t xml:space="preserve">[62]</w:t>
        </w:r>
      </w:hyperlink>
      <w:r>
        <w:t xml:space="preserve">. What that literature has lacked is a priced input to the choice. The disruption parameter supplies it, telling an authorization regime how much aviation cost a given reentry corridor and cadence will generate, the quantity a corridor-access fee or a closure-time charge would be set against. The avoided-cost parameter rounds it out, telling the regime how much of that cost a move to prediction-informed dynamic closure would recover, the quantity that justifies, or fails to justify, the regulatory cost of standing up the dynamic regime. Where a fee instrument is on the table, the externality price the dissertation supplies is the term the fee internalizes, in exactly the structure the orbital-use-fee analysis uses for the orbital case</w:t>
      </w:r>
      <w:r>
        <w:t xml:space="preserve"> </w:t>
      </w:r>
      <w:hyperlink w:anchor="ref-23">
        <w:r>
          <w:rPr>
            <w:rStyle w:val="Hyperlink"/>
          </w:rPr>
          <w:t xml:space="preserve">[23]</w:t>
        </w:r>
      </w:hyperlink>
      <w:r>
        <w:t xml:space="preserve"> </w:t>
      </w:r>
      <w:r>
        <w:t xml:space="preserve">and the economics-and-policy literature on orbital management treats as the central design problem</w:t>
      </w:r>
      <w:r>
        <w:t xml:space="preserve"> </w:t>
      </w:r>
      <w:hyperlink w:anchor="ref-59">
        <w:r>
          <w:rPr>
            <w:rStyle w:val="Hyperlink"/>
          </w:rPr>
          <w:t xml:space="preserve">[59]</w:t>
        </w:r>
      </w:hyperlink>
      <w:r>
        <w:t xml:space="preserve">.</w:t>
      </w:r>
    </w:p>
    <w:p>
      <w:pPr>
        <w:pStyle w:val="BodyText"/>
        <w:spacing w:line="480" w:lineRule="auto"/>
        <w:ind w:firstLine="720"/>
      </w:pPr>
      <w:r>
        <w:t xml:space="preserve">The mission implication for NASA and JPL is sharper still, bearing on a live line of work. NASA Langley and Analytical Mechanics Associates run an active airspace-modeling effort for reentry authorization, and the joint study from which this dissertation draws argues that government can act as an economic enabler of the down-mass sector by adapting launch-era airspace capabilities to reentry rather than building new infrastructure. A credible per-event cost and avoided cost are the evidence base for that enabling role, on the public-private-partnership logic the space-economy literature has formalized: well-designed partnerships in which the public party lowers a binding cost or uncertainty for the private party have been shown to foster outer-space innovation</w:t>
      </w:r>
      <w:r>
        <w:t xml:space="preserve"> </w:t>
      </w:r>
      <w:hyperlink w:anchor="ref-58">
        <w:r>
          <w:rPr>
            <w:rStyle w:val="Hyperlink"/>
          </w:rPr>
          <w:t xml:space="preserve">[58]</w:t>
        </w:r>
      </w:hyperlink>
      <w:r>
        <w:t xml:space="preserve">. In this case the public party’s enabling act is to lower the airspace cost and the authorization uncertainty the return leg imposes on a down-mass operator, and the dissertation supplies the measurement that tells the public party how large that cost is and how much of it a modeling-and-prediction investment can remove. For JPL and the broader civil-space enterprise, the same estimate sets a defensible price on the externality reentry imposes on aviation, the quantity any future corridor-authorization or fee regime must reference, and one the benefit-sharing and investment-protection literature treats as a precondition for stable commercial space-resource activity</w:t>
      </w:r>
      <w:r>
        <w:t xml:space="preserve"> </w:t>
      </w:r>
      <w:hyperlink w:anchor="ref-60">
        <w:r>
          <w:rPr>
            <w:rStyle w:val="Hyperlink"/>
          </w:rPr>
          <w:t xml:space="preserve">[60]</w:t>
        </w:r>
      </w:hyperlink>
      <w:r>
        <w:t xml:space="preserve">.</w:t>
      </w:r>
    </w:p>
    <w:p>
      <w:pPr>
        <w:pStyle w:val="BodyText"/>
        <w:spacing w:line="480" w:lineRule="auto"/>
        <w:ind w:firstLine="720"/>
      </w:pPr>
      <w:r>
        <w:t xml:space="preserve">The dissertation also bears on the choice among instruments without prescribing one, and stating that bearing precisely guards against over-claiming. A measured externality price fits several corrective instruments: a Pigouvian corridor-access fee set at the marginal external cost, a closure-time charge that prices the duration of the withheld volume, a tradable closure right that lets the market allocate scarce corridor access, or simply a tariff-free move to dynamic closure that shrinks the externality at source rather than pricing it. The dissertation supplies the common input all of these need, the marginal cost of the disruption, without adjudicating among them, because the choice turns on the elasticity of reentry demand, the administrative cost of each instrument, and the distributional and treaty constraints the cross-domain governance literature catalogues for shared corridors [61, 62]. The benefit-sharing and investment-protection literature adds one more constraint the instrument designer must respect: a stable commercial space-resource regime depends on the predictability and perceived fairness of the cost the operator faces</w:t>
      </w:r>
      <w:r>
        <w:t xml:space="preserve"> </w:t>
      </w:r>
      <w:hyperlink w:anchor="ref-60">
        <w:r>
          <w:rPr>
            <w:rStyle w:val="Hyperlink"/>
          </w:rPr>
          <w:t xml:space="preserve">[60]</w:t>
        </w:r>
      </w:hyperlink>
      <w:r>
        <w:t xml:space="preserve">. So the interpretive claim stays bounded and honest: the dissertation prices the externality and thereby makes the instrument-design conversation possible on evidence rather than assertion, while the design of the instrument itself is a governance task the measurement enables rather than performs. The qualifier is that an instrument set on a cadence-local price will need recalibration as cadence rises, the direct policy consequence of the function-valued external-validity posture developed in Section 7.7.</w:t>
      </w:r>
    </w:p>
    <w:p>
      <w:pPr>
        <w:pStyle w:val="BodyText"/>
        <w:spacing w:line="480" w:lineRule="auto"/>
        <w:ind w:firstLine="720"/>
      </w:pPr>
      <w:r>
        <w:t xml:space="preserve">The implication that survives even the strong null deserves stating outright, because it shows most clearly that the dissertation’s value does not hang on the sign. If the executed disruption parameter is a precise near-zero, NASA and JPL can credibly assure the regulator and the nascent down-mass industry that at present cadence reentry is no material aviation-cost problem, removing a perceived barrier to commercial return operations and turning the airspace-modeling investment toward the cadence threshold at which the cost would reappear. If the disruption parameter is positive but the avoided cost is near zero, the enabling role shifts from prediction investment toward the risk-acceptance threshold and the question of how residual risk is priced. In every admissible outcome the dissertation hands the stakeholders a number that changes what they should do, the operational test of a policy-relevant measurement.</w:t>
      </w:r>
    </w:p>
    <w:bookmarkEnd w:id="165"/>
    <w:bookmarkStart w:id="166" w:name="rival-explanations"/>
    <w:p>
      <w:pPr>
        <w:pStyle w:val="Heading2"/>
        <w:spacing w:line="480" w:lineRule="auto"/>
      </w:pPr>
      <w:r>
        <w:t xml:space="preserve">7.7 Rival explanations</w:t>
      </w:r>
    </w:p>
    <w:p>
      <w:pPr>
        <w:pStyle w:val="FirstParagraph"/>
        <w:spacing w:line="480" w:lineRule="auto"/>
      </w:pPr>
      <w:r>
        <w:t xml:space="preserve">A causal claim is only as strong as its treatment of the explanations that would account for the same observation without the proposed mechanism. The claim of this section is that the leading rivals to a measured reentry cost are anticipated in the design and confronted by specific, named features of it, and that the design’s credibility rests on those confrontations rather than on the plausibility of the headline mechanism. Each rival is stated as a competing causal account, and each is met with the design feature that would distinguish it from the reentry effect.</w:t>
      </w:r>
    </w:p>
    <w:p>
      <w:pPr>
        <w:pStyle w:val="BodyText"/>
        <w:spacing w:line="480" w:lineRule="auto"/>
        <w:ind w:firstLine="720"/>
      </w:pPr>
      <w:r>
        <w:t xml:space="preserve">The leading rival is confounding by concurrent disruption, chiefly weather and unrelated traffic-management initiatives. The competing account holds that the disruption pinned on a reentry closure actually comes from a storm system or a flow-control program that happened to coincide with the closure window, making the estimated treatment effect the effect of weather rather than reentry. This is the most serious rival, weather being both a powerful airspace disruptor and a plausible coincident. The design meets it on three fronts. Weather severity and concurrent non-space traffic-management initiatives enter the specification as explicit covariates, so the comparison holds them fixed rather than letting them load onto the reentry indicator. The design also exploits a structural fact the rival cannot dodge: reentry timing for uncontrolled objects is set by orbital decay and is independent of terrestrial weather, so the treatment is by construction orthogonal to the confounder in expectation, which is exactly the conditional-independence basis of the identification strategy. And the design runs adjacent-sector placebo tests, estimating the apparent effect in sectors that border the closure footprint but lie outside it; a weather system large enough to drive the result would register in the adjacent sectors too, where a reentry closure would not, so a null in the placebo sectors alongside an effect in the treated sector tells the two accounts apart. The qualifier is that controlled reentries, whose timing operators do schedule, fall outside the orbital-decay argument; the design conditions on schedule for those events and tests sensitivity to excluding them entirely, and the worry that some residual weather-correlated scheduling survives is met by that exclusion test rather than asserted away.</w:t>
      </w:r>
    </w:p>
    <w:p>
      <w:pPr>
        <w:pStyle w:val="BodyText"/>
        <w:spacing w:line="480" w:lineRule="auto"/>
        <w:ind w:firstLine="720"/>
      </w:pPr>
      <w:r>
        <w:t xml:space="preserve">The second rival is reverse causation: that closures are scheduled into windows that are already disrupted, so that the apparent effect of reentry on cost is actually the effect of pre-existing disruption on the decision to close. The competing account would have the causal arrow run from a quiet or congested airspace state to the closure decision, rather than from the closure to the cost. This account is implausible for uncontrolled reentries, whose epochs are fixed by decay and cannot be timed to airspace conditions, and the design leans on that implausibility as its primary defense. For controlled reentries the account is admissible, and the design meets it by excluding controlled events in a robustness specification and comparing the estimate to the all-events estimate; a result that survives the exclusion is not driven by schedule-into-disruption, and a result that does not survive it is flagged as potentially contaminated by the rival rather than reported as clean. The confidence in the reverse-causation defense is high for the uncontrolled subsample and moderate for the full sample, and the chapter does not overstate it.</w:t>
      </w:r>
    </w:p>
    <w:p>
      <w:pPr>
        <w:pStyle w:val="BodyText"/>
        <w:spacing w:line="480" w:lineRule="auto"/>
        <w:ind w:firstLine="720"/>
      </w:pPr>
      <w:r>
        <w:t xml:space="preserve">The third rival is full anticipation and pre-absorption: that operators and the air-traffic system see the closure coming so completely that traffic is rerouted before activation, leaving no marginal cost to surface at the activation window and producing a spurious null, or relocating the cost into the pre-period and producing a mis-timed effect. The competing account holds the true cost real but paid before the treatment window opens, so an estimator keyed to the activation window either misses it or mis-attributes it. The design meets this with the event-study structure itself. The leads of the event-study profile, the estimated effects in the windows before activation, are the direct test for anticipation: non-zero leads reveal pre-activation cost, and the design answers by widening the treatment window to capture the pre-activation avoidance rather than discarding it. Anticipation relocates the cost rather than erasing it, so a design that inspects the leads and adjusts the window turns the rival from a threat into a measured component of the effect. The supporting reasoning leans on the delay-propagation evidence, which establishes that a localized airspace disruption does not stay localized in time, so the within-window effect is a lower bound and the leads-and-lags profile is the honest accounting</w:t>
      </w:r>
      <w:r>
        <w:t xml:space="preserve"> </w:t>
      </w:r>
      <w:hyperlink w:anchor="ref-12">
        <w:r>
          <w:rPr>
            <w:rStyle w:val="Hyperlink"/>
          </w:rPr>
          <w:t xml:space="preserve">[12]</w:t>
        </w:r>
      </w:hyperlink>
      <w:r>
        <w:t xml:space="preserve">.</w:t>
      </w:r>
    </w:p>
    <w:p>
      <w:pPr>
        <w:pStyle w:val="BodyText"/>
        <w:spacing w:line="480" w:lineRule="auto"/>
        <w:ind w:firstLine="720"/>
      </w:pPr>
      <w:r>
        <w:t xml:space="preserve">A fourth rival, less often named but material here, is measurement error in the treatment itself: the AHA footprint polygons are model outputs carrying their own uncertainty, so flights get mis-assigned to treated or control status and the resulting attenuation biases the estimate toward zero. This rival produces no spurious effect; it threatens to hide a real one. The design meets it by propagating the EU SST prediction-uncertainty bounds into the exposure measure rather than treating the footprint as exact, and by validating ReentryFlow’s predicted exposed-flight sets against realized FAA exposure, reporting precision and recall, before any exposure-dependent estimate earns trust. The qualifier is that residual mis-assignment will attenuate the estimate, so a positive finding is conservative and a null finding must clear the minimum-detectable-effect gate before it reads as a strong null rather than attenuation passing for absence.</w:t>
      </w:r>
    </w:p>
    <w:p>
      <w:pPr>
        <w:pStyle w:val="BodyText"/>
        <w:spacing w:line="480" w:lineRule="auto"/>
        <w:ind w:firstLine="720"/>
      </w:pPr>
      <w:r>
        <w:t xml:space="preserve">The cumulative force of this section is that the headline mechanism is not assumed to win; it must survive a battery of competing accounts, each with a design feature aimed at it. That is the assurance-case posture the dissertation carries throughout. Closures withhold real airspace and touch real flights, so the problem is real. The cost grows with cadence and traffic density, so the problem is material. Closure size is driven by prediction uncertainty that dynamic closure can shrink, so the intervention addresses the mechanism. Dynamic closure dominates static segregation on cost at equal safety, so the intervention beats the alternative. And the narrowing stays bounded by validated prediction accuracy and by ground-and-air risk limits, so the residual risk is acceptable [65, 64]. The rival-explanation analysis is where the first two subclaims are defended against the accounts that would dissolve them.</w:t>
      </w:r>
    </w:p>
    <w:bookmarkEnd w:id="166"/>
    <w:bookmarkStart w:id="167" w:name="external-validity-1"/>
    <w:p>
      <w:pPr>
        <w:pStyle w:val="Heading2"/>
        <w:spacing w:line="480" w:lineRule="auto"/>
      </w:pPr>
      <w:r>
        <w:t xml:space="preserve">7.8 External validity</w:t>
      </w:r>
    </w:p>
    <w:p>
      <w:pPr>
        <w:pStyle w:val="FirstParagraph"/>
        <w:spacing w:line="480" w:lineRule="auto"/>
      </w:pPr>
      <w:r>
        <w:t xml:space="preserve">The honest reach of the estimate is the final interpretive obligation, and the claim of this section is that the dissertation’s external-validity position is conditional by construction: the cost is reported as a function of cadence and prediction uncertainty, so that its extrapolation to a future down-mass regime is explicit and stated rather than assumed. This is the design-based tradition’s local-effect caution taken seriously rather than waved at.</w:t>
      </w:r>
    </w:p>
    <w:p>
      <w:pPr>
        <w:pStyle w:val="BodyText"/>
        <w:spacing w:line="480" w:lineRule="auto"/>
        <w:ind w:firstLine="720"/>
      </w:pPr>
      <w:r>
        <w:t xml:space="preserve">The grounds for the caution are structural. The estimate is identified from the reentry events and exposure margins actually present in the record, and that record is dominated by the current U.S. reentry mix and cadence: a modest count of events, concentrated in particular sectors and seasons, crossing a traffic pattern that holds slack the future may not. An average treatment effect estimated on that record stays local to it. Why the dissertation reports no single transportable scalar is that the mechanism is explicitly cadence-dependent and uncertainty-dependent. The per-event cost climbs with traffic density and with the size of the withheld volume, and the size of the withheld volume climbs with prediction uncertainty, so the cost of a reentry at high future cadence, when displaced traffic holds less slack to absorb it, is not the cost of a reentry today and cannot be had by multiplying today’s per-event cost by tomorrow’s event count. The design answers by estimating the cost as a function rather than a constant: prediction uncertainty enters as a continuous treatment intensity, and cadence enters through the event-study and aggregation structure, so the output is a relationship among cost, cadence, and prediction tightness rather than a single number to extrapolate naively.</w:t>
      </w:r>
    </w:p>
    <w:p>
      <w:pPr>
        <w:pStyle w:val="BodyText"/>
        <w:spacing w:line="480" w:lineRule="auto"/>
        <w:ind w:firstLine="720"/>
      </w:pPr>
      <w:r>
        <w:t xml:space="preserve">This shapes how the stakeholders may and may not use the result. They may read off the cost at a stated cadence and a stated prediction-uncertainty level, and they may project forward by naming the cadence and uncertainty they expect and reading the corresponding cost, the projection’s assumptions on the table. They may not treat the estimate as a cadence-invariant constant, because the design does not license that and the mechanism contradicts it. The wider context sharpens the case for the conditional projection: the airspace-closure burden is expected to grow with the expansion of large constellations and their deorbit-driven reentry events</w:t>
      </w:r>
      <w:r>
        <w:t xml:space="preserve"> </w:t>
      </w:r>
      <w:hyperlink w:anchor="ref-1">
        <w:r>
          <w:rPr>
            <w:rStyle w:val="Hyperlink"/>
          </w:rPr>
          <w:t xml:space="preserve">[1]</w:t>
        </w:r>
      </w:hyperlink>
      <w:r>
        <w:t xml:space="preserve">, and the down-mass sector’s emergence would stack controlled returns on top of that uncontrolled baseline, so the cadence at which the cost must be evaluated is a moving target only a function-valued estimate can track. The qualifier the chapter guards is that the function itself is estimated locally; its shape is identified over the range of cadence and uncertainty observed, and extrapolation past that range is an assumption, clearly labeled, not an estimate. A future high-cadence regime may show nonlinearities, capacity thresholds beyond which displaced traffic can no longer be absorbed at constant marginal cost, that the present record cannot reveal, and the dissertation names this as the principal limit on the reach of its number rather than burying it.</w:t>
      </w:r>
    </w:p>
    <w:p>
      <w:pPr>
        <w:pStyle w:val="BodyText"/>
        <w:spacing w:line="480" w:lineRule="auto"/>
        <w:ind w:firstLine="720"/>
      </w:pPr>
      <w:r>
        <w:t xml:space="preserve">The contribution is falsifiable in both of its parts even under this conditional reading, and stating the falsification conditions is the cleanest expression of the external-validity posture. The first part, the measurable-cost claim, is falsified by a precisely estimated near-zero disruption effect at the observed cadence, with the minimum-detectable-effect gate certifying that an economically meaningful effect would have been detected had it been present. The second part, the avoided-cost claim, is falsified by a near-zero avoided-cost effect, which would imply that better reentry prediction does not reduce airspace cost and that dynamic closure buys nothing over static closure on cost grounds. Either falsification is a publishable, decision-relevant result, and that symmetry is the guarantee that the design is a genuine test rather than a foregone conclusion. The external-validity statement, finally, is the same in either direction: whatever the sign, the number is local to the cadence and event mix observed, reported as a function of cadence and prediction uncertainty, and offered to NASA, JPL, and the civil-space enterprise as a conditional, design-based price for the cost that reentry imposes on aviation and for the cost that better prediction avoids. That conditional price, honestly bounded, is the contribution this chapter has interpreted, and it is the evidence base on which any reentry-authorization or corridor-pricing institution that follows will have to rest.</w:t>
      </w:r>
    </w:p>
    <w:bookmarkEnd w:id="167"/>
    <w:bookmarkStart w:id="168" w:name="synthesis"/>
    <w:p>
      <w:pPr>
        <w:pStyle w:val="Heading2"/>
        <w:spacing w:line="480" w:lineRule="auto"/>
      </w:pPr>
      <w:r>
        <w:t xml:space="preserve">7.9 Synthesis</w:t>
      </w:r>
    </w:p>
    <w:p>
      <w:pPr>
        <w:pStyle w:val="FirstParagraph"/>
        <w:spacing w:line="480" w:lineRule="auto"/>
      </w:pPr>
      <w:r>
        <w:t xml:space="preserve">Pulling the threads together, the discussion establishes that the dissertation’s worth holds up against its own outcome. Under H1 it supplies a marginal externality price and a priced, buildable intervention, turning the regulator’s standing trade-off between a known safety benefit and an unmeasured cost into a legible decision. Under a strong H0 it supplies an equally decision-relevant assurance that at present cadence reentry is no material aviation-cost problem and that the cost case for dynamic-closure investment is weak, its minimum-detectable-effect discipline barring an underpowered null from passing for that assurance. Under the intermediate outcome, a real cost prediction cannot shrink, it redirects the policy conversation from prediction investment to the risk-acceptance threshold. To each anchor it returns a specific primitive: the externality price Rao’s mechanism needs, the transaction-cost measurement North’s institutional change requires, and a disciplined design-based application that carries the identification tradition’s local-and-explicit posture into a domain that has reported simulation as estimate. Against the rivals, weather and concurrent disruption, reverse causation, full anticipation, and treatment mis-measurement, it sets named design features rather than assertions, and it admits where its confidence is moderate rather than high. And it states its reach honestly, as a cost function of cadence and prediction uncertainty estimated locally and extrapolated only conditionally. The conclusion this discussion delivers the reader to is the one the conclusion chapter will formalize: a defensible, falsifiable, design-based number for the reentry-to-aviation externality and for the avoided cost of better prediction is valuable to the civil-space enterprise whichever way it lands, because a number that can be wrong is the only kind a regulator, a program office, or a partnership can responsibly act on.</w:t>
      </w:r>
    </w:p>
    <w:bookmarkEnd w:id="168"/>
    <w:bookmarkEnd w:id="169"/>
    <w:bookmarkStart w:id="178" w:name="chapter-8-conclusion"/>
    <w:p>
      <w:pPr>
        <w:pStyle w:val="Heading1"/>
        <w:spacing w:line="480" w:lineRule="auto"/>
      </w:pPr>
      <w:r>
        <w:t xml:space="preserve">Chapter 8: Conclusion</w:t>
      </w:r>
    </w:p>
    <w:bookmarkStart w:id="170" w:name="X06fbc375a8072229a1ca7641fac1daaf9aaf174"/>
    <w:p>
      <w:pPr>
        <w:pStyle w:val="Heading2"/>
        <w:spacing w:line="480" w:lineRule="auto"/>
      </w:pPr>
      <w:r>
        <w:t xml:space="preserve">8.1 The chapter thesis: a design-based number is the deliverable, whichever way the test resolves</w:t>
      </w:r>
    </w:p>
    <w:p>
      <w:pPr>
        <w:pStyle w:val="FirstParagraph"/>
        <w:spacing w:line="480" w:lineRule="auto"/>
      </w:pPr>
      <w:r>
        <w:t xml:space="preserve">This dissertation makes one falsifiable claim and builds the apparatus to settle it. Spacecraft reentry and down-mass operations, the claim runs, impose a measurable disruption cost on the U.S. National Airspace System in delay, reroute, and closure, and improved reentry prediction combined with dynamic airspace management yields a quantifiable avoided cost. The null is that reentry imposes no measurable NAS cost. This concluding chapter carries a narrower and more durable thesis than the substantive hypothesis it concludes: the enduring contribution is not the sign of the treatment effect but the existence of a credible, design-based estimate of that effect, decision-relevant whether it returns large, small, or indistinguishable from zero. It survives the falsification of H1, because a precisely estimated near-zero effect is itself the number a regulator needs. It survives a confirmation of H1, because a positive, bounded estimate is the price a corridor-authorization or fee regime must reference. The dissertation is engineered, then, so its value does not ride on the outcome it expects.</w:t>
      </w:r>
    </w:p>
    <w:p>
      <w:pPr>
        <w:pStyle w:val="BodyText"/>
        <w:spacing w:line="480" w:lineRule="auto"/>
        <w:ind w:firstLine="720"/>
      </w:pPr>
      <w:r>
        <w:t xml:space="preserve">The problem this chapter addresses, in the same four-part frame that organizes the whole work, is one of closure rather than discovery. Seven chapters in, what stands is a fully specified research design: an estimator chosen and defended, variables operationalized, four data layers named and their joins described, threats to validity enumerated with their mitigations, an analysis plan with a pre-committed decision rule, and a discussion that develops the implications under both outcomes. What is wanted now is a clear statement of what the design stage has established, an honest accounting of what it has not, and a concrete path from the present design to an executed estimate on the full dataset. Between the two sits the gap between a design and a result: nothing here has been estimated on the joined EU SST and FAA panel, because that panel does not yet exist. Leave that gap unmarked and the work is overstated, a careful design-stage dissertation reading as if it held findings it does not. This chapter closes the gap by saying exactly what stands, what does not, and what would have to happen for the design to become an estimate.</w:t>
      </w:r>
    </w:p>
    <w:bookmarkEnd w:id="170"/>
    <w:bookmarkStart w:id="171" w:name="X82f1f552cc6f9bc0abc19b839dbdc60d651d2ca"/>
    <w:p>
      <w:pPr>
        <w:pStyle w:val="Heading2"/>
        <w:spacing w:line="480" w:lineRule="auto"/>
      </w:pPr>
      <w:r>
        <w:t xml:space="preserve">8.2 What the dissertation establishes, restated as the single falsifiable contribution</w:t>
      </w:r>
    </w:p>
    <w:p>
      <w:pPr>
        <w:pStyle w:val="FirstParagraph"/>
        <w:spacing w:line="480" w:lineRule="auto"/>
      </w:pPr>
      <w:r>
        <w:t xml:space="preserve">The contribution, kept verbatim in substance from the prospectus and the shared bible, is this: spacecraft reentry and down-mass operations impose a measurable disruption cost on the NAS in delay, reroute, and closure, and improved reentry prediction combined with dynamic airspace management yields a quantifiable avoided cost. It is cast as competing hypotheses so it can fail. H0 holds that reentry imposes no measurable cost on the NAS, the average treatment effect of a reentry-driven Aircraft Hazard Area (AHA) activation on exposed-flight cost statistically indistinguishable from zero. H1 holds that reentry and down-mass operations impose a measurable, positive disruption cost in delay, reroute, and closure, and that improved prediction plus dynamic airspace management yields a positive, statistically distinguishable avoided cost. H1 splits into two estimable parameters, both fixed in their definitions: the disruption parameter, the per-event NAS cost, the aggregated average treatment effect on the treated of a reentry-driven AHA closure on exposed-flight cost outcomes; and the avoided-cost parameter, the difference in that cost between a static-closure regime and a prediction-informed dynamic-closure regime.</w:t>
      </w:r>
    </w:p>
    <w:p>
      <w:pPr>
        <w:pStyle w:val="BodyText"/>
        <w:spacing w:line="480" w:lineRule="auto"/>
        <w:ind w:firstLine="720"/>
      </w:pPr>
      <w:r>
        <w:t xml:space="preserve">What stands, whichever way the test resolves, is a set of contributions that are methodological and conceptual rather than empirical, and that estimation cannot retroactively undo. The first is the framing of a reentry closure as a measurable causal treatment rather than a descriptive nuisance. The launch-era airspace literature establishes that closures withhold real volume and touch real flights, with international carriers on the order of 8 to 10 percent of affected flights at a major coastal site and general aviation near one third, yet it does so by simulation and historical traffic accounting rather than a causal design</w:t>
      </w:r>
      <w:r>
        <w:t xml:space="preserve"> </w:t>
      </w:r>
      <w:hyperlink w:anchor="ref-3">
        <w:r>
          <w:rPr>
            <w:rStyle w:val="Hyperlink"/>
          </w:rPr>
          <w:t xml:space="preserve">[3]</w:t>
        </w:r>
      </w:hyperlink>
      <w:r>
        <w:t xml:space="preserve">. Recasting the reentry closure as a treatment whose effect can be identified against a credible counterfactual is a contribution living in the design, waiting on no data. That recasting is itself novel and load-bearing. The corpus holds no prior causal estimate of a reentry event’s effect on realized flight cost, only simulation and risk assessment</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and a causal target, once defined with an explicit treatment and control, changes what evidence counts and what a regulator can do with it. The qualifier is that the value of the recasting rides on the eventual feasibility of the identification, which Section 8.3 examines honestly. The rebuttal, that recasting without estimation is mere relabeling, is answered by the second contribution.</w:t>
      </w:r>
    </w:p>
    <w:p>
      <w:pPr>
        <w:pStyle w:val="BodyText"/>
        <w:spacing w:line="480" w:lineRule="auto"/>
        <w:ind w:firstLine="720"/>
      </w:pPr>
      <w:r>
        <w:t xml:space="preserve">The second contribution that stands is the identification strategy itself. The design treats the reentry event as a natural experiment whose timing, for uncontrolled objects, is set by orbital decay and is plausibly independent of contemporaneous demand for the affected airspace sector, and it takes the Callaway and Sant’Anna staggered difference-in-differences estimator as the primary specification, with the Goodman-Bacon decomposition and the de Chaisemartin and D’Haultfoeuille robust estimator as diagnostics against the known biases of two-way fixed effects under staggered, heterogeneous timing</w:t>
      </w:r>
      <w:r>
        <w:t xml:space="preserve"> </w:t>
      </w:r>
      <w:hyperlink w:anchor="ref-14">
        <w:r>
          <w:rPr>
            <w:rStyle w:val="Hyperlink"/>
          </w:rPr>
          <w:t xml:space="preserve">[14]</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 That is a complete and defensible identification architecture, and it counts as a contribution whether or not it is ever run, because it lays out precisely how the question could be answered and what assumptions the answer would rest on. The third contribution is the conceptual bridge from the airspace cost to the economic instruments that would act on it. The externality structure makes the measured cost a price rather than a curiosity, the reentry operator imposing a capacity shock on aviation users whose cost the operator escapes, the terrestrial analogue of the orbital-commons externality</w:t>
      </w:r>
      <w:r>
        <w:t xml:space="preserve"> </w:t>
      </w:r>
      <w:hyperlink w:anchor="ref-23">
        <w:r>
          <w:rPr>
            <w:rStyle w:val="Hyperlink"/>
          </w:rPr>
          <w:t xml:space="preserve">[23]</w:t>
        </w:r>
      </w:hyperlink>
      <w:r>
        <w:t xml:space="preserve">. And the institutional argument makes the measurement the precondition for moving from a high-transaction-cost, case-by-case closure rule to a lower-transaction-cost, prediction-informed dynamic one</w:t>
      </w:r>
      <w:r>
        <w:t xml:space="preserve"> </w:t>
      </w:r>
      <w:hyperlink w:anchor="ref-24">
        <w:r>
          <w:rPr>
            <w:rStyle w:val="Hyperlink"/>
          </w:rPr>
          <w:t xml:space="preserve">[24]</w:t>
        </w:r>
      </w:hyperlink>
      <w:r>
        <w:t xml:space="preserve">. These three are what the dissertation has already delivered, the assurance-case spine in miniature: the problem is real, it is structured as an externality, and the design addresses the causal mechanism. Confidence in them is high, because they rest on the cited literature and on internal logical consistency rather than on an unexecuted estimate.</w:t>
      </w:r>
    </w:p>
    <w:bookmarkEnd w:id="171"/>
    <w:bookmarkStart w:id="172" w:name="limitations-stated-honestly"/>
    <w:p>
      <w:pPr>
        <w:pStyle w:val="Heading2"/>
        <w:spacing w:line="480" w:lineRule="auto"/>
      </w:pPr>
      <w:r>
        <w:t xml:space="preserve">8.3 Limitations, stated honestly</w:t>
      </w:r>
    </w:p>
    <w:p>
      <w:pPr>
        <w:pStyle w:val="FirstParagraph"/>
        <w:spacing w:line="480" w:lineRule="auto"/>
      </w:pPr>
      <w:r>
        <w:t xml:space="preserve">A design-stage dissertation earns its credibility by naming what it cannot yet do, and the limitations here are real, ordered roughly by how much they could change the eventual estimate. The thesis of this section is that none of the limitations is disqualifying, but two of them (statistical power and the validation dependency) are serious enough that an executed result must report them in the foreground rather than the footnotes.</w:t>
      </w:r>
    </w:p>
    <w:p>
      <w:pPr>
        <w:pStyle w:val="BodyText"/>
        <w:spacing w:line="480" w:lineRule="auto"/>
        <w:ind w:firstLine="720"/>
      </w:pPr>
      <w:r>
        <w:t xml:space="preserve">The first limitation, and the most consequential, is statistical power. The reentry events whose predicted footprint intersects U.S. airspace and triggers an AHA in the current record are modest in number, and the disruption parameter is an average over them. With few treated cells, the minimum detectable effect runs large, and an estimate near zero may reflect insufficient power rather than a true absence of cost. The design meets this head-on with the standing rule, fixed in the analysis plan, that an underpowered null is inconclusive and never read as confirmation of H0. The power analysis reports the minimum detectable effect at the available sample size, and a null is informative only if its confidence interval is tight enough to exclude an economically meaningful effect. Power binds the first executed wave, on the small count of U.S.-airspace-intersecting reentry events in the present catalog, because average treatment effects estimated on few treated units carry wide sampling distributions. The load-bearing qualifier is that this limitation shrinks mechanically as reentry cadence climbs with large-constellation deorbit, so the design grows more powerful over time rather than less</w:t>
      </w:r>
      <w:r>
        <w:t xml:space="preserve"> </w:t>
      </w:r>
      <w:hyperlink w:anchor="ref-62">
        <w:r>
          <w:rPr>
            <w:rStyle w:val="Hyperlink"/>
          </w:rPr>
          <w:t xml:space="preserve">[62]</w:t>
        </w:r>
      </w:hyperlink>
      <w:r>
        <w:t xml:space="preserve">,</w:t>
      </w:r>
      <w:r>
        <w:t xml:space="preserve"> </w:t>
      </w:r>
      <w:hyperlink w:anchor="ref-1">
        <w:r>
          <w:rPr>
            <w:rStyle w:val="Hyperlink"/>
          </w:rPr>
          <w:t xml:space="preserve">[1]</w:t>
        </w:r>
      </w:hyperlink>
      <w:r>
        <w:t xml:space="preserve">. The mechanism is concrete: more reentry events produce more treated cells, more treated cells narrow the sampling distribution of the aggregated ATT, and a narrower distribution turns an inconclusive null into either a confirmed effect or a precisely estimated zero. Confidence that power will eventually suffice is moderate and rises with each year of accumulating events. Confidence that the first executed wave will be fully powered is low, and the dissertation says so.</w:t>
      </w:r>
    </w:p>
    <w:p>
      <w:pPr>
        <w:pStyle w:val="BodyText"/>
        <w:spacing w:line="480" w:lineRule="auto"/>
        <w:ind w:firstLine="720"/>
      </w:pPr>
      <w:r>
        <w:t xml:space="preserve">The second limitation is the coverage bias of the EU SST reentry catalog. The catalog represents tracked objects above its size threshold, tilting the treatment sample toward larger, better-characterized reentries and away from small or untracked objects. Two consequences follow. The estimated disruption parameter stays local to the larger reentries that actually trigger catalogued AHAs and may not speak to the cost of the long tail of smaller events, and the prediction-uncertainty bounds that serve as the treatment intensity are themselves model outputs carrying their own error, which the design propagates into the exposure measure rather than treating as exact. This is a construct-validity and external-validity limitation at once: the treatment is measured with error because footprint polygons are model outputs, and the sample is selected on object size. The mitigation is to report the estimate outright as a function of object characteristics and prediction uncertainty rather than a single scalar, so the restricted coverage becomes a stated condition on the estimate rather than a hidden bias. Confidence in this characterization is high. What would ease the limitation’s bite is a catalog with a lower size threshold, which lies outside the candidate program’s control.</w:t>
      </w:r>
    </w:p>
    <w:p>
      <w:pPr>
        <w:pStyle w:val="BodyText"/>
        <w:spacing w:line="480" w:lineRule="auto"/>
        <w:ind w:firstLine="720"/>
      </w:pPr>
      <w:r>
        <w:t xml:space="preserve">The third limitation is the secondary-synthesis status of the parameterized priors. The four IAC-26 down-mass PRISMA reviews supply the prior ranges for affected-flight fractions, per-flight cost penalties, prediction-uncertainty magnitudes, and dynamic-closure efficiency gains, and several of their anchor figures are simulation-derived or analogy-derived rather than measured on reentry. The most prominent analogue, the 67 to 84 percent processing-time reduction reported for digital-licensing systems, serves in the analysis plan only as an order-of-magnitude prior for what process and modeling improvements can achieve, applied to closure footprint rather than paperwork, and never as a finding. Priors built on analogy can mislead where the analogy is weak. The mitigation is that these priors enter only as plausibility bounds on the estimates and as the basis for the power analysis, not as inputs the executed estimate inherits. An executed estimate overwrites the priors; it does not average with them. Confidence that the priors are adequate for bounding plausibility is moderate. Confidence that they would substitute for measurement is deliberately withheld, because they will not.</w:t>
      </w:r>
    </w:p>
    <w:p>
      <w:pPr>
        <w:pStyle w:val="BodyText"/>
        <w:spacing w:line="480" w:lineRule="auto"/>
        <w:ind w:firstLine="720"/>
      </w:pPr>
      <w:r>
        <w:t xml:space="preserve">The fourth limitation is the validation dependency on ReentryFlow. The avoided-cost parameter is formed, in part, by swapping the realized static closure for a ReentryFlow dynamic-closure counterfactual and differencing the costs, and ReentryFlow is also the deterministic bridge that maps a reentry footprint to a predicted exposed-flight set. So the whole counterfactual arm of the design inherits ReentryFlow’s accuracy. The design treats the model as an object of validation rather than a trusted oracle: before any counterfactual is believed, ReentryFlow’s predicted exposed-flight sets are checked against realized FAA exposure for past events, and its precision and recall are reported. The avoided-cost estimate is only as credible as that validation, because a miscalibrated exposure map flows straight into the counterfactual cost, and a simulator used to generate a counterfactual must first be shown to reproduce the factual. The qualifier is that if validation fails, the avoided-cost arm is reported as unidentified rather than estimated with unwarranted confidence. The hedge is that the avoided-cost parameter is also estimable directly from natural variation in closure tightness across events with differing prediction uncertainty, using prediction uncertainty as a continuous treatment intensity, which is why the avoided-cost claim does not stand or fall on the model alone. Confidence in the avoided-cost arm is therefore conditional and explicitly two-track: high if ReentryFlow validates, and still moderate via the continuous-intensity route if it does not.</w:t>
      </w:r>
    </w:p>
    <w:p>
      <w:pPr>
        <w:pStyle w:val="BodyText"/>
        <w:spacing w:line="480" w:lineRule="auto"/>
        <w:ind w:firstLine="720"/>
      </w:pPr>
      <w:r>
        <w:t xml:space="preserve">The fifth limitation is structural: the design measures a partial cost. The outcome construct is the economic cost of disruption, proxied by delay minutes, added distance, fuel burn, and direct operating cost. Those proxies leave out passenger time value and the schedule-network knock-on effects that propagate delay downstream of the closed window, and they leave out the coordination load rising cadence places on air navigation service providers. The network-propagation evidence implies a closure’s cost outliving its active window as delay cascades through the system, so the within-window estimate is a lower bound on the true cost</w:t>
      </w:r>
      <w:r>
        <w:t xml:space="preserve"> </w:t>
      </w:r>
      <w:hyperlink w:anchor="ref-12">
        <w:r>
          <w:rPr>
            <w:rStyle w:val="Hyperlink"/>
          </w:rPr>
          <w:t xml:space="preserve">[12]</w:t>
        </w:r>
      </w:hyperlink>
      <w:r>
        <w:t xml:space="preserve">. The design uses that propagation evidence to bound the omitted downstream cost rather than ignore it, but the bound is an adjustment, not a direct measurement. The honest statement is that the disruption parameter, as defined, understates total social cost, and the direction of that understatement is known even where the magnitude is not. Confidence in the direction is high. Confidence in the magnitude of the omitted component is low, reported as a bound.</w:t>
      </w:r>
    </w:p>
    <w:bookmarkEnd w:id="172"/>
    <w:bookmarkStart w:id="176" w:name="a-concrete-future-research-program"/>
    <w:p>
      <w:pPr>
        <w:pStyle w:val="Heading2"/>
        <w:spacing w:line="480" w:lineRule="auto"/>
      </w:pPr>
      <w:r>
        <w:t xml:space="preserve">8.4 A concrete future-research program</w:t>
      </w:r>
    </w:p>
    <w:p>
      <w:pPr>
        <w:pStyle w:val="FirstParagraph"/>
        <w:spacing w:line="480" w:lineRule="auto"/>
      </w:pPr>
      <w:r>
        <w:t xml:space="preserve">This section’s thesis is that the path from the present design to an executed, decision-grade estimate is short and specific, and that the design’s value compounds rather than decays as the reentry record grows. The future program runs on three tracks: execution on the full data, extension to the high-cadence regime the design anticipates, and integration with the policy instruments the estimate is meant to inform. Each is stated as a concrete next step rather than an aspiration.</w:t>
      </w:r>
    </w:p>
    <w:bookmarkStart w:id="173" w:name="executing-the-design-on-the-full-dataset"/>
    <w:p>
      <w:pPr>
        <w:pStyle w:val="Heading3"/>
        <w:spacing w:line="480" w:lineRule="auto"/>
      </w:pPr>
      <w:r>
        <w:t xml:space="preserve">8.4.1 Executing the design on the full dataset</w:t>
      </w:r>
    </w:p>
    <w:p>
      <w:pPr>
        <w:pStyle w:val="FirstParagraph"/>
        <w:spacing w:line="480" w:lineRule="auto"/>
      </w:pPr>
      <w:r>
        <w:t xml:space="preserve">The first track is the direct execution of the design the preceding chapters specify. It runs in five steps, in the order the analysis plan fixes, and each is a discrete unit of work rather than an open problem. Step one builds the panel, joining the EU SST event layer to the FAA NAS and SWIM flight layer through ReentryFlow exposure mapping to produce the sector-by-window cells with their treatment indicators, treatment intensities, outcomes, and covariates. That is an engineering task with a known input and output, not a research question. The two data sources are accessed under the candidate program’s vault credentials but not yet joined, and the join is the single largest piece of remaining construction. Step two validates ReentryFlow, comparing its predicted exposed-flight sets to realized FAA exposure for past events and reporting precision and recall, which gates the whole counterfactual arm as Section 8.3 describes. Step three estimates the disruption parameter with the Callaway and Sant’Anna estimator, reports the event-study profile and the aggregated ATT on the cost outcomes, and runs the Goodman-Bacon and de Chaisemartin and D’Haultfoeuille diagnostics</w:t>
      </w:r>
      <w:r>
        <w:t xml:space="preserve"> </w:t>
      </w:r>
      <w:hyperlink w:anchor="ref-14">
        <w:r>
          <w:rPr>
            <w:rStyle w:val="Hyperlink"/>
          </w:rPr>
          <w:t xml:space="preserve">[14]</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 Step four estimates the avoided-cost parameter by differencing realized static-closure cost against the ReentryFlow dynamic-closure counterfactual and, separately, by using prediction uncertainty as a continuous treatment intensity. Step five runs the robustness and placebo battery: weather placebos, adjacent-sector placebos, controlled-reentry exclusion, anticipation leads, and alternative cost factors. What makes this a tractable program rather than a speculative one is that every step carries a defined method and a named data source already specified in Chapters 4 through 6, and a design whose every estimating equation, variable, and threat is written out can be executed by following it. The qualifier is the power constraint of Section 8.3, which governs not whether the steps run but how informative their output is on the first wave.</w:t>
      </w:r>
    </w:p>
    <w:p>
      <w:pPr>
        <w:pStyle w:val="BodyText"/>
        <w:spacing w:line="480" w:lineRule="auto"/>
        <w:ind w:firstLine="720"/>
      </w:pPr>
      <w:r>
        <w:t xml:space="preserve">A practical sequencing point follows from the power limitation. Since the design grows more powerful as the reentry record grows, the most informative strategy is not a single one-shot estimate but a staged one: run the design on the present record to stand up the pipeline, validate ReentryFlow, and report the minimum detectable effect, then re-run as the event count accumulates, treating the estimate as a quantity that sharpens over successive waves. That turns the power limitation from a defect into a schedule. The first wave delivers the validated pipeline and an honest, possibly inconclusive, estimate; later waves deliver the precision. The mechanism is the one named in Section 8.3: accumulating events narrow the sampling distribution of the aggregated ATT, so the same design yields tighter intervals over time with no change to its identification.</w:t>
      </w:r>
    </w:p>
    <w:bookmarkEnd w:id="173"/>
    <w:bookmarkStart w:id="174" w:name="X26329e5dd1de8e306d9a715faf83128fd386909"/>
    <w:p>
      <w:pPr>
        <w:pStyle w:val="Heading3"/>
        <w:spacing w:line="480" w:lineRule="auto"/>
      </w:pPr>
      <w:r>
        <w:t xml:space="preserve">8.4.2 Extension to higher-cadence down-mass regimes</w:t>
      </w:r>
    </w:p>
    <w:p>
      <w:pPr>
        <w:pStyle w:val="FirstParagraph"/>
        <w:spacing w:line="480" w:lineRule="auto"/>
      </w:pPr>
      <w:r>
        <w:t xml:space="preserve">The second track tackles the gap between the cadence the design will first observe and the cadence the contribution ultimately concerns. The estimate produced on the present record stays local to the current reentry mix and frequency, and the design-based tradition is explicit that such an estimate does not automatically extrapolate to a future high-cadence down-mass regime. The future program takes this as a modeling task with a defined structure rather than an unbounded uncertainty. Since the design reports the cost as a function of cadence and prediction uncertainty, the extrapolation to a higher-cadence regime stays conditional and stated: the program-level cost is the per-event cost times a projected reentry cadence over a planning horizon, the per-event cost itself free to vary with traffic density and closure size. The forward research question is the shape of the cadence-to-cost relationship at frequencies the current record does not reach, where network congestion may make the marginal closure costlier than the average closure observed at low cadence. The delay-propagation literature names the mechanism for that nonlinearity: as the baseline NAS load rises and closures arrive more often, each closure pushes traffic into an already more congested network, and the propagated cost grows faster than the count of closures</w:t>
      </w:r>
      <w:r>
        <w:t xml:space="preserve"> </w:t>
      </w:r>
      <w:hyperlink w:anchor="ref-12">
        <w:r>
          <w:rPr>
            <w:rStyle w:val="Hyperlink"/>
          </w:rPr>
          <w:t xml:space="preserve">[12]</w:t>
        </w:r>
      </w:hyperlink>
      <w:r>
        <w:t xml:space="preserve">. The cost function is plausibly convex in cadence, on the propagation evidence and the congestion-externality structure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because convexity is the generic signature of a congestible resource under rising demand. The essential qualifier is that the present record cannot estimate the convexity directly, holding no high-cadence variation, so the convexity is a hypothesis for the high-cadence regime rather than a measured feature, and confidence in it is moderate and marked down accordingly. That is the honest external-validity posture: the design extrapolates explicitly, conditionally, and with its confidence calibrated to the design-stage evidence grade, rather than assuming the low-cadence estimate carries to high cadence unchanged.</w:t>
      </w:r>
    </w:p>
    <w:p>
      <w:pPr>
        <w:pStyle w:val="BodyText"/>
        <w:spacing w:line="480" w:lineRule="auto"/>
        <w:ind w:firstLine="720"/>
      </w:pPr>
      <w:r>
        <w:t xml:space="preserve">A parallel extension concerns the down-mass sector specifically, as distinct from the broader population of uncontrolled reentries. The down-mass case is the one in which the return leg is integral to the economic activity rather than incidental, because the value of a returned product depends on delivering it through occupied airspace to its insertion into a terrestrial supply chain. The present record contains few or no commercial down-mass events, so the disruption parameter is estimated on launch-stage debris and controlled reentries and then applied to a down-mass future. The forward program must therefore treat the down-mass extension as a transferability question: under what conditions does a cost estimated on today’s reentry mix represent the cost a commercial down-mass operator’s controlled, scheduled, repeated return would impose? Controlled, scheduled down-mass returns may be more predictable than uncontrolled decay, which would lower the prediction-uncertainty intensity and shrink the closure, but they would also be more frequent and more clustered around specific recovery sites, which would raise local traffic density. The net sign is an open empirical question that only a record containing real down-mass events can settle. Stating it as open, rather than assuming the launch-era estimate transfers, is the discipline the design imposes.</w:t>
      </w:r>
    </w:p>
    <w:bookmarkEnd w:id="174"/>
    <w:bookmarkStart w:id="175" w:name="Xc484b9a27719de7e18dd1fd3e8f870de6f7d585"/>
    <w:p>
      <w:pPr>
        <w:pStyle w:val="Heading3"/>
        <w:spacing w:line="480" w:lineRule="auto"/>
      </w:pPr>
      <w:r>
        <w:t xml:space="preserve">8.4.3 Integration with corridor-pricing and authorization design</w:t>
      </w:r>
    </w:p>
    <w:p>
      <w:pPr>
        <w:pStyle w:val="FirstParagraph"/>
        <w:spacing w:line="480" w:lineRule="auto"/>
      </w:pPr>
      <w:r>
        <w:t xml:space="preserve">The third track connects the measured cost to the institutions that would act on it, which is the point of the measurement in North’s terms: the estimate is the input that lets the authorization rule change, and the rule change is where the economic value lives</w:t>
      </w:r>
      <w:r>
        <w:t xml:space="preserve"> </w:t>
      </w:r>
      <w:hyperlink w:anchor="ref-24">
        <w:r>
          <w:rPr>
            <w:rStyle w:val="Hyperlink"/>
          </w:rPr>
          <w:t xml:space="preserve">[24]</w:t>
        </w:r>
      </w:hyperlink>
      <w:r>
        <w:t xml:space="preserve">. The future program here is the design of the corridor-authorization and fee instruments the estimate would parameterize. A measured per-event NAS cost is the price on the reentry-to-aviation externality, and once that price exists, the institutional question turns to how to internalize it: through a corridor-access fee that confronts the reentry operator with the aviation cost it imposes, through a prediction-accuracy standard that conditions a narrower closure on demonstrated trajectory precision</w:t>
      </w:r>
      <w:r>
        <w:t xml:space="preserve"> </w:t>
      </w:r>
      <w:hyperlink w:anchor="ref-9">
        <w:r>
          <w:rPr>
            <w:rStyle w:val="Hyperlink"/>
          </w:rPr>
          <w:t xml:space="preserve">[9]</w:t>
        </w:r>
      </w:hyperlink>
      <w:r>
        <w:t xml:space="preserve">, or through a dynamic-closure rule that narrows the withheld volume as the prediction tightens and prices the residual risk against the cost saving. The estimate is the necessary precondition for any of these, because a regulator cannot weigh a narrower closure’s residual risk against its cost saving without a measured cost of the wider closure, which is North’s transaction-cost logic that a lower-cost institution can displace a higher-cost one only when the price of the disruption the higher-cost rule imposes is known</w:t>
      </w:r>
      <w:r>
        <w:t xml:space="preserve"> </w:t>
      </w:r>
      <w:hyperlink w:anchor="ref-24">
        <w:r>
          <w:rPr>
            <w:rStyle w:val="Hyperlink"/>
          </w:rPr>
          <w:t xml:space="preserve">[24]</w:t>
        </w:r>
      </w:hyperlink>
      <w:r>
        <w:t xml:space="preserve">. The broader space-economy literature backs it, locating market formation in institutional design and externality pricing rather than technology readiness alone</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w:t>
      </w:r>
      <w:r>
        <w:t xml:space="preserve"> </w:t>
      </w:r>
      <w:hyperlink w:anchor="ref-54">
        <w:r>
          <w:rPr>
            <w:rStyle w:val="Hyperlink"/>
          </w:rPr>
          <w:t xml:space="preserve">[54]</w:t>
        </w:r>
      </w:hyperlink>
      <w:r>
        <w:t xml:space="preserve">. The qualifier is that designing the instrument is a separate research program from estimating the cost, and this dissertation delivers the estimate, not the instrument.</w:t>
      </w:r>
    </w:p>
    <w:p>
      <w:pPr>
        <w:pStyle w:val="BodyText"/>
        <w:spacing w:line="480" w:lineRule="auto"/>
        <w:ind w:firstLine="720"/>
      </w:pPr>
      <w:r>
        <w:t xml:space="preserve">This integration track also carries a governance and registration dimension the forward agenda must engage, because a corridor-pricing or dynamic-closure regime presupposes the data infrastructure to identify and characterize reentering objects in near-real time. The space-traffic-management literature is converging on the recognition that the registration and tracking practices underpinning reentry prediction are themselves incomplete, and that improving them is a precondition for the prediction-informed dynamic management whose avoided cost this dissertation estimates</w:t>
      </w:r>
      <w:r>
        <w:t xml:space="preserve"> </w:t>
      </w:r>
      <w:hyperlink w:anchor="ref-80">
        <w:r>
          <w:rPr>
            <w:rStyle w:val="Hyperlink"/>
          </w:rPr>
          <w:t xml:space="preserve">[80]</w:t>
        </w:r>
      </w:hyperlink>
      <w:r>
        <w:t xml:space="preserve">,</w:t>
      </w:r>
      <w:r>
        <w:t xml:space="preserve"> </w:t>
      </w:r>
      <w:hyperlink w:anchor="ref-79">
        <w:r>
          <w:rPr>
            <w:rStyle w:val="Hyperlink"/>
          </w:rPr>
          <w:t xml:space="preserve">[79]</w:t>
        </w:r>
      </w:hyperlink>
      <w:r>
        <w:t xml:space="preserve">. The mechanism is direct. A dynamic closure can be sized to a late, tight prediction only if the object is tracked well enough to produce that prediction, so the avoided-cost lever rides on the same registration and observation improvements the governance literature independently calls for. The forward program should therefore treat the prediction surface and the registration regime as joint rather than separable: part of the avoided-cost parameter’s value to a policymaker is the value of investing in the tracking and registration that make tight predictions possible. Confidence that the registration agenda complements the avoided-cost mechanism is high, both acting on the same prediction-uncertainty quantity. The open question the forward program inherits is the cost-effectiveness frontier of registration investment against closure-cost savings, a benefit-cost study the present design does not perform but plainly motivates.</w:t>
      </w:r>
    </w:p>
    <w:p>
      <w:pPr>
        <w:pStyle w:val="BodyText"/>
        <w:spacing w:line="480" w:lineRule="auto"/>
        <w:ind w:firstLine="720"/>
      </w:pPr>
      <w:r>
        <w:t xml:space="preserve">A final element of the integration track is the cross-domain transfer of governance lessons. Decades ago the air-traffic-management system solved the problem this dissertation studies in a different guise: how to fold heterogeneous, intermittently hazardous operations into a shared, congestible airspace without segregating them statically and permanently. The analyses that draw cross-domain lessons from air traffic management for space traffic management are the natural reference for an authorization institution that would adapt rather than reinvent</w:t>
      </w:r>
      <w:r>
        <w:t xml:space="preserve"> </w:t>
      </w:r>
      <w:hyperlink w:anchor="ref-60">
        <w:r>
          <w:rPr>
            <w:rStyle w:val="Hyperlink"/>
          </w:rPr>
          <w:t xml:space="preserve">[60]</w:t>
        </w:r>
      </w:hyperlink>
      <w:r>
        <w:t xml:space="preserve">, and the emerging manual and handbook treatments of space traffic management governance are the venues where a measured externality price would enter policy</w:t>
      </w:r>
      <w:r>
        <w:t xml:space="preserve"> </w:t>
      </w:r>
      <w:hyperlink w:anchor="ref-59">
        <w:r>
          <w:rPr>
            <w:rStyle w:val="Hyperlink"/>
          </w:rPr>
          <w:t xml:space="preserve">[59]</w:t>
        </w:r>
      </w:hyperlink>
      <w:r>
        <w:t xml:space="preserve">,</w:t>
      </w:r>
      <w:r>
        <w:t xml:space="preserve"> </w:t>
      </w:r>
      <w:hyperlink w:anchor="ref-54">
        <w:r>
          <w:rPr>
            <w:rStyle w:val="Hyperlink"/>
          </w:rPr>
          <w:t xml:space="preserve">[54]</w:t>
        </w:r>
      </w:hyperlink>
      <w:r>
        <w:t xml:space="preserve">. The forward program is to carry the estimate into those governance discussions as the quantitative anchor they currently lack. This dissertation’s contribution to that program is specific and bounded: it supplies the number, design-based and falsifiable, on which the institutional design can rest.</w:t>
      </w:r>
    </w:p>
    <w:bookmarkEnd w:id="175"/>
    <w:bookmarkEnd w:id="176"/>
    <w:bookmarkStart w:id="177" w:name="closing"/>
    <w:p>
      <w:pPr>
        <w:pStyle w:val="Heading2"/>
        <w:spacing w:line="480" w:lineRule="auto"/>
      </w:pPr>
      <w:r>
        <w:t xml:space="preserve">8.5 Closing</w:t>
      </w:r>
    </w:p>
    <w:p>
      <w:pPr>
        <w:pStyle w:val="FirstParagraph"/>
        <w:spacing w:line="480" w:lineRule="auto"/>
      </w:pPr>
      <w:r>
        <w:t xml:space="preserve">The answer of this dissertation, restated one last time and unchanged from where it began, is that reentry imposes a measurable, positive, per-event cost on the National Airspace System, and that better prediction combined with dynamic closure avoids a quantifiable share of it. It matters because reentry cadence is rising with large-constellation deorbit and the emergence of a commercial down-mass sector, which turns a policy of large static closures from a rare contingency into a structural drag on the NAS</w:t>
      </w:r>
      <w:r>
        <w:t xml:space="preserve"> </w:t>
      </w:r>
      <w:hyperlink w:anchor="ref-1">
        <w:r>
          <w:rPr>
            <w:rStyle w:val="Hyperlink"/>
          </w:rPr>
          <w:t xml:space="preserve">[1]</w:t>
        </w:r>
      </w:hyperlink>
      <w:r>
        <w:t xml:space="preserve">,</w:t>
      </w:r>
      <w:r>
        <w:t xml:space="preserve"> </w:t>
      </w:r>
      <w:hyperlink w:anchor="ref-62">
        <w:r>
          <w:rPr>
            <w:rStyle w:val="Hyperlink"/>
          </w:rPr>
          <w:t xml:space="preserve">[62]</w:t>
        </w:r>
      </w:hyperlink>
      <w:r>
        <w:t xml:space="preserve">. As an expectation and not an executed result, the design points to a positive disruption parameter and a positive avoided-cost parameter, because every mechanism in the cited literature points one way: a larger withheld volume, a longer window, and denser displaced traffic all raise the cost, and prediction uncertainty, which sizes the closure, falls sharply as the object nears reentry, the lever the avoided-cost parameter measures</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What follows is to give regulators a defensible price for the reentry-to-aviation externality and to give a prediction-and-modeling investment such as ReentryFlow a target avoided cost to clear.</w:t>
      </w:r>
    </w:p>
    <w:p>
      <w:pPr>
        <w:pStyle w:val="BodyText"/>
        <w:spacing w:line="480" w:lineRule="auto"/>
        <w:ind w:firstLine="720"/>
      </w:pPr>
      <w:r>
        <w:t xml:space="preserve">The residual-uncertainty posture is the one this chapter has insisted on throughout. No estimate has been executed on the full dataset; the panel that the design joins does not yet exist; every quantity in the analysis plan is a symbol awaiting a number, and the numbers that appear in the prospectus and the chapters are priors and illustrations, never findings. What stands at the design stage is the apparatus: the reframing of a reentry closure as a causal treatment, the Callaway and Sant’Anna identification strategy with its staggered-timing diagnostics, the four-layer data architecture, the pre-committed decision rule, and the externality-and-institutions logic that makes the eventual estimate a price rather than a curiosity</w:t>
      </w:r>
      <w:r>
        <w:t xml:space="preserve"> </w:t>
      </w:r>
      <w:hyperlink w:anchor="ref-14">
        <w:r>
          <w:rPr>
            <w:rStyle w:val="Hyperlink"/>
          </w:rPr>
          <w:t xml:space="preserve">[14]</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 The assurance-case spine holds at the design stage on its first three subclaims (the problem is real, it is material, the design addresses the causal mechanism), and it commits the executed work to demonstrate the remaining two (that dynamic closure beats static segregation on cost at equal safety, and that the residual risk of a narrower closure is acceptable and bounded by validated prediction accuracy).</w:t>
      </w:r>
    </w:p>
    <w:p>
      <w:pPr>
        <w:pStyle w:val="BodyText"/>
        <w:spacing w:line="480" w:lineRule="auto"/>
        <w:ind w:firstLine="720"/>
      </w:pPr>
      <w:r>
        <w:t xml:space="preserve">The design is built so it cannot confirm itself by construction. A precisely estimated near-zero disruption effect would falsify the first part of the contribution, and a near-zero avoided-cost effect the second, implying that better reentry prediction does not reduce airspace cost and that dynamic closure buys nothing over static closure. Either outcome is a publishable, decision-relevant result, the mark of a genuinely falsifiable design rather than a foregone conclusion. Large or small, the measured effect leaves the value to NASA, to JPL, and to the wider civil-space enterprise unchanged: a defensible, design-based number for the cost that reentry imposes on aviation, and for the cost that better prediction avoids, is the evidence base on which any reentry-authorization or corridor-pricing institution must rest. The dissertation does not claim to hold that number yet. It claims to have built, in full and in the open, the means to obtain it, and to have shown why obtaining it is worth doing whichever way it comes out.</w:t>
      </w:r>
    </w:p>
    <w:bookmarkEnd w:id="177"/>
    <w:bookmarkEnd w:id="178"/>
    <w:bookmarkStart w:id="17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17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Economic Impact of Spacecraft Down-Mass and Orbital Reentry Operations on the U.S. National Airspace System</dc:title>
  <dc:creator>Marcus Bell (1B-INF-004)</dc:creator>
  <cp:keywords/>
  <dcterms:created xsi:type="dcterms:W3CDTF">2026-07-04T02:58:20Z</dcterms:created>
  <dcterms:modified xsi:type="dcterms:W3CDTF">2026-07-04T02:58:20Z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