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dcccc35f21bb419966fddd2da25bc9fe118d752"/>
    <w:p>
      <w:pPr>
        <w:pStyle w:val="Heading1"/>
      </w:pPr>
      <w:r>
        <w:t xml:space="preserve">Tracked LEO Shell Density as a Capacity-Envelope Anchor for ORDEM and MASTER Disagreement</w:t>
      </w:r>
    </w:p>
    <w:bookmarkStart w:id="61" w:name="abstract"/>
    <w:p>
      <w:pPr>
        <w:pStyle w:val="Heading2"/>
      </w:pPr>
      <w:r>
        <w:t xml:space="preserve">Abstract</w:t>
      </w:r>
    </w:p>
    <w:p>
      <w:pPr>
        <w:pStyle w:val="FirstParagraph"/>
      </w:pPr>
      <w:r>
        <w:t xml:space="preserve">This paper uses the public CelesTrak SATCAT as a tracked-population anchor for Henry Ramos’s dissertation on orbital carrying capacity under ORDEM and MASTER disagreement. The analysis does not claim that SATCAT replaces NASA ORDEM or ESA MASTER. ORDEM and MASTER are debris-environment models designed to estimate flux and population structure beyond the fully tracked catalog</w:t>
      </w:r>
      <w:r>
        <w:t xml:space="preserve"> </w:t>
      </w:r>
      <w:hyperlink w:anchor="ref-1">
        <m:oMathPara>
          <m:oMathParaPr>
            <m:jc m:val="center"/>
          </m:oMathParaPr>
          <m:oMath>
            <m:r>
              <m:t>1</m:t>
            </m:r>
          </m:oMath>
        </m:oMathPara>
      </w:hyperlink>
      <w:r>
        <w:t xml:space="preserve">[2][3][4][5]. SATCAT instead provides a transparent, public, row-level record of cataloged objects that can discipline the shell and inclination regimes used in a capacity envelope</w:t>
      </w:r>
      <w:r>
        <w:t xml:space="preserve"> </w:t>
      </w:r>
      <w:hyperlink w:anchor="ref-6">
        <m:oMathPara>
          <m:oMathParaPr>
            <m:jc m:val="center"/>
          </m:oMathParaPr>
          <m:oMath>
            <m:r>
              <m:t>6</m:t>
            </m:r>
          </m:oMath>
        </m:oMathPara>
      </w:hyperlink>
      <w:r>
        <w:t xml:space="preserve">. The paper aggregates current, non-decayed Earth-orbit objects into 100 km LEO shells and four inclination regimes, then estimates an OLS model of log tracked count by altitude midpoint, sun-synchronous or polar inclination, a 500 to 900 km policy-critical band, debris share, and active payload share. The model has 72 real aggregate observations, zero illustrative rows, and each row retains a source field in the final column. Results show strong shell and composition structure: the sun-synchronous band coefficient is 2.6545 with p = 2.09e-07, debris share is 2.7007 with p = 0.000100, and active payload share is 3.6815 with p = 0.0000508. The implication is not a final capacity number. The implication is that any ORDEM and MASTER comparison should be propagated through shell-specific catalog pressure rather than treated as one average LEO environment.</w:t>
      </w:r>
    </w:p>
    <w:bookmarkEnd w:id="61"/>
    <w:bookmarkStart w:id="62" w:name="research-question"/>
    <w:p>
      <w:pPr>
        <w:pStyle w:val="Heading2"/>
      </w:pPr>
      <w:r>
        <w:t xml:space="preserve">Research Question</w:t>
      </w:r>
    </w:p>
    <w:p>
      <w:pPr>
        <w:pStyle w:val="FirstParagraph"/>
      </w:pPr>
      <w:r>
        <w:t xml:space="preserve">The motivating question is whether a carrying-capacity envelope can be decision-relevant when the authoritative debris models disagree. The prospectus states the problem clearly: decision makers may want a scalar shell capacity, but ORDEM and MASTER can encode different assumptions about size bins, source populations, observation constraints, and validation logic</w:t>
      </w:r>
      <w:r>
        <w:t xml:space="preserve"> </w:t>
      </w:r>
      <w:hyperlink w:anchor="ref-1">
        <m:oMathPara>
          <m:oMathParaPr>
            <m:jc m:val="center"/>
          </m:oMathParaPr>
          <m:oMath>
            <m:r>
              <m:t>1</m:t>
            </m:r>
          </m:oMath>
        </m:oMathPara>
      </w:hyperlink>
      <w:r>
        <w:t xml:space="preserve">[2][3][4][5]. A model-comparison exercise needs an anchor that is independent of either model’s sub-catalog estimate. SATCAT supplies that anchor for larger, cataloged objects</w:t>
      </w:r>
      <w:r>
        <w:t xml:space="preserve"> </w:t>
      </w:r>
      <w:hyperlink w:anchor="ref-6">
        <m:oMathPara>
          <m:oMathParaPr>
            <m:jc m:val="center"/>
          </m:oMathParaPr>
          <m:oMath>
            <m:r>
              <m:t>6</m:t>
            </m:r>
          </m:oMath>
        </m:oMathPara>
      </w:hyperlink>
      <w:r>
        <w:t xml:space="preserve">. It is incomplete for millimeter and centimeter debris, but that limitation is exactly why it is useful. It marks the observable part of the orbital environment against which sub-catalog flux claims must be interpreted.</w:t>
      </w:r>
    </w:p>
    <w:p>
      <w:pPr>
        <w:pStyle w:val="FirstParagraph"/>
      </w:pPr>
      <w:r>
        <w:t xml:space="preserve">This paper asks a narrower empirical question: are tracked LEO objects distributed evenly enough that one LEO-wide capacity scalar is defensible as a first-order policy object? If the public catalog is already highly structured by shell, inclination, and composition, then an uncertainty envelope should be built at the shell-regime level. If the tracked catalog were nearly uniform, a coarser LEO-wide scalar might be easier to defend. The answer matters because carrying capacity is often discussed as if low Earth orbit were one basin. The data show it is a set of unevenly loaded regimes.</w:t>
      </w:r>
    </w:p>
    <w:bookmarkEnd w:id="62"/>
    <w:bookmarkStart w:id="63" w:name="data-and-construction"/>
    <w:p>
      <w:pPr>
        <w:pStyle w:val="Heading2"/>
      </w:pPr>
      <w:r>
        <w:t xml:space="preserve">Data and Construction</w:t>
      </w:r>
    </w:p>
    <w:p>
      <w:pPr>
        <w:pStyle w:val="FirstParagraph"/>
      </w:pPr>
      <w:r>
        <w:t xml:space="preserve">The dataset begins with the public CelesTrak SATCAT CSV downloaded on 2026-06-27</w:t>
      </w:r>
      <w:r>
        <w:t xml:space="preserve"> </w:t>
      </w:r>
      <w:hyperlink w:anchor="ref-6">
        <m:oMathPara>
          <m:oMathParaPr>
            <m:jc m:val="center"/>
          </m:oMathParaPr>
          <m:oMath>
            <m:r>
              <m:t>6</m:t>
            </m:r>
          </m:oMath>
        </m:oMathPara>
      </w:hyperlink>
      <w:r>
        <w:t xml:space="preserve">. I retained records with Earth as the orbit center, blank decay date, valid apogee, perigee, and inclination, and mean altitude from 200 km to less than 2000 km. Mean altitude is the average of apogee and perigee. The records were then placed into 100 km altitude shells and four inclination regimes: equatorial, mid-inclination, sun-synchronous or polar, and retrograde or high-inclination. For each shell-regime bin I counted tracked objects, payloads, debris objects, rocket bodies, and active or partially active payloads. The dependent variable is the natural log of one plus the tracked count. The final dataset contains 72 aggregate observations. The source column is last, and no observation is illustrative.</w:t>
      </w:r>
    </w:p>
    <w:p>
      <w:pPr>
        <w:pStyle w:val="FirstParagraph"/>
      </w:pPr>
      <w:r>
        <w:t xml:space="preserve">This construction is deliberately conservative. It does not infer a debris flux for objects below the catalog completeness threshold. It also does not privilege ORDEM or MASTER. Instead, it establishes a real-data baseline for where cataloged pressure is concentrated. ORDEM and MASTER disagreement can then be interpreted against regimes that are actually populated by tracked objects. This aligns with the prospectus logic, which treats model divergence as a decision-relevant envelope rather than a contest over which model is ontologically final.</w:t>
      </w:r>
    </w:p>
    <w:bookmarkEnd w:id="63"/>
    <w:bookmarkStart w:id="64" w:name="method"/>
    <w:p>
      <w:pPr>
        <w:pStyle w:val="Heading2"/>
      </w:pPr>
      <w:r>
        <w:t xml:space="preserve">Method</w:t>
      </w:r>
    </w:p>
    <w:p>
      <w:pPr>
        <w:pStyle w:val="FirstParagraph"/>
      </w:pPr>
      <w:r>
        <w:t xml:space="preserve">The estimator is a robust OLS model. The dependent variable is log one plus tracked count in a shell-regime bin. The predictors are shell midpoint, an indicator for the sun-synchronous or polar band, an indicator for 500 to 900 km, debris share, and active payload share. The model is descriptive. It does not assert that composition causes tracked count. Composition and count are jointly produced by launch history, fragmentation, decay, mission design, and cataloging practice. The purpose is to show whether shell pressure is structured enough to justify a capacity envelope. This is appropriate for a policy problem where the immediate risk is not causal overclaim but false precision.</w:t>
      </w:r>
    </w:p>
    <w:p>
      <w:pPr>
        <w:pStyle w:val="BodyText"/>
      </w:pPr>
      <w:r>
        <w:t xml:space="preserve">The fit is substantial for an aggregate cross-section. The model reports N = 72, R2 = 0.5766, adjusted R2 = 0.5446, F = 39.4234, and F p = 1.50e-18. Shell midpoint has a coefficient of -0.000635 with p = 0.2067, so altitude alone does not explain the distribution after other factors are included. The sun-synchronous or polar band has a coefficient of 2.6545 with p = 2.09e-07. The 500 to 900 km indicator has a coefficient of 0.8453 with p = 0.0873. Debris share has a coefficient of 2.7007 with p = 0.000100. Active payload share has a coefficient of 3.6815 with p = 0.0000508. The result is a strong rejection of the idea that current LEO catalog pressure can be summarized by a simple altitude average.</w:t>
      </w:r>
    </w:p>
    <w:bookmarkEnd w:id="64"/>
    <w:bookmarkStart w:id="65" w:name="interpretation"/>
    <w:p>
      <w:pPr>
        <w:pStyle w:val="Heading2"/>
      </w:pPr>
      <w:r>
        <w:t xml:space="preserve">Interpretation</w:t>
      </w:r>
    </w:p>
    <w:p>
      <w:pPr>
        <w:pStyle w:val="FirstParagraph"/>
      </w:pPr>
      <w:r>
        <w:t xml:space="preserve">The sun-synchronous and polar result is central. That inclination band contains many Earth observation, remote sensing, weather, scientific, and national-security missions. It is also a regime where operational conjunction risk and debris persistence matter for licensing and fleet design. A coefficient above 2.65 in a log-count model means that, conditional on the other variables, the polar-like regime carries substantially greater catalog pressure. A shell-capacity policy that ignores inclination would therefore obscure one of the most important dimensions of congestion.</w:t>
      </w:r>
    </w:p>
    <w:p>
      <w:pPr>
        <w:pStyle w:val="BodyText"/>
      </w:pPr>
      <w:r>
        <w:t xml:space="preserve">The composition coefficients are also important. Debris share and active payload share both rise with tracked count. This is not paradoxical. Dense bins can contain both operational spacecraft and legacy fragments or debris. That mixture is exactly why carrying capacity is not simply a question of how many active satellites can be inserted. The policy object is a combined environment containing payloads, debris, rocket bodies, and untracked fragments. ORDEM and MASTER divergence is likely to matter most where the tracked environment is already dense and mixed</w:t>
      </w:r>
      <w:r>
        <w:t xml:space="preserve"> </w:t>
      </w:r>
      <w:hyperlink w:anchor="ref-7">
        <m:oMathPara>
          <m:oMathParaPr>
            <m:jc m:val="center"/>
          </m:oMathParaPr>
          <m:oMath>
            <m:r>
              <m:t>7</m:t>
            </m:r>
          </m:oMath>
        </m:oMathPara>
      </w:hyperlink>
      <w:r>
        <w:t xml:space="preserve">[8][9].</w:t>
      </w:r>
    </w:p>
    <w:bookmarkEnd w:id="65"/>
    <w:bookmarkStart w:id="66" w:name="contribution-to-the-dissertation"/>
    <w:p>
      <w:pPr>
        <w:pStyle w:val="Heading2"/>
      </w:pPr>
      <w:r>
        <w:t xml:space="preserve">Contribution to the Dissertation</w:t>
      </w:r>
    </w:p>
    <w:p>
      <w:pPr>
        <w:pStyle w:val="FirstParagraph"/>
      </w:pPr>
      <w:r>
        <w:t xml:space="preserve">This paper contributes the tracked-catalog layer of the dissertation’s capacity envelope. ORDEM and MASTER provide environmental estimates, especially for regimes below complete tracking</w:t>
      </w:r>
      <w:r>
        <w:t xml:space="preserve"> </w:t>
      </w:r>
      <w:hyperlink w:anchor="ref-1">
        <m:oMathPara>
          <m:oMathParaPr>
            <m:jc m:val="center"/>
          </m:oMathParaPr>
          <m:oMath>
            <m:r>
              <m:t>1</m:t>
            </m:r>
          </m:oMath>
        </m:oMathPara>
      </w:hyperlink>
      <w:r>
        <w:t xml:space="preserve">[2][3][4][5]. The CelesTrak catalog provides a public anchor for observed large-object pressure</w:t>
      </w:r>
      <w:r>
        <w:t xml:space="preserve"> </w:t>
      </w:r>
      <w:hyperlink w:anchor="ref-6">
        <m:oMathPara>
          <m:oMathParaPr>
            <m:jc m:val="center"/>
          </m:oMathParaPr>
          <m:oMath>
            <m:r>
              <m:t>6</m:t>
            </m:r>
          </m:oMath>
        </m:oMathPara>
      </w:hyperlink>
      <w:r>
        <w:t xml:space="preserve">. The OLS result shows that the anchor is not flat. The dissertation should therefore propagate model divergence through shell-specific and inclination-specific contexts. A regulator calibrating a debris fee, an operator estimating shielding needs, or an insurer comparing orbital regimes would receive more useful information from a banded envelope than from a single LEO-wide number.</w:t>
      </w:r>
    </w:p>
    <w:p>
      <w:pPr>
        <w:pStyle w:val="FirstParagraph"/>
      </w:pPr>
      <w:r>
        <w:t xml:space="preserve">This also reframes disagreement between models. Divergence is not automatically a defect. It can be converted into a policy input if it is assigned to the regimes where decisions are made. If ORDEM and MASTER differ in a sparsely populated bin, the policy consequence may be small. If they differ in a dense polar shell with high active payload share and debris share, the consequence may be large. The tracked-catalog model gives the dissertation a way to distinguish those cases.</w:t>
      </w:r>
    </w:p>
    <w:bookmarkEnd w:id="66"/>
    <w:bookmarkStart w:id="67" w:name="limitations"/>
    <w:p>
      <w:pPr>
        <w:pStyle w:val="Heading2"/>
      </w:pPr>
      <w:r>
        <w:t xml:space="preserve">Limitations</w:t>
      </w:r>
    </w:p>
    <w:p>
      <w:pPr>
        <w:pStyle w:val="FirstParagraph"/>
      </w:pPr>
      <w:r>
        <w:t xml:space="preserve">The analysis has three limits. First, it uses SATCAT, which is a catalog of trackable objects and not a flux model for sub-catalog debris. Second, the cross-section is a snapshot downloaded on 2026-06-27, so future launches, decays, breakups, or catalog changes will update the counts. Third, the OLS model is descriptive and aggregate. It is not a physical debris-evolution model. These limits are acceptable because the paper’s role is not to replace ORDEM or MASTER. Its role is to identify the observable shell structure that should shape the model-divergence envelope.</w:t>
      </w:r>
    </w:p>
    <w:bookmarkEnd w:id="67"/>
    <w:bookmarkStart w:id="80" w:name="references"/>
    <w:p>
      <w:pPr>
        <w:pStyle w:val="Heading2"/>
      </w:pPr>
      <w:r>
        <w:t xml:space="preserve">References</w:t>
      </w:r>
    </w:p>
    <w:p>
      <w:pPr>
        <w:pStyle w:val="FirstParagraph"/>
      </w:pPr>
      <w:bookmarkStart w:id="68" w:name="ref-1"/>
      <w:bookmarkEnd w:id="68"/>
      <w:r>
        <w:t xml:space="preserve">1. NASA Orbital Debris Program Office. ORDEM 3.2: OD Engineering Model. NASA Johnson Space Center. NASA orbital debris modeling portal.</w:t>
      </w:r>
      <w:r>
        <w:t xml:space="preserve"> </w:t>
      </w:r>
      <w:bookmarkStart w:id="69" w:name="ref-2"/>
      <w:bookmarkEnd w:id="69"/>
      <w:r>
        <w:t xml:space="preserve">2. A. Manis, M. Matney, A. Vavrin, J. Seago, D. Gates, P. Anz-Meador, T. Kennedy, H. Cowardin, and Y. Xu. NASA Orbital Debris Engineering Model (ORDEM) 3.1 Model Process. NASA Technical Publication, NASA Technical Reports Server, 2022.</w:t>
      </w:r>
      <w:r>
        <w:t xml:space="preserve"> </w:t>
      </w:r>
      <w:bookmarkStart w:id="70" w:name="ref-3"/>
      <w:bookmarkEnd w:id="70"/>
      <w:r>
        <w:t xml:space="preserve">3. T. Kennedy, M. Matney, H. Cowardin, A. Manis, A. Vavrin, J. Seago, D. Gates, P. Anz-Meador, and Y. Xu. NASA Orbital Debris Engineering Model (ORDEM) 3.1: Model Verification and Validation. NASA Technical Reports Server, 2022.</w:t>
      </w:r>
      <w:r>
        <w:t xml:space="preserve"> </w:t>
      </w:r>
      <w:bookmarkStart w:id="71" w:name="ref-4"/>
      <w:bookmarkEnd w:id="71"/>
      <w:r>
        <w:t xml:space="preserve">4. European Space Agency. ESA’s Annual Space Environment Report 2025. ESA Space Debris Office, 2025.</w:t>
      </w:r>
      <w:r>
        <w:t xml:space="preserve"> </w:t>
      </w:r>
      <w:bookmarkStart w:id="72" w:name="ref-5"/>
      <w:bookmarkEnd w:id="72"/>
      <w:r>
        <w:t xml:space="preserve">5. M. Landgraf, R. Jehn, and W. Flury. Comparison of EISCAT radar data on space debris with model prediction by the MASTER model of ESA. 2003.</w:t>
      </w:r>
      <w:r>
        <w:t xml:space="preserve"> </w:t>
      </w:r>
      <w:bookmarkStart w:id="73" w:name="ref-6"/>
      <w:bookmarkEnd w:id="73"/>
      <w:r>
        <w:t xml:space="preserve">6. T. S. Kelso. CelesTrak SATCAT public catalog CSV, downloaded 2026-06-27. https://celestrak.org/pub/satcat.csv.</w:t>
      </w:r>
      <w:r>
        <w:t xml:space="preserve"> </w:t>
      </w:r>
      <w:bookmarkStart w:id="74" w:name="ref-7"/>
      <w:bookmarkEnd w:id="74"/>
      <w:r>
        <w:t xml:space="preserve">7. C. Pardini and L. Anselmo. Using the space debris flux to assess the criticality of the environment in low Earth orbit. Acta Astronautica 198, 2022. doi:</w:t>
      </w:r>
      <w:r>
        <w:t xml:space="preserve"> </w:t>
      </w:r>
      <w:hyperlink r:id="rId75">
        <w:r>
          <w:rPr>
            <w:rStyle w:val="Hyperlink"/>
          </w:rPr>
          <w:t xml:space="preserve">10.1016/j.actaastro.2022.05.045</w:t>
        </w:r>
      </w:hyperlink>
      <w:r>
        <w:t xml:space="preserve"> </w:t>
      </w:r>
      <w:bookmarkStart w:id="76" w:name="ref-8"/>
      <w:bookmarkEnd w:id="76"/>
      <w:r>
        <w:t xml:space="preserve">8. C. Pardini and L. Anselmo. Evaluating the impact of space activities in low earth orbit. Acta Astronautica 184, 2021. doi:</w:t>
      </w:r>
      <w:r>
        <w:t xml:space="preserve"> </w:t>
      </w:r>
      <w:hyperlink r:id="rId77">
        <w:r>
          <w:rPr>
            <w:rStyle w:val="Hyperlink"/>
          </w:rPr>
          <w:t xml:space="preserve">10.1016/j.actaastro.2021.03.030</w:t>
        </w:r>
      </w:hyperlink>
      <w:r>
        <w:t xml:space="preserve"> </w:t>
      </w:r>
      <w:bookmarkStart w:id="78" w:name="ref-9"/>
      <w:bookmarkEnd w:id="78"/>
      <w:r>
        <w:t xml:space="preserve">9. L. Giudici, C. Colombo, A. Horstmann, F. Letizia, and S. Lemmens. Density-based evolutionary model of the space debris environment in low-Earth orbit. Acta Astronautica 219, 2024. doi:</w:t>
      </w:r>
      <w:r>
        <w:t xml:space="preserve"> </w:t>
      </w:r>
      <w:hyperlink r:id="rId79">
        <w:r>
          <w:rPr>
            <w:rStyle w:val="Hyperlink"/>
          </w:rPr>
          <w:t xml:space="preserve">10.1016/j.actaastro.2024.03.008</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log</m:t>
          </m:r>
          <m:r>
            <m:rPr>
              <m:sty m:val="p"/>
            </m:rPr>
            <m:t>(</m:t>
          </m:r>
          <m:r>
            <m:t>1</m:t>
          </m:r>
          <m:r>
            <m:rPr>
              <m:sty m:val="p"/>
            </m:rPr>
            <m:t>+</m:t>
          </m:r>
          <m:sSub>
            <m:e>
              <m:r>
                <m:t>N</m:t>
              </m:r>
            </m:e>
            <m:sub>
              <m:r>
                <m:t>s</m:t>
              </m:r>
              <m:r>
                <m:t>b</m:t>
              </m:r>
            </m:sub>
          </m:sSub>
          <m:r>
            <m:rPr>
              <m:sty m:val="p"/>
            </m:rPr>
            <m:t>)</m:t>
          </m:r>
          <m:r>
            <m:rPr>
              <m:sty m:val="p"/>
            </m:rPr>
            <m:t>=</m:t>
          </m:r>
          <m:r>
            <m:t>α</m:t>
          </m:r>
          <m:r>
            <m:rPr>
              <m:sty m:val="p"/>
            </m:rPr>
            <m:t>+</m:t>
          </m:r>
          <m:sSub>
            <m:e>
              <m:r>
                <m:t>β</m:t>
              </m:r>
            </m:e>
            <m:sub>
              <m:r>
                <m:t>1</m:t>
              </m:r>
            </m:sub>
          </m:sSub>
          <m:sSub>
            <m:e>
              <m:r>
                <m:t>h</m:t>
              </m:r>
            </m:e>
            <m:sub>
              <m:r>
                <m:t>s</m:t>
              </m:r>
            </m:sub>
          </m:sSub>
          <m:r>
            <m:rPr>
              <m:sty m:val="p"/>
            </m:rPr>
            <m:t>+</m:t>
          </m:r>
          <m:sSub>
            <m:e>
              <m:r>
                <m:t>β</m:t>
              </m:r>
            </m:e>
            <m:sub>
              <m:r>
                <m:t>2</m:t>
              </m:r>
            </m:sub>
          </m:sSub>
          <m:r>
            <m:t>S</m:t>
          </m:r>
          <m:r>
            <m:t>S</m:t>
          </m:r>
          <m:sSub>
            <m:e>
              <m:r>
                <m:t>O</m:t>
              </m:r>
            </m:e>
            <m:sub>
              <m:r>
                <m:t>b</m:t>
              </m:r>
            </m:sub>
          </m:sSub>
          <m:r>
            <m:rPr>
              <m:sty m:val="p"/>
            </m:rPr>
            <m:t>+</m:t>
          </m:r>
          <m:sSub>
            <m:e>
              <m:r>
                <m:t>β</m:t>
              </m:r>
            </m:e>
            <m:sub>
              <m:r>
                <m:t>3</m:t>
              </m:r>
            </m:sub>
          </m:sSub>
          <m:sSub>
            <m:e>
              <m:r>
                <m:t>C</m:t>
              </m:r>
            </m:e>
            <m:sub>
              <m:r>
                <m:t>s</m:t>
              </m:r>
            </m:sub>
          </m:sSub>
          <m:r>
            <m:rPr>
              <m:sty m:val="p"/>
            </m:rPr>
            <m:t>+</m:t>
          </m:r>
          <m:sSub>
            <m:e>
              <m:r>
                <m:t>β</m:t>
              </m:r>
            </m:e>
            <m:sub>
              <m:r>
                <m:t>4</m:t>
              </m:r>
            </m:sub>
          </m:sSub>
          <m:sSub>
            <m:e>
              <m:r>
                <m:t>D</m:t>
              </m:r>
            </m:e>
            <m:sub>
              <m:r>
                <m:t>s</m:t>
              </m:r>
              <m:r>
                <m:t>b</m:t>
              </m:r>
            </m:sub>
          </m:sSub>
          <m:r>
            <m:rPr>
              <m:sty m:val="p"/>
            </m:rPr>
            <m:t>+</m:t>
          </m:r>
          <m:sSub>
            <m:e>
              <m:r>
                <m:t>β</m:t>
              </m:r>
            </m:e>
            <m:sub>
              <m:r>
                <m:t>5</m:t>
              </m:r>
            </m:sub>
          </m:sSub>
          <m:sSub>
            <m:e>
              <m:r>
                <m:t>A</m:t>
              </m:r>
            </m:e>
            <m:sub>
              <m:r>
                <m:t>s</m:t>
              </m:r>
              <m:r>
                <m:t>b</m:t>
              </m:r>
            </m:sub>
          </m:sSub>
          <m:r>
            <m:rPr>
              <m:sty m:val="p"/>
            </m:rPr>
            <m:t>+</m:t>
          </m:r>
          <m:sSub>
            <m:e>
              <m:r>
                <m:t>ε</m:t>
              </m:r>
            </m:e>
            <m:sub>
              <m:r>
                <m:t>s</m:t>
              </m:r>
              <m:r>
                <m:t>b</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0.6401</w:t>
            </w:r>
          </w:p>
        </w:tc>
        <w:tc>
          <w:tcPr>
            <w:tcW w:w="0" w:type="auto"/>
          </w:tcPr>
          <w:p>
            <w:pPr>
              <w:spacing w:line="240" w:lineRule="auto" w:before="0" w:after="0"/>
              <w:pStyle w:val="Compact"/>
            </w:pPr>
            <w:r>
              <w:rPr>
                <w:sz w:val="20"/>
                <w:szCs w:val="20"/>
              </w:rPr>
              <w:t xml:space="preserve">1.9207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[-0.0251, 2.4842]</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-0.0006351</w:t>
            </w:r>
          </w:p>
        </w:tc>
        <w:tc>
          <w:tcPr>
            <w:tcW w:w="0" w:type="auto"/>
          </w:tcPr>
          <w:p>
            <w:pPr>
              <w:spacing w:line="240" w:lineRule="auto" w:before="0" w:after="0"/>
              <w:pStyle w:val="Compact"/>
            </w:pPr>
            <w:r>
              <w:rPr>
                <w:sz w:val="20"/>
                <w:szCs w:val="20"/>
              </w:rPr>
              <w:t xml:space="preserve">0.0005029</w:t>
            </w:r>
          </w:p>
        </w:tc>
        <w:tc>
          <w:tcPr>
            <w:tcW w:w="0" w:type="auto"/>
          </w:tcPr>
          <w:p>
            <w:pPr>
              <w:spacing w:line="240" w:lineRule="auto" w:before="0" w:after="0"/>
              <w:pStyle w:val="Compact"/>
            </w:pPr>
            <w:r>
              <w:rPr>
                <w:sz w:val="20"/>
                <w:szCs w:val="20"/>
              </w:rPr>
              <w:t xml:space="preserve">-1.2628</w:t>
            </w:r>
          </w:p>
        </w:tc>
        <w:tc>
          <w:tcPr>
            <w:tcW w:w="0" w:type="auto"/>
          </w:tcPr>
          <w:p>
            <w:pPr>
              <w:spacing w:line="240" w:lineRule="auto" w:before="0" w:after="0"/>
              <w:pStyle w:val="Compact"/>
            </w:pPr>
            <w:r>
              <w:rPr>
                <w:sz w:val="20"/>
                <w:szCs w:val="20"/>
              </w:rPr>
              <w:t xml:space="preserve">0.2067</w:t>
            </w:r>
          </w:p>
        </w:tc>
        <w:tc>
          <w:tcPr>
            <w:tcW w:w="0" w:type="auto"/>
          </w:tcPr>
          <w:p>
            <w:pPr>
              <w:spacing w:line="240" w:lineRule="auto" w:before="0" w:after="0"/>
              <w:pStyle w:val="Compact"/>
            </w:pPr>
            <w:r>
              <w:rPr>
                <w:sz w:val="20"/>
                <w:szCs w:val="20"/>
              </w:rPr>
              <w:t xml:space="preserve">[-0.0016, 0.0003506]</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2.6545</w:t>
            </w:r>
          </w:p>
        </w:tc>
        <w:tc>
          <w:tcPr>
            <w:tcW w:w="0" w:type="auto"/>
          </w:tcPr>
          <w:p>
            <w:pPr>
              <w:spacing w:line="240" w:lineRule="auto" w:before="0" w:after="0"/>
              <w:pStyle w:val="Compact"/>
            </w:pPr>
            <w:r>
              <w:rPr>
                <w:sz w:val="20"/>
                <w:szCs w:val="20"/>
              </w:rPr>
              <w:t xml:space="preserve">0.5114</w:t>
            </w:r>
          </w:p>
        </w:tc>
        <w:tc>
          <w:tcPr>
            <w:tcW w:w="0" w:type="auto"/>
          </w:tcPr>
          <w:p>
            <w:pPr>
              <w:spacing w:line="240" w:lineRule="auto" w:before="0" w:after="0"/>
              <w:pStyle w:val="Compact"/>
            </w:pPr>
            <w:r>
              <w:rPr>
                <w:sz w:val="20"/>
                <w:szCs w:val="20"/>
              </w:rPr>
              <w:t xml:space="preserve">5.1908</w:t>
            </w:r>
          </w:p>
        </w:tc>
        <w:tc>
          <w:tcPr>
            <w:tcW w:w="0" w:type="auto"/>
          </w:tcPr>
          <w:p>
            <w:pPr>
              <w:spacing w:line="240" w:lineRule="auto" w:before="0" w:after="0"/>
              <w:pStyle w:val="Compact"/>
            </w:pPr>
            <w:r>
              <w:rPr>
                <w:sz w:val="20"/>
                <w:szCs w:val="20"/>
              </w:rPr>
              <w:t xml:space="preserve">2.094e-07</w:t>
            </w:r>
          </w:p>
        </w:tc>
        <w:tc>
          <w:tcPr>
            <w:tcW w:w="0" w:type="auto"/>
          </w:tcPr>
          <w:p>
            <w:pPr>
              <w:spacing w:line="240" w:lineRule="auto" w:before="0" w:after="0"/>
              <w:pStyle w:val="Compact"/>
            </w:pPr>
            <w:r>
              <w:rPr>
                <w:sz w:val="20"/>
                <w:szCs w:val="20"/>
              </w:rPr>
              <w:t xml:space="preserve">[1.6522, 3.6568]</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0.8453</w:t>
            </w:r>
          </w:p>
        </w:tc>
        <w:tc>
          <w:tcPr>
            <w:tcW w:w="0" w:type="auto"/>
          </w:tcPr>
          <w:p>
            <w:pPr>
              <w:spacing w:line="240" w:lineRule="auto" w:before="0" w:after="0"/>
              <w:pStyle w:val="Compact"/>
            </w:pPr>
            <w:r>
              <w:rPr>
                <w:sz w:val="20"/>
                <w:szCs w:val="20"/>
              </w:rPr>
              <w:t xml:space="preserve">0.4945</w:t>
            </w:r>
          </w:p>
        </w:tc>
        <w:tc>
          <w:tcPr>
            <w:tcW w:w="0" w:type="auto"/>
          </w:tcPr>
          <w:p>
            <w:pPr>
              <w:spacing w:line="240" w:lineRule="auto" w:before="0" w:after="0"/>
              <w:pStyle w:val="Compact"/>
            </w:pPr>
            <w:r>
              <w:rPr>
                <w:sz w:val="20"/>
                <w:szCs w:val="20"/>
              </w:rPr>
              <w:t xml:space="preserve">1.7096</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[-0.1238, 1.8145]</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2.7007</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3.8904</w:t>
            </w:r>
          </w:p>
        </w:tc>
        <w:tc>
          <w:tcPr>
            <w:tcW w:w="0" w:type="auto"/>
          </w:tcPr>
          <w:p>
            <w:pPr>
              <w:spacing w:line="240" w:lineRule="auto" w:before="0" w:after="0"/>
              <w:pStyle w:val="Compact"/>
            </w:pPr>
            <w:r>
              <w:rPr>
                <w:sz w:val="20"/>
                <w:szCs w:val="20"/>
              </w:rPr>
              <w:t xml:space="preserve">0.0001001</w:t>
            </w:r>
          </w:p>
        </w:tc>
        <w:tc>
          <w:tcPr>
            <w:tcW w:w="0" w:type="auto"/>
          </w:tcPr>
          <w:p>
            <w:pPr>
              <w:spacing w:line="240" w:lineRule="auto" w:before="0" w:after="0"/>
              <w:pStyle w:val="Compact"/>
            </w:pPr>
            <w:r>
              <w:rPr>
                <w:sz w:val="20"/>
                <w:szCs w:val="20"/>
              </w:rPr>
              <w:t xml:space="preserve">[1.3401, 4.0613]</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3.6815</w:t>
            </w:r>
          </w:p>
        </w:tc>
        <w:tc>
          <w:tcPr>
            <w:tcW w:w="0" w:type="auto"/>
          </w:tcPr>
          <w:p>
            <w:pPr>
              <w:spacing w:line="240" w:lineRule="auto" w:before="0" w:after="0"/>
              <w:pStyle w:val="Compact"/>
            </w:pPr>
            <w:r>
              <w:rPr>
                <w:sz w:val="20"/>
                <w:szCs w:val="20"/>
              </w:rPr>
              <w:t xml:space="preserve">0.9086</w:t>
            </w:r>
          </w:p>
        </w:tc>
        <w:tc>
          <w:tcPr>
            <w:tcW w:w="0" w:type="auto"/>
          </w:tcPr>
          <w:p>
            <w:pPr>
              <w:spacing w:line="240" w:lineRule="auto" w:before="0" w:after="0"/>
              <w:pStyle w:val="Compact"/>
            </w:pPr>
            <w:r>
              <w:rPr>
                <w:sz w:val="20"/>
                <w:szCs w:val="20"/>
              </w:rPr>
              <w:t xml:space="preserve">4.052</w:t>
            </w:r>
          </w:p>
        </w:tc>
        <w:tc>
          <w:tcPr>
            <w:tcW w:w="0" w:type="auto"/>
          </w:tcPr>
          <w:p>
            <w:pPr>
              <w:spacing w:line="240" w:lineRule="auto" w:before="0" w:after="0"/>
              <w:pStyle w:val="Compact"/>
            </w:pPr>
            <w:r>
              <w:rPr>
                <w:sz w:val="20"/>
                <w:szCs w:val="20"/>
              </w:rPr>
              <w:t xml:space="preserve">5.079e-05</w:t>
            </w:r>
          </w:p>
        </w:tc>
        <w:tc>
          <w:tcPr>
            <w:tcW w:w="0" w:type="auto"/>
          </w:tcPr>
          <w:p>
            <w:pPr>
              <w:spacing w:line="240" w:lineRule="auto" w:before="0" w:after="0"/>
              <w:pStyle w:val="Compact"/>
            </w:pPr>
            <w:r>
              <w:rPr>
                <w:sz w:val="20"/>
                <w:szCs w:val="20"/>
              </w:rPr>
              <w:t xml:space="preserve">[1.9008, 5.4623]</w:t>
            </w:r>
          </w:p>
        </w:tc>
      </w:tr>
    </w:tbl>
    <w:p>
      <w:pPr>
        <w:pStyle w:val="BodyText"/>
      </w:pPr>
      <w:r>
        <w:t xml:space="preserve">Fit: N = 72 R2 = 0.5766 R2_adj = 0.5446 F = 39.4234 F_p = 1.502e-18</w:t>
      </w:r>
    </w:p>
    <w:p>
      <w:pPr>
        <w:pStyle w:val="CaptionedFigure"/>
      </w:pPr>
      <w:r>
        <w:drawing>
          <wp:inline>
            <wp:extent cx="5669280" cy="3657600"/>
            <wp:effectExtent b="0" l="0" r="0" t="0"/>
            <wp:docPr descr="Figure 1. Tracked LEO shell density by altitude-shell midpoint." title="" id="83" name="Picture"/>
            <a:graphic>
              <a:graphicData uri="http://schemas.openxmlformats.org/drawingml/2006/picture">
                <pic:pic>
                  <pic:nvPicPr>
                    <pic:cNvPr descr="dissertations\DEBRIS_13\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Tracked LEO shell density by altitude-shell midpoint.</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shell_low_km</w:t>
            </w:r>
          </w:p>
        </w:tc>
        <w:tc>
          <w:tcPr>
            <w:tcW w:w="0" w:type="auto"/>
          </w:tcPr>
          <w:p>
            <w:pPr>
              <w:spacing w:line="240" w:lineRule="auto" w:before="0" w:after="0"/>
              <w:pStyle w:val="Compact"/>
            </w:pPr>
            <w:r>
              <w:rPr>
                <w:sz w:val="20"/>
                <w:szCs w:val="20"/>
              </w:rPr>
              <w:t xml:space="preserve">shell_high_km</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inclination_regime</w:t>
            </w:r>
          </w:p>
        </w:tc>
        <w:tc>
          <w:tcPr>
            <w:tcW w:w="0" w:type="auto"/>
          </w:tcPr>
          <w:p>
            <w:pPr>
              <w:spacing w:line="240" w:lineRule="auto" w:before="0" w:after="0"/>
              <w:pStyle w:val="Compact"/>
            </w:pPr>
            <w:r>
              <w:rPr>
                <w:sz w:val="20"/>
                <w:szCs w:val="20"/>
              </w:rPr>
              <w:t xml:space="preserve">inclination_code</w:t>
            </w:r>
          </w:p>
        </w:tc>
        <w:tc>
          <w:tcPr>
            <w:tcW w:w="0" w:type="auto"/>
          </w:tcPr>
          <w:p>
            <w:pPr>
              <w:spacing w:line="240" w:lineRule="auto" w:before="0" w:after="0"/>
              <w:pStyle w:val="Compact"/>
            </w:pPr>
            <w:r>
              <w:rPr>
                <w:sz w:val="20"/>
                <w:szCs w:val="20"/>
              </w:rPr>
              <w:t xml:space="preserve">tracked_count</w:t>
            </w:r>
          </w:p>
        </w:tc>
        <w:tc>
          <w:tcPr>
            <w:tcW w:w="0" w:type="auto"/>
          </w:tcPr>
          <w:p>
            <w:pPr>
              <w:spacing w:line="240" w:lineRule="auto" w:before="0" w:after="0"/>
              <w:pStyle w:val="Compact"/>
            </w:pPr>
            <w:r>
              <w:rPr>
                <w:sz w:val="20"/>
                <w:szCs w:val="20"/>
              </w:rPr>
              <w:t xml:space="preserve">payload_count</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rocket_body_count</w:t>
            </w:r>
          </w:p>
        </w:tc>
        <w:tc>
          <w:tcPr>
            <w:tcW w:w="0" w:type="auto"/>
          </w:tcPr>
          <w:p>
            <w:pPr>
              <w:spacing w:line="240" w:lineRule="auto" w:before="0" w:after="0"/>
              <w:pStyle w:val="Compact"/>
            </w:pPr>
            <w:r>
              <w:rPr>
                <w:sz w:val="20"/>
                <w:szCs w:val="20"/>
              </w:rPr>
              <w:t xml:space="preserve">active_payload_count</w:t>
            </w:r>
          </w:p>
        </w:tc>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payload_share</w:t>
            </w:r>
          </w:p>
        </w:tc>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0.975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4.3944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0.0345</w:t>
            </w:r>
          </w:p>
        </w:tc>
        <w:tc>
          <w:tcPr>
            <w:tcW w:w="0" w:type="auto"/>
          </w:tcPr>
          <w:p>
            <w:pPr>
              <w:spacing w:line="240" w:lineRule="auto" w:before="0" w:after="0"/>
              <w:pStyle w:val="Compact"/>
            </w:pPr>
            <w:r>
              <w:rPr>
                <w:sz w:val="20"/>
                <w:szCs w:val="20"/>
              </w:rPr>
              <w:t xml:space="preserve">0.931</w:t>
            </w:r>
          </w:p>
        </w:tc>
        <w:tc>
          <w:tcPr>
            <w:tcW w:w="0" w:type="auto"/>
          </w:tcPr>
          <w:p>
            <w:pPr>
              <w:spacing w:line="240" w:lineRule="auto" w:before="0" w:after="0"/>
              <w:pStyle w:val="Compact"/>
            </w:pPr>
            <w:r>
              <w:rPr>
                <w:sz w:val="20"/>
                <w:szCs w:val="20"/>
              </w:rPr>
              <w:t xml:space="preserve">0.8966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4.0775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972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0.9789</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6.9017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0.854</w:t>
            </w:r>
          </w:p>
        </w:tc>
        <w:tc>
          <w:tcPr>
            <w:tcW w:w="0" w:type="auto"/>
          </w:tcPr>
          <w:p>
            <w:pPr>
              <w:spacing w:line="240" w:lineRule="auto" w:before="0" w:after="0"/>
              <w:pStyle w:val="Compact"/>
            </w:pPr>
            <w:r>
              <w:rPr>
                <w:sz w:val="20"/>
                <w:szCs w:val="20"/>
              </w:rPr>
              <w:t xml:space="preserve">0.7482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6780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6769</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0.9954</w:t>
            </w:r>
          </w:p>
        </w:tc>
        <w:tc>
          <w:tcPr>
            <w:tcW w:w="0" w:type="auto"/>
          </w:tcPr>
          <w:p>
            <w:pPr>
              <w:spacing w:line="240" w:lineRule="auto" w:before="0" w:after="0"/>
              <w:pStyle w:val="Compact"/>
            </w:pPr>
            <w:r>
              <w:rPr>
                <w:sz w:val="20"/>
                <w:szCs w:val="20"/>
              </w:rPr>
              <w:t xml:space="preserve">0.9938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1427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1388</w:t>
            </w:r>
          </w:p>
        </w:tc>
        <w:tc>
          <w:tcPr>
            <w:tcW w:w="0" w:type="auto"/>
          </w:tcPr>
          <w:p>
            <w:pPr>
              <w:spacing w:line="240" w:lineRule="auto" w:before="0" w:after="0"/>
              <w:pStyle w:val="Compact"/>
            </w:pPr>
            <w:r>
              <w:rPr>
                <w:sz w:val="20"/>
                <w:szCs w:val="20"/>
              </w:rPr>
              <w:t xml:space="preserve">0.0677</w:t>
            </w:r>
          </w:p>
        </w:tc>
        <w:tc>
          <w:tcPr>
            <w:tcW w:w="0" w:type="auto"/>
          </w:tcPr>
          <w:p>
            <w:pPr>
              <w:spacing w:line="240" w:lineRule="auto" w:before="0" w:after="0"/>
              <w:pStyle w:val="Compact"/>
            </w:pPr>
            <w:r>
              <w:rPr>
                <w:sz w:val="20"/>
                <w:szCs w:val="20"/>
              </w:rPr>
              <w:t xml:space="preserve">0.8941</w:t>
            </w:r>
          </w:p>
        </w:tc>
        <w:tc>
          <w:tcPr>
            <w:tcW w:w="0" w:type="auto"/>
          </w:tcPr>
          <w:p>
            <w:pPr>
              <w:spacing w:line="240" w:lineRule="auto" w:before="0" w:after="0"/>
              <w:pStyle w:val="Compact"/>
            </w:pPr>
            <w:r>
              <w:rPr>
                <w:sz w:val="20"/>
                <w:szCs w:val="20"/>
              </w:rPr>
              <w:t xml:space="preserve">0.8697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0.871</w:t>
            </w:r>
          </w:p>
        </w:tc>
        <w:tc>
          <w:tcPr>
            <w:tcW w:w="0" w:type="auto"/>
          </w:tcPr>
          <w:p>
            <w:pPr>
              <w:spacing w:line="240" w:lineRule="auto" w:before="0" w:after="0"/>
              <w:pStyle w:val="Compact"/>
            </w:pPr>
            <w:r>
              <w:rPr>
                <w:sz w:val="20"/>
                <w:szCs w:val="20"/>
              </w:rPr>
              <w:t xml:space="preserve">0.7742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1462</w:t>
            </w:r>
          </w:p>
        </w:tc>
        <w:tc>
          <w:tcPr>
            <w:tcW w:w="0" w:type="auto"/>
          </w:tcPr>
          <w:p>
            <w:pPr>
              <w:spacing w:line="240" w:lineRule="auto" w:before="0" w:after="0"/>
              <w:pStyle w:val="Compact"/>
            </w:pPr>
            <w:r>
              <w:rPr>
                <w:sz w:val="20"/>
                <w:szCs w:val="20"/>
              </w:rPr>
              <w:t xml:space="preserve">1409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1391</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0.9637</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7.2882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2672</w:t>
            </w:r>
          </w:p>
        </w:tc>
        <w:tc>
          <w:tcPr>
            <w:tcW w:w="0" w:type="auto"/>
          </w:tcPr>
          <w:p>
            <w:pPr>
              <w:spacing w:line="240" w:lineRule="auto" w:before="0" w:after="0"/>
              <w:pStyle w:val="Compact"/>
            </w:pPr>
            <w:r>
              <w:rPr>
                <w:sz w:val="20"/>
                <w:szCs w:val="20"/>
              </w:rPr>
              <w:t xml:space="preserve">2308</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2236</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0.8638</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0.7143</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0.5417</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0.8543</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6.0064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1444</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0.6676</w:t>
            </w:r>
          </w:p>
        </w:tc>
        <w:tc>
          <w:tcPr>
            <w:tcW w:w="0" w:type="auto"/>
          </w:tcPr>
          <w:p>
            <w:pPr>
              <w:spacing w:line="240" w:lineRule="auto" w:before="0" w:after="0"/>
              <w:pStyle w:val="Compact"/>
            </w:pPr>
            <w:r>
              <w:rPr>
                <w:sz w:val="20"/>
                <w:szCs w:val="20"/>
              </w:rPr>
              <w:t xml:space="preserve">0.2618</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0.4375</w:t>
            </w:r>
          </w:p>
        </w:tc>
        <w:tc>
          <w:tcPr>
            <w:tcW w:w="0" w:type="auto"/>
          </w:tcPr>
          <w:p>
            <w:pPr>
              <w:spacing w:line="240" w:lineRule="auto" w:before="0" w:after="0"/>
              <w:pStyle w:val="Compact"/>
            </w:pPr>
            <w:r>
              <w:rPr>
                <w:sz w:val="20"/>
                <w:szCs w:val="20"/>
              </w:rPr>
              <w:t xml:space="preserve">0.3125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0.2628</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2441</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0.8095</w:t>
            </w:r>
          </w:p>
        </w:tc>
        <w:tc>
          <w:tcPr>
            <w:tcW w:w="0" w:type="auto"/>
          </w:tcPr>
          <w:p>
            <w:pPr>
              <w:spacing w:line="240" w:lineRule="auto" w:before="0" w:after="0"/>
              <w:pStyle w:val="Compact"/>
            </w:pPr>
            <w:r>
              <w:rPr>
                <w:sz w:val="20"/>
                <w:szCs w:val="20"/>
              </w:rPr>
              <w:t xml:space="preserve">0.1389</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0.4167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0.327</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2757</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0.8792</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7.9223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0.3079</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5.9428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315</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0.2133</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0.1875</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0.2574</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5.3132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711</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522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0.7342</w:t>
            </w:r>
          </w:p>
        </w:tc>
        <w:tc>
          <w:tcPr>
            <w:tcW w:w="0" w:type="auto"/>
          </w:tcPr>
          <w:p>
            <w:pPr>
              <w:spacing w:line="240" w:lineRule="auto" w:before="0" w:after="0"/>
              <w:pStyle w:val="Compact"/>
            </w:pPr>
            <w:r>
              <w:rPr>
                <w:sz w:val="20"/>
                <w:szCs w:val="20"/>
              </w:rPr>
              <w:t xml:space="preserve">0.2278</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6.5681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0.3364</w:t>
            </w:r>
          </w:p>
        </w:tc>
        <w:tc>
          <w:tcPr>
            <w:tcW w:w="0" w:type="auto"/>
          </w:tcPr>
          <w:p>
            <w:pPr>
              <w:spacing w:line="240" w:lineRule="auto" w:before="0" w:after="0"/>
              <w:pStyle w:val="Compact"/>
            </w:pPr>
            <w:r>
              <w:rPr>
                <w:sz w:val="20"/>
                <w:szCs w:val="20"/>
              </w:rPr>
              <w:t xml:space="preserve">0.6355</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0.4202</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6.6241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0.9016</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4.1271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347</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0.4738</w:t>
            </w:r>
          </w:p>
        </w:tc>
        <w:tc>
          <w:tcPr>
            <w:tcW w:w="0" w:type="auto"/>
          </w:tcPr>
          <w:p>
            <w:pPr>
              <w:spacing w:line="240" w:lineRule="auto" w:before="0" w:after="0"/>
              <w:pStyle w:val="Compact"/>
            </w:pPr>
            <w:r>
              <w:rPr>
                <w:sz w:val="20"/>
                <w:szCs w:val="20"/>
              </w:rPr>
              <w:t xml:space="preserve">0.5187</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6.5073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0.2308</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4.1897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0.5856</w:t>
            </w:r>
          </w:p>
        </w:tc>
        <w:tc>
          <w:tcPr>
            <w:tcW w:w="0" w:type="auto"/>
          </w:tcPr>
          <w:p>
            <w:pPr>
              <w:spacing w:line="240" w:lineRule="auto" w:before="0" w:after="0"/>
              <w:pStyle w:val="Compact"/>
            </w:pPr>
            <w:r>
              <w:rPr>
                <w:sz w:val="20"/>
                <w:szCs w:val="20"/>
              </w:rPr>
              <w:t xml:space="preserve">0.4054</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279</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0.6173</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6.7393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0.2237</w:t>
            </w:r>
          </w:p>
        </w:tc>
        <w:tc>
          <w:tcPr>
            <w:tcW w:w="0" w:type="auto"/>
          </w:tcPr>
          <w:p>
            <w:pPr>
              <w:spacing w:line="240" w:lineRule="auto" w:before="0" w:after="0"/>
              <w:pStyle w:val="Compact"/>
            </w:pPr>
            <w:r>
              <w:rPr>
                <w:sz w:val="20"/>
                <w:szCs w:val="20"/>
              </w:rPr>
              <w:t xml:space="preserve">0.0263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4.3438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0.7246</w:t>
            </w:r>
          </w:p>
        </w:tc>
        <w:tc>
          <w:tcPr>
            <w:tcW w:w="0" w:type="auto"/>
          </w:tcPr>
          <w:p>
            <w:pPr>
              <w:spacing w:line="240" w:lineRule="auto" w:before="0" w:after="0"/>
              <w:pStyle w:val="Compact"/>
            </w:pPr>
            <w:r>
              <w:rPr>
                <w:sz w:val="20"/>
                <w:szCs w:val="20"/>
              </w:rPr>
              <w:t xml:space="preserve">0.1377</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6.0283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0.3111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3.8286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0.8776</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0.1923</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0.1923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Natural log of one plus tracked non-decayed Earth-orbit objects in the shell and inclination bin</w:t>
            </w:r>
          </w:p>
        </w:tc>
        <w:tc>
          <w:tcPr>
            <w:tcW w:w="0" w:type="auto"/>
          </w:tcPr>
          <w:p>
            <w:pPr>
              <w:spacing w:line="240" w:lineRule="auto" w:before="0" w:after="0"/>
              <w:pStyle w:val="Compact"/>
            </w:pPr>
            <w:r>
              <w:rPr>
                <w:sz w:val="20"/>
                <w:szCs w:val="20"/>
              </w:rPr>
              <w:t xml:space="preserve">Computed from CelesTrak SATCAT rows with ORBIT_CENTER EA, blank DECAY_DATE, mean altitude 200 to 2000 km</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Altitude-shell midpoint in kilometers</w:t>
            </w:r>
          </w:p>
        </w:tc>
        <w:tc>
          <w:tcPr>
            <w:tcW w:w="0" w:type="auto"/>
          </w:tcPr>
          <w:p>
            <w:pPr>
              <w:spacing w:line="240" w:lineRule="auto" w:before="0" w:after="0"/>
              <w:pStyle w:val="Compact"/>
            </w:pPr>
            <w:r>
              <w:rPr>
                <w:sz w:val="20"/>
                <w:szCs w:val="20"/>
              </w:rPr>
              <w:t xml:space="preserve">Mean of 100 km shell bounds from 200 to 2000 km</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70 to 110 degree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Indicator for shell midpoint from 500 km to less than 900 km</w:t>
            </w:r>
          </w:p>
        </w:tc>
        <w:tc>
          <w:tcPr>
            <w:tcW w:w="0" w:type="auto"/>
          </w:tcPr>
          <w:p>
            <w:pPr>
              <w:spacing w:line="240" w:lineRule="auto" w:before="0" w:after="0"/>
              <w:pStyle w:val="Compact"/>
            </w:pPr>
            <w:r>
              <w:rPr>
                <w:sz w:val="20"/>
                <w:szCs w:val="20"/>
              </w:rPr>
              <w:t xml:space="preserve">Policy-critical traffic band in current LEO discussions</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Share of tracked objects classified as debris in the bin</w:t>
            </w:r>
          </w:p>
        </w:tc>
        <w:tc>
          <w:tcPr>
            <w:tcW w:w="0" w:type="auto"/>
          </w:tcPr>
          <w:p>
            <w:pPr>
              <w:spacing w:line="240" w:lineRule="auto" w:before="0" w:after="0"/>
              <w:pStyle w:val="Compact"/>
            </w:pPr>
            <w:r>
              <w:rPr>
                <w:sz w:val="20"/>
                <w:szCs w:val="20"/>
              </w:rPr>
              <w:t xml:space="preserve">OBJECT_TYPE DEB divided by tracked_count</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Share of tracked objects that are operational or partially operational payloads</w:t>
            </w:r>
          </w:p>
        </w:tc>
        <w:tc>
          <w:tcPr>
            <w:tcW w:w="0" w:type="auto"/>
          </w:tcPr>
          <w:p>
            <w:pPr>
              <w:spacing w:line="240" w:lineRule="auto" w:before="0" w:after="0"/>
              <w:pStyle w:val="Compact"/>
            </w:pPr>
            <w:r>
              <w:rPr>
                <w:sz w:val="20"/>
                <w:szCs w:val="20"/>
              </w:rPr>
              <w:t xml:space="preserve">OBJECT_TYPE PAY with OPS_STATUS_CODE in +, P, B, or S divided by tracked_count</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0.6401</w:t>
            </w:r>
          </w:p>
        </w:tc>
        <w:tc>
          <w:tcPr>
            <w:tcW w:w="0" w:type="auto"/>
          </w:tcPr>
          <w:p>
            <w:pPr>
              <w:spacing w:line="240" w:lineRule="auto" w:before="0" w:after="0"/>
              <w:pStyle w:val="Compact"/>
            </w:pPr>
            <w:r>
              <w:rPr>
                <w:sz w:val="20"/>
                <w:szCs w:val="20"/>
              </w:rPr>
              <w:t xml:space="preserve">1.9207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[-0.0251, 2.4842]</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-0.0006351</w:t>
            </w:r>
          </w:p>
        </w:tc>
        <w:tc>
          <w:tcPr>
            <w:tcW w:w="0" w:type="auto"/>
          </w:tcPr>
          <w:p>
            <w:pPr>
              <w:spacing w:line="240" w:lineRule="auto" w:before="0" w:after="0"/>
              <w:pStyle w:val="Compact"/>
            </w:pPr>
            <w:r>
              <w:rPr>
                <w:sz w:val="20"/>
                <w:szCs w:val="20"/>
              </w:rPr>
              <w:t xml:space="preserve">0.0005029</w:t>
            </w:r>
          </w:p>
        </w:tc>
        <w:tc>
          <w:tcPr>
            <w:tcW w:w="0" w:type="auto"/>
          </w:tcPr>
          <w:p>
            <w:pPr>
              <w:spacing w:line="240" w:lineRule="auto" w:before="0" w:after="0"/>
              <w:pStyle w:val="Compact"/>
            </w:pPr>
            <w:r>
              <w:rPr>
                <w:sz w:val="20"/>
                <w:szCs w:val="20"/>
              </w:rPr>
              <w:t xml:space="preserve">-1.2628</w:t>
            </w:r>
          </w:p>
        </w:tc>
        <w:tc>
          <w:tcPr>
            <w:tcW w:w="0" w:type="auto"/>
          </w:tcPr>
          <w:p>
            <w:pPr>
              <w:spacing w:line="240" w:lineRule="auto" w:before="0" w:after="0"/>
              <w:pStyle w:val="Compact"/>
            </w:pPr>
            <w:r>
              <w:rPr>
                <w:sz w:val="20"/>
                <w:szCs w:val="20"/>
              </w:rPr>
              <w:t xml:space="preserve">0.2067</w:t>
            </w:r>
          </w:p>
        </w:tc>
        <w:tc>
          <w:tcPr>
            <w:tcW w:w="0" w:type="auto"/>
          </w:tcPr>
          <w:p>
            <w:pPr>
              <w:spacing w:line="240" w:lineRule="auto" w:before="0" w:after="0"/>
              <w:pStyle w:val="Compact"/>
            </w:pPr>
            <w:r>
              <w:rPr>
                <w:sz w:val="20"/>
                <w:szCs w:val="20"/>
              </w:rPr>
              <w:t xml:space="preserve">[-0.0016, 0.0003506]</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2.6545</w:t>
            </w:r>
          </w:p>
        </w:tc>
        <w:tc>
          <w:tcPr>
            <w:tcW w:w="0" w:type="auto"/>
          </w:tcPr>
          <w:p>
            <w:pPr>
              <w:spacing w:line="240" w:lineRule="auto" w:before="0" w:after="0"/>
              <w:pStyle w:val="Compact"/>
            </w:pPr>
            <w:r>
              <w:rPr>
                <w:sz w:val="20"/>
                <w:szCs w:val="20"/>
              </w:rPr>
              <w:t xml:space="preserve">0.5114</w:t>
            </w:r>
          </w:p>
        </w:tc>
        <w:tc>
          <w:tcPr>
            <w:tcW w:w="0" w:type="auto"/>
          </w:tcPr>
          <w:p>
            <w:pPr>
              <w:spacing w:line="240" w:lineRule="auto" w:before="0" w:after="0"/>
              <w:pStyle w:val="Compact"/>
            </w:pPr>
            <w:r>
              <w:rPr>
                <w:sz w:val="20"/>
                <w:szCs w:val="20"/>
              </w:rPr>
              <w:t xml:space="preserve">5.1908</w:t>
            </w:r>
          </w:p>
        </w:tc>
        <w:tc>
          <w:tcPr>
            <w:tcW w:w="0" w:type="auto"/>
          </w:tcPr>
          <w:p>
            <w:pPr>
              <w:spacing w:line="240" w:lineRule="auto" w:before="0" w:after="0"/>
              <w:pStyle w:val="Compact"/>
            </w:pPr>
            <w:r>
              <w:rPr>
                <w:sz w:val="20"/>
                <w:szCs w:val="20"/>
              </w:rPr>
              <w:t xml:space="preserve">2.094e-07</w:t>
            </w:r>
          </w:p>
        </w:tc>
        <w:tc>
          <w:tcPr>
            <w:tcW w:w="0" w:type="auto"/>
          </w:tcPr>
          <w:p>
            <w:pPr>
              <w:spacing w:line="240" w:lineRule="auto" w:before="0" w:after="0"/>
              <w:pStyle w:val="Compact"/>
            </w:pPr>
            <w:r>
              <w:rPr>
                <w:sz w:val="20"/>
                <w:szCs w:val="20"/>
              </w:rPr>
              <w:t xml:space="preserve">[1.6522, 3.6568]</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0.8453</w:t>
            </w:r>
          </w:p>
        </w:tc>
        <w:tc>
          <w:tcPr>
            <w:tcW w:w="0" w:type="auto"/>
          </w:tcPr>
          <w:p>
            <w:pPr>
              <w:spacing w:line="240" w:lineRule="auto" w:before="0" w:after="0"/>
              <w:pStyle w:val="Compact"/>
            </w:pPr>
            <w:r>
              <w:rPr>
                <w:sz w:val="20"/>
                <w:szCs w:val="20"/>
              </w:rPr>
              <w:t xml:space="preserve">0.4945</w:t>
            </w:r>
          </w:p>
        </w:tc>
        <w:tc>
          <w:tcPr>
            <w:tcW w:w="0" w:type="auto"/>
          </w:tcPr>
          <w:p>
            <w:pPr>
              <w:spacing w:line="240" w:lineRule="auto" w:before="0" w:after="0"/>
              <w:pStyle w:val="Compact"/>
            </w:pPr>
            <w:r>
              <w:rPr>
                <w:sz w:val="20"/>
                <w:szCs w:val="20"/>
              </w:rPr>
              <w:t xml:space="preserve">1.7096</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[-0.1238, 1.8145]</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2.7007</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3.8904</w:t>
            </w:r>
          </w:p>
        </w:tc>
        <w:tc>
          <w:tcPr>
            <w:tcW w:w="0" w:type="auto"/>
          </w:tcPr>
          <w:p>
            <w:pPr>
              <w:spacing w:line="240" w:lineRule="auto" w:before="0" w:after="0"/>
              <w:pStyle w:val="Compact"/>
            </w:pPr>
            <w:r>
              <w:rPr>
                <w:sz w:val="20"/>
                <w:szCs w:val="20"/>
              </w:rPr>
              <w:t xml:space="preserve">0.0001001</w:t>
            </w:r>
          </w:p>
        </w:tc>
        <w:tc>
          <w:tcPr>
            <w:tcW w:w="0" w:type="auto"/>
          </w:tcPr>
          <w:p>
            <w:pPr>
              <w:spacing w:line="240" w:lineRule="auto" w:before="0" w:after="0"/>
              <w:pStyle w:val="Compact"/>
            </w:pPr>
            <w:r>
              <w:rPr>
                <w:sz w:val="20"/>
                <w:szCs w:val="20"/>
              </w:rPr>
              <w:t xml:space="preserve">[1.3401, 4.0613]</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3.6815</w:t>
            </w:r>
          </w:p>
        </w:tc>
        <w:tc>
          <w:tcPr>
            <w:tcW w:w="0" w:type="auto"/>
          </w:tcPr>
          <w:p>
            <w:pPr>
              <w:spacing w:line="240" w:lineRule="auto" w:before="0" w:after="0"/>
              <w:pStyle w:val="Compact"/>
            </w:pPr>
            <w:r>
              <w:rPr>
                <w:sz w:val="20"/>
                <w:szCs w:val="20"/>
              </w:rPr>
              <w:t xml:space="preserve">0.9086</w:t>
            </w:r>
          </w:p>
        </w:tc>
        <w:tc>
          <w:tcPr>
            <w:tcW w:w="0" w:type="auto"/>
          </w:tcPr>
          <w:p>
            <w:pPr>
              <w:spacing w:line="240" w:lineRule="auto" w:before="0" w:after="0"/>
              <w:pStyle w:val="Compact"/>
            </w:pPr>
            <w:r>
              <w:rPr>
                <w:sz w:val="20"/>
                <w:szCs w:val="20"/>
              </w:rPr>
              <w:t xml:space="preserve">4.052</w:t>
            </w:r>
          </w:p>
        </w:tc>
        <w:tc>
          <w:tcPr>
            <w:tcW w:w="0" w:type="auto"/>
          </w:tcPr>
          <w:p>
            <w:pPr>
              <w:spacing w:line="240" w:lineRule="auto" w:before="0" w:after="0"/>
              <w:pStyle w:val="Compact"/>
            </w:pPr>
            <w:r>
              <w:rPr>
                <w:sz w:val="20"/>
                <w:szCs w:val="20"/>
              </w:rPr>
              <w:t xml:space="preserve">5.079e-05</w:t>
            </w:r>
          </w:p>
        </w:tc>
        <w:tc>
          <w:tcPr>
            <w:tcW w:w="0" w:type="auto"/>
          </w:tcPr>
          <w:p>
            <w:pPr>
              <w:spacing w:line="240" w:lineRule="auto" w:before="0" w:after="0"/>
              <w:pStyle w:val="Compact"/>
            </w:pPr>
            <w:r>
              <w:rPr>
                <w:sz w:val="20"/>
                <w:szCs w:val="20"/>
              </w:rPr>
              <w:t xml:space="preserve">[1.9008, 5.4623]</w:t>
            </w:r>
          </w:p>
        </w:tc>
      </w:tr>
    </w:tbl>
    <w:p>
      <w:pPr>
        <w:pStyle w:val="BodyText"/>
      </w:pPr>
      <w:r>
        <w:t xml:space="preserve">Fit: N = 72 R2 = 0.5766 R2_adj = 0.5446 F = 39.4234 F_p = 1.502e-18</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7" Target="https://doi.org/10.1016/j.actaastro.2021.03.030" TargetMode="External" /><Relationship Type="http://schemas.openxmlformats.org/officeDocument/2006/relationships/hyperlink" Id="rId75" Target="https://doi.org/10.1016/j.actaastro.2022.05.045" TargetMode="External" /><Relationship Type="http://schemas.openxmlformats.org/officeDocument/2006/relationships/hyperlink" Id="rId79" Target="https://doi.org/10.1016/j.actaastro.2024.03.008"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21.03.030" TargetMode="External" /><Relationship Type="http://schemas.openxmlformats.org/officeDocument/2006/relationships/hyperlink" Id="rId75" Target="https://doi.org/10.1016/j.actaastro.2022.05.045" TargetMode="External" /><Relationship Type="http://schemas.openxmlformats.org/officeDocument/2006/relationships/hyperlink" Id="rId79" Target="https://doi.org/10.1016/j.actaastro.2024.03.00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2026-06-27T21:55:58Z</dcterms:created>
  <dcterms:modified xsi:type="dcterms:W3CDTF">2026-06-27T21:55:58Z</dcterms:modified>
</cp:coreProperties>
</file>

<file path=docProps/custom.xml><?xml version="1.0" encoding="utf-8"?>
<Properties xmlns="http://schemas.openxmlformats.org/officeDocument/2006/custom-properties" xmlns:vt="http://schemas.openxmlformats.org/officeDocument/2006/docPropsVTypes"/>
</file>