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CARRYING CAPACITY UNDER UNCERTAINTY: RECONCILING NASA ORDEM AND ESA MASTER DIVERGENCE INTO A DECISION-RELEVANT CAPACITY ENVELOPE</w:t>
      </w:r>
    </w:p>
    <w:p>
      <w:pPr>
        <w:jc w:val="center"/>
      </w:pPr>
    </w:p>
    <w:p>
      <w:pPr>
        <w:jc w:val="center"/>
      </w:pPr>
      <w:r>
        <w:rPr>
          <w:rFonts w:ascii="Times New Roman" w:hAnsi="Times New Roman"/>
          <w:sz w:val="24"/>
        </w:rPr>
        <w:t>by</w:t>
      </w:r>
    </w:p>
    <w:p>
      <w:pPr>
        <w:jc w:val="center"/>
      </w:pPr>
      <w:r>
        <w:rPr>
          <w:rFonts w:ascii="Times New Roman" w:hAnsi="Times New Roman"/>
          <w:b/>
          <w:sz w:val="28"/>
        </w:rPr>
        <w:t>Henry Ramos</w:t>
      </w:r>
    </w:p>
    <w:p>
      <w:pPr>
        <w:jc w:val="center"/>
      </w:pPr>
      <w:r>
        <w:rPr>
          <w:rFonts w:ascii="Times New Roman" w:hAnsi="Times New Roman"/>
          <w:sz w:val="24"/>
        </w:rPr>
        <w:t>1B-SDA-145</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9" w:name="X698a820a2534281532d7c9744fb0295b5c0fb52"/>
    <w:p>
      <w:pPr>
        <w:pStyle w:val="Heading1"/>
        <w:spacing w:line="480" w:lineRule="auto"/>
      </w:pPr>
      <w:r>
        <w:t xml:space="preserve">Chapter 1. Introduction: Carrying Capacity Under Model Uncertainty</w:t>
      </w:r>
    </w:p>
    <w:p>
      <w:pPr>
        <w:pStyle w:val="FirstParagraph"/>
        <w:spacing w:line="480" w:lineRule="auto"/>
      </w:pPr>
      <w:r>
        <w:t xml:space="preserve">This dissertation opens on one claim about how debris models should enter policy. When ORDEM and MASTER disagree, the disagreement carries information, and that information belongs inside the capacity estimate rather than behind a single averaged number that quietly hides it. Every source cited here comes from the shared reference pool, and no claim reaches past what its source can bear. One rule governs the whole argument. Model disagreement is not noise to be smoothed away; it is a decision-relevant feature that has to travel with the carrying-capacity claim all the way into the room where someone actually decides</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p>
    <w:bookmarkStart w:id="61" w:name="problem-frame"/>
    <w:p>
      <w:pPr>
        <w:pStyle w:val="Heading2"/>
        <w:spacing w:line="480" w:lineRule="auto"/>
      </w:pPr>
      <w:r>
        <w:t xml:space="preserve">Problem frame</w:t>
      </w:r>
    </w:p>
    <w:p>
      <w:pPr>
        <w:pStyle w:val="FirstParagraph"/>
        <w:spacing w:line="480" w:lineRule="auto"/>
      </w:pPr>
      <w:r>
        <w:t xml:space="preserve">Henry Ramos begins from a problem that authoritative divergence creates rather than resolves. Civil agencies, commercial operators, insurers, and standards bodies have all begun asking for capacity language, and they cannot supply it responsibly while the debris environment is presented as settled when it remains contested. ORDEM and MASTER are both credible. That credibility is exactly what makes the space between them expensive to ignore</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because a gap between two respected sources cannot be waved away the way a gap between a strong source and a weak one can</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p>
    <w:p>
      <w:pPr>
        <w:pStyle w:val="BodyText"/>
        <w:spacing w:line="480" w:lineRule="auto"/>
        <w:ind w:firstLine="720"/>
      </w:pPr>
      <w:r>
        <w:t xml:space="preserve">So this chapter adopts a working criterion, and the rest of the dissertation inherits it. A framework earns its keep when it moves a real decision. Restating that debris is dangerous moves nothing, since no program manager doubted it to begin with. Show instead that a licensing threshold survives under both ORDEM and MASTER assumptions, and the threshold gains a firmer footing; show that it flips when the model family changes, and you have a warning worth heeding, because the midpoint of two estimates pointing in opposite directions was never an answer at all</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p>
    <w:p>
      <w:pPr>
        <w:pStyle w:val="BodyText"/>
        <w:spacing w:line="480" w:lineRule="auto"/>
        <w:ind w:firstLine="720"/>
      </w:pPr>
      <w:r>
        <w:t xml:space="preserve">Read this way, uncertainty stops being an admission.</w:t>
      </w:r>
    </w:p>
    <w:p>
      <w:pPr>
        <w:pStyle w:val="BodyText"/>
        <w:spacing w:line="480" w:lineRule="auto"/>
        <w:ind w:firstLine="720"/>
      </w:pPr>
      <w:r>
        <w:t xml:space="preserve">It becomes a signal. A narrow band tells the analyst that model choice is not driving the result, so the argument can proceed on other grounds; a wide band tells the analyst to do one of three concrete things, which are to collect more observations, retreat to a conservative rule, or build a policy that updates as evidence arrives. The signal reads clearest where traffic is climbing fast enough that yesterday’s assumptions have already begun to fray</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Low Earth orbit is no uniform commons. Altitude, inclination, object type, and mission use each carry their own congestion, persistence, and risk. The two empirical papers in this dissertation press the point from opposite ends. One finds present tracked-shell density patterned rather than smooth. The other finds cumulative catalog growth scaling hard across the decades. A single scalar number would have to paper over both the spatial structure and the temporal climb, and that is why it cannot be defended.</w:t>
      </w:r>
    </w:p>
    <w:bookmarkEnd w:id="61"/>
    <w:bookmarkStart w:id="62" w:name="evidence-role"/>
    <w:p>
      <w:pPr>
        <w:pStyle w:val="Heading2"/>
        <w:spacing w:line="480" w:lineRule="auto"/>
      </w:pPr>
      <w:r>
        <w:t xml:space="preserve">Evidence role</w:t>
      </w:r>
    </w:p>
    <w:p>
      <w:pPr>
        <w:pStyle w:val="FirstParagraph"/>
        <w:spacing w:line="480" w:lineRule="auto"/>
      </w:pPr>
      <w:r>
        <w:t xml:space="preserve">The evidence in this dissertation ties licensing, shielding, insurance, remediation priority, and shell management to one central claim, and it never asserts that one source has beaten another into retirement. What the analysis yields is an envelope. Three things set its width at once: how far the models diverge, how much pressure the observable catalog already shows, and where the threshold has been drawn. Width matters most in the sub-catalog regime, where observation is thin, the record uneven, and engineers still have to commit to a flux assumption they can defend on paper</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Nothing here asks an engineer to walk away from ORDEM or MASTER. The request runs the other direction, and it is deliberately modest: report how the model you chose changes an estimate a decision actually turns on. Modest requests are often the useful ones. This one honors the modeler’s expertise while handing the policy user the single thing that credibility claims never supply, a transparent account of consequences</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p>
    <w:p>
      <w:pPr>
        <w:pStyle w:val="BodyText"/>
        <w:spacing w:line="480" w:lineRule="auto"/>
        <w:ind w:firstLine="720"/>
      </w:pPr>
      <w:r>
        <w:t xml:space="preserve">Judgment stays in view for the same reason. No debris fee, shielding standard, launch authorization rule, or remediation priority falls out of orbital mechanics on its own. Each rides on risk tolerance, public purpose, the burden placed on industry, and the slow work of international coordination</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 The envelope does not retire that judgment. It gives the person exercising it a cleaner evidentiary footing to stand on, and that footing is the whole of what the method promises</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p>
    <w:bookmarkEnd w:id="62"/>
    <w:bookmarkStart w:id="63" w:name="methodological-discipline"/>
    <w:p>
      <w:pPr>
        <w:pStyle w:val="Heading2"/>
        <w:spacing w:line="480" w:lineRule="auto"/>
      </w:pPr>
      <w:r>
        <w:t xml:space="preserve">Methodological discipline</w:t>
      </w:r>
    </w:p>
    <w:p>
      <w:pPr>
        <w:pStyle w:val="FirstParagraph"/>
        <w:spacing w:line="480" w:lineRule="auto"/>
      </w:pPr>
      <w:r>
        <w:t xml:space="preserve">Discipline in this dissertation is mostly a matter of holding each source to its own job. NASA’s ORDEM documentation speaks to model process, validation, and intended engineering use. ESA’s MASTER material and its wider environment reporting supply a parallel model and an institutional record to set beside it. SATCAT anchors the argument to a public tracked-object population. The Acta and AMOS papers carry the flux, capacity, and governance context that the model documents alone do not. These are braided together without ever being treated as the same kind of evidence</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p>
    <w:p>
      <w:pPr>
        <w:pStyle w:val="BodyText"/>
        <w:spacing w:line="480" w:lineRule="auto"/>
        <w:ind w:firstLine="720"/>
      </w:pPr>
      <w:r>
        <w:t xml:space="preserve">Watch the seams of that braid.</w:t>
      </w:r>
    </w:p>
    <w:p>
      <w:pPr>
        <w:pStyle w:val="BodyText"/>
        <w:spacing w:line="480" w:lineRule="auto"/>
        <w:ind w:firstLine="720"/>
      </w:pPr>
      <w:r>
        <w:t xml:space="preserve">A validation report is not a statute. A public catalog is not a sub-catalog flux model. A sustainability metric is not a collision engine. Each remains authoritative inside its own domain and misleading a single step outside it, so the method’s real contribution is less a new number than a steady refusal to let any one source quietly stand in for another it was never built to replace</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Against that backdrop the working criterion returns, now as a test of the method rather than the framing. If the analysis only tells the reader debris is dangerous, the discipline has bought nothing. If it shows a threshold holding across both model families, or breaking between them, the discipline has bought the difference between description and support. Uncertainty here is structured information</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and the width of the band is part of the finding rather than a blemish on it</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p>
    <w:bookmarkEnd w:id="63"/>
    <w:bookmarkStart w:id="64" w:name="decision-consequence"/>
    <w:p>
      <w:pPr>
        <w:pStyle w:val="Heading2"/>
        <w:spacing w:line="480" w:lineRule="auto"/>
      </w:pPr>
      <w:r>
        <w:t xml:space="preserve">Decision consequence</w:t>
      </w:r>
    </w:p>
    <w:p>
      <w:pPr>
        <w:pStyle w:val="FirstParagraph"/>
        <w:spacing w:line="480" w:lineRule="auto"/>
      </w:pPr>
      <w:r>
        <w:t xml:space="preserve">The decisions in play are concrete. Whom to license. How much to shield. What to insure, which shells to clear first, and how to manage a crowding orbit as it evolves. A shell carrying heavy tracked pressure, a large active-payload share, and a substantial debris share should not be handled like a sparse one merely because both answer to the name LEO</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By the same logic, a flux disagreement inside a busy shell means something different for policy than the identical proportional disagreement inside a lightly used one, because the exposure underneath it is not the same</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p>
    <w:p>
      <w:pPr>
        <w:pStyle w:val="BodyText"/>
        <w:spacing w:line="480" w:lineRule="auto"/>
        <w:ind w:firstLine="720"/>
      </w:pPr>
      <w:r>
        <w:t xml:space="preserve">An envelope makes that difference legible instead of leaving it buried in an aggregate. A launch-license rule can read the band to sort a proposed deployment into a low, medium, or high concern shell. A shielding standard can lean on the high side for crewed hardware and the midpoint for replaceable robotic systems. A remediation program can steer toward shells where tracked density, debris share, and model-disagreement width all pile up in the same place</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Where the width is small, the threshold survives across model assumptions and the argument moves on. Where it is large, the honest move is to gather more evidence, adopt a conservative rule, or design something adaptive, and that need presses hardest in exactly the fast-growing regimes where old assumptions age worst. None of this removes the human from the loop. It only tells that human where the loose ground lies</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p>
    <w:bookmarkEnd w:id="64"/>
    <w:bookmarkStart w:id="65" w:name="capacity-logic"/>
    <w:p>
      <w:pPr>
        <w:pStyle w:val="Heading2"/>
        <w:spacing w:line="480" w:lineRule="auto"/>
      </w:pPr>
      <w:r>
        <w:t xml:space="preserve">Capacity logic</w:t>
      </w:r>
    </w:p>
    <w:p>
      <w:pPr>
        <w:pStyle w:val="FirstParagraph"/>
        <w:spacing w:line="480" w:lineRule="auto"/>
      </w:pPr>
      <w:r>
        <w:t xml:space="preserve">Carrying capacity is never read straight off an instrument. It is inferred. A chain runs from data to model assumptions to risk thresholds to governance choices, and a point estimate hides most of that chain behind a clean façade that makes the number look more settled than the reasoning ever was. An envelope pulls the chain back into the open, less tidy and more candid, saying plainly where the answer is robust, where it is fragile, and which single measurement would tighten the band if someone chose to fund it</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p>
    <w:p>
      <w:pPr>
        <w:pStyle w:val="BodyText"/>
        <w:spacing w:line="480" w:lineRule="auto"/>
        <w:ind w:firstLine="720"/>
      </w:pPr>
      <w:r>
        <w:t xml:space="preserve">Candor of that kind is the whole reason the approach reports a band instead of a figure. A decision maker who sees only the midpoint learns nothing about how much that midpoint leans on an arbitrary choice between two models. Show the width instead. Width is the one quantity that governs how much confidence the number has earned, and preserving it rather than laundering it away is the difference this dissertation is built to protect</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The two empirical papers earn their place in this logic by supplying the structure a scalar would erase. One shows tracked-shell density arranged rather than uniform. The other shows catalog growth compounding rather than flat. Set side by side, they close off any honest route to a single LEO-wide number</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which is precisely the negative result the envelope was designed to absorb and put to work</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p>
    <w:bookmarkEnd w:id="65"/>
    <w:bookmarkStart w:id="66" w:name="validity-guardrail"/>
    <w:p>
      <w:pPr>
        <w:pStyle w:val="Heading2"/>
        <w:spacing w:line="480" w:lineRule="auto"/>
      </w:pPr>
      <w:r>
        <w:t xml:space="preserve">Validity guardrail</w:t>
      </w:r>
    </w:p>
    <w:p>
      <w:pPr>
        <w:pStyle w:val="FirstParagraph"/>
        <w:spacing w:line="480" w:lineRule="auto"/>
      </w:pPr>
      <w:r>
        <w:t xml:space="preserve">One guardrail keeps the whole construction honest, and it is a refusal of false substitution. SATCAT does not become a flux model because the argument would run smoother if it did. ORDEM and MASTER do not become statutes because a policy wants authority. Flux-criticality work does not become a license rule, and a sustainability rating does not become a collision-probability engine. Each stays useful only as long as it is asked for the claim it can carry, and holding that line across a dozen sources is one of this dissertation’s real contributions</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p>
    <w:p>
      <w:pPr>
        <w:pStyle w:val="BodyText"/>
        <w:spacing w:line="480" w:lineRule="auto"/>
        <w:ind w:firstLine="720"/>
      </w:pPr>
      <w:r>
        <w:t xml:space="preserve">The line matters most where observation runs thinnest, since that is where the temptation to borrow authority from a nearby source is strongest. A validation document can look, at a glance, like it settles a policy threshold. A public catalog can look like it measures sub-catalog flux. Neither does, and the guardrail exists precisely to keep those resemblances from hardening into claims the evidence was never built to support</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So the test applies one last time, now as a test of restraint. Overreach the sources and you buy false confidence; respect them and you buy a defensible band. Narrow, and the threshold travels intact across ORDEM and MASTER. Wide, and the reader is warned off the midpoint, where the warning is itself the finding</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p>
    <w:bookmarkEnd w:id="66"/>
    <w:bookmarkStart w:id="67" w:name="operationalizing-the-envelope"/>
    <w:p>
      <w:pPr>
        <w:pStyle w:val="Heading2"/>
        <w:spacing w:line="480" w:lineRule="auto"/>
      </w:pPr>
      <w:r>
        <w:t xml:space="preserve">Operationalizing the Envelope</w:t>
      </w:r>
    </w:p>
    <w:p>
      <w:pPr>
        <w:pStyle w:val="FirstParagraph"/>
        <w:spacing w:line="480" w:lineRule="auto"/>
      </w:pPr>
      <w:r>
        <w:t xml:space="preserve">Operational use turns the argument into a sequence a working analyst can repeat. It starts before any outputs are compared and ends with a stated sensitivity that names the decision at stake. First, fix the shell, the inclination regime, the size regime, and the policy threshold, so the comparison has a defined object rather than a moving one. Then attach the tracked-catalog anchor, because the visible population marks where the decision is most exposed to congestion and conjunction pressure</w:t>
      </w:r>
      <w:r>
        <w:t xml:space="preserve"> </w:t>
      </w:r>
      <w:hyperlink w:anchor="ref-6">
        <w:r>
          <w:rPr>
            <w:rStyle w:val="Hyperlink"/>
          </w:rPr>
          <w:t xml:space="preserve">[6]</w:t>
        </w:r>
      </w:hyperlink>
      <w:r>
        <w:t xml:space="preserve">.</w:t>
      </w:r>
    </w:p>
    <w:p>
      <w:pPr>
        <w:pStyle w:val="BodyText"/>
        <w:spacing w:line="480" w:lineRule="auto"/>
        <w:ind w:firstLine="720"/>
      </w:pPr>
      <w:r>
        <w:t xml:space="preserve">The next step records the ORDEM and MASTER assumptions in play, among them size bins, altitude ranges, validation basis, and intended engineering use, so that outputs built for different purposes are never treated as interchangeable point estimates. Only then does the analyst compute the width instead of the midpoint alone, and say outright which decision would change if the high-end estimate governed the choice rather than the low-end one. That statement is the deliverable. It converts an abstract band into a named consequence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12">
        <w:r>
          <w:rPr>
            <w:rStyle w:val="Hyperlink"/>
          </w:rPr>
          <w:t xml:space="preserve">[12]</w:t>
        </w:r>
      </w:hyperlink>
      <w:r>
        <w:t xml:space="preserve">,</w:t>
      </w:r>
      <w:r>
        <w:t xml:space="preserve"> </w:t>
      </w:r>
      <w:hyperlink w:anchor="ref-20">
        <w:r>
          <w:rPr>
            <w:rStyle w:val="Hyperlink"/>
          </w:rPr>
          <w:t xml:space="preserve">[20]</w:t>
        </w:r>
      </w:hyperlink>
      <w:r>
        <w:t xml:space="preserve">. The same sequence carries the framework forward in time. A new ORDEM release, a MASTER update, a shift in CelesTrak catalog conditions after fresh launches or decay events, any of these can be absorbed by rerunning the steps, and none touches the underlying logic. This is not a one-time table pinned to a single snapshot. It is a way of keeping orbital carrying-capacity claims current, auditable, and honest about what they do not yet know.</w:t>
      </w:r>
    </w:p>
    <w:bookmarkEnd w:id="67"/>
    <w:bookmarkStart w:id="68" w:name="chapter-synthesis"/>
    <w:p>
      <w:pPr>
        <w:pStyle w:val="Heading2"/>
        <w:spacing w:line="480" w:lineRule="auto"/>
      </w:pPr>
      <w:r>
        <w:t xml:space="preserve">Chapter Synthesis</w:t>
      </w:r>
    </w:p>
    <w:p>
      <w:pPr>
        <w:pStyle w:val="FirstParagraph"/>
        <w:spacing w:line="480" w:lineRule="auto"/>
      </w:pPr>
      <w:r>
        <w:t xml:space="preserve">The chapter closes the introduction on the claim it opened with. Policy problems born from authoritative divergence, ORDEM against MASTER foremost among them, are best answered by translating the disagreement into a capacity envelope rather than concealing it inside a single point estimate. Reported by shell, by regime, and by threshold, that envelope still guides action. It does so while keeping decision makers from mistaking model choice, source incompleteness, or calibration era for a certainty the evidence has not earned</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p>
    <w:bookmarkEnd w:id="68"/>
    <w:bookmarkEnd w:id="69"/>
    <w:bookmarkStart w:id="78" w:name="X8878e601c04ae9c6e8183be4ec0c3f12be698c8"/>
    <w:p>
      <w:pPr>
        <w:pStyle w:val="Heading1"/>
        <w:spacing w:line="480" w:lineRule="auto"/>
      </w:pPr>
      <w:r>
        <w:t xml:space="preserve">Chapter 2. Literature: From Debris Models to Policy Capacity</w:t>
      </w:r>
    </w:p>
    <w:p>
      <w:pPr>
        <w:pStyle w:val="FirstParagraph"/>
        <w:spacing w:line="480" w:lineRule="auto"/>
      </w:pPr>
      <w:r>
        <w:t xml:space="preserve">Three bodies of work sit at the center of this dissertation, and the chapter’s argument is that they have to be read together. Model documentation, debris-environment validation, and orbital sustainability policy are usually kept in separate rooms, treated as background one draws on rather than a single conversation one joins. Read apart, each looks complete. Read together, they expose a gap no single literature closes. Every source cited stays inside the shared reference pool, and the governing rule holds: model disagreement is not a nuisance to be averaged away but a decision-relevant feature that must be carried into the capacity claim</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12">
        <w:r>
          <w:rPr>
            <w:rStyle w:val="Hyperlink"/>
          </w:rPr>
          <w:t xml:space="preserve">[12]</w:t>
        </w:r>
      </w:hyperlink>
      <w:r>
        <w:t xml:space="preserve">.</w:t>
      </w:r>
    </w:p>
    <w:bookmarkStart w:id="70" w:name="problem-frame-1"/>
    <w:p>
      <w:pPr>
        <w:pStyle w:val="Heading2"/>
        <w:spacing w:line="480" w:lineRule="auto"/>
      </w:pPr>
      <w:r>
        <w:t xml:space="preserve">Problem frame</w:t>
      </w:r>
    </w:p>
    <w:p>
      <w:pPr>
        <w:pStyle w:val="FirstParagraph"/>
        <w:spacing w:line="480" w:lineRule="auto"/>
      </w:pPr>
      <w:r>
        <w:t xml:space="preserve">For Henry Ramos, the chapter matters because those three literatures have never been properly joined for decision use. Civil agencies, commercial operators, insurers, and standards bodies keep asking for a vocabulary of capacity, and that vocabulary fails them the moment the environmental substrate is treated as settled despite real uncertainty. ORDEM and MASTER are both legitimate. Their legitimacy is the whole reason divergence between them matters, since disagreement between weak sources can be discounted while disagreement between authoritative ones has to be managed</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12">
        <w:r>
          <w:rPr>
            <w:rStyle w:val="Hyperlink"/>
          </w:rPr>
          <w:t xml:space="preserve">[12]</w:t>
        </w:r>
      </w:hyperlink>
      <w:r>
        <w:t xml:space="preserve">.</w:t>
      </w:r>
    </w:p>
    <w:p>
      <w:pPr>
        <w:pStyle w:val="BodyText"/>
        <w:spacing w:line="480" w:lineRule="auto"/>
        <w:ind w:firstLine="720"/>
      </w:pPr>
      <w:r>
        <w:t xml:space="preserve">The test stays practical throughout the review.</w:t>
      </w:r>
    </w:p>
    <w:p>
      <w:pPr>
        <w:pStyle w:val="BodyText"/>
        <w:spacing w:line="480" w:lineRule="auto"/>
        <w:ind w:firstLine="720"/>
      </w:pPr>
      <w:r>
        <w:t xml:space="preserve">Does the framework change a real decision, or does it merely restate a known hazard?</w:t>
      </w:r>
    </w:p>
    <w:p>
      <w:pPr>
        <w:pStyle w:val="BodyText"/>
        <w:spacing w:line="480" w:lineRule="auto"/>
        <w:ind w:firstLine="720"/>
      </w:pPr>
      <w:r>
        <w:t xml:space="preserve">A review that only reminds the reader debris is dangerous adds nothing. A review that shows a threshold holding under both ORDEM and MASTER strengthens the case for that threshold; one that shows the threshold moving with the model family warns against mistaking the midpoint for the answer. That is the line between technical description and decision support, and the literature has mostly stopped short of it</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12">
        <w:r>
          <w:rPr>
            <w:rStyle w:val="Hyperlink"/>
          </w:rPr>
          <w:t xml:space="preserve">[12]</w:t>
        </w:r>
      </w:hyperlink>
      <w:r>
        <w:t xml:space="preserve">. Uncertainty, read as structure rather than embarrassment, does more work than an averaged number ever could. Narrow means model choice is not driving the result. Wide means the decision maker should gather more evidence, fall back to a conservative rule, or design something adaptive, and the pressure to do so grows wherever traffic climbs fast enough to age the old assumptions</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12">
        <w:r>
          <w:rPr>
            <w:rStyle w:val="Hyperlink"/>
          </w:rPr>
          <w:t xml:space="preserve">[12]</w:t>
        </w:r>
      </w:hyperlink>
      <w:r>
        <w:t xml:space="preserve">. Low Earth orbit is not a uniform commons. It is stratified into altitude, inclination, object-type, and mission-use regimes whose congestion, persistence, and risk profiles diverge, and the empirical papers sharpen the picture from two sides. One reports structured current tracked-shell density. The other reports cumulative catalog growth scaling hard over time. Together they make a single-number capacity difficult to defend.</w:t>
      </w:r>
    </w:p>
    <w:bookmarkEnd w:id="70"/>
    <w:bookmarkStart w:id="71" w:name="evidence-role-1"/>
    <w:p>
      <w:pPr>
        <w:pStyle w:val="Heading2"/>
        <w:spacing w:line="480" w:lineRule="auto"/>
      </w:pPr>
      <w:r>
        <w:t xml:space="preserve">Evidence role</w:t>
      </w:r>
    </w:p>
    <w:p>
      <w:pPr>
        <w:pStyle w:val="FirstParagraph"/>
        <w:spacing w:line="480" w:lineRule="auto"/>
      </w:pPr>
      <w:r>
        <w:t xml:space="preserve">This chapter connects NASA model validation, ESA environment reporting, MASTER validation, flux criticality, and sustainability metrics to the dissertation’s claim, and it stops short of arguing that any one source has defeated another. What the literature supports, when read carefully, is an envelope whose width tracks three things: model disagreement, observable catalog pressure, and threshold choice. That framing bites hardest for sub-catalog debris, where observation stays incomplete yet engineering decisions still demand a defensible flux assumption</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12">
        <w:r>
          <w:rPr>
            <w:rStyle w:val="Hyperlink"/>
          </w:rPr>
          <w:t xml:space="preserve">[12]</w:t>
        </w:r>
      </w:hyperlink>
      <w:r>
        <w:t xml:space="preserve">.</w:t>
      </w:r>
    </w:p>
    <w:p>
      <w:pPr>
        <w:pStyle w:val="BodyText"/>
        <w:spacing w:line="480" w:lineRule="auto"/>
        <w:ind w:firstLine="720"/>
      </w:pPr>
      <w:r>
        <w:t xml:space="preserve">For a literature review, the payoff is narrow but real.</w:t>
      </w:r>
    </w:p>
    <w:p>
      <w:pPr>
        <w:pStyle w:val="BodyText"/>
        <w:spacing w:line="480" w:lineRule="auto"/>
        <w:ind w:firstLine="720"/>
      </w:pPr>
      <w:r>
        <w:t xml:space="preserve">A framework that only restates the hazard adds little.</w:t>
      </w:r>
    </w:p>
    <w:p>
      <w:pPr>
        <w:pStyle w:val="BodyText"/>
        <w:spacing w:line="480" w:lineRule="auto"/>
        <w:ind w:firstLine="720"/>
      </w:pPr>
      <w:r>
        <w:t xml:space="preserve">A framework that shows a threshold surviving both model families strengthens the decision; one that shows it shifting with the family cautions against the midpoint. Uncertainty enters as structured information rather than as a defect to be hidden</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12">
        <w:r>
          <w:rPr>
            <w:rStyle w:val="Hyperlink"/>
          </w:rPr>
          <w:t xml:space="preserve">[12]</w:t>
        </w:r>
      </w:hyperlink>
      <w:r>
        <w:t xml:space="preserve">. The literature reinforces the spatial point from both empirical directions. Structured density on one side, strongly scaled growth on the other, and between them a commons too differentiated to summarize with a scalar. None of this asks engineers to abandon ORDEM or MASTER. It asks analysts to report how model choice moves a decision-relevant estimate, a smaller demand that respects the modeler while giving the policy user the transparent consequences credibility claims alone withhold</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12">
        <w:r>
          <w:rPr>
            <w:rStyle w:val="Hyperlink"/>
          </w:rPr>
          <w:t xml:space="preserve">[12]</w:t>
        </w:r>
      </w:hyperlink>
      <w:r>
        <w:t xml:space="preserve">. Judgment stays visible even in a review. No debris fee, shielding standard, launch authorization rule, or remediation priority comes from physics alone. Each turns on risk tolerance, public purpose, industry burden, and international coordination, and the envelope disciplines that judgment rather than removing it</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12">
        <w:r>
          <w:rPr>
            <w:rStyle w:val="Hyperlink"/>
          </w:rPr>
          <w:t xml:space="preserve">[12]</w:t>
        </w:r>
      </w:hyperlink>
      <w:r>
        <w:t xml:space="preserve">.</w:t>
      </w:r>
    </w:p>
    <w:bookmarkEnd w:id="71"/>
    <w:bookmarkStart w:id="72" w:name="methodological-discipline-1"/>
    <w:p>
      <w:pPr>
        <w:pStyle w:val="Heading2"/>
        <w:spacing w:line="480" w:lineRule="auto"/>
      </w:pPr>
      <w:r>
        <w:t xml:space="preserve">Methodological discipline</w:t>
      </w:r>
    </w:p>
    <w:p>
      <w:pPr>
        <w:pStyle w:val="FirstParagraph"/>
        <w:spacing w:line="480" w:lineRule="auto"/>
      </w:pPr>
      <w:r>
        <w:t xml:space="preserve">Discipline here means keeping each source in its proper evidentiary role, and the review is organized to make that easy to check. ORDEM documentation explains model process, validation, and engineering use. MASTER and the wider ESA environment reporting supply a parallel model and an institutional base. SATCAT anchors the tracked-object population, and the Acta and AMOS papers add flux, capacity, and governance context. They are combined, never treated as interchangeable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12">
        <w:r>
          <w:rPr>
            <w:rStyle w:val="Hyperlink"/>
          </w:rPr>
          <w:t xml:space="preserve">[12]</w:t>
        </w:r>
      </w:hyperlink>
      <w:r>
        <w:t xml:space="preserve">.</w:t>
      </w:r>
    </w:p>
    <w:p>
      <w:pPr>
        <w:pStyle w:val="BodyText"/>
        <w:spacing w:line="480" w:lineRule="auto"/>
        <w:ind w:firstLine="720"/>
      </w:pPr>
      <w:r>
        <w:t xml:space="preserve">That distinction is the review’s spine.</w:t>
      </w:r>
    </w:p>
    <w:p>
      <w:pPr>
        <w:pStyle w:val="BodyText"/>
        <w:spacing w:line="480" w:lineRule="auto"/>
        <w:ind w:firstLine="720"/>
      </w:pPr>
      <w:r>
        <w:t xml:space="preserve">If a framework only restates the hazard, it has bought nothing. If it shows a threshold holding across both families, or breaking between them, it has bought the difference between description and support. Uncertainty is structured information, and the band’s width is part of the finding</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12">
        <w:r>
          <w:rPr>
            <w:rStyle w:val="Hyperlink"/>
          </w:rPr>
          <w:t xml:space="preserve">[12]</w:t>
        </w:r>
      </w:hyperlink>
      <w:r>
        <w:t xml:space="preserve">. Low Earth orbit is not a uniform commons. Altitude, inclination, object-type, and mission-use regimes each carry their own congestion, persistence, and risk. One empirical paper shows tracked-shell density structured; the other shows catalog growth scaling hard, and the two together defeat the scalar summary</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12">
        <w:r>
          <w:rPr>
            <w:rStyle w:val="Hyperlink"/>
          </w:rPr>
          <w:t xml:space="preserve">[12]</w:t>
        </w:r>
      </w:hyperlink>
      <w:r>
        <w:t xml:space="preserve">. Compatibility with engineering practice follows from the small size of the demand. The framework does not ask engineers to leave ORDEM or MASTER. It asks analysts to report how the choice of model changes a decision-relevant estimate, and that narrower requirement respects model expertise while acknowledging that policy users need transparent consequences, not credibility claims alone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12">
        <w:r>
          <w:rPr>
            <w:rStyle w:val="Hyperlink"/>
          </w:rPr>
          <w:t xml:space="preserve">[12]</w:t>
        </w:r>
      </w:hyperlink>
      <w:r>
        <w:t xml:space="preserve">.</w:t>
      </w:r>
    </w:p>
    <w:bookmarkEnd w:id="72"/>
    <w:bookmarkStart w:id="73" w:name="decision-consequence-1"/>
    <w:p>
      <w:pPr>
        <w:pStyle w:val="Heading2"/>
        <w:spacing w:line="480" w:lineRule="auto"/>
      </w:pPr>
      <w:r>
        <w:t xml:space="preserve">Decision consequence</w:t>
      </w:r>
    </w:p>
    <w:p>
      <w:pPr>
        <w:pStyle w:val="FirstParagraph"/>
        <w:spacing w:line="480" w:lineRule="auto"/>
      </w:pPr>
      <w:r>
        <w:t xml:space="preserve">Consequence enters this review through NASA model validation, ESA environment reporting, MASTER validation, flux criticality, and sustainability metrics. A shell heavy with tracked pressure, active-payload share, and debris share should not be handled like a sparse one merely because both are labeled LEO. A flux disagreement in a busy shell carries a policy meaning the same proportional disagreement in a quiet shell does not. The envelope makes that contrast explicit by asking whether the disagreement changes a decision rather than restating that debris is dangerous</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12">
        <w:r>
          <w:rPr>
            <w:rStyle w:val="Hyperlink"/>
          </w:rPr>
          <w:t xml:space="preserve">[12]</w:t>
        </w:r>
      </w:hyperlink>
      <w:r>
        <w:t xml:space="preserve">.</w:t>
      </w:r>
    </w:p>
    <w:p>
      <w:pPr>
        <w:pStyle w:val="BodyText"/>
        <w:spacing w:line="480" w:lineRule="auto"/>
        <w:ind w:firstLine="720"/>
      </w:pPr>
      <w:r>
        <w:t xml:space="preserve">Where a threshold holds under both ORDEM and MASTER, the framework strengthens the decision. Where it changes with the family, the framework cautions against the midpoint. That is the whole difference between description and support</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12">
        <w:r>
          <w:rPr>
            <w:rStyle w:val="Hyperlink"/>
          </w:rPr>
          <w:t xml:space="preserve">[12]</w:t>
        </w:r>
      </w:hyperlink>
      <w:r>
        <w:t xml:space="preserve">. Uncertainty is structured information, not embarrassment. Narrow bands say model choice is not driving the decision. Wide bands call for more evidence, a conservative rule, or adaptive policy, most urgently where fast growth has already begun to fray the assumptions</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12">
        <w:r>
          <w:rPr>
            <w:rStyle w:val="Hyperlink"/>
          </w:rPr>
          <w:t xml:space="preserve">[12]</w:t>
        </w:r>
      </w:hyperlink>
      <w:r>
        <w:t xml:space="preserve">. The commons stays differentiated across every regime the review touches. Structured density and scaled growth are the two empirical anchors, and neither survives aggregation into a single figure. Compatibility with practice holds because the framework asks only for a report of how model choice moves the estimate, which respects expertise while surfacing consequences. Judgment remains, resting on risk tolerance, public purpose, industry burden, and coordination, and the envelope gives it a firmer footing</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12">
        <w:r>
          <w:rPr>
            <w:rStyle w:val="Hyperlink"/>
          </w:rPr>
          <w:t xml:space="preserve">[12]</w:t>
        </w:r>
      </w:hyperlink>
      <w:r>
        <w:t xml:space="preserve">.</w:t>
      </w:r>
    </w:p>
    <w:bookmarkEnd w:id="73"/>
    <w:bookmarkStart w:id="74" w:name="capacity-logic-1"/>
    <w:p>
      <w:pPr>
        <w:pStyle w:val="Heading2"/>
        <w:spacing w:line="480" w:lineRule="auto"/>
      </w:pPr>
      <w:r>
        <w:t xml:space="preserve">Capacity logic</w:t>
      </w:r>
    </w:p>
    <w:p>
      <w:pPr>
        <w:pStyle w:val="FirstParagraph"/>
        <w:spacing w:line="480" w:lineRule="auto"/>
      </w:pPr>
      <w:r>
        <w:t xml:space="preserve">Capacity cannot be observed directly. It is inferred through linked data, model assumptions, risk thresholds, and governance choices, and a point estimate hides parts of that chain while an envelope makes them visible. Less tidy, more candid. The band tells a reader where the result is robust, where it is sensitive, and what measurement would tighten it, and that is a service no single figure performs</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12">
        <w:r>
          <w:rPr>
            <w:rStyle w:val="Hyperlink"/>
          </w:rPr>
          <w:t xml:space="preserve">[12]</w:t>
        </w:r>
      </w:hyperlink>
      <w:r>
        <w:t xml:space="preserve">.</w:t>
      </w:r>
    </w:p>
    <w:p>
      <w:pPr>
        <w:pStyle w:val="BodyText"/>
        <w:spacing w:line="480" w:lineRule="auto"/>
        <w:ind w:firstLine="720"/>
      </w:pPr>
      <w:r>
        <w:t xml:space="preserve">For a review, the practical test is unchanged. Restate the hazard and you add little. Show a threshold robust under both ORDEM and MASTER and you strengthen the decision; show it moving with the family and the midpoint should not stand for the policy answer. That distinction separates description from support</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12">
        <w:r>
          <w:rPr>
            <w:rStyle w:val="Hyperlink"/>
          </w:rPr>
          <w:t xml:space="preserve">[12]</w:t>
        </w:r>
      </w:hyperlink>
      <w:r>
        <w:t xml:space="preserve">.</w:t>
      </w:r>
    </w:p>
    <w:p>
      <w:pPr>
        <w:pStyle w:val="BodyText"/>
        <w:spacing w:line="480" w:lineRule="auto"/>
        <w:ind w:firstLine="720"/>
      </w:pPr>
      <w:r>
        <w:t xml:space="preserve">Narrow envelopes reassure, and wide ones instruct. A narrow band means model choice is not driving the decision; a wide one means the decision maker should gather more evidence, choose a conservative rule, or design adaptively, especially where fast growth ages the assumptions. The literature supplies the supporting pattern, structured density on one side and scaled growth on the other, and the two together keep a single-number capacity out of reach</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12">
        <w:r>
          <w:rPr>
            <w:rStyle w:val="Hyperlink"/>
          </w:rPr>
          <w:t xml:space="preserve">[12]</w:t>
        </w:r>
      </w:hyperlink>
      <w:r>
        <w:t xml:space="preserve">.</w:t>
      </w:r>
    </w:p>
    <w:p>
      <w:pPr>
        <w:pStyle w:val="BodyText"/>
        <w:spacing w:line="480" w:lineRule="auto"/>
        <w:ind w:firstLine="720"/>
      </w:pPr>
      <w:r>
        <w:t xml:space="preserve">Judgment stays visible throughout. A debris fee, shielding standard, launch authorization rule, or remediation priority cannot come from physics alone, since each depends on risk tolerance, public purpose, industry burden, and coordination, and the envelope supplies a disciplined basis without removing the judgment</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12">
        <w:r>
          <w:rPr>
            <w:rStyle w:val="Hyperlink"/>
          </w:rPr>
          <w:t xml:space="preserve">[12]</w:t>
        </w:r>
      </w:hyperlink>
      <w:r>
        <w:t xml:space="preserve">.</w:t>
      </w:r>
    </w:p>
    <w:bookmarkEnd w:id="74"/>
    <w:bookmarkStart w:id="75" w:name="validity-guardrail-1"/>
    <w:p>
      <w:pPr>
        <w:pStyle w:val="Heading2"/>
        <w:spacing w:line="480" w:lineRule="auto"/>
      </w:pPr>
      <w:r>
        <w:t xml:space="preserve">Validity guardrail</w:t>
      </w:r>
    </w:p>
    <w:p>
      <w:pPr>
        <w:pStyle w:val="FirstParagraph"/>
        <w:spacing w:line="480" w:lineRule="auto"/>
      </w:pPr>
      <w:r>
        <w:t xml:space="preserve">The principal guardrail is a refusal of false substitution, and the review returns to it deliberately. SATCAT is not a sub-catalog flux model. ORDEM and MASTER are not statutes. Flux-criticality papers are not license rules, and sustainability ratings are not collision-probability engines. Each stays valuable only when used for the claim it can support, and holding that role discipline across sources is a central contribution</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12">
        <w:r>
          <w:rPr>
            <w:rStyle w:val="Hyperlink"/>
          </w:rPr>
          <w:t xml:space="preserve">[12]</w:t>
        </w:r>
      </w:hyperlink>
      <w:r>
        <w:t xml:space="preserve">.</w:t>
      </w:r>
    </w:p>
    <w:p>
      <w:pPr>
        <w:pStyle w:val="BodyText"/>
        <w:spacing w:line="480" w:lineRule="auto"/>
        <w:ind w:firstLine="720"/>
      </w:pPr>
      <w:r>
        <w:t xml:space="preserve">Apply the working test once more. A framework that overreaches its sources adds little; one that respects them earns a defensible band. Where the band is narrow, the same threshold can be defended across model assumptions. Where it is wide, the result warns against letting a single midpoint stand for the answer when the model family itself moves the threshold, and that warning matters most where fast growth has already aged the assumptions</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12">
        <w:r>
          <w:rPr>
            <w:rStyle w:val="Hyperlink"/>
          </w:rPr>
          <w:t xml:space="preserve">[12]</w:t>
        </w:r>
      </w:hyperlink>
      <w:r>
        <w:t xml:space="preserve">.</w:t>
      </w:r>
    </w:p>
    <w:p>
      <w:pPr>
        <w:pStyle w:val="BodyText"/>
        <w:spacing w:line="480" w:lineRule="auto"/>
        <w:ind w:firstLine="720"/>
      </w:pPr>
      <w:r>
        <w:t xml:space="preserve">Low Earth orbit is not a uniform commons. Composed of altitude, inclination, object-type, and mission-use regimes that differ in congestion, persistence, and risk, it turns the two empirical findings into a single lesson: tracked-shell density is structured, cumulative growth has scaled hard, and a scalar capacity cannot hold both at once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12">
        <w:r>
          <w:rPr>
            <w:rStyle w:val="Hyperlink"/>
          </w:rPr>
          <w:t xml:space="preserve">[12]</w:t>
        </w:r>
      </w:hyperlink>
      <w:r>
        <w:t xml:space="preserve">.</w:t>
      </w:r>
    </w:p>
    <w:p>
      <w:pPr>
        <w:pStyle w:val="BodyText"/>
        <w:spacing w:line="480" w:lineRule="auto"/>
        <w:ind w:firstLine="720"/>
      </w:pPr>
      <w:r>
        <w:t xml:space="preserve">Reporting model-choice effects respects expertise while giving policy users the consequences they need. Judgment remains visible, resting on risk tolerance, public purpose, industry burden, and coordination, and the envelope gives it a disciplined evidentiary basis rather than taking it away.</w:t>
      </w:r>
    </w:p>
    <w:bookmarkEnd w:id="75"/>
    <w:bookmarkStart w:id="76" w:name="operationalizing-the-envelope-1"/>
    <w:p>
      <w:pPr>
        <w:pStyle w:val="Heading2"/>
        <w:spacing w:line="480" w:lineRule="auto"/>
      </w:pPr>
      <w:r>
        <w:t xml:space="preserve">Operationalizing the Envelope</w:t>
      </w:r>
    </w:p>
    <w:p>
      <w:pPr>
        <w:pStyle w:val="FirstParagraph"/>
        <w:spacing w:line="480" w:lineRule="auto"/>
      </w:pPr>
      <w:r>
        <w:t xml:space="preserve">Operational use turns the review into repeatable decision steps, and order matters. First, define the shell, inclination regime, size regime, and policy threshold before any outputs are compared. Second, attach the tracked-catalog anchor, since the visible population marks where a decision is most exposed to congestion and conjunction pressure</w:t>
      </w:r>
      <w:r>
        <w:t xml:space="preserve"> </w:t>
      </w:r>
      <w:hyperlink w:anchor="ref-6">
        <w:r>
          <w:rPr>
            <w:rStyle w:val="Hyperlink"/>
          </w:rPr>
          <w:t xml:space="preserve">[6]</w:t>
        </w:r>
      </w:hyperlink>
      <w:r>
        <w:t xml:space="preserve">. Third, record the relevant ORDEM and MASTER assumptions, size bins, altitude ranges, validation basis, and intended engineering use among them</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 Fourth, compute the width, not just the midpoint. Fifth, name which decision would change if the high-end estimate rather than the low-end one were used.</w:t>
      </w:r>
    </w:p>
    <w:p>
      <w:pPr>
        <w:pStyle w:val="BodyText"/>
        <w:spacing w:line="480" w:lineRule="auto"/>
        <w:ind w:firstLine="720"/>
      </w:pPr>
      <w:r>
        <w:t xml:space="preserve">For governance, that sequence links model comparison to decisions without spurious precision. A launch-license rule might read the band to sort a deployment into a low, medium, or high concern shell, while a shielding standard leans on the high side for crewed systems and the midpoint for replaceable robotic ones. A remediation policy might target shells where tracked density, debris share, and model-disagreement width overlap. A fee schedule might charge more where marginal occupancy adds risk to a crowded regime. None of these requires false certainty; each requires a transparent link from evidence to action</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12">
        <w:r>
          <w:rPr>
            <w:rStyle w:val="Hyperlink"/>
          </w:rPr>
          <w:t xml:space="preserve">[12]</w:t>
        </w:r>
      </w:hyperlink>
      <w:r>
        <w:t xml:space="preserve">,</w:t>
      </w:r>
      <w:r>
        <w:t xml:space="preserve"> </w:t>
      </w:r>
      <w:hyperlink w:anchor="ref-20">
        <w:r>
          <w:rPr>
            <w:rStyle w:val="Hyperlink"/>
          </w:rPr>
          <w:t xml:space="preserve">[20]</w:t>
        </w:r>
      </w:hyperlink>
      <w:r>
        <w:t xml:space="preserve">.</w:t>
      </w:r>
    </w:p>
    <w:p>
      <w:pPr>
        <w:pStyle w:val="BodyText"/>
        <w:spacing w:line="480" w:lineRule="auto"/>
        <w:ind w:firstLine="720"/>
      </w:pPr>
      <w:r>
        <w:t xml:space="preserve">Later updates fit the same sequence. A new ORDEM version, a MASTER update, or a shift in CelesTrak catalog conditions after fresh launches or decay events can be rerun without changing the logic. This is not a one-time table. It is a method for keeping orbital carrying-capacity claims current, auditable, and explicit about uncertainty.</w:t>
      </w:r>
    </w:p>
    <w:bookmarkEnd w:id="76"/>
    <w:bookmarkStart w:id="77" w:name="chapter-synthesis-1"/>
    <w:p>
      <w:pPr>
        <w:pStyle w:val="Heading2"/>
        <w:spacing w:line="480" w:lineRule="auto"/>
      </w:pPr>
      <w:r>
        <w:t xml:space="preserve">Chapter Synthesis</w:t>
      </w:r>
    </w:p>
    <w:p>
      <w:pPr>
        <w:pStyle w:val="FirstParagraph"/>
        <w:spacing w:line="480" w:lineRule="auto"/>
      </w:pPr>
      <w:r>
        <w:t xml:space="preserve">The chapter supports the dissertation by insisting that three literatures rarely joined for decision use, model documentation, debris-environment validation, and orbital sustainability policy, be read as one. For practice, that means reporting orbital carrying capacity as a structured envelope by shell, regime, and threshold. Such an envelope still supports action while lowering the risk that decision makers mistake model choice, source incompleteness, or calibration era for certainty</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12">
        <w:r>
          <w:rPr>
            <w:rStyle w:val="Hyperlink"/>
          </w:rPr>
          <w:t xml:space="preserve">[12]</w:t>
        </w:r>
      </w:hyperlink>
      <w:r>
        <w:t xml:space="preserve">.</w:t>
      </w:r>
    </w:p>
    <w:bookmarkEnd w:id="77"/>
    <w:bookmarkEnd w:id="78"/>
    <w:bookmarkStart w:id="87" w:name="X795e751f2a37112bf656f6a22173bb828817650"/>
    <w:p>
      <w:pPr>
        <w:pStyle w:val="Heading1"/>
        <w:spacing w:line="480" w:lineRule="auto"/>
      </w:pPr>
      <w:r>
        <w:t xml:space="preserve">Chapter 3. Theory: The Capacity Envelope as a Governance Object</w:t>
      </w:r>
    </w:p>
    <w:p>
      <w:pPr>
        <w:pStyle w:val="FirstParagraph"/>
        <w:spacing w:line="480" w:lineRule="auto"/>
      </w:pPr>
      <w:r>
        <w:t xml:space="preserve">This chapter builds the conceptual core of the dissertation. Capacity, on the account developed here, is a band shaped by evidence, model choice, and threshold policy, and the theory’s task is to show that such a band can hold its uncertainty and still direct action. Every source stays inside the shared reference pool. The governing rule carries over unchanged: model disagreement is not a nuisance to be averaged away, but a decision-relevant feature that has to be propagated into the carrying-capacity claim</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20">
        <w:r>
          <w:rPr>
            <w:rStyle w:val="Hyperlink"/>
          </w:rPr>
          <w:t xml:space="preserve">[20]</w:t>
        </w:r>
      </w:hyperlink>
      <w:r>
        <w:t xml:space="preserve">.</w:t>
      </w:r>
    </w:p>
    <w:bookmarkStart w:id="79" w:name="problem-frame-2"/>
    <w:p>
      <w:pPr>
        <w:pStyle w:val="Heading2"/>
        <w:spacing w:line="480" w:lineRule="auto"/>
      </w:pPr>
      <w:r>
        <w:t xml:space="preserve">Problem frame</w:t>
      </w:r>
    </w:p>
    <w:p>
      <w:pPr>
        <w:pStyle w:val="FirstParagraph"/>
        <w:spacing w:line="480" w:lineRule="auto"/>
      </w:pPr>
      <w:r>
        <w:t xml:space="preserve">Henry Ramos needs this chapter because it defines the object everything else operates on. Capacity is treated as a band, not a settled value, shaped at once by evidence, model choice, and threshold policy. Civil agencies, commercial operators, insurers, and standards bodies keep reaching for capacity language, and they cannot wield it responsibly while the environmental substrate is assumed settled when it is not. ORDEM and MASTER are both legitimate model families. Their authority is precisely why the space between them matters, since a disagreement between weak sources can be ignored while one between authoritative sources has to be managed</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20">
        <w:r>
          <w:rPr>
            <w:rStyle w:val="Hyperlink"/>
          </w:rPr>
          <w:t xml:space="preserve">[20]</w:t>
        </w:r>
      </w:hyperlink>
      <w:r>
        <w:t xml:space="preserve">.</w:t>
      </w:r>
    </w:p>
    <w:p>
      <w:pPr>
        <w:pStyle w:val="BodyText"/>
        <w:spacing w:line="480" w:lineRule="auto"/>
        <w:ind w:firstLine="720"/>
      </w:pPr>
      <w:r>
        <w:t xml:space="preserve">For a theory chapter, the working test is whether the framework changes a real decision.</w:t>
      </w:r>
    </w:p>
    <w:p>
      <w:pPr>
        <w:pStyle w:val="BodyText"/>
        <w:spacing w:line="480" w:lineRule="auto"/>
        <w:ind w:firstLine="720"/>
      </w:pPr>
      <w:r>
        <w:t xml:space="preserve">Restate that debris is dangerous and you add little.</w:t>
      </w:r>
    </w:p>
    <w:p>
      <w:pPr>
        <w:pStyle w:val="BodyText"/>
        <w:spacing w:line="480" w:lineRule="auto"/>
        <w:ind w:firstLine="720"/>
      </w:pPr>
      <w:r>
        <w:t xml:space="preserve">Show a threshold holding under both ORDEM and MASTER, and the decision gains support; show it flipping when the model family changes, and the midpoint stands revealed as no answer at all. That separates description from decision support</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20">
        <w:r>
          <w:rPr>
            <w:rStyle w:val="Hyperlink"/>
          </w:rPr>
          <w:t xml:space="preserve">[20]</w:t>
        </w:r>
      </w:hyperlink>
      <w:r>
        <w:t xml:space="preserve">. Uncertainty, in this theory, is structured information rather than embarrassment. Narrow means model choice is not driving the decision. Wide points toward more evidence, a conservative rule, or an adaptive policy, and the pull is strongest where fast traffic growth has already made the old assumptions brittle</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20">
        <w:r>
          <w:rPr>
            <w:rStyle w:val="Hyperlink"/>
          </w:rPr>
          <w:t xml:space="preserve">[20]</w:t>
        </w:r>
      </w:hyperlink>
      <w:r>
        <w:t xml:space="preserve">. Low Earth orbit is no uniform commons. It is a set of altitude, inclination, object-type, and mission-use regimes, each with its own congestion, persistence, and risk. One empirical paper finds tracked-shell density structured; the other finds catalog growth scaling hard over time. Between them they close the door on a single-number capacity, and the theory is built to work inside that closed door rather than pretend it open</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20">
        <w:r>
          <w:rPr>
            <w:rStyle w:val="Hyperlink"/>
          </w:rPr>
          <w:t xml:space="preserve">[20]</w:t>
        </w:r>
      </w:hyperlink>
      <w:r>
        <w:t xml:space="preserve">.</w:t>
      </w:r>
    </w:p>
    <w:bookmarkEnd w:id="79"/>
    <w:bookmarkStart w:id="80" w:name="evidence-role-2"/>
    <w:p>
      <w:pPr>
        <w:pStyle w:val="Heading2"/>
        <w:spacing w:line="480" w:lineRule="auto"/>
      </w:pPr>
      <w:r>
        <w:t xml:space="preserve">Evidence role</w:t>
      </w:r>
    </w:p>
    <w:p>
      <w:pPr>
        <w:pStyle w:val="FirstParagraph"/>
        <w:spacing w:line="480" w:lineRule="auto"/>
      </w:pPr>
      <w:r>
        <w:t xml:space="preserve">This chapter binds observable catalog pressure, sub-catalog flux, threshold choice, and downstream consequence to the dissertation’s claim, and it declines the stronger claim that any source has defeated another. What the theory names as the policy object is an envelope, its width set by model disagreement, observable pressure, and threshold choice, and that object matters most for sub-catalog debris, where observation stays incomplete but a defensible flux assumption is still required</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20">
        <w:r>
          <w:rPr>
            <w:rStyle w:val="Hyperlink"/>
          </w:rPr>
          <w:t xml:space="preserve">[20]</w:t>
        </w:r>
      </w:hyperlink>
      <w:r>
        <w:t xml:space="preserve">.</w:t>
      </w:r>
    </w:p>
    <w:p>
      <w:pPr>
        <w:pStyle w:val="BodyText"/>
        <w:spacing w:line="480" w:lineRule="auto"/>
        <w:ind w:firstLine="720"/>
      </w:pPr>
      <w:r>
        <w:t xml:space="preserve">The working test recurs, now as a test of the theory’s evidentiary reach.</w:t>
      </w:r>
    </w:p>
    <w:p>
      <w:pPr>
        <w:pStyle w:val="BodyText"/>
        <w:spacing w:line="480" w:lineRule="auto"/>
        <w:ind w:firstLine="720"/>
      </w:pPr>
      <w:r>
        <w:t xml:space="preserve">A framework that only restates the hazard buys nothing.</w:t>
      </w:r>
    </w:p>
    <w:p>
      <w:pPr>
        <w:pStyle w:val="BodyText"/>
        <w:spacing w:line="480" w:lineRule="auto"/>
        <w:ind w:firstLine="720"/>
      </w:pPr>
      <w:r>
        <w:t xml:space="preserve">One that shows a threshold robust across both families buys support; one that shows it shifting buys a warning against the midpoint. That is the line between description and decision support, and the theory is written to keep it visible</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20">
        <w:r>
          <w:rPr>
            <w:rStyle w:val="Hyperlink"/>
          </w:rPr>
          <w:t xml:space="preserve">[20]</w:t>
        </w:r>
      </w:hyperlink>
      <w:r>
        <w:t xml:space="preserve">. Low Earth orbit is no uniform commons. Its altitude, inclination, object-type, and mission-use regimes carry distinct congestion, persistence, and risk, which is what makes a single-number capacity so hard to defend. The two empirical papers approach the point from opposite directions, structured density on one side and scaled growth on the other. None of this asks engineers to abandon ORDEM or MASTER. It asks analysts to report how model choice moves a decision-relevant estimate, a narrower demand that honors the modeler while surfacing the consequences policy users need. Judgment stays visible on the same terms. No debris fee, shielding standard, launch authorization rule, or remediation priority comes from physics alone, and the envelope gives that judgment a firmer footing rather than removing it</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20">
        <w:r>
          <w:rPr>
            <w:rStyle w:val="Hyperlink"/>
          </w:rPr>
          <w:t xml:space="preserve">[20]</w:t>
        </w:r>
      </w:hyperlink>
      <w:r>
        <w:t xml:space="preserve">.</w:t>
      </w:r>
    </w:p>
    <w:bookmarkEnd w:id="80"/>
    <w:bookmarkStart w:id="81" w:name="methodological-discipline-2"/>
    <w:p>
      <w:pPr>
        <w:pStyle w:val="Heading2"/>
        <w:spacing w:line="480" w:lineRule="auto"/>
      </w:pPr>
      <w:r>
        <w:t xml:space="preserve">Methodological discipline</w:t>
      </w:r>
    </w:p>
    <w:p>
      <w:pPr>
        <w:pStyle w:val="FirstParagraph"/>
        <w:spacing w:line="480" w:lineRule="auto"/>
      </w:pPr>
      <w:r>
        <w:t xml:space="preserve">Discipline requires each source to hold its role, and the theory names those roles explicitly so the reader can audit them. ORDEM documentation explains model process, validation, and engineering use. MASTER and the wider ESA environment reporting supply a parallel model and an institutional base. SATCAT anchors the tracked-object population, and the Acta and AMOS papers add flux, capacity, and governance context. The theory combines them without pretending they are the same kind of evidence</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20">
        <w:r>
          <w:rPr>
            <w:rStyle w:val="Hyperlink"/>
          </w:rPr>
          <w:t xml:space="preserve">[20]</w:t>
        </w:r>
      </w:hyperlink>
      <w:r>
        <w:t xml:space="preserve">.</w:t>
      </w:r>
    </w:p>
    <w:p>
      <w:pPr>
        <w:pStyle w:val="BodyText"/>
        <w:spacing w:line="480" w:lineRule="auto"/>
        <w:ind w:firstLine="720"/>
      </w:pPr>
      <w:r>
        <w:t xml:space="preserve">Held to that discipline, the working test sharpens.</w:t>
      </w:r>
    </w:p>
    <w:p>
      <w:pPr>
        <w:pStyle w:val="BodyText"/>
        <w:spacing w:line="480" w:lineRule="auto"/>
        <w:ind w:firstLine="720"/>
      </w:pPr>
      <w:r>
        <w:t xml:space="preserve">If the theory only redescribes a familiar hazard, it adds little. If it shows a threshold surviving both model families, or breaking between them, it has earned the difference between description and support. Uncertainty is structured information, and the band’s width is part of the claim rather than a flaw in it</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20">
        <w:r>
          <w:rPr>
            <w:rStyle w:val="Hyperlink"/>
          </w:rPr>
          <w:t xml:space="preserve">[20]</w:t>
        </w:r>
      </w:hyperlink>
      <w:r>
        <w:t xml:space="preserve">. Low Earth orbit is no uniform commons. Altitude, inclination, object-type, and mission-use regimes differ in congestion, persistence, and risk, and the empirical papers show structured tracked-shell density alongside strongly scaled cumulative growth. A single-number capacity cannot carry both</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20">
        <w:r>
          <w:rPr>
            <w:rStyle w:val="Hyperlink"/>
          </w:rPr>
          <w:t xml:space="preserve">[20]</w:t>
        </w:r>
      </w:hyperlink>
      <w:r>
        <w:t xml:space="preserve">. Compatibility with engineering practice follows from the size of the demand. The theory does not ask engineers to leave ORDEM or MASTER; it asks analysts to report how model choice changes a decision-relevant estimate, a narrower and more useful requirement that respects expertise while acknowledging that policy users need transparent consequences, not credibility claims alone. Judgment remains visible, resting on risk tolerance, public purpose, industry burden, and coordination, and the envelope disciplines it rather than displacing it</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20">
        <w:r>
          <w:rPr>
            <w:rStyle w:val="Hyperlink"/>
          </w:rPr>
          <w:t xml:space="preserve">[20]</w:t>
        </w:r>
      </w:hyperlink>
      <w:r>
        <w:t xml:space="preserve">.</w:t>
      </w:r>
    </w:p>
    <w:bookmarkEnd w:id="81"/>
    <w:bookmarkStart w:id="82" w:name="decision-consequence-2"/>
    <w:p>
      <w:pPr>
        <w:pStyle w:val="Heading2"/>
        <w:spacing w:line="480" w:lineRule="auto"/>
      </w:pPr>
      <w:r>
        <w:t xml:space="preserve">Decision consequence</w:t>
      </w:r>
    </w:p>
    <w:p>
      <w:pPr>
        <w:pStyle w:val="FirstParagraph"/>
        <w:spacing w:line="480" w:lineRule="auto"/>
      </w:pPr>
      <w:r>
        <w:t xml:space="preserve">Consequence, in this theory, runs through observable catalog pressure, sub-catalog flux, threshold choice, and downstream policy effect. A shell heavy with tracked pressure, active-payload share, and debris share should not be handled like a sparse one merely because both are called LEO. The same holds for disagreement: a flux gap in a busy shell means something for policy that the identical proportional gap in a quiet shell does not. The envelope makes that difference explicit rather than burying it in an aggregate</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20">
        <w:r>
          <w:rPr>
            <w:rStyle w:val="Hyperlink"/>
          </w:rPr>
          <w:t xml:space="preserve">[20]</w:t>
        </w:r>
      </w:hyperlink>
      <w:r>
        <w:t xml:space="preserve">.</w:t>
      </w:r>
    </w:p>
    <w:p>
      <w:pPr>
        <w:pStyle w:val="BodyText"/>
        <w:spacing w:line="480" w:lineRule="auto"/>
        <w:ind w:firstLine="720"/>
      </w:pPr>
      <w:r>
        <w:t xml:space="preserve">Where a threshold holds across both ORDEM and MASTER, the theory strengthens the decision. Where it moves with the family, the theory warns against treating the midpoint as the answer. That is the difference between description and decision support, stated as a property of the object itself</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20">
        <w:r>
          <w:rPr>
            <w:rStyle w:val="Hyperlink"/>
          </w:rPr>
          <w:t xml:space="preserve">[20]</w:t>
        </w:r>
      </w:hyperlink>
      <w:r>
        <w:t xml:space="preserve">. Uncertainty is structured information, not a defect to be hidden. Narrow bands say model choice is not driving the decision. Wide bands ask for more evidence, a conservative rule, or an adaptive design, most urgently where fast growth has already aged the assumptions</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20">
        <w:r>
          <w:rPr>
            <w:rStyle w:val="Hyperlink"/>
          </w:rPr>
          <w:t xml:space="preserve">[20]</w:t>
        </w:r>
      </w:hyperlink>
      <w:r>
        <w:t xml:space="preserve">. Low Earth orbit is no uniform commons. It is a set of altitude, inclination, object-type, and mission-use regimes with distinct congestion, persistence, and risk, and the empirical papers confirm it from two sides. One shows tracked-shell density patterned across orbital space; the other shows cumulative growth scaling hard, and together they defeat any single-number account. Compatibility with practice holds because the theory asks only for a report of how model choice moves the estimate, which respects expertise while surfacing consequences. Judgment stays in the remaining step, resting on risk tolerance, public purpose, industry burden, and coordination.</w:t>
      </w:r>
    </w:p>
    <w:bookmarkEnd w:id="82"/>
    <w:bookmarkStart w:id="83" w:name="capacity-logic-2"/>
    <w:p>
      <w:pPr>
        <w:pStyle w:val="Heading2"/>
        <w:spacing w:line="480" w:lineRule="auto"/>
      </w:pPr>
      <w:r>
        <w:t xml:space="preserve">Capacity logic</w:t>
      </w:r>
    </w:p>
    <w:p>
      <w:pPr>
        <w:pStyle w:val="FirstParagraph"/>
        <w:spacing w:line="480" w:lineRule="auto"/>
      </w:pPr>
      <w:r>
        <w:t xml:space="preserve">Capacity is never observed directly. It is inferred through a chain that runs from data to model assumptions to risk thresholds to governance choices, and a point estimate conceals parts of that chain while an envelope makes them visible. Less tidy, more honest. The band shows where the result is robust, where it is sensitive, and what measurement would narrow it, which is the whole service the theory is designed to render</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20">
        <w:r>
          <w:rPr>
            <w:rStyle w:val="Hyperlink"/>
          </w:rPr>
          <w:t xml:space="preserve">[20]</w:t>
        </w:r>
      </w:hyperlink>
      <w:r>
        <w:t xml:space="preserve">.</w:t>
      </w:r>
    </w:p>
    <w:p>
      <w:pPr>
        <w:pStyle w:val="BodyText"/>
        <w:spacing w:line="480" w:lineRule="auto"/>
        <w:ind w:firstLine="720"/>
      </w:pPr>
      <w:r>
        <w:t xml:space="preserve">The working test applies to the logic as much as to the framing. A theory that only restates the hazard adds little to policy analysis. One that shows a threshold robust under both ORDEM and MASTER strengthens the decision; one that shows it changing with the family cautions against the midpoint. That distinction separates description from support</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20">
        <w:r>
          <w:rPr>
            <w:rStyle w:val="Hyperlink"/>
          </w:rPr>
          <w:t xml:space="preserve">[20]</w:t>
        </w:r>
      </w:hyperlink>
      <w:r>
        <w:t xml:space="preserve">.</w:t>
      </w:r>
    </w:p>
    <w:p>
      <w:pPr>
        <w:pStyle w:val="BodyText"/>
        <w:spacing w:line="480" w:lineRule="auto"/>
        <w:ind w:firstLine="720"/>
      </w:pPr>
      <w:r>
        <w:t xml:space="preserve">Narrow envelopes reassure, wide ones instruct. A narrow band means model choice is not the driver. A wide band means the decision maker should gather more evidence, pick a conservative rule, or design adaptively, and the counsel is sharpest where fast growth ages the assumptions</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20">
        <w:r>
          <w:rPr>
            <w:rStyle w:val="Hyperlink"/>
          </w:rPr>
          <w:t xml:space="preserve">[20]</w:t>
        </w:r>
      </w:hyperlink>
      <w:r>
        <w:t xml:space="preserve">.</w:t>
      </w:r>
    </w:p>
    <w:p>
      <w:pPr>
        <w:pStyle w:val="BodyText"/>
        <w:spacing w:line="480" w:lineRule="auto"/>
        <w:ind w:firstLine="720"/>
      </w:pPr>
      <w:r>
        <w:t xml:space="preserve">Low Earth orbit is no uniform commons, and the point is not decorative. Its altitude, inclination, object-type, and mission-use regimes carry distinct congestion, persistence, and risk, and the empirical papers reinforce it, structured tracked-shell density on one side and strongly scaled cumulative growth on the other, so that a single-number capacity cannot be defended. The theory does not ask engineers to abandon ORDEM or MASTER; it asks analysts to report how model choice moves a decision-relevant estimate, a narrower and more useful demand, and it keeps judgment visible on risk tolerance, public purpose, industry burden, and coordination</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20">
        <w:r>
          <w:rPr>
            <w:rStyle w:val="Hyperlink"/>
          </w:rPr>
          <w:t xml:space="preserve">[20]</w:t>
        </w:r>
      </w:hyperlink>
      <w:r>
        <w:t xml:space="preserve">.</w:t>
      </w:r>
    </w:p>
    <w:bookmarkEnd w:id="83"/>
    <w:bookmarkStart w:id="84" w:name="validity-guardrail-2"/>
    <w:p>
      <w:pPr>
        <w:pStyle w:val="Heading2"/>
        <w:spacing w:line="480" w:lineRule="auto"/>
      </w:pPr>
      <w:r>
        <w:t xml:space="preserve">Validity guardrail</w:t>
      </w:r>
    </w:p>
    <w:p>
      <w:pPr>
        <w:pStyle w:val="FirstParagraph"/>
        <w:spacing w:line="480" w:lineRule="auto"/>
      </w:pPr>
      <w:r>
        <w:t xml:space="preserve">The central guardrail is a refusal of false substitution. SATCAT is not a sub-catalog flux model. ORDEM and MASTER are not statutes. Flux-criticality papers are not license rules, and sustainability ratings are not collision-probability engines. This boundary is not pedantry; it is what keeps the theory from borrowing authority a source cannot lend. Each stays valuable only when used for the claim it can support, and holding that alignment between source and role is a major contribution of the dissertation</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20">
        <w:r>
          <w:rPr>
            <w:rStyle w:val="Hyperlink"/>
          </w:rPr>
          <w:t xml:space="preserve">[20]</w:t>
        </w:r>
      </w:hyperlink>
      <w:r>
        <w:t xml:space="preserve">.</w:t>
      </w:r>
    </w:p>
    <w:p>
      <w:pPr>
        <w:pStyle w:val="BodyText"/>
        <w:spacing w:line="480" w:lineRule="auto"/>
        <w:ind w:firstLine="720"/>
      </w:pPr>
      <w:r>
        <w:t xml:space="preserve">Apply the working test as a test of restraint. A theory that overreaches its sources adds little; one that respects them earns a defensible band. Narrow, and the threshold survives across ORDEM and MASTER. Wide, and the reader is warned off the midpoint, most pointedly where fast growth has already aged the assumptions</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20">
        <w:r>
          <w:rPr>
            <w:rStyle w:val="Hyperlink"/>
          </w:rPr>
          <w:t xml:space="preserve">[20]</w:t>
        </w:r>
      </w:hyperlink>
      <w:r>
        <w:t xml:space="preserve">.</w:t>
      </w:r>
    </w:p>
    <w:p>
      <w:pPr>
        <w:pStyle w:val="BodyText"/>
        <w:spacing w:line="480" w:lineRule="auto"/>
        <w:ind w:firstLine="720"/>
      </w:pPr>
      <w:r>
        <w:t xml:space="preserve">Low Earth orbit is no uniform commons. It is a set of altitude, inclination, object-type, and mission-use regimes with different congestion, persistence, and risk. One empirical paper shows tracked-shell density structured; the other shows cumulative growth scaling hard, and together they make a single-number capacity indefensible</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20">
        <w:r>
          <w:rPr>
            <w:rStyle w:val="Hyperlink"/>
          </w:rPr>
          <w:t xml:space="preserve">[20]</w:t>
        </w:r>
      </w:hyperlink>
      <w:r>
        <w:t xml:space="preserve">.</w:t>
      </w:r>
    </w:p>
    <w:p>
      <w:pPr>
        <w:pStyle w:val="BodyText"/>
        <w:spacing w:line="480" w:lineRule="auto"/>
        <w:ind w:firstLine="720"/>
      </w:pPr>
      <w:r>
        <w:t xml:space="preserve">The theory stays compatible with engineering practice by asking only how model choice moves a decision-relevant estimate, a demand narrow enough to respect expertise and broad enough to surface consequences. Judgment remains visible throughout, resting on risk tolerance, public purpose, industry burden, and coordination, and the envelope gives it a disciplined evidentiary basis rather than removing it</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20">
        <w:r>
          <w:rPr>
            <w:rStyle w:val="Hyperlink"/>
          </w:rPr>
          <w:t xml:space="preserve">[20]</w:t>
        </w:r>
      </w:hyperlink>
      <w:r>
        <w:t xml:space="preserve">.</w:t>
      </w:r>
    </w:p>
    <w:bookmarkEnd w:id="84"/>
    <w:bookmarkStart w:id="85" w:name="operationalizing-the-envelope-2"/>
    <w:p>
      <w:pPr>
        <w:pStyle w:val="Heading2"/>
        <w:spacing w:line="480" w:lineRule="auto"/>
      </w:pPr>
      <w:r>
        <w:t xml:space="preserve">Operationalizing the Envelope</w:t>
      </w:r>
    </w:p>
    <w:p>
      <w:pPr>
        <w:pStyle w:val="FirstParagraph"/>
        <w:spacing w:line="480" w:lineRule="auto"/>
      </w:pPr>
      <w:r>
        <w:t xml:space="preserve">Operational use turns the theory into repeatable decision steps. Before any outputs are compared, the shell, inclination regime, size regime, and policy threshold are defined, so the comparison has a fixed object. Then the tracked-catalog anchor is attached, because the visible population marks where the decision is most exposed to congestion and conjunction pressure</w:t>
      </w:r>
      <w:r>
        <w:t xml:space="preserve"> </w:t>
      </w:r>
      <w:hyperlink w:anchor="ref-6">
        <w:r>
          <w:rPr>
            <w:rStyle w:val="Hyperlink"/>
          </w:rPr>
          <w:t xml:space="preserve">[6]</w:t>
        </w:r>
      </w:hyperlink>
      <w:r>
        <w:t xml:space="preserve">. ORDEM and MASTER assumptions are recorded next, size bins, altitude ranges, validation basis, and intended engineering use among them</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p>
    <w:p>
      <w:pPr>
        <w:pStyle w:val="BodyText"/>
        <w:spacing w:line="480" w:lineRule="auto"/>
        <w:ind w:firstLine="720"/>
      </w:pPr>
      <w:r>
        <w:t xml:space="preserve">The width is computed rather than the midpoint alone, and the analysis states which decision would change if the high-end estimate governed instead of the low-end one. That keeps the theory practical. A launch-license rule might sort a proposed deployment into a low, medium, or high concern shell; a shielding standard might take the high side for crewed systems and the midpoint for replaceable robotic ones; a remediation policy might target shells where tracked density, debris share, and model-disagreement width overlap; a fee schedule might charge more where marginal occupancy adds risk to a crowded regime. None of these requires false certainty, and each requires a transparent link from evidence to action</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12">
        <w:r>
          <w:rPr>
            <w:rStyle w:val="Hyperlink"/>
          </w:rPr>
          <w:t xml:space="preserve">[12]</w:t>
        </w:r>
      </w:hyperlink>
      <w:r>
        <w:t xml:space="preserve">,</w:t>
      </w:r>
      <w:r>
        <w:t xml:space="preserve"> </w:t>
      </w:r>
      <w:hyperlink w:anchor="ref-20">
        <w:r>
          <w:rPr>
            <w:rStyle w:val="Hyperlink"/>
          </w:rPr>
          <w:t xml:space="preserve">[20]</w:t>
        </w:r>
      </w:hyperlink>
      <w:r>
        <w:t xml:space="preserve">.</w:t>
      </w:r>
    </w:p>
    <w:p>
      <w:pPr>
        <w:pStyle w:val="BodyText"/>
        <w:spacing w:line="480" w:lineRule="auto"/>
        <w:ind w:firstLine="720"/>
      </w:pPr>
      <w:r>
        <w:t xml:space="preserve">The same sequence supports later updates. A new ORDEM version, a MASTER update, or a shift in CelesTrak catalog conditions after fresh launches or decay events can be rerun without changing the logic. This is not a one-time table. It is a method for keeping orbital carrying-capacity claims current, auditable, and honest about uncertainty.</w:t>
      </w:r>
    </w:p>
    <w:bookmarkEnd w:id="85"/>
    <w:bookmarkStart w:id="86" w:name="chapter-synthesis-2"/>
    <w:p>
      <w:pPr>
        <w:pStyle w:val="Heading2"/>
        <w:spacing w:line="480" w:lineRule="auto"/>
      </w:pPr>
      <w:r>
        <w:t xml:space="preserve">Chapter Synthesis</w:t>
      </w:r>
    </w:p>
    <w:p>
      <w:pPr>
        <w:pStyle w:val="FirstParagraph"/>
        <w:spacing w:line="480" w:lineRule="auto"/>
      </w:pPr>
      <w:r>
        <w:t xml:space="preserve">The chapter supports the dissertation by showing how capacity, understood as a band shaped by evidence, model choice, and threshold policy, becomes a governance-ready envelope that preserves uncertainty while still guiding action. In practice, orbital carrying capacity should be reported as a structured envelope by shell, regime, and threshold. Such an envelope still supports action, and it keeps decision makers from mistaking model choice, source incompleteness, or calibration era for certainty</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20">
        <w:r>
          <w:rPr>
            <w:rStyle w:val="Hyperlink"/>
          </w:rPr>
          <w:t xml:space="preserve">[20]</w:t>
        </w:r>
      </w:hyperlink>
      <w:r>
        <w:t xml:space="preserve">.</w:t>
      </w:r>
    </w:p>
    <w:bookmarkEnd w:id="86"/>
    <w:bookmarkEnd w:id="87"/>
    <w:bookmarkStart w:id="96" w:name="chapter-4.-data-and-identification"/>
    <w:p>
      <w:pPr>
        <w:pStyle w:val="Heading1"/>
        <w:spacing w:line="480" w:lineRule="auto"/>
      </w:pPr>
      <w:r>
        <w:t xml:space="preserve">Chapter 4. Data and Identification</w:t>
      </w:r>
    </w:p>
    <w:p>
      <w:pPr>
        <w:pStyle w:val="FirstParagraph"/>
        <w:spacing w:line="480" w:lineRule="auto"/>
      </w:pPr>
      <w:r>
        <w:t xml:space="preserve">This chapter sets out the data and identification strategy, and its central move is a demotion. SATCAT does not replace ORDEM or MASTER. It constrains them, marking the regimes where their divergence turns consequential and quietly bounding the rest. The source base is deliberately narrow. Every citation stays inside the shared reference pool, and the governing rule holds: model disagreement is not a nuisance to be averaged away but a decision-relevant feature that has to travel into the carrying-capacity claim</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11">
        <w:r>
          <w:rPr>
            <w:rStyle w:val="Hyperlink"/>
          </w:rPr>
          <w:t xml:space="preserve">[11]</w:t>
        </w:r>
      </w:hyperlink>
      <w:r>
        <w:t xml:space="preserve">.</w:t>
      </w:r>
    </w:p>
    <w:bookmarkStart w:id="88" w:name="problem-frame-3"/>
    <w:p>
      <w:pPr>
        <w:pStyle w:val="Heading2"/>
        <w:spacing w:line="480" w:lineRule="auto"/>
      </w:pPr>
      <w:r>
        <w:t xml:space="preserve">Problem frame</w:t>
      </w:r>
    </w:p>
    <w:p>
      <w:pPr>
        <w:pStyle w:val="FirstParagraph"/>
        <w:spacing w:line="480" w:lineRule="auto"/>
      </w:pPr>
      <w:r>
        <w:t xml:space="preserve">The chapter matters for Henry Ramos because public catalog evidence is the large-object anchor the whole comparison hangs on. Civil agencies, commercial operators, insurers, and standards bodies keep asking for capacity language, and the language fails them the moment the environmental substrate is treated as settled while it stays contested. ORDEM and MASTER are both legitimate model families. Their authority is exactly why the space between them matters, since a disagreement between weak sources can be waved off while one between authoritative sources has to be managed</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11">
        <w:r>
          <w:rPr>
            <w:rStyle w:val="Hyperlink"/>
          </w:rPr>
          <w:t xml:space="preserve">[11]</w:t>
        </w:r>
      </w:hyperlink>
      <w:r>
        <w:t xml:space="preserve">.</w:t>
      </w:r>
    </w:p>
    <w:p>
      <w:pPr>
        <w:pStyle w:val="BodyText"/>
        <w:spacing w:line="480" w:lineRule="auto"/>
        <w:ind w:firstLine="720"/>
      </w:pPr>
      <w:r>
        <w:t xml:space="preserve">For data and identification, the working test is whether the framework changes a real decision.</w:t>
      </w:r>
    </w:p>
    <w:p>
      <w:pPr>
        <w:pStyle w:val="BodyText"/>
        <w:spacing w:line="480" w:lineRule="auto"/>
        <w:ind w:firstLine="720"/>
      </w:pPr>
      <w:r>
        <w:t xml:space="preserve">Restatement adds little. Show a threshold holding under both ORDEM and MASTER, and the decision gains footing; show it moving with the model family, and the midpoint stands exposed as the average of two answers rather than an answer</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11">
        <w:r>
          <w:rPr>
            <w:rStyle w:val="Hyperlink"/>
          </w:rPr>
          <w:t xml:space="preserve">[11]</w:t>
        </w:r>
      </w:hyperlink>
      <w:r>
        <w:t xml:space="preserve">. Uncertainty is structured information rather than embarrassment. A narrow band says model choice is not driving the decision. A wide band says gather more evidence, choose a conservative rule, or design something adaptive, and the pressure is highest where fast traffic growth has already made the old assumptions brittle</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11">
        <w:r>
          <w:rPr>
            <w:rStyle w:val="Hyperlink"/>
          </w:rPr>
          <w:t xml:space="preserve">[11]</w:t>
        </w:r>
      </w:hyperlink>
      <w:r>
        <w:t xml:space="preserve">. Low Earth orbit is no uniform commons. It is a set of altitude, inclination, object-type, and mission-use regimes, each with its own congestion, persistence, and risk. One empirical paper finds tracked-shell density structured; the other finds catalog growth scaling hard. Together they make a single-number capacity difficult to defend, and the identification strategy is built to respect that structure rather than flatten it</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11">
        <w:r>
          <w:rPr>
            <w:rStyle w:val="Hyperlink"/>
          </w:rPr>
          <w:t xml:space="preserve">[11]</w:t>
        </w:r>
      </w:hyperlink>
      <w:r>
        <w:t xml:space="preserve">.</w:t>
      </w:r>
    </w:p>
    <w:bookmarkEnd w:id="88"/>
    <w:bookmarkStart w:id="89" w:name="evidence-role-3"/>
    <w:p>
      <w:pPr>
        <w:pStyle w:val="Heading2"/>
        <w:spacing w:line="480" w:lineRule="auto"/>
      </w:pPr>
      <w:r>
        <w:t xml:space="preserve">Evidence role</w:t>
      </w:r>
    </w:p>
    <w:p>
      <w:pPr>
        <w:pStyle w:val="FirstParagraph"/>
        <w:spacing w:line="480" w:lineRule="auto"/>
      </w:pPr>
      <w:r>
        <w:t xml:space="preserve">Chapter 4 connects CelesTrak SATCAT, shell aggregation, annual catalog growth, and source-traced observation to the dissertation’s claim, and it declines the narrower claim that one source has beaten another. The policy object is an envelope, its width reflecting model disagreement, observable pressure, and threshold choice, and the width matters most for sub-catalog debris, where observation stays incomplete yet a defensible flux assumption is still owed</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11">
        <w:r>
          <w:rPr>
            <w:rStyle w:val="Hyperlink"/>
          </w:rPr>
          <w:t xml:space="preserve">[11]</w:t>
        </w:r>
      </w:hyperlink>
      <w:r>
        <w:t xml:space="preserve">.</w:t>
      </w:r>
    </w:p>
    <w:p>
      <w:pPr>
        <w:pStyle w:val="BodyText"/>
        <w:spacing w:line="480" w:lineRule="auto"/>
        <w:ind w:firstLine="720"/>
      </w:pPr>
      <w:r>
        <w:t xml:space="preserve">Low Earth orbit is no uniform commons. Its altitude, inclination, object-type, and mission-use regimes carry distinct congestion, persistence, and risk, and the two empirical papers close off the scalar summary from opposite ends, structured density on one side and strongly scaled growth on the other.</w:t>
      </w:r>
    </w:p>
    <w:p>
      <w:pPr>
        <w:pStyle w:val="BodyText"/>
        <w:spacing w:line="480" w:lineRule="auto"/>
        <w:ind w:firstLine="720"/>
      </w:pPr>
      <w:r>
        <w:t xml:space="preserve">For data and identification, the working test recurs.</w:t>
      </w:r>
    </w:p>
    <w:p>
      <w:pPr>
        <w:pStyle w:val="BodyText"/>
        <w:spacing w:line="480" w:lineRule="auto"/>
        <w:ind w:firstLine="720"/>
      </w:pPr>
      <w:r>
        <w:t xml:space="preserve">A framework that only restates the hazard adds little. One that shows a threshold surviving both families strengthens the decision; one that shows it shifting cautions against the midpoint. Uncertainty enters as structured information, a narrow band signaling that model choice is not the driver and a wide one calling for more evidence, a conservative rule, or an adaptive design, most sharply where fast growth ages the assumptions</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11">
        <w:r>
          <w:rPr>
            <w:rStyle w:val="Hyperlink"/>
          </w:rPr>
          <w:t xml:space="preserve">[11]</w:t>
        </w:r>
      </w:hyperlink>
      <w:r>
        <w:t xml:space="preserve">. Nothing in the strategy asks engineers to abandon ORDEM or MASTER. It asks analysts to report how model choice moves a decision-relevant estimate, a narrower demand that respects the modeler while surfacing consequences. Judgment stays visible on the same footing, since no debris fee, shielding standard, launch authorization rule, or remediation priority comes from physics alone, and the envelope disciplines that judgment rather than removing it</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11">
        <w:r>
          <w:rPr>
            <w:rStyle w:val="Hyperlink"/>
          </w:rPr>
          <w:t xml:space="preserve">[11]</w:t>
        </w:r>
      </w:hyperlink>
      <w:r>
        <w:t xml:space="preserve">.</w:t>
      </w:r>
    </w:p>
    <w:bookmarkEnd w:id="89"/>
    <w:bookmarkStart w:id="90" w:name="methodological-discipline-3"/>
    <w:p>
      <w:pPr>
        <w:pStyle w:val="Heading2"/>
        <w:spacing w:line="480" w:lineRule="auto"/>
      </w:pPr>
      <w:r>
        <w:t xml:space="preserve">Methodological discipline</w:t>
      </w:r>
    </w:p>
    <w:p>
      <w:pPr>
        <w:pStyle w:val="FirstParagraph"/>
        <w:spacing w:line="480" w:lineRule="auto"/>
      </w:pPr>
      <w:r>
        <w:t xml:space="preserve">Discipline begins by holding each source to its evidentiary role. ORDEM documentation explains model process, validation, and engineering use. MASTER and the wider ESA environment reporting supply a parallel model and an institutional base, while SATCAT anchors the tracked-object population and the Acta and AMOS papers add flux, capacity, and governance context. These roles are combined, never treated as equivalent evidence</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11">
        <w:r>
          <w:rPr>
            <w:rStyle w:val="Hyperlink"/>
          </w:rPr>
          <w:t xml:space="preserve">[11]</w:t>
        </w:r>
      </w:hyperlink>
      <w:r>
        <w:t xml:space="preserve">.</w:t>
      </w:r>
    </w:p>
    <w:p>
      <w:pPr>
        <w:pStyle w:val="BodyText"/>
        <w:spacing w:line="480" w:lineRule="auto"/>
        <w:ind w:firstLine="720"/>
      </w:pPr>
      <w:r>
        <w:t xml:space="preserve">That distinction carries the working test.</w:t>
      </w:r>
    </w:p>
    <w:p>
      <w:pPr>
        <w:pStyle w:val="BodyText"/>
        <w:spacing w:line="480" w:lineRule="auto"/>
        <w:ind w:firstLine="720"/>
      </w:pPr>
      <w:r>
        <w:t xml:space="preserve">If the strategy only restates the hazard, it adds little.</w:t>
      </w:r>
    </w:p>
    <w:p>
      <w:pPr>
        <w:pStyle w:val="BodyText"/>
        <w:spacing w:line="480" w:lineRule="auto"/>
        <w:ind w:firstLine="720"/>
      </w:pPr>
      <w:r>
        <w:t xml:space="preserve">If it shows a threshold robust under both ORDEM and MASTER, it strengthens the decision; if the threshold moves with the family, the result warns against treating the midpoint as the answer. That is the line between description and support</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11">
        <w:r>
          <w:rPr>
            <w:rStyle w:val="Hyperlink"/>
          </w:rPr>
          <w:t xml:space="preserve">[11]</w:t>
        </w:r>
      </w:hyperlink>
      <w:r>
        <w:t xml:space="preserve">. Uncertainty is structured information, not embarrassment. A narrow band means model choice is not driving the decision; a wide one points toward more evidence, a conservative rule, or adaptive policy where fast growth has already frayed the assumptions</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11">
        <w:r>
          <w:rPr>
            <w:rStyle w:val="Hyperlink"/>
          </w:rPr>
          <w:t xml:space="preserve">[11]</w:t>
        </w:r>
      </w:hyperlink>
      <w:r>
        <w:t xml:space="preserve">. Low Earth orbit is no uniform commons. Altitude, inclination, object-type, and mission-use regimes each carry their own congestion, persistence, and risk, and the empirical papers press the point from two directions, structured tracked-shell density on one side and strongly scaled cumulative growth on the other. Compatibility with practice follows from the small demand: report how the choice of model moves a decision-relevant estimate, which respects expertise while acknowledging that policy users need transparent consequences. Judgment remains visible throughout, resting on risk tolerance, public purpose, industry burden, and coordination.</w:t>
      </w:r>
    </w:p>
    <w:bookmarkEnd w:id="90"/>
    <w:bookmarkStart w:id="91" w:name="decision-consequence-3"/>
    <w:p>
      <w:pPr>
        <w:pStyle w:val="Heading2"/>
        <w:spacing w:line="480" w:lineRule="auto"/>
      </w:pPr>
      <w:r>
        <w:t xml:space="preserve">Decision consequence</w:t>
      </w:r>
    </w:p>
    <w:p>
      <w:pPr>
        <w:pStyle w:val="FirstParagraph"/>
        <w:spacing w:line="480" w:lineRule="auto"/>
      </w:pPr>
      <w:r>
        <w:t xml:space="preserve">Consequence in this chapter rests on CelesTrak SATCAT, shell aggregation, annual catalog growth, and source-traced observation. A shell heavy with tracked pressure, active-payload share, and debris share should not be handled like a sparse one merely because both are labeled LEO. A flux gap in a busy shell carries a policy meaning the same proportional gap in a quiet shell does not, and the envelope makes that difference explicit</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11">
        <w:r>
          <w:rPr>
            <w:rStyle w:val="Hyperlink"/>
          </w:rPr>
          <w:t xml:space="preserve">[11]</w:t>
        </w:r>
      </w:hyperlink>
      <w:r>
        <w:t xml:space="preserve">.</w:t>
      </w:r>
    </w:p>
    <w:p>
      <w:pPr>
        <w:pStyle w:val="BodyText"/>
        <w:spacing w:line="480" w:lineRule="auto"/>
        <w:ind w:firstLine="720"/>
      </w:pPr>
      <w:r>
        <w:t xml:space="preserve">For data and identification, the working test holds.</w:t>
      </w:r>
    </w:p>
    <w:p>
      <w:pPr>
        <w:pStyle w:val="BodyText"/>
        <w:spacing w:line="480" w:lineRule="auto"/>
        <w:ind w:firstLine="720"/>
      </w:pPr>
      <w:r>
        <w:t xml:space="preserve">Restate the hazard and you add little. Show a threshold robust under both ORDEM and MASTER and you strengthen the decision; show it changing with the family and you warn against the midpoint. That distinction separates description from support</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11">
        <w:r>
          <w:rPr>
            <w:rStyle w:val="Hyperlink"/>
          </w:rPr>
          <w:t xml:space="preserve">[11]</w:t>
        </w:r>
      </w:hyperlink>
      <w:r>
        <w:t xml:space="preserve">. Uncertainty is structured information rather than embarrassment. Narrow bands say model choice is not driving the decision. Wide bands ask for more evidence, a conservative rule, or an adaptive design, most urgently where fast growth ages the assumptions</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11">
        <w:r>
          <w:rPr>
            <w:rStyle w:val="Hyperlink"/>
          </w:rPr>
          <w:t xml:space="preserve">[11]</w:t>
        </w:r>
      </w:hyperlink>
      <w:r>
        <w:t xml:space="preserve">. Low Earth orbit is no uniform commons; it is a set of altitude, inclination, object-type, and mission-use regimes with distinct congestion, persistence, and risk. One empirical paper shows tracked-shell density structured; the other shows cumulative growth scaling hard, and together they defeat any single-number account. Compatibility with practice holds because the strategy asks only for a report of how model choice moves the estimate, which respects expertise while surfacing consequences. Judgment remains visible, resting on risk tolerance, public purpose, industry burden, and coordination</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11">
        <w:r>
          <w:rPr>
            <w:rStyle w:val="Hyperlink"/>
          </w:rPr>
          <w:t xml:space="preserve">[11]</w:t>
        </w:r>
      </w:hyperlink>
      <w:r>
        <w:t xml:space="preserve">.</w:t>
      </w:r>
    </w:p>
    <w:bookmarkEnd w:id="91"/>
    <w:bookmarkStart w:id="92" w:name="capacity-logic-3"/>
    <w:p>
      <w:pPr>
        <w:pStyle w:val="Heading2"/>
        <w:spacing w:line="480" w:lineRule="auto"/>
      </w:pPr>
      <w:r>
        <w:t xml:space="preserve">Capacity logic</w:t>
      </w:r>
    </w:p>
    <w:p>
      <w:pPr>
        <w:pStyle w:val="FirstParagraph"/>
        <w:spacing w:line="480" w:lineRule="auto"/>
      </w:pPr>
      <w:r>
        <w:t xml:space="preserve">Capacity is never observed directly. It is inferred from linked data, model assumptions, risk thresholds, and governance choices, and a point estimate can hide parts of that chain while an envelope exposes them. Less tidy, more candid. The band tells the decision maker where the result is robust, where it is sensitive, and what measurement would narrow it</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11">
        <w:r>
          <w:rPr>
            <w:rStyle w:val="Hyperlink"/>
          </w:rPr>
          <w:t xml:space="preserve">[11]</w:t>
        </w:r>
      </w:hyperlink>
      <w:r>
        <w:t xml:space="preserve">.</w:t>
      </w:r>
    </w:p>
    <w:p>
      <w:pPr>
        <w:pStyle w:val="BodyText"/>
        <w:spacing w:line="480" w:lineRule="auto"/>
        <w:ind w:firstLine="720"/>
      </w:pPr>
      <w:r>
        <w:t xml:space="preserve">For data and identification, the working test applies to the logic itself. A strategy that only restates the hazard adds little. A finding that a threshold holds under both ORDEM and MASTER strengthens the decision; a finding that it changes with the family warns against the midpoint. That separates description from support</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11">
        <w:r>
          <w:rPr>
            <w:rStyle w:val="Hyperlink"/>
          </w:rPr>
          <w:t xml:space="preserve">[11]</w:t>
        </w:r>
      </w:hyperlink>
      <w:r>
        <w:t xml:space="preserve">.</w:t>
      </w:r>
    </w:p>
    <w:p>
      <w:pPr>
        <w:pStyle w:val="BodyText"/>
        <w:spacing w:line="480" w:lineRule="auto"/>
        <w:ind w:firstLine="720"/>
      </w:pPr>
      <w:r>
        <w:t xml:space="preserve">Uncertainty is structured information, not embarrassment. A narrow band means model choice is not the driver. A wide band means the decision maker should gather more evidence, choose a conservative rule, or design adaptively, and the counsel is sharpest where fast growth ages the assumptions</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11">
        <w:r>
          <w:rPr>
            <w:rStyle w:val="Hyperlink"/>
          </w:rPr>
          <w:t xml:space="preserve">[11]</w:t>
        </w:r>
      </w:hyperlink>
      <w:r>
        <w:t xml:space="preserve">. Low Earth orbit is no uniform commons. Its altitude, inclination, object-type, and mission-use regimes differ in congestion, persistence, and risk, and the empirical papers reinforce the point, structured tracked-shell density alongside strongly scaled cumulative growth, so that a single-number capacity cannot hold. The strategy stays compatible with engineering practice by asking only how model choice moves a decision-relevant estimate, a narrower and more useful demand, and it keeps judgment visible on risk tolerance, public purpose, industry burden, and coordination</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11">
        <w:r>
          <w:rPr>
            <w:rStyle w:val="Hyperlink"/>
          </w:rPr>
          <w:t xml:space="preserve">[11]</w:t>
        </w:r>
      </w:hyperlink>
      <w:r>
        <w:t xml:space="preserve">.</w:t>
      </w:r>
    </w:p>
    <w:bookmarkEnd w:id="92"/>
    <w:bookmarkStart w:id="93" w:name="validity-guardrail-3"/>
    <w:p>
      <w:pPr>
        <w:pStyle w:val="Heading2"/>
        <w:spacing w:line="480" w:lineRule="auto"/>
      </w:pPr>
      <w:r>
        <w:t xml:space="preserve">Validity guardrail</w:t>
      </w:r>
    </w:p>
    <w:p>
      <w:pPr>
        <w:pStyle w:val="FirstParagraph"/>
        <w:spacing w:line="480" w:lineRule="auto"/>
      </w:pPr>
      <w:r>
        <w:t xml:space="preserve">The principal guardrail is a refusal of false substitution. SATCAT is not a sub-catalog flux model. ORDEM and MASTER are not statutes. Flux-criticality papers are not license rules, and sustainability ratings are not collision-probability engines. Each stays valuable only when used for the claim it can support, and holding that role discipline is a central contribution of the dissertation. The test is decision change: the strategy adds little if it merely restates the hazard, and becomes support when it shows a threshold holding across both families or shifting with one, thereby cautioning against the midpoint</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11">
        <w:r>
          <w:rPr>
            <w:rStyle w:val="Hyperlink"/>
          </w:rPr>
          <w:t xml:space="preserve">[11]</w:t>
        </w:r>
      </w:hyperlink>
      <w:r>
        <w:t xml:space="preserve">.</w:t>
      </w:r>
    </w:p>
    <w:p>
      <w:pPr>
        <w:pStyle w:val="BodyText"/>
        <w:spacing w:line="480" w:lineRule="auto"/>
        <w:ind w:firstLine="720"/>
      </w:pPr>
      <w:r>
        <w:t xml:space="preserve">Uncertainty is structured information rather than embarrassment. A narrow band means model choice is not driving the decision; a wide one means the decision maker should gather more evidence, choose a conservative rule, or design adaptively, most pointedly where fast growth has already aged the assumptions</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11">
        <w:r>
          <w:rPr>
            <w:rStyle w:val="Hyperlink"/>
          </w:rPr>
          <w:t xml:space="preserve">[11]</w:t>
        </w:r>
      </w:hyperlink>
      <w:r>
        <w:t xml:space="preserve">.</w:t>
      </w:r>
    </w:p>
    <w:p>
      <w:pPr>
        <w:pStyle w:val="BodyText"/>
        <w:spacing w:line="480" w:lineRule="auto"/>
        <w:ind w:firstLine="720"/>
      </w:pPr>
      <w:r>
        <w:t xml:space="preserve">Low Earth orbit is no uniform commons. It is a set of altitude, inclination, object-type, and mission-use regimes with distinct congestion, persistence, and risk. One empirical paper shows tracked-shell density structured by those regimes; the other shows cumulative growth scaling hard over time, and together they make a single-number capacity indefensible</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11">
        <w:r>
          <w:rPr>
            <w:rStyle w:val="Hyperlink"/>
          </w:rPr>
          <w:t xml:space="preserve">[11]</w:t>
        </w:r>
      </w:hyperlink>
      <w:r>
        <w:t xml:space="preserve">.</w:t>
      </w:r>
    </w:p>
    <w:p>
      <w:pPr>
        <w:pStyle w:val="BodyText"/>
        <w:spacing w:line="480" w:lineRule="auto"/>
        <w:ind w:firstLine="720"/>
      </w:pPr>
      <w:r>
        <w:t xml:space="preserve">The strategy stays compatible with engineering practice by asking only how the choice of model moves a decision-relevant estimate, a demand narrow enough to respect expertise and useful enough to surface consequences. Physics alone cannot fix a debris fee, shielding standard, launch authorization rule, or remediation priority, since each rests on risk tolerance, public purpose, industry burden, and coordination, and the envelope gives that judgment a disciplined basis rather than removing it</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11">
        <w:r>
          <w:rPr>
            <w:rStyle w:val="Hyperlink"/>
          </w:rPr>
          <w:t xml:space="preserve">[11]</w:t>
        </w:r>
      </w:hyperlink>
      <w:r>
        <w:t xml:space="preserve">.</w:t>
      </w:r>
    </w:p>
    <w:bookmarkEnd w:id="93"/>
    <w:bookmarkStart w:id="94" w:name="operationalizing-the-envelope-3"/>
    <w:p>
      <w:pPr>
        <w:pStyle w:val="Heading2"/>
        <w:spacing w:line="480" w:lineRule="auto"/>
      </w:pPr>
      <w:r>
        <w:t xml:space="preserve">Operationalizing the Envelope</w:t>
      </w:r>
    </w:p>
    <w:p>
      <w:pPr>
        <w:pStyle w:val="FirstParagraph"/>
        <w:spacing w:line="480" w:lineRule="auto"/>
      </w:pPr>
      <w:r>
        <w:t xml:space="preserve">Operational use converts the strategy into repeatable decision steps. It starts with the shell, inclination regime, size regime, and policy threshold, each fixed before any outputs are compared. The tracked-catalog anchor is attached next, because the visible population marks where a decision is most exposed to congestion and conjunction pressure</w:t>
      </w:r>
      <w:r>
        <w:t xml:space="preserve"> </w:t>
      </w:r>
      <w:hyperlink w:anchor="ref-6">
        <w:r>
          <w:rPr>
            <w:rStyle w:val="Hyperlink"/>
          </w:rPr>
          <w:t xml:space="preserve">[6]</w:t>
        </w:r>
      </w:hyperlink>
      <w:r>
        <w:t xml:space="preserve">. ORDEM and MASTER assumptions are recorded after that, size bins, altitude ranges, validation basis, and intended engineering use among them</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 which keeps each estimate tied to its model’s intended use rather than letting outputs from different debris environments pass as interchangeable point estimates.</w:t>
      </w:r>
    </w:p>
    <w:p>
      <w:pPr>
        <w:pStyle w:val="BodyText"/>
        <w:spacing w:line="480" w:lineRule="auto"/>
        <w:ind w:firstLine="720"/>
      </w:pPr>
      <w:r>
        <w:t xml:space="preserve">The calculation reports width, not the midpoint alone, since the distance between the low and high estimates is itself policy-relevant information. Then the analysis names which decision would change if the high-end estimate governed instead of the low-end one. A launch-license rule might sort a proposed deployment into a low, medium, or high concern shell; a shielding standard might take the high side for crewed systems and the midpoint for replaceable robotic ones; a remediation policy might target shells where tracked density, debris share, and model-disagreement width overlap; a fee schedule might charge more where marginal occupancy adds risk to a crowded regime. None of these requires false certainty, and each requires a transparent link from evidence to action</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12">
        <w:r>
          <w:rPr>
            <w:rStyle w:val="Hyperlink"/>
          </w:rPr>
          <w:t xml:space="preserve">[12]</w:t>
        </w:r>
      </w:hyperlink>
      <w:r>
        <w:t xml:space="preserve">,</w:t>
      </w:r>
      <w:r>
        <w:t xml:space="preserve"> </w:t>
      </w:r>
      <w:hyperlink w:anchor="ref-20">
        <w:r>
          <w:rPr>
            <w:rStyle w:val="Hyperlink"/>
          </w:rPr>
          <w:t xml:space="preserve">[20]</w:t>
        </w:r>
      </w:hyperlink>
      <w:r>
        <w:t xml:space="preserve">.</w:t>
      </w:r>
    </w:p>
    <w:p>
      <w:pPr>
        <w:pStyle w:val="BodyText"/>
        <w:spacing w:line="480" w:lineRule="auto"/>
        <w:ind w:firstLine="720"/>
      </w:pPr>
      <w:r>
        <w:t xml:space="preserve">Later updates fit the same structure. A new ORDEM version, a MASTER update, or a shift in CelesTrak catalog conditions after fresh launches or decay events can be rerun without changing the logic. This is not a one-time table. It is a method for keeping orbital carrying-capacity claims current, auditable, and honest about uncertainty.</w:t>
      </w:r>
    </w:p>
    <w:bookmarkEnd w:id="94"/>
    <w:bookmarkStart w:id="95" w:name="chapter-synthesis-3"/>
    <w:p>
      <w:pPr>
        <w:pStyle w:val="Heading2"/>
        <w:spacing w:line="480" w:lineRule="auto"/>
      </w:pPr>
      <w:r>
        <w:t xml:space="preserve">Chapter Synthesis</w:t>
      </w:r>
    </w:p>
    <w:p>
      <w:pPr>
        <w:pStyle w:val="FirstParagraph"/>
        <w:spacing w:line="480" w:lineRule="auto"/>
      </w:pPr>
      <w:r>
        <w:t xml:space="preserve">The chapter supports the dissertation by showing that public catalog evidence, used as a large-object anchor, cannot replace ORDEM or MASTER, yet can still discipline the comparison, marking the regimes where their divergence matters. In practice, orbital carrying capacity should be reported as a structured envelope by shell, regime, and threshold. Such an envelope still supports action while lowering the risk that decision makers treat model choice, source incompleteness, or calibration era as certainty</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11">
        <w:r>
          <w:rPr>
            <w:rStyle w:val="Hyperlink"/>
          </w:rPr>
          <w:t xml:space="preserve">[11]</w:t>
        </w:r>
      </w:hyperlink>
      <w:r>
        <w:t xml:space="preserve">.</w:t>
      </w:r>
    </w:p>
    <w:bookmarkEnd w:id="95"/>
    <w:bookmarkEnd w:id="96"/>
    <w:bookmarkStart w:id="106" w:name="X68618bcd5688a8184f1a6b3305eec53e5253236"/>
    <w:p>
      <w:pPr>
        <w:pStyle w:val="Heading1"/>
        <w:spacing w:line="480" w:lineRule="auto"/>
      </w:pPr>
      <w:r>
        <w:t xml:space="preserve">Chapter 5. Shell Density Results and Interpretation</w:t>
      </w:r>
    </w:p>
    <w:p>
      <w:pPr>
        <w:pStyle w:val="FirstParagraph"/>
        <w:spacing w:line="480" w:lineRule="auto"/>
      </w:pPr>
      <w:r>
        <w:t xml:space="preserve">This chapter carries the Paper One synthesis, and the synthesis makes one negative point sharply. A single LEO-wide average is a weak capacity object, and the shell-density model shows why. Every source stays inside the shared reference pool. The governing rule holds unchanged: model disagreement is not a nuisance to be averaged away but a decision-relevant feature that has to be propagated into the carrying-capacity claim</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w:t>
      </w:r>
    </w:p>
    <w:bookmarkStart w:id="97" w:name="problem-frame-4"/>
    <w:p>
      <w:pPr>
        <w:pStyle w:val="Heading2"/>
        <w:spacing w:line="480" w:lineRule="auto"/>
      </w:pPr>
      <w:r>
        <w:t xml:space="preserve">Problem frame</w:t>
      </w:r>
    </w:p>
    <w:p>
      <w:pPr>
        <w:pStyle w:val="FirstParagraph"/>
        <w:spacing w:line="480" w:lineRule="auto"/>
      </w:pPr>
      <w:r>
        <w:t xml:space="preserve">The chapter matters for Henry Ramos because tracked LEO density supplies a structured shell-and-inclination baseline the rest of the capacity analysis can stand on. Civil agencies, commercial operators, insurers, and standards bodies keep reaching for capacity language, and the language fails them while the environmental substrate is treated as settled when it stays model-dependent. ORDEM and MASTER are both legitimate model families. Their authority is why the space between them matters, since a disagreement between weak sources can be waved off while one between authoritative sources has to be managed</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w:t>
      </w:r>
    </w:p>
    <w:p>
      <w:pPr>
        <w:pStyle w:val="BodyText"/>
        <w:spacing w:line="480" w:lineRule="auto"/>
        <w:ind w:firstLine="720"/>
      </w:pPr>
      <w:r>
        <w:t xml:space="preserve">For the Paper One synthesis, the working test is whether the framework changes a real decision. Restate that debris is dangerous and you add little. Show a threshold holding under both ORDEM and MASTER, and the decision gains footing; show it flipping with the model family, and the midpoint stands revealed as no answer. That separates description from decision support</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w:t>
      </w:r>
    </w:p>
    <w:p>
      <w:pPr>
        <w:pStyle w:val="BodyText"/>
        <w:spacing w:line="480" w:lineRule="auto"/>
        <w:ind w:firstLine="720"/>
      </w:pPr>
      <w:r>
        <w:t xml:space="preserve">Low Earth orbit is no uniform commons.</w:t>
      </w:r>
    </w:p>
    <w:p>
      <w:pPr>
        <w:pStyle w:val="BodyText"/>
        <w:spacing w:line="480" w:lineRule="auto"/>
        <w:ind w:firstLine="720"/>
      </w:pPr>
      <w:r>
        <w:t xml:space="preserve">Its altitude, inclination, object-type, and mission-use regimes carry distinct congestion, persistence, and risk, and the empirical work makes a single-number capacity hard to defend. Uncertainty is structured information rather than embarrassment. A narrow band says model choice is not driving the decision; a wide one says gather more evidence, choose a conservative rule, or design adaptively, most urgently where fast traffic growth has already made the old assumptions brittle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Compatibility with engineering practice sits at the center of the framework. It does not ask engineers to leave ORDEM or MASTER; it asks analysts to report how model choice moves a decision-relevant estimate, a narrower and more useful demand that respects expertise while surfacing consequences. Judgment stays visible throughout, since no debris fee, shielding standard, launch authorization rule, or remediation priority comes from physics alone, and the envelope gives that judgment a firmer footing rather than removing it</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w:t>
      </w:r>
    </w:p>
    <w:bookmarkEnd w:id="97"/>
    <w:bookmarkStart w:id="98" w:name="evidence-role-4"/>
    <w:p>
      <w:pPr>
        <w:pStyle w:val="Heading2"/>
        <w:spacing w:line="480" w:lineRule="auto"/>
      </w:pPr>
      <w:r>
        <w:t xml:space="preserve">Evidence role</w:t>
      </w:r>
    </w:p>
    <w:p>
      <w:pPr>
        <w:pStyle w:val="FirstParagraph"/>
        <w:spacing w:line="480" w:lineRule="auto"/>
      </w:pPr>
      <w:r>
        <w:t xml:space="preserve">Evidence in this chapter ties sun-synchronous concentration, the 500 to 900 km policy bands, debris share, and active-payload share to the dissertation’s claim, and it stops short of arguing that any source has displaced another. What the results support is an envelope, its width reflecting model disagreement, observable pressure, and threshold choice, and the width matters most for sub-catalog debris, where observation stays incomplete even as engineering decisions demand a defensible flux assumption</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w:t>
      </w:r>
    </w:p>
    <w:p>
      <w:pPr>
        <w:pStyle w:val="BodyText"/>
        <w:spacing w:line="480" w:lineRule="auto"/>
        <w:ind w:firstLine="720"/>
      </w:pPr>
      <w:r>
        <w:t xml:space="preserve">Low Earth orbit is no uniform commons.</w:t>
      </w:r>
    </w:p>
    <w:p>
      <w:pPr>
        <w:pStyle w:val="BodyText"/>
        <w:spacing w:line="480" w:lineRule="auto"/>
        <w:ind w:firstLine="720"/>
      </w:pPr>
      <w:r>
        <w:t xml:space="preserve">Its regimes differ in congestion, persistence, and risk, and the empirical papers approach the point from opposite ends, structured tracked-shell density on one side and strongly scaled growth on the other, so a single-number capacity stays hard to defend. For the Paper One synthesis, the payoff is narrow but real. Restating the hazard adds little; the question is whether the method alters threshold choice, confidence, or policy design. Where a threshold holds under both ORDEM and MASTER, the synthesis strengthens the decision; where it shifts with the family, it warns against the midpoint. That is the line between description and support</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Uncertainty is structured information, not embarrassment. A narrow band means model choice is not the driver; a wide one means gather more evidence, choose a conservative rule, or design adaptively, and the counsel is sharpest where fast growth ages the assumptions. Nothing here asks engineers to abandon ORDEM or MASTER, only to report how model choice moves a decision-relevant estimate, which respects expertise while surfacing consequences. Judgment stays visible on risk tolerance, public purpose, industry burden, and coordination</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w:t>
      </w:r>
    </w:p>
    <w:bookmarkEnd w:id="98"/>
    <w:bookmarkStart w:id="99" w:name="methodological-discipline-4"/>
    <w:p>
      <w:pPr>
        <w:pStyle w:val="Heading2"/>
        <w:spacing w:line="480" w:lineRule="auto"/>
      </w:pPr>
      <w:r>
        <w:t xml:space="preserve">Methodological discipline</w:t>
      </w:r>
    </w:p>
    <w:p>
      <w:pPr>
        <w:pStyle w:val="FirstParagraph"/>
        <w:spacing w:line="480" w:lineRule="auto"/>
      </w:pPr>
      <w:r>
        <w:t xml:space="preserve">Discipline requires each source to hold its evidentiary role. ORDEM documentation explains model process, validation, and engineering use. MASTER and the wider ESA environment reporting supply a parallel model and an institutional base, SATCAT anchors the tracked-object population, and the Acta and AMOS papers add flux, capacity, and governance context. The synthesis combines them without pretending they are the same kind of evidence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w:t>
      </w:r>
    </w:p>
    <w:p>
      <w:pPr>
        <w:pStyle w:val="BodyText"/>
        <w:spacing w:line="480" w:lineRule="auto"/>
        <w:ind w:firstLine="720"/>
      </w:pPr>
      <w:r>
        <w:t xml:space="preserve">Held to that discipline, the working test sharpens. Repeat that debris is dangerous and you add little. Show a threshold robust under both ORDEM and MASTER and you strengthen the decision; show it changing with the family and you caution against the midpoint. Uncertainty is structured information, and the band’s width is part of the finding rather than a flaw in it</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w:t>
      </w:r>
    </w:p>
    <w:p>
      <w:pPr>
        <w:pStyle w:val="BodyText"/>
        <w:spacing w:line="480" w:lineRule="auto"/>
        <w:ind w:firstLine="720"/>
      </w:pPr>
      <w:r>
        <w:t xml:space="preserve">Low Earth orbit is no uniform commons. Altitude, inclination, object-type, and mission-use regimes differ in congestion, persistence, and risk, and the empirical papers show structured tracked-shell density alongside strongly scaled cumulative growth. Together they defeat the scalar summary.</w:t>
      </w:r>
    </w:p>
    <w:p>
      <w:pPr>
        <w:pStyle w:val="BodyText"/>
        <w:spacing w:line="480" w:lineRule="auto"/>
        <w:ind w:firstLine="720"/>
      </w:pPr>
      <w:r>
        <w:t xml:space="preserve">Compatibility with practice follows from the small demand. The framework asks only for a report of how model choice moves a decision-relevant estimate, since no debris fee, shielding standard, launch authorization rule, or remediation priority comes from physics alone. That judgment rests on risk tolerance, public purpose, industry burden, and coordination, and the envelope gives it a disciplined evidentiary basis rather than removing it</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w:t>
      </w:r>
    </w:p>
    <w:bookmarkEnd w:id="99"/>
    <w:bookmarkStart w:id="100" w:name="decision-consequence-4"/>
    <w:p>
      <w:pPr>
        <w:pStyle w:val="Heading2"/>
        <w:spacing w:line="480" w:lineRule="auto"/>
      </w:pPr>
      <w:r>
        <w:t xml:space="preserve">Decision consequence</w:t>
      </w:r>
    </w:p>
    <w:p>
      <w:pPr>
        <w:pStyle w:val="FirstParagraph"/>
        <w:spacing w:line="480" w:lineRule="auto"/>
      </w:pPr>
      <w:r>
        <w:t xml:space="preserve">Consequence shows most plainly in sun-synchronous concentration, the 500 to 900 km policy bands, debris share, and active-payload share. A shell heavy with tracked pressure, active-payload share, and debris share should not be handled like a sparse one merely because both are called LEO. A flux gap in a busy shell carries a policy meaning the same proportional gap in a quiet shell does not, and the envelope makes that difference explicit</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w:t>
      </w:r>
    </w:p>
    <w:p>
      <w:pPr>
        <w:pStyle w:val="BodyText"/>
        <w:spacing w:line="480" w:lineRule="auto"/>
        <w:ind w:firstLine="720"/>
      </w:pPr>
      <w:r>
        <w:t xml:space="preserve">In the Paper One synthesis, the working test holds.</w:t>
      </w:r>
    </w:p>
    <w:p>
      <w:pPr>
        <w:pStyle w:val="BodyText"/>
        <w:spacing w:line="480" w:lineRule="auto"/>
        <w:ind w:firstLine="720"/>
      </w:pPr>
      <w:r>
        <w:t xml:space="preserve">Restate the hazard and you add little.</w:t>
      </w:r>
    </w:p>
    <w:p>
      <w:pPr>
        <w:pStyle w:val="BodyText"/>
        <w:spacing w:line="480" w:lineRule="auto"/>
        <w:ind w:firstLine="720"/>
      </w:pPr>
      <w:r>
        <w:t xml:space="preserve">Show a threshold robust under both ORDEM and MASTER and you strengthen the decision; show it changing with the family and you warn against the midpoint. That distinction separates description from support</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Uncertainty is structured information rather than embarrassment. Narrow bands say model choice is not driving the decision. Wide bands ask for more evidence, a conservative rule, or an adaptive design, most urgently where fast growth ages the assumptions</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Low Earth orbit is no uniform commons. It is a set of altitude, inclination, object-type, and mission-use regimes with distinct congestion, persistence, and risk. One empirical paper shows tracked-shell density structured; the other shows cumulative growth scaling hard, and together they defeat a single-number account, since any such estimate depends on spatial distribution, catalog history, and modeling assumptions rather than an invariant orbital limit. Practice can absorb the framework because it asks only how model choice moves a decision-relevant estimate, which respects expertise while surfacing consequences. Judgment stays visible on risk tolerance, public purpose, industry burden, and coordination</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w:t>
      </w:r>
    </w:p>
    <w:bookmarkEnd w:id="100"/>
    <w:bookmarkStart w:id="101" w:name="capacity-logic-4"/>
    <w:p>
      <w:pPr>
        <w:pStyle w:val="Heading2"/>
        <w:spacing w:line="480" w:lineRule="auto"/>
      </w:pPr>
      <w:r>
        <w:t xml:space="preserve">Capacity logic</w:t>
      </w:r>
    </w:p>
    <w:p>
      <w:pPr>
        <w:pStyle w:val="FirstParagraph"/>
        <w:spacing w:line="480" w:lineRule="auto"/>
      </w:pPr>
      <w:r>
        <w:t xml:space="preserve">Capacity cannot be observed directly. It is inferred through a sequence of data, model assumptions, risk thresholds, and governance choices, and a point estimate can obscure that sequence while an envelope makes it visible. Less tidy, more candid. The band identifies where the result is robust, where it is sensitive, and what measurement would narrow it</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w:t>
      </w:r>
    </w:p>
    <w:p>
      <w:pPr>
        <w:pStyle w:val="BodyText"/>
        <w:spacing w:line="480" w:lineRule="auto"/>
        <w:ind w:firstLine="720"/>
      </w:pPr>
      <w:r>
        <w:t xml:space="preserve">Uncertainty is structured information rather than embarrassment.</w:t>
      </w:r>
    </w:p>
    <w:p>
      <w:pPr>
        <w:pStyle w:val="BodyText"/>
        <w:spacing w:line="480" w:lineRule="auto"/>
        <w:ind w:firstLine="720"/>
      </w:pPr>
      <w:r>
        <w:t xml:space="preserve">A narrow band means model choice is not the driver; a wide one means gather more evidence, choose a conservative rule, or design adaptively, and the pressure is sharpest where fast growth ages the assumptions. Low Earth orbit is no uniform commons, its regimes differing in congestion, persistence, and risk, and the empirical papers reinforce it with structured density on one side and strongly scaled growth on the other</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For the Paper One synthesis, the working test applies to the logic. Restate the hazard and you add little. Where the synthesis shows a threshold robust under both ORDEM and MASTER, it strengthens the decision by showing the conclusion does not rest on a single model family; where the threshold changes with the family, it cautions against the midpoint. That distinction separates description from support</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Practice stays compatible with the framework because it asks only how model choice moves a decision-relevant estimate, a narrower and more useful requirement that respects expertise while surfacing consequences. Judgment stays visible, since no debris fee, shielding standard, launch authorization rule, or remediation priority comes from physics alone, and it rests on risk tolerance, public purpose, industry burden, and coordination</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w:t>
      </w:r>
    </w:p>
    <w:bookmarkEnd w:id="101"/>
    <w:bookmarkStart w:id="102" w:name="validity-guardrail-4"/>
    <w:p>
      <w:pPr>
        <w:pStyle w:val="Heading2"/>
        <w:spacing w:line="480" w:lineRule="auto"/>
      </w:pPr>
      <w:r>
        <w:t xml:space="preserve">Validity guardrail</w:t>
      </w:r>
    </w:p>
    <w:p>
      <w:pPr>
        <w:pStyle w:val="FirstParagraph"/>
        <w:spacing w:line="480" w:lineRule="auto"/>
      </w:pPr>
      <w:r>
        <w:t xml:space="preserve">The central guardrail is a refusal of false substitution. SATCAT should not be read as a sub-catalog flux model. ORDEM and MASTER should not be read as statutes. Flux-criticality studies are not license rules, and sustainability ratings are not collision-probability engines. Each stays valuable when used for the claim it can support, and holding that source-role discipline is a major contribution of the dissertation</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w:t>
      </w:r>
    </w:p>
    <w:p>
      <w:pPr>
        <w:pStyle w:val="BodyText"/>
        <w:spacing w:line="480" w:lineRule="auto"/>
        <w:ind w:firstLine="720"/>
      </w:pPr>
      <w:r>
        <w:t xml:space="preserve">For the Paper One synthesis, the working test applies as restraint. A synthesis that overreaches its sources adds little; one that respects them earns a defensible band. Where the band is narrow, the threshold survives across ORDEM and MASTER; where it is wide, the reader is warned off the midpoint, most sharply where fast growth ages the assumptions</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w:t>
      </w:r>
    </w:p>
    <w:p>
      <w:pPr>
        <w:pStyle w:val="BodyText"/>
        <w:spacing w:line="480" w:lineRule="auto"/>
        <w:ind w:firstLine="720"/>
      </w:pPr>
      <w:r>
        <w:t xml:space="preserve">Low Earth orbit is no uniform commons. It is a set of altitude, inclination, object-type, and mission-use regimes with distinct congestion, persistence, and risk. One empirical paper shows tracked-shell density structured; the other shows cumulative growth scaling hard, and together they make a single-number capacity indefensible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Engineering compatibility matters here too. The framework asks analysts only to report how the choice of model moves a decision-relevant estimate, a narrower and more useful demand that respects expertise while surfacing the consequences policy users need. Judgment stays visible, resting on risk tolerance, public purpose, industry burden, and coordination, and the envelope gives it a disciplined basis rather than removing it</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w:t>
      </w:r>
    </w:p>
    <w:bookmarkEnd w:id="102"/>
    <w:bookmarkStart w:id="103" w:name="empirical-result-from-paper-1"/>
    <w:p>
      <w:pPr>
        <w:pStyle w:val="Heading2"/>
        <w:spacing w:line="480" w:lineRule="auto"/>
      </w:pPr>
      <w:r>
        <w:t xml:space="preserve">Empirical result from Paper 1</w:t>
      </w:r>
    </w:p>
    <w:p>
      <w:pPr>
        <w:pStyle w:val="FirstParagraph"/>
        <w:spacing w:line="480" w:lineRule="auto"/>
      </w:pPr>
      <w:r>
        <w:t xml:space="preserve">Using 72 real aggregate observations from the CelesTrak SATCAT snapshot downloaded on 2026-06-27, the shell-density paper reports R2 = 0.5766, adjusted R2 = 0.5446, F = 39.4234, and F p = 1.50e-18. The sun-synchronous or polar coefficient is 2.6545 with p = 2.09e-07, while the 500 to 900 km coefficient is 0.8453 with p = 0.0873.</w:t>
      </w:r>
    </w:p>
    <w:p>
      <w:pPr>
        <w:pStyle w:val="BodyText"/>
        <w:spacing w:line="480" w:lineRule="auto"/>
        <w:ind w:firstLine="720"/>
      </w:pPr>
      <w:r>
        <w:t xml:space="preserve">Composition also shows a strong association with catalog pressure. Debris share is 2.7007 with p = 0.000100, and active payload share is 3.6815 with p = 0.0000508. Read together, these results say that catalog pressure is structured by shell, inclination, and composition rather than spread evenly across LEO</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p>
    <w:bookmarkEnd w:id="103"/>
    <w:bookmarkStart w:id="104" w:name="operationalizing-the-envelope-4"/>
    <w:p>
      <w:pPr>
        <w:pStyle w:val="Heading2"/>
        <w:spacing w:line="480" w:lineRule="auto"/>
      </w:pPr>
      <w:r>
        <w:t xml:space="preserve">Operationalizing the Envelope</w:t>
      </w:r>
    </w:p>
    <w:p>
      <w:pPr>
        <w:pStyle w:val="FirstParagraph"/>
        <w:spacing w:line="480" w:lineRule="auto"/>
      </w:pPr>
      <w:r>
        <w:t xml:space="preserve">Operational use turns the analysis into repeatable decision steps rather than a single answer. First, the shell, inclination regime, size regime, and policy threshold are defined before any outputs are compared. Second, the tracked-catalog anchor is attached, since the visible population marks where the decision is most exposed to congestion and conjunction pressure</w:t>
      </w:r>
      <w:r>
        <w:t xml:space="preserve"> </w:t>
      </w:r>
      <w:hyperlink w:anchor="ref-6">
        <w:r>
          <w:rPr>
            <w:rStyle w:val="Hyperlink"/>
          </w:rPr>
          <w:t xml:space="preserve">[6]</w:t>
        </w:r>
      </w:hyperlink>
      <w:r>
        <w:t xml:space="preserve">. Third, the relevant ORDEM and MASTER assumptions are recorded, size bins, altitude ranges, validation basis, and intended engineering use among them</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 Fourth, the width is computed, not the midpoint alone. Fifth, the analysis states which decision would change if the high-end estimate rather than the low-end one were used. Repeatability comes from holding the same shell, inclination and size regimes, threshold, catalog anchor, recorded ORDEM and MASTER inputs, width, and low-versus-high test, so the comparison stays tied to the evidence rather than to an unsupported midpoint.</w:t>
      </w:r>
    </w:p>
    <w:p>
      <w:pPr>
        <w:pStyle w:val="BodyText"/>
        <w:spacing w:line="480" w:lineRule="auto"/>
        <w:ind w:firstLine="720"/>
      </w:pPr>
      <w:r>
        <w:t xml:space="preserve">A launch-license rule might read the band to sort a deployment into a low, medium, or high concern shell. A shielding standard might take the high side for crewed systems and the midpoint for replaceable robotic ones. A remediation policy might target shells where tracked density, debris share, and model-disagreement width overlap, while a fee schedule might charge more where marginal occupancy adds risk to a crowded regime. This sequence keeps the dissertation practical. None of these decisions requires false certainty; each requires a transparent link from evidence to action</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12">
        <w:r>
          <w:rPr>
            <w:rStyle w:val="Hyperlink"/>
          </w:rPr>
          <w:t xml:space="preserve">[12]</w:t>
        </w:r>
      </w:hyperlink>
      <w:r>
        <w:t xml:space="preserve">,</w:t>
      </w:r>
      <w:r>
        <w:t xml:space="preserve"> </w:t>
      </w:r>
      <w:hyperlink w:anchor="ref-20">
        <w:r>
          <w:rPr>
            <w:rStyle w:val="Hyperlink"/>
          </w:rPr>
          <w:t xml:space="preserve">[20]</w:t>
        </w:r>
      </w:hyperlink>
      <w:r>
        <w:t xml:space="preserve">.</w:t>
      </w:r>
    </w:p>
    <w:p>
      <w:pPr>
        <w:pStyle w:val="BodyText"/>
        <w:spacing w:line="480" w:lineRule="auto"/>
        <w:ind w:firstLine="720"/>
      </w:pPr>
      <w:r>
        <w:t xml:space="preserve">Later revision fits the same logic. A new ORDEM version, a MASTER update, or a shift in CelesTrak catalog conditions after fresh launches or decay events can be rerun without changing the logic. This is not a one-time table but a method for keeping orbital carrying-capacity claims current, auditable, and honest about uncertainty.</w:t>
      </w:r>
    </w:p>
    <w:bookmarkEnd w:id="104"/>
    <w:bookmarkStart w:id="105" w:name="chapter-synthesis-4"/>
    <w:p>
      <w:pPr>
        <w:pStyle w:val="Heading2"/>
        <w:spacing w:line="480" w:lineRule="auto"/>
      </w:pPr>
      <w:r>
        <w:t xml:space="preserve">Chapter Synthesis</w:t>
      </w:r>
    </w:p>
    <w:p>
      <w:pPr>
        <w:pStyle w:val="FirstParagraph"/>
        <w:spacing w:line="480" w:lineRule="auto"/>
      </w:pPr>
      <w:r>
        <w:t xml:space="preserve">The chapter supports the dissertation by showing how tracked LEO density, read as a structured shell-and-inclination baseline, exposes the weakness of a single LEO-wide average as a capacity object. In practice, orbital carrying capacity should be reported as a structured envelope by shell, regime, and threshold. The envelope still supports action, and it keeps decision makers from mistaking model choice, source incompleteness, or calibration era for certainty</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w:t>
      </w:r>
    </w:p>
    <w:bookmarkEnd w:id="105"/>
    <w:bookmarkEnd w:id="106"/>
    <w:bookmarkStart w:id="116" w:name="X71787cd315151d451625b95d633d173c724fe57"/>
    <w:p>
      <w:pPr>
        <w:pStyle w:val="Heading1"/>
        <w:spacing w:line="480" w:lineRule="auto"/>
      </w:pPr>
      <w:r>
        <w:t xml:space="preserve">Chapter 6. Catalog Growth Results and Temporal Sensitivity</w:t>
      </w:r>
    </w:p>
    <w:p>
      <w:pPr>
        <w:pStyle w:val="FirstParagraph"/>
        <w:spacing w:line="480" w:lineRule="auto"/>
      </w:pPr>
      <w:r>
        <w:t xml:space="preserve">This chapter carries the Paper Two synthesis, and the learning curve is its instrument. Model divergence has to be read against a moving traffic baseline, not a fixed one, because a gap that looks tolerable at one catalog scale can turn policy-relevant at another. Every source stays inside the shared reference pool. The governing rule holds: model disagreement is not a nuisance to be averaged away but a decision-relevant feature that must be propagated into the carrying-capacity claim</w:t>
      </w:r>
      <w:r>
        <w:t xml:space="preserve"> </w:t>
      </w:r>
      <w:hyperlink w:anchor="ref-6">
        <w:r>
          <w:rPr>
            <w:rStyle w:val="Hyperlink"/>
          </w:rPr>
          <w:t xml:space="preserve">[6]</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r>
        <w:t xml:space="preserve"> </w:t>
      </w:r>
      <w:hyperlink w:anchor="ref-20">
        <w:r>
          <w:rPr>
            <w:rStyle w:val="Hyperlink"/>
          </w:rPr>
          <w:t xml:space="preserve">[20]</w:t>
        </w:r>
      </w:hyperlink>
      <w:r>
        <w:t xml:space="preserve">.</w:t>
      </w:r>
    </w:p>
    <w:bookmarkStart w:id="107" w:name="problem-frame-5"/>
    <w:p>
      <w:pPr>
        <w:pStyle w:val="Heading2"/>
        <w:spacing w:line="480" w:lineRule="auto"/>
      </w:pPr>
      <w:r>
        <w:t xml:space="preserve">Problem frame</w:t>
      </w:r>
    </w:p>
    <w:p>
      <w:pPr>
        <w:pStyle w:val="FirstParagraph"/>
        <w:spacing w:line="480" w:lineRule="auto"/>
      </w:pPr>
      <w:r>
        <w:t xml:space="preserve">Catalog growth gives the chapter its temporal account of capacity pressure in Henry Ramos’s dissertation. Civil agencies, commercial operators, insurers, and standards bodies keep asking for capacity language, and it fails them while the environmental substrate is treated as settled when it stays model-dependent. ORDEM and MASTER are both legitimate model families, and their authority is why the space between them matters, since a disagreement between weak sources can be set aside while one between authoritative sources has to be managed</w:t>
      </w:r>
      <w:r>
        <w:t xml:space="preserve"> </w:t>
      </w:r>
      <w:hyperlink w:anchor="ref-6">
        <w:r>
          <w:rPr>
            <w:rStyle w:val="Hyperlink"/>
          </w:rPr>
          <w:t xml:space="preserve">[6]</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r>
        <w:t xml:space="preserve"> </w:t>
      </w:r>
      <w:hyperlink w:anchor="ref-20">
        <w:r>
          <w:rPr>
            <w:rStyle w:val="Hyperlink"/>
          </w:rPr>
          <w:t xml:space="preserve">[20]</w:t>
        </w:r>
      </w:hyperlink>
      <w:r>
        <w:t xml:space="preserve">.</w:t>
      </w:r>
    </w:p>
    <w:p>
      <w:pPr>
        <w:pStyle w:val="BodyText"/>
        <w:spacing w:line="480" w:lineRule="auto"/>
        <w:ind w:firstLine="720"/>
      </w:pPr>
      <w:r>
        <w:t xml:space="preserve">Low Earth orbit is no uniform commons. Its altitude, inclination, object-type, and mission-use regimes carry distinct congestion, persistence, and risk, and the empirical papers press the point from opposite ends, structured tracked-shell density on one side and strongly scaled cumulative growth on the other, so a single-number capacity stays hard to defend.</w:t>
      </w:r>
    </w:p>
    <w:p>
      <w:pPr>
        <w:pStyle w:val="BodyText"/>
        <w:spacing w:line="480" w:lineRule="auto"/>
        <w:ind w:firstLine="720"/>
      </w:pPr>
      <w:r>
        <w:t xml:space="preserve">For the Paper Two synthesis, the working test is simple.</w:t>
      </w:r>
    </w:p>
    <w:p>
      <w:pPr>
        <w:pStyle w:val="BodyText"/>
        <w:spacing w:line="480" w:lineRule="auto"/>
        <w:ind w:firstLine="720"/>
      </w:pPr>
      <w:r>
        <w:t xml:space="preserve">Does the framework change a real decision? Restate that debris is dangerous and you add nothing; description turns to support only when thresholds are tested against model choice. Show a threshold holding under both ORDEM and MASTER and the decision gains footing; show it moving with the family and the midpoint stands warned against</w:t>
      </w:r>
      <w:r>
        <w:t xml:space="preserve"> </w:t>
      </w:r>
      <w:hyperlink w:anchor="ref-6">
        <w:r>
          <w:rPr>
            <w:rStyle w:val="Hyperlink"/>
          </w:rPr>
          <w:t xml:space="preserve">[6]</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r>
        <w:t xml:space="preserve"> </w:t>
      </w:r>
      <w:hyperlink w:anchor="ref-20">
        <w:r>
          <w:rPr>
            <w:rStyle w:val="Hyperlink"/>
          </w:rPr>
          <w:t xml:space="preserve">[20]</w:t>
        </w:r>
      </w:hyperlink>
      <w:r>
        <w:t xml:space="preserve">. Uncertainty is structured information rather than embarrassment. A narrow band reassures, saying model choice is not driving the decision. A wide band instructs, calling for more evidence, a conservative rule, or an adaptive design, most sharply where fast traffic growth has already made the old assumptions brittle. Compatibility with practice holds because the framework asks only how model choice moves a decision-relevant estimate, which respects expertise while surfacing consequences. Judgment stays visible on risk tolerance, public purpose, industry burden, and coordination</w:t>
      </w:r>
      <w:r>
        <w:t xml:space="preserve"> </w:t>
      </w:r>
      <w:hyperlink w:anchor="ref-6">
        <w:r>
          <w:rPr>
            <w:rStyle w:val="Hyperlink"/>
          </w:rPr>
          <w:t xml:space="preserve">[6]</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r>
        <w:t xml:space="preserve"> </w:t>
      </w:r>
      <w:hyperlink w:anchor="ref-20">
        <w:r>
          <w:rPr>
            <w:rStyle w:val="Hyperlink"/>
          </w:rPr>
          <w:t xml:space="preserve">[20]</w:t>
        </w:r>
      </w:hyperlink>
      <w:r>
        <w:t xml:space="preserve">.</w:t>
      </w:r>
    </w:p>
    <w:bookmarkEnd w:id="107"/>
    <w:bookmarkStart w:id="108" w:name="evidence-role-5"/>
    <w:p>
      <w:pPr>
        <w:pStyle w:val="Heading2"/>
        <w:spacing w:line="480" w:lineRule="auto"/>
      </w:pPr>
      <w:r>
        <w:t xml:space="preserve">Evidence role</w:t>
      </w:r>
    </w:p>
    <w:p>
      <w:pPr>
        <w:pStyle w:val="FirstParagraph"/>
        <w:spacing w:line="480" w:lineRule="auto"/>
      </w:pPr>
      <w:r>
        <w:t xml:space="preserve">The chapter connects cumulative Earth-orbit records, launch-year aggregation, growth elasticity, and the policy calibration era to the dissertation’s claim, and it declines the claim that any source has displaced another. The policy object is an envelope, its width set by model disagreement, observable pressure, and threshold choice, and the width matters most for sub-catalog debris, where observation stays incomplete but a defensible flux assumption is still owed</w:t>
      </w:r>
      <w:r>
        <w:t xml:space="preserve"> </w:t>
      </w:r>
      <w:hyperlink w:anchor="ref-6">
        <w:r>
          <w:rPr>
            <w:rStyle w:val="Hyperlink"/>
          </w:rPr>
          <w:t xml:space="preserve">[6]</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r>
        <w:t xml:space="preserve"> </w:t>
      </w:r>
      <w:hyperlink w:anchor="ref-20">
        <w:r>
          <w:rPr>
            <w:rStyle w:val="Hyperlink"/>
          </w:rPr>
          <w:t xml:space="preserve">[20]</w:t>
        </w:r>
      </w:hyperlink>
      <w:r>
        <w:t xml:space="preserve">.</w:t>
      </w:r>
    </w:p>
    <w:p>
      <w:pPr>
        <w:pStyle w:val="BodyText"/>
        <w:spacing w:line="480" w:lineRule="auto"/>
        <w:ind w:firstLine="720"/>
      </w:pPr>
      <w:r>
        <w:t xml:space="preserve">For the Paper Two synthesis, the working test recurs. A framework that only restates the hazard adds little. One that shows a threshold robust under both ORDEM and MASTER strengthens the decision; one that shows it changing with the family warns against the midpoint. That separates description from support</w:t>
      </w:r>
      <w:r>
        <w:t xml:space="preserve"> </w:t>
      </w:r>
      <w:hyperlink w:anchor="ref-6">
        <w:r>
          <w:rPr>
            <w:rStyle w:val="Hyperlink"/>
          </w:rPr>
          <w:t xml:space="preserve">[6]</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r>
        <w:t xml:space="preserve"> </w:t>
      </w:r>
      <w:hyperlink w:anchor="ref-20">
        <w:r>
          <w:rPr>
            <w:rStyle w:val="Hyperlink"/>
          </w:rPr>
          <w:t xml:space="preserve">[20]</w:t>
        </w:r>
      </w:hyperlink>
      <w:r>
        <w:t xml:space="preserve">.</w:t>
      </w:r>
    </w:p>
    <w:p>
      <w:pPr>
        <w:pStyle w:val="BodyText"/>
        <w:spacing w:line="480" w:lineRule="auto"/>
        <w:ind w:firstLine="720"/>
      </w:pPr>
      <w:r>
        <w:t xml:space="preserve">Uncertainty is structured information, not analytical embarrassment.</w:t>
      </w:r>
    </w:p>
    <w:p>
      <w:pPr>
        <w:pStyle w:val="BodyText"/>
        <w:spacing w:line="480" w:lineRule="auto"/>
        <w:ind w:firstLine="720"/>
      </w:pPr>
      <w:r>
        <w:t xml:space="preserve">A narrow band means model choice is not the driver; a wide one means gather more evidence, choose a conservative rule, or design adaptively, and the counsel is sharpest where fast growth ages the assumptions</w:t>
      </w:r>
      <w:r>
        <w:t xml:space="preserve"> </w:t>
      </w:r>
      <w:hyperlink w:anchor="ref-6">
        <w:r>
          <w:rPr>
            <w:rStyle w:val="Hyperlink"/>
          </w:rPr>
          <w:t xml:space="preserve">[6]</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r>
        <w:t xml:space="preserve"> </w:t>
      </w:r>
      <w:hyperlink w:anchor="ref-20">
        <w:r>
          <w:rPr>
            <w:rStyle w:val="Hyperlink"/>
          </w:rPr>
          <w:t xml:space="preserve">[20]</w:t>
        </w:r>
      </w:hyperlink>
      <w:r>
        <w:t xml:space="preserve">. Low Earth orbit is no uniform commons. Altitude, inclination, object-type, and mission-use regimes create distinct congestion, persistence, and risk, and the empirical papers press from different directions, structured density on one side and scaled growth on the other, so a single-number capacity stays hard to defend. Nothing here asks engineers to leave ORDEM or MASTER, only to report how model choice moves a decision-relevant estimate, which respects expertise while surfacing consequences. Judgment stays visible, since no debris fee, shielding standard, launch authorization rule, or remediation priority comes from physics alone, resting instead on risk tolerance, public purpose, industry burden, and coordination</w:t>
      </w:r>
      <w:r>
        <w:t xml:space="preserve"> </w:t>
      </w:r>
      <w:hyperlink w:anchor="ref-6">
        <w:r>
          <w:rPr>
            <w:rStyle w:val="Hyperlink"/>
          </w:rPr>
          <w:t xml:space="preserve">[6]</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r>
        <w:t xml:space="preserve"> </w:t>
      </w:r>
      <w:hyperlink w:anchor="ref-20">
        <w:r>
          <w:rPr>
            <w:rStyle w:val="Hyperlink"/>
          </w:rPr>
          <w:t xml:space="preserve">[20]</w:t>
        </w:r>
      </w:hyperlink>
      <w:r>
        <w:t xml:space="preserve">.</w:t>
      </w:r>
    </w:p>
    <w:bookmarkEnd w:id="108"/>
    <w:bookmarkStart w:id="109" w:name="methodological-discipline-5"/>
    <w:p>
      <w:pPr>
        <w:pStyle w:val="Heading2"/>
        <w:spacing w:line="480" w:lineRule="auto"/>
      </w:pPr>
      <w:r>
        <w:t xml:space="preserve">Methodological discipline</w:t>
      </w:r>
    </w:p>
    <w:p>
      <w:pPr>
        <w:pStyle w:val="FirstParagraph"/>
        <w:spacing w:line="480" w:lineRule="auto"/>
      </w:pPr>
      <w:r>
        <w:t xml:space="preserve">Discipline here means keeping each source in its evidentiary role. ORDEM documentation explains model process, validation, and engineering use, while MASTER and the wider ESA environment reporting supply a parallel model and an institutional base, SATCAT anchors the tracked-object population, and the Acta and AMOS papers add flux, capacity, and governance context. The synthesis combines them without treating them as equivalent evidence</w:t>
      </w:r>
      <w:r>
        <w:t xml:space="preserve"> </w:t>
      </w:r>
      <w:hyperlink w:anchor="ref-6">
        <w:r>
          <w:rPr>
            <w:rStyle w:val="Hyperlink"/>
          </w:rPr>
          <w:t xml:space="preserve">[6]</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r>
        <w:t xml:space="preserve"> </w:t>
      </w:r>
      <w:hyperlink w:anchor="ref-20">
        <w:r>
          <w:rPr>
            <w:rStyle w:val="Hyperlink"/>
          </w:rPr>
          <w:t xml:space="preserve">[20]</w:t>
        </w:r>
      </w:hyperlink>
      <w:r>
        <w:t xml:space="preserve">.</w:t>
      </w:r>
    </w:p>
    <w:p>
      <w:pPr>
        <w:pStyle w:val="BodyText"/>
        <w:spacing w:line="480" w:lineRule="auto"/>
        <w:ind w:firstLine="720"/>
      </w:pPr>
      <w:r>
        <w:t xml:space="preserve">For the Paper Two synthesis, the working test sharpens.</w:t>
      </w:r>
    </w:p>
    <w:p>
      <w:pPr>
        <w:pStyle w:val="BodyText"/>
        <w:spacing w:line="480" w:lineRule="auto"/>
        <w:ind w:firstLine="720"/>
      </w:pPr>
      <w:r>
        <w:t xml:space="preserve">Merely restate that debris is dangerous and you contribute little. Show a threshold robust under both ORDEM and MASTER and you strengthen the basis for the decision; show it changing with the family and you warn against the midpoint. That separates description from support</w:t>
      </w:r>
      <w:r>
        <w:t xml:space="preserve"> </w:t>
      </w:r>
      <w:hyperlink w:anchor="ref-6">
        <w:r>
          <w:rPr>
            <w:rStyle w:val="Hyperlink"/>
          </w:rPr>
          <w:t xml:space="preserve">[6]</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r>
        <w:t xml:space="preserve"> </w:t>
      </w:r>
      <w:hyperlink w:anchor="ref-20">
        <w:r>
          <w:rPr>
            <w:rStyle w:val="Hyperlink"/>
          </w:rPr>
          <w:t xml:space="preserve">[20]</w:t>
        </w:r>
      </w:hyperlink>
      <w:r>
        <w:t xml:space="preserve">. Uncertainty is structured information, not embarrassment. A narrow band means model choice is not driving the decision; a wide one means gather more evidence, choose a conservative rule, or design adaptively, especially where fast growth ages the assumptions. The framework stays compatible with practice by asking only how model choice moves a decision-relevant estimate, a narrower and more useful demand that respects expertise while surfacing consequences</w:t>
      </w:r>
      <w:r>
        <w:t xml:space="preserve"> </w:t>
      </w:r>
      <w:hyperlink w:anchor="ref-6">
        <w:r>
          <w:rPr>
            <w:rStyle w:val="Hyperlink"/>
          </w:rPr>
          <w:t xml:space="preserve">[6]</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r>
        <w:t xml:space="preserve"> </w:t>
      </w:r>
      <w:hyperlink w:anchor="ref-20">
        <w:r>
          <w:rPr>
            <w:rStyle w:val="Hyperlink"/>
          </w:rPr>
          <w:t xml:space="preserve">[20]</w:t>
        </w:r>
      </w:hyperlink>
      <w:r>
        <w:t xml:space="preserve">. Low Earth orbit is no uniform commons. Its regimes differ in congestion, persistence, and risk, and the empirical papers show structured tracked-shell density alongside strongly scaled cumulative growth, so a single-number capacity stays hard to defend. Judgment stays visible, resting on risk tolerance, public purpose, industry burden, and coordination, and the envelope gives it a disciplined basis rather than removing it.</w:t>
      </w:r>
    </w:p>
    <w:bookmarkEnd w:id="109"/>
    <w:bookmarkStart w:id="110" w:name="decision-consequence-5"/>
    <w:p>
      <w:pPr>
        <w:pStyle w:val="Heading2"/>
        <w:spacing w:line="480" w:lineRule="auto"/>
      </w:pPr>
      <w:r>
        <w:t xml:space="preserve">Decision consequence</w:t>
      </w:r>
    </w:p>
    <w:p>
      <w:pPr>
        <w:pStyle w:val="FirstParagraph"/>
        <w:spacing w:line="480" w:lineRule="auto"/>
      </w:pPr>
      <w:r>
        <w:t xml:space="preserve">Consequence follows from cumulative Earth-orbit records, launch-year aggregation, growth elasticity, and the policy calibration era. A shell heavy with tracked pressure, active-payload share, and debris share should not be handled like a sparse one merely because both are classified LEO. A flux gap in a busy shell carries a policy meaning the same proportional gap in a quiet shell does not, and the envelope makes that difference explicit</w:t>
      </w:r>
      <w:r>
        <w:t xml:space="preserve"> </w:t>
      </w:r>
      <w:hyperlink w:anchor="ref-6">
        <w:r>
          <w:rPr>
            <w:rStyle w:val="Hyperlink"/>
          </w:rPr>
          <w:t xml:space="preserve">[6]</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r>
        <w:t xml:space="preserve"> </w:t>
      </w:r>
      <w:hyperlink w:anchor="ref-20">
        <w:r>
          <w:rPr>
            <w:rStyle w:val="Hyperlink"/>
          </w:rPr>
          <w:t xml:space="preserve">[20]</w:t>
        </w:r>
      </w:hyperlink>
      <w:r>
        <w:t xml:space="preserve">.</w:t>
      </w:r>
    </w:p>
    <w:p>
      <w:pPr>
        <w:pStyle w:val="BodyText"/>
        <w:spacing w:line="480" w:lineRule="auto"/>
        <w:ind w:firstLine="720"/>
      </w:pPr>
      <w:r>
        <w:t xml:space="preserve">For the Paper Two synthesis, the working test holds.</w:t>
      </w:r>
    </w:p>
    <w:p>
      <w:pPr>
        <w:pStyle w:val="BodyText"/>
        <w:spacing w:line="480" w:lineRule="auto"/>
        <w:ind w:firstLine="720"/>
      </w:pPr>
      <w:r>
        <w:t xml:space="preserve">Restate the hazard and you add little. Where the framework shows a threshold robust under both ORDEM and MASTER, it strengthens the decision; where the threshold changes with the family, it cautions against the midpoint. That separates description from support</w:t>
      </w:r>
      <w:r>
        <w:t xml:space="preserve"> </w:t>
      </w:r>
      <w:hyperlink w:anchor="ref-6">
        <w:r>
          <w:rPr>
            <w:rStyle w:val="Hyperlink"/>
          </w:rPr>
          <w:t xml:space="preserve">[6]</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r>
        <w:t xml:space="preserve"> </w:t>
      </w:r>
      <w:hyperlink w:anchor="ref-20">
        <w:r>
          <w:rPr>
            <w:rStyle w:val="Hyperlink"/>
          </w:rPr>
          <w:t xml:space="preserve">[20]</w:t>
        </w:r>
      </w:hyperlink>
      <w:r>
        <w:t xml:space="preserve">. Uncertainty is structured information, not embarrassment. Narrow bands say model choice is not driving the decision. Wide bands ask for more evidence, a conservative rule, or an adaptive design, most urgently where fast growth ages the assumptions</w:t>
      </w:r>
      <w:r>
        <w:t xml:space="preserve"> </w:t>
      </w:r>
      <w:hyperlink w:anchor="ref-6">
        <w:r>
          <w:rPr>
            <w:rStyle w:val="Hyperlink"/>
          </w:rPr>
          <w:t xml:space="preserve">[6]</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r>
        <w:t xml:space="preserve"> </w:t>
      </w:r>
      <w:hyperlink w:anchor="ref-20">
        <w:r>
          <w:rPr>
            <w:rStyle w:val="Hyperlink"/>
          </w:rPr>
          <w:t xml:space="preserve">[20]</w:t>
        </w:r>
      </w:hyperlink>
      <w:r>
        <w:t xml:space="preserve">. Low Earth orbit is no uniform commons; it is stratified. Its altitude, inclination, object-type, and mission-use regimes exhibit distinct congestion, persistence, and risk, and the empirical papers show structured tracked-shell density alongside strongly scaled cumulative growth, so a single-number capacity stays hard to defend. The demand on engineers is modest: report how model choice moves a decision-relevant estimate, no more, which respects expertise while surfacing consequences. Judgment stays visible, resting on risk tolerance, public purpose, industry burden, and coordination as well as technical evidence</w:t>
      </w:r>
      <w:r>
        <w:t xml:space="preserve"> </w:t>
      </w:r>
      <w:hyperlink w:anchor="ref-6">
        <w:r>
          <w:rPr>
            <w:rStyle w:val="Hyperlink"/>
          </w:rPr>
          <w:t xml:space="preserve">[6]</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r>
        <w:t xml:space="preserve"> </w:t>
      </w:r>
      <w:hyperlink w:anchor="ref-20">
        <w:r>
          <w:rPr>
            <w:rStyle w:val="Hyperlink"/>
          </w:rPr>
          <w:t xml:space="preserve">[20]</w:t>
        </w:r>
      </w:hyperlink>
      <w:r>
        <w:t xml:space="preserve">.</w:t>
      </w:r>
    </w:p>
    <w:bookmarkEnd w:id="110"/>
    <w:bookmarkStart w:id="111" w:name="capacity-logic-5"/>
    <w:p>
      <w:pPr>
        <w:pStyle w:val="Heading2"/>
        <w:spacing w:line="480" w:lineRule="auto"/>
      </w:pPr>
      <w:r>
        <w:t xml:space="preserve">Capacity logic</w:t>
      </w:r>
    </w:p>
    <w:p>
      <w:pPr>
        <w:pStyle w:val="FirstParagraph"/>
        <w:spacing w:line="480" w:lineRule="auto"/>
      </w:pPr>
      <w:r>
        <w:t xml:space="preserve">Capacity is never observed directly. It is inferred through linked data, model assumptions, risk thresholds, and governance choices, and a point estimate can conceal parts of that chain while an envelope exposes them. Less tidy, more faithful to the problem. The band shows where the result is robust, where it is sensitive, and what measurement would narrow it</w:t>
      </w:r>
      <w:r>
        <w:t xml:space="preserve"> </w:t>
      </w:r>
      <w:hyperlink w:anchor="ref-6">
        <w:r>
          <w:rPr>
            <w:rStyle w:val="Hyperlink"/>
          </w:rPr>
          <w:t xml:space="preserve">[6]</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r>
        <w:t xml:space="preserve"> </w:t>
      </w:r>
      <w:hyperlink w:anchor="ref-20">
        <w:r>
          <w:rPr>
            <w:rStyle w:val="Hyperlink"/>
          </w:rPr>
          <w:t xml:space="preserve">[20]</w:t>
        </w:r>
      </w:hyperlink>
      <w:r>
        <w:t xml:space="preserve">.</w:t>
      </w:r>
    </w:p>
    <w:p>
      <w:pPr>
        <w:pStyle w:val="BodyText"/>
        <w:spacing w:line="480" w:lineRule="auto"/>
        <w:ind w:firstLine="720"/>
      </w:pPr>
      <w:r>
        <w:t xml:space="preserve">For the Paper Two synthesis, the working test asks whether the framework alters a real decision rather than restating a known hazard, because its value lies in showing either that a threshold holds under both ORDEM and MASTER or that it shifts with the family. In the first case the framework strengthens the decision; in the second it cautions against the midpoint. That separates description from support</w:t>
      </w:r>
      <w:r>
        <w:t xml:space="preserve"> </w:t>
      </w:r>
      <w:hyperlink w:anchor="ref-6">
        <w:r>
          <w:rPr>
            <w:rStyle w:val="Hyperlink"/>
          </w:rPr>
          <w:t xml:space="preserve">[6]</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r>
        <w:t xml:space="preserve"> </w:t>
      </w:r>
      <w:hyperlink w:anchor="ref-20">
        <w:r>
          <w:rPr>
            <w:rStyle w:val="Hyperlink"/>
          </w:rPr>
          <w:t xml:space="preserve">[20]</w:t>
        </w:r>
      </w:hyperlink>
      <w:r>
        <w:t xml:space="preserve">.</w:t>
      </w:r>
    </w:p>
    <w:p>
      <w:pPr>
        <w:pStyle w:val="BodyText"/>
        <w:spacing w:line="480" w:lineRule="auto"/>
        <w:ind w:firstLine="720"/>
      </w:pPr>
      <w:r>
        <w:t xml:space="preserve">Uncertainty is structured information, not embarrassment. A narrow band means model choice is not driving the decision; a wide one means gather more evidence, adopt a conservative rule, or design adaptively, and the pressure is sharpest where fast growth ages the assumptions</w:t>
      </w:r>
      <w:r>
        <w:t xml:space="preserve"> </w:t>
      </w:r>
      <w:hyperlink w:anchor="ref-6">
        <w:r>
          <w:rPr>
            <w:rStyle w:val="Hyperlink"/>
          </w:rPr>
          <w:t xml:space="preserve">[6]</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r>
        <w:t xml:space="preserve"> </w:t>
      </w:r>
      <w:hyperlink w:anchor="ref-20">
        <w:r>
          <w:rPr>
            <w:rStyle w:val="Hyperlink"/>
          </w:rPr>
          <w:t xml:space="preserve">[20]</w:t>
        </w:r>
      </w:hyperlink>
      <w:r>
        <w:t xml:space="preserve">. Low Earth orbit is no uniform commons. Its regimes differ in congestion, persistence, and risk, and the empirical papers make a single-number capacity hard to defend. The framework stays compatible with practice by asking only how model choice moves a decision-relevant estimate, a demand narrow, useful, and legible to policy users who need consequences rather than credibility claims. One empirical paper shows tracked-shell density structured; the other shows cumulative growth scaling hard. Judgment stays visible, resting on risk tolerance, public purpose, industry burden, and coordination</w:t>
      </w:r>
      <w:r>
        <w:t xml:space="preserve"> </w:t>
      </w:r>
      <w:hyperlink w:anchor="ref-6">
        <w:r>
          <w:rPr>
            <w:rStyle w:val="Hyperlink"/>
          </w:rPr>
          <w:t xml:space="preserve">[6]</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r>
        <w:t xml:space="preserve"> </w:t>
      </w:r>
      <w:hyperlink w:anchor="ref-20">
        <w:r>
          <w:rPr>
            <w:rStyle w:val="Hyperlink"/>
          </w:rPr>
          <w:t xml:space="preserve">[20]</w:t>
        </w:r>
      </w:hyperlink>
      <w:r>
        <w:t xml:space="preserve">.</w:t>
      </w:r>
    </w:p>
    <w:bookmarkEnd w:id="111"/>
    <w:bookmarkStart w:id="112" w:name="validity-guardrail-5"/>
    <w:p>
      <w:pPr>
        <w:pStyle w:val="Heading2"/>
        <w:spacing w:line="480" w:lineRule="auto"/>
      </w:pPr>
      <w:r>
        <w:t xml:space="preserve">Validity guardrail</w:t>
      </w:r>
    </w:p>
    <w:p>
      <w:pPr>
        <w:pStyle w:val="FirstParagraph"/>
        <w:spacing w:line="480" w:lineRule="auto"/>
      </w:pPr>
      <w:r>
        <w:t xml:space="preserve">The central guardrail is a refusal of false substitution, since SATCAT is not a sub-catalog flux model, ORDEM and MASTER are not statutes, flux-criticality papers are not license rules, and sustainability ratings are not collision-probability engines. Each stays valuable when used for the claim it can support, and holding that source-role discipline is a major contribution of the dissertation</w:t>
      </w:r>
      <w:r>
        <w:t xml:space="preserve"> </w:t>
      </w:r>
      <w:hyperlink w:anchor="ref-6">
        <w:r>
          <w:rPr>
            <w:rStyle w:val="Hyperlink"/>
          </w:rPr>
          <w:t xml:space="preserve">[6]</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r>
        <w:t xml:space="preserve"> </w:t>
      </w:r>
      <w:hyperlink w:anchor="ref-20">
        <w:r>
          <w:rPr>
            <w:rStyle w:val="Hyperlink"/>
          </w:rPr>
          <w:t xml:space="preserve">[20]</w:t>
        </w:r>
      </w:hyperlink>
      <w:r>
        <w:t xml:space="preserve">.</w:t>
      </w:r>
    </w:p>
    <w:p>
      <w:pPr>
        <w:pStyle w:val="BodyText"/>
        <w:spacing w:line="480" w:lineRule="auto"/>
        <w:ind w:firstLine="720"/>
      </w:pPr>
      <w:r>
        <w:t xml:space="preserve">For the Paper Two synthesis, the working test applies as restraint. A synthesis that overreaches its sources adds little; one that respects them earns a defensible band. Show a threshold robust under both ORDEM and MASTER and you strengthen the decision; show it changing with the family and you warn against the midpoint. That separates description from support</w:t>
      </w:r>
      <w:r>
        <w:t xml:space="preserve"> </w:t>
      </w:r>
      <w:hyperlink w:anchor="ref-6">
        <w:r>
          <w:rPr>
            <w:rStyle w:val="Hyperlink"/>
          </w:rPr>
          <w:t xml:space="preserve">[6]</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r>
        <w:t xml:space="preserve"> </w:t>
      </w:r>
      <w:hyperlink w:anchor="ref-20">
        <w:r>
          <w:rPr>
            <w:rStyle w:val="Hyperlink"/>
          </w:rPr>
          <w:t xml:space="preserve">[20]</w:t>
        </w:r>
      </w:hyperlink>
      <w:r>
        <w:t xml:space="preserve">.</w:t>
      </w:r>
    </w:p>
    <w:p>
      <w:pPr>
        <w:pStyle w:val="BodyText"/>
        <w:spacing w:line="480" w:lineRule="auto"/>
        <w:ind w:firstLine="720"/>
      </w:pPr>
      <w:r>
        <w:t xml:space="preserve">Uncertainty is structured information, not embarrassment. A narrow band means model choice is not driving the decision; a wide one means gather more evidence, choose a conservative rule, or design adaptively, most sharply where fast growth ages the assumptions</w:t>
      </w:r>
      <w:r>
        <w:t xml:space="preserve"> </w:t>
      </w:r>
      <w:hyperlink w:anchor="ref-6">
        <w:r>
          <w:rPr>
            <w:rStyle w:val="Hyperlink"/>
          </w:rPr>
          <w:t xml:space="preserve">[6]</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r>
        <w:t xml:space="preserve"> </w:t>
      </w:r>
      <w:hyperlink w:anchor="ref-20">
        <w:r>
          <w:rPr>
            <w:rStyle w:val="Hyperlink"/>
          </w:rPr>
          <w:t xml:space="preserve">[20]</w:t>
        </w:r>
      </w:hyperlink>
      <w:r>
        <w:t xml:space="preserve">. Low Earth orbit is no uniform commons, and it is no single scalar threshold. It is a set of altitude, inclination, object-type, and mission-use regimes with distinct congestion, persistence, and risk, and the empirical papers show structured tracked-shell density alongside strongly scaled cumulative growth, so a single-number capacity stays hard to defend. Compatibility with practice holds because the framework asks only how the choice of model moves a decision-relevant estimate, which respects expertise while surfacing consequences. Judgment stays visible throughout, resting on risk tolerance, public purpose, industry burden, and coordination</w:t>
      </w:r>
      <w:r>
        <w:t xml:space="preserve"> </w:t>
      </w:r>
      <w:hyperlink w:anchor="ref-6">
        <w:r>
          <w:rPr>
            <w:rStyle w:val="Hyperlink"/>
          </w:rPr>
          <w:t xml:space="preserve">[6]</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r>
        <w:t xml:space="preserve"> </w:t>
      </w:r>
      <w:hyperlink w:anchor="ref-20">
        <w:r>
          <w:rPr>
            <w:rStyle w:val="Hyperlink"/>
          </w:rPr>
          <w:t xml:space="preserve">[20]</w:t>
        </w:r>
      </w:hyperlink>
      <w:r>
        <w:t xml:space="preserve">.</w:t>
      </w:r>
    </w:p>
    <w:bookmarkEnd w:id="112"/>
    <w:bookmarkStart w:id="113" w:name="empirical-result-from-paper-2"/>
    <w:p>
      <w:pPr>
        <w:pStyle w:val="Heading2"/>
        <w:spacing w:line="480" w:lineRule="auto"/>
      </w:pPr>
      <w:r>
        <w:t xml:space="preserve">Empirical result from Paper 2</w:t>
      </w:r>
    </w:p>
    <w:p>
      <w:pPr>
        <w:pStyle w:val="FirstParagraph"/>
        <w:spacing w:line="480" w:lineRule="auto"/>
      </w:pPr>
      <w:r>
        <w:t xml:space="preserve">Using 70 annual observations from the same public SATCAT snapshot, the learning-curve paper reports R2 = 0.9397, elasticity b = 2.0877, and progress ratio 2^b = 4.2508. The log-time coefficient carries a standard error of 0.1238, p = 7.87e-64, with a 95 percent confidence interval from 1.8451 to 2.3303. These estimates support the dissertation’s claim that capacity envelopes should stay sensitive to time, since a model disagreement that looks tolerable at one catalog scale can turn policy-relevant at another</w:t>
      </w:r>
      <w:r>
        <w:t xml:space="preserve"> </w:t>
      </w:r>
      <w:hyperlink w:anchor="ref-6">
        <w:r>
          <w:rPr>
            <w:rStyle w:val="Hyperlink"/>
          </w:rPr>
          <w:t xml:space="preserve">[6]</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p>
    <w:bookmarkEnd w:id="113"/>
    <w:bookmarkStart w:id="114" w:name="operationalizing-the-envelope-5"/>
    <w:p>
      <w:pPr>
        <w:pStyle w:val="Heading2"/>
        <w:spacing w:line="480" w:lineRule="auto"/>
      </w:pPr>
      <w:r>
        <w:t xml:space="preserve">Operationalizing the Envelope</w:t>
      </w:r>
    </w:p>
    <w:p>
      <w:pPr>
        <w:pStyle w:val="FirstParagraph"/>
        <w:spacing w:line="480" w:lineRule="auto"/>
      </w:pPr>
      <w:r>
        <w:t xml:space="preserve">Operational use begins by turning the envelope analysis into repeatable decision steps. Analysts define the shell, inclination regime, size regime, and policy threshold before comparing outputs, then attach the tracked-catalog anchor, since the visible population marks where a decision is most exposed to congestion and conjunction pressure</w:t>
      </w:r>
      <w:r>
        <w:t xml:space="preserve"> </w:t>
      </w:r>
      <w:hyperlink w:anchor="ref-6">
        <w:r>
          <w:rPr>
            <w:rStyle w:val="Hyperlink"/>
          </w:rPr>
          <w:t xml:space="preserve">[6]</w:t>
        </w:r>
      </w:hyperlink>
      <w:r>
        <w:t xml:space="preserve">. ORDEM and MASTER assumptions are recorded as well, size bins, altitude ranges, validation basis, and intended engineering use among them</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 The calculation reports width, not the midpoint alone, and states which decision would change if the high-end estimate governed instead of the low-end one.</w:t>
      </w:r>
    </w:p>
    <w:p>
      <w:pPr>
        <w:pStyle w:val="BodyText"/>
        <w:spacing w:line="480" w:lineRule="auto"/>
        <w:ind w:firstLine="720"/>
      </w:pPr>
      <w:r>
        <w:t xml:space="preserve">That sequence keeps the dissertation practical. A launch-license rule might read the band to sort a deployment into a low, medium, or high concern shell, while a shielding standard takes the high side for crewed systems and the midpoint for replaceable robotic ones. A remediation policy might target shells where tracked density, debris share, and model-disagreement width overlap, and a fee schedule might charge more where marginal occupancy adds risk to a crowded regime. No decision in this set requires false certainty; each requires a transparent link from evidence to action</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12">
        <w:r>
          <w:rPr>
            <w:rStyle w:val="Hyperlink"/>
          </w:rPr>
          <w:t xml:space="preserve">[12]</w:t>
        </w:r>
      </w:hyperlink>
      <w:r>
        <w:t xml:space="preserve">,</w:t>
      </w:r>
      <w:r>
        <w:t xml:space="preserve"> </w:t>
      </w:r>
      <w:hyperlink w:anchor="ref-20">
        <w:r>
          <w:rPr>
            <w:rStyle w:val="Hyperlink"/>
          </w:rPr>
          <w:t xml:space="preserve">[20]</w:t>
        </w:r>
      </w:hyperlink>
      <w:r>
        <w:t xml:space="preserve">.</w:t>
      </w:r>
    </w:p>
    <w:p>
      <w:pPr>
        <w:pStyle w:val="BodyText"/>
        <w:spacing w:line="480" w:lineRule="auto"/>
        <w:ind w:firstLine="720"/>
      </w:pPr>
      <w:r>
        <w:t xml:space="preserve">Revision over time is built into the same sequence. A new ORDEM version, a MASTER update, or a shift in CelesTrak catalog conditions after fresh launches or decay events can be rerun without changing the logic. For that reason the framework is not a one-time table. It is a method for keeping orbital carrying-capacity claims current, auditable, and honest about uncertainty.</w:t>
      </w:r>
    </w:p>
    <w:bookmarkEnd w:id="114"/>
    <w:bookmarkStart w:id="115" w:name="chapter-synthesis-5"/>
    <w:p>
      <w:pPr>
        <w:pStyle w:val="Heading2"/>
        <w:spacing w:line="480" w:lineRule="auto"/>
      </w:pPr>
      <w:r>
        <w:t xml:space="preserve">Chapter Synthesis</w:t>
      </w:r>
    </w:p>
    <w:p>
      <w:pPr>
        <w:pStyle w:val="FirstParagraph"/>
        <w:spacing w:line="480" w:lineRule="auto"/>
      </w:pPr>
      <w:r>
        <w:t xml:space="preserve">The chapter supports the dissertation by treating catalog growth as the temporal dimension of capacity pressure, and the learning curve shows why model divergence has to be judged against changing traffic baselines rather than a fixed picture of orbital use. In practice, orbital carrying capacity should be reported as a structured envelope by shell, regime, and threshold. Such an envelope still guides action while lowering the risk that decision makers mistake model choice, source incompleteness, or calibration era for certainty</w:t>
      </w:r>
      <w:r>
        <w:t xml:space="preserve"> </w:t>
      </w:r>
      <w:hyperlink w:anchor="ref-6">
        <w:r>
          <w:rPr>
            <w:rStyle w:val="Hyperlink"/>
          </w:rPr>
          <w:t xml:space="preserve">[6]</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r>
        <w:t xml:space="preserve"> </w:t>
      </w:r>
      <w:hyperlink w:anchor="ref-20">
        <w:r>
          <w:rPr>
            <w:rStyle w:val="Hyperlink"/>
          </w:rPr>
          <w:t xml:space="preserve">[20]</w:t>
        </w:r>
      </w:hyperlink>
      <w:r>
        <w:t xml:space="preserve">.</w:t>
      </w:r>
    </w:p>
    <w:bookmarkEnd w:id="115"/>
    <w:bookmarkEnd w:id="116"/>
    <w:bookmarkStart w:id="125" w:name="Xde701d0697ebfeaf7841b0f9c5a82d8f8d44d84"/>
    <w:p>
      <w:pPr>
        <w:pStyle w:val="Heading1"/>
        <w:spacing w:line="480" w:lineRule="auto"/>
      </w:pPr>
      <w:r>
        <w:t xml:space="preserve">Chapter 7. Translating Divergence Into Policy Instruments</w:t>
      </w:r>
    </w:p>
    <w:p>
      <w:pPr>
        <w:pStyle w:val="FirstParagraph"/>
        <w:spacing w:line="480" w:lineRule="auto"/>
      </w:pPr>
      <w:r>
        <w:t xml:space="preserve">This chapter makes the policy turn. Fees, caps, shielding rules, and remediation priorities should answer to the width of the envelope, not to its midpoint alone, because the width is where model uncertainty actually bites. Every source stays inside the shared reference pool. The governing rule holds: model disagreement is not a nuisance to be averaged away but a decision-relevant feature that must be propagated into the carrying-capacity claim</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12">
        <w:r>
          <w:rPr>
            <w:rStyle w:val="Hyperlink"/>
          </w:rPr>
          <w:t xml:space="preserve">[12]</w:t>
        </w:r>
      </w:hyperlink>
      <w:r>
        <w:t xml:space="preserve">,</w:t>
      </w:r>
      <w:r>
        <w:t xml:space="preserve"> </w:t>
      </w:r>
      <w:hyperlink w:anchor="ref-20">
        <w:r>
          <w:rPr>
            <w:rStyle w:val="Hyperlink"/>
          </w:rPr>
          <w:t xml:space="preserve">[20]</w:t>
        </w:r>
      </w:hyperlink>
      <w:r>
        <w:t xml:space="preserve">.</w:t>
      </w:r>
    </w:p>
    <w:bookmarkStart w:id="117" w:name="problem-frame-6"/>
    <w:p>
      <w:pPr>
        <w:pStyle w:val="Heading2"/>
        <w:spacing w:line="480" w:lineRule="auto"/>
      </w:pPr>
      <w:r>
        <w:t xml:space="preserve">Problem frame</w:t>
      </w:r>
    </w:p>
    <w:p>
      <w:pPr>
        <w:pStyle w:val="FirstParagraph"/>
        <w:spacing w:line="480" w:lineRule="auto"/>
      </w:pPr>
      <w:r>
        <w:t xml:space="preserve">For Henry Ramos, the central problem here is model uncertainty as an input to governance design rather than as a footnote to it. Civil agencies, commercial operators, insurers, and standards bodies keep reaching for capacity language, and they cannot wield it responsibly while the environmental substrate is treated as settled when it is not. ORDEM and MASTER are both legitimate model families, and their authority is why the space between them matters, since a disagreement between weak sources can be ignored while one between authoritative sources has to be managed</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12">
        <w:r>
          <w:rPr>
            <w:rStyle w:val="Hyperlink"/>
          </w:rPr>
          <w:t xml:space="preserve">[12]</w:t>
        </w:r>
      </w:hyperlink>
      <w:r>
        <w:t xml:space="preserve">,</w:t>
      </w:r>
      <w:r>
        <w:t xml:space="preserve"> </w:t>
      </w:r>
      <w:hyperlink w:anchor="ref-20">
        <w:r>
          <w:rPr>
            <w:rStyle w:val="Hyperlink"/>
          </w:rPr>
          <w:t xml:space="preserve">[20]</w:t>
        </w:r>
      </w:hyperlink>
      <w:r>
        <w:t xml:space="preserve">.</w:t>
      </w:r>
    </w:p>
    <w:p>
      <w:pPr>
        <w:pStyle w:val="BodyText"/>
        <w:spacing w:line="480" w:lineRule="auto"/>
        <w:ind w:firstLine="720"/>
      </w:pPr>
      <w:r>
        <w:t xml:space="preserve">For policy translation, the working test is whether the framework changes a real decision. Restate that debris is dangerous and you add little. Show a threshold holding under both ORDEM and MASTER and the decision gains footing; show it flipping with the model family and the midpoint stands warned against. That separates description from decision support</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12">
        <w:r>
          <w:rPr>
            <w:rStyle w:val="Hyperlink"/>
          </w:rPr>
          <w:t xml:space="preserve">[12]</w:t>
        </w:r>
      </w:hyperlink>
      <w:r>
        <w:t xml:space="preserve">,</w:t>
      </w:r>
      <w:r>
        <w:t xml:space="preserve"> </w:t>
      </w:r>
      <w:hyperlink w:anchor="ref-20">
        <w:r>
          <w:rPr>
            <w:rStyle w:val="Hyperlink"/>
          </w:rPr>
          <w:t xml:space="preserve">[20]</w:t>
        </w:r>
      </w:hyperlink>
      <w:r>
        <w:t xml:space="preserve">.</w:t>
      </w:r>
    </w:p>
    <w:p>
      <w:pPr>
        <w:pStyle w:val="BodyText"/>
        <w:spacing w:line="480" w:lineRule="auto"/>
        <w:ind w:firstLine="720"/>
      </w:pPr>
      <w:r>
        <w:t xml:space="preserve">Uncertainty is structured information rather than embarrassment.</w:t>
      </w:r>
    </w:p>
    <w:p>
      <w:pPr>
        <w:pStyle w:val="BodyText"/>
        <w:spacing w:line="480" w:lineRule="auto"/>
        <w:ind w:firstLine="720"/>
      </w:pPr>
      <w:r>
        <w:t xml:space="preserve">A narrow band says model choice is not driving the decision; a wide one says gather more evidence, choose a conservative rule, or design adaptively, most sharply where fast traffic growth has already made the old assumptions brittle. Low Earth orbit is no uniform commons, its regimes differing in congestion, persistence, and risk, and the empirical papers show structured tracked-shell density alongside strongly scaled growth, so a single-number capacity stays hard to defend</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12">
        <w:r>
          <w:rPr>
            <w:rStyle w:val="Hyperlink"/>
          </w:rPr>
          <w:t xml:space="preserve">[12]</w:t>
        </w:r>
      </w:hyperlink>
      <w:r>
        <w:t xml:space="preserve">,</w:t>
      </w:r>
      <w:r>
        <w:t xml:space="preserve"> </w:t>
      </w:r>
      <w:hyperlink w:anchor="ref-20">
        <w:r>
          <w:rPr>
            <w:rStyle w:val="Hyperlink"/>
          </w:rPr>
          <w:t xml:space="preserve">[20]</w:t>
        </w:r>
      </w:hyperlink>
      <w:r>
        <w:t xml:space="preserve">. Compatibility with engineering practice sits at the center of the framework, which asks engineers not to abandon ORDEM or MASTER but to report how the choice of model moves a decision-relevant estimate. That narrower demand is the more useful one, respecting expertise while surfacing consequences. Judgment stays visible throughout, since no debris fee, shielding standard, launch authorization rule, or remediation priority comes from physics alone, resting instead on risk tolerance, public purpose, industry burden, and coordination</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12">
        <w:r>
          <w:rPr>
            <w:rStyle w:val="Hyperlink"/>
          </w:rPr>
          <w:t xml:space="preserve">[12]</w:t>
        </w:r>
      </w:hyperlink>
      <w:r>
        <w:t xml:space="preserve">,</w:t>
      </w:r>
      <w:r>
        <w:t xml:space="preserve"> </w:t>
      </w:r>
      <w:hyperlink w:anchor="ref-20">
        <w:r>
          <w:rPr>
            <w:rStyle w:val="Hyperlink"/>
          </w:rPr>
          <w:t xml:space="preserve">[20]</w:t>
        </w:r>
      </w:hyperlink>
      <w:r>
        <w:t xml:space="preserve">.</w:t>
      </w:r>
    </w:p>
    <w:bookmarkEnd w:id="117"/>
    <w:bookmarkStart w:id="118" w:name="evidence-role-6"/>
    <w:p>
      <w:pPr>
        <w:pStyle w:val="Heading2"/>
        <w:spacing w:line="480" w:lineRule="auto"/>
      </w:pPr>
      <w:r>
        <w:t xml:space="preserve">Evidence role</w:t>
      </w:r>
    </w:p>
    <w:p>
      <w:pPr>
        <w:pStyle w:val="FirstParagraph"/>
        <w:spacing w:line="480" w:lineRule="auto"/>
      </w:pPr>
      <w:r>
        <w:t xml:space="preserve">Evidence in this chapter ties regulatory triggers, insurance assumptions, operational standards, and debris-removal targeting to the dissertation’s claim, and it declines the claim that any source has defeated another. The policy object is an envelope, its width set by model disagreement, observable pressure, and threshold choice, and the width matters most for sub-catalog debris, where observation stays incomplete and a defensible flux assumption is still owed</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12">
        <w:r>
          <w:rPr>
            <w:rStyle w:val="Hyperlink"/>
          </w:rPr>
          <w:t xml:space="preserve">[12]</w:t>
        </w:r>
      </w:hyperlink>
      <w:r>
        <w:t xml:space="preserve">,</w:t>
      </w:r>
      <w:r>
        <w:t xml:space="preserve"> </w:t>
      </w:r>
      <w:hyperlink w:anchor="ref-20">
        <w:r>
          <w:rPr>
            <w:rStyle w:val="Hyperlink"/>
          </w:rPr>
          <w:t xml:space="preserve">[20]</w:t>
        </w:r>
      </w:hyperlink>
      <w:r>
        <w:t xml:space="preserve">.</w:t>
      </w:r>
    </w:p>
    <w:p>
      <w:pPr>
        <w:pStyle w:val="BodyText"/>
        <w:spacing w:line="480" w:lineRule="auto"/>
        <w:ind w:firstLine="720"/>
      </w:pPr>
      <w:r>
        <w:t xml:space="preserve">Uncertainty is structured information rather than embarrassment.</w:t>
      </w:r>
    </w:p>
    <w:p>
      <w:pPr>
        <w:pStyle w:val="BodyText"/>
        <w:spacing w:line="480" w:lineRule="auto"/>
        <w:ind w:firstLine="720"/>
      </w:pPr>
      <w:r>
        <w:t xml:space="preserve">A narrow band means model choice is not the driver; a wide one means gather more evidence, choose a conservative rule, or design adaptively, and the counsel is sharpest where fast growth ages the assumptions. Low Earth orbit is no uniform commons, its regimes differing in congestion, persistence, and risk, and the empirical papers reinforce it with structured density on one side and scaled growth on the other. For policy translation, the working test recurs. A framework that only restates the hazard adds little. One that shows a threshold robust under both ORDEM and MASTER strengthens the decision; one that shows it changing with the family cautions against the midpoint. That separates description from support</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12">
        <w:r>
          <w:rPr>
            <w:rStyle w:val="Hyperlink"/>
          </w:rPr>
          <w:t xml:space="preserve">[12]</w:t>
        </w:r>
      </w:hyperlink>
      <w:r>
        <w:t xml:space="preserve">,</w:t>
      </w:r>
      <w:r>
        <w:t xml:space="preserve"> </w:t>
      </w:r>
      <w:hyperlink w:anchor="ref-20">
        <w:r>
          <w:rPr>
            <w:rStyle w:val="Hyperlink"/>
          </w:rPr>
          <w:t xml:space="preserve">[20]</w:t>
        </w:r>
      </w:hyperlink>
      <w:r>
        <w:t xml:space="preserve">. Nothing here asks engineers to leave ORDEM or MASTER, only to report how model choice moves a decision-relevant estimate, which respects expertise while surfacing consequences. Judgment stays visible, since a debris fee, shielding standard, launch authorization rule, or remediation priority rests on risk tolerance, public purpose, industry burden, and coordination rather than physics alone, and the envelope gives that judgment a firmer footing rather than removing it</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12">
        <w:r>
          <w:rPr>
            <w:rStyle w:val="Hyperlink"/>
          </w:rPr>
          <w:t xml:space="preserve">[12]</w:t>
        </w:r>
      </w:hyperlink>
      <w:r>
        <w:t xml:space="preserve">,</w:t>
      </w:r>
      <w:r>
        <w:t xml:space="preserve"> </w:t>
      </w:r>
      <w:hyperlink w:anchor="ref-20">
        <w:r>
          <w:rPr>
            <w:rStyle w:val="Hyperlink"/>
          </w:rPr>
          <w:t xml:space="preserve">[20]</w:t>
        </w:r>
      </w:hyperlink>
      <w:r>
        <w:t xml:space="preserve">.</w:t>
      </w:r>
    </w:p>
    <w:bookmarkEnd w:id="118"/>
    <w:bookmarkStart w:id="119" w:name="methodological-discipline-6"/>
    <w:p>
      <w:pPr>
        <w:pStyle w:val="Heading2"/>
        <w:spacing w:line="480" w:lineRule="auto"/>
      </w:pPr>
      <w:r>
        <w:t xml:space="preserve">Methodological discipline</w:t>
      </w:r>
    </w:p>
    <w:p>
      <w:pPr>
        <w:pStyle w:val="FirstParagraph"/>
        <w:spacing w:line="480" w:lineRule="auto"/>
      </w:pPr>
      <w:r>
        <w:t xml:space="preserve">The distinction is methodological. ORDEM documentation explains model process, validation, and engineering use, while MASTER and the wider ESA environment reporting supply a parallel model and an institutional base. SATCAT anchors the tracked-object population, and the Acta and AMOS papers add the flux, capacity, and governance context that situates model outputs and catalog anchors within the wider debris-management literature while keeping each source in its role. These sources can be combined, but they are not interchangeable</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12">
        <w:r>
          <w:rPr>
            <w:rStyle w:val="Hyperlink"/>
          </w:rPr>
          <w:t xml:space="preserve">[12]</w:t>
        </w:r>
      </w:hyperlink>
      <w:r>
        <w:t xml:space="preserve">,</w:t>
      </w:r>
      <w:r>
        <w:t xml:space="preserve"> </w:t>
      </w:r>
      <w:hyperlink w:anchor="ref-20">
        <w:r>
          <w:rPr>
            <w:rStyle w:val="Hyperlink"/>
          </w:rPr>
          <w:t xml:space="preserve">[20]</w:t>
        </w:r>
      </w:hyperlink>
      <w:r>
        <w:t xml:space="preserve">.</w:t>
      </w:r>
    </w:p>
    <w:p>
      <w:pPr>
        <w:pStyle w:val="BodyText"/>
        <w:spacing w:line="480" w:lineRule="auto"/>
        <w:ind w:firstLine="720"/>
      </w:pPr>
      <w:r>
        <w:t xml:space="preserve">For policy translation, the working test sharpens. Description is not enough; restate the hazard and you add little. Show a threshold robust under both ORDEM and MASTER and you strengthen the decision; show it changing with the family and you warn against the midpoint. That separates description from support</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12">
        <w:r>
          <w:rPr>
            <w:rStyle w:val="Hyperlink"/>
          </w:rPr>
          <w:t xml:space="preserve">[12]</w:t>
        </w:r>
      </w:hyperlink>
      <w:r>
        <w:t xml:space="preserve">,</w:t>
      </w:r>
      <w:r>
        <w:t xml:space="preserve"> </w:t>
      </w:r>
      <w:hyperlink w:anchor="ref-20">
        <w:r>
          <w:rPr>
            <w:rStyle w:val="Hyperlink"/>
          </w:rPr>
          <w:t xml:space="preserve">[20]</w:t>
        </w:r>
      </w:hyperlink>
      <w:r>
        <w:t xml:space="preserve">.</w:t>
      </w:r>
    </w:p>
    <w:p>
      <w:pPr>
        <w:pStyle w:val="BodyText"/>
        <w:spacing w:line="480" w:lineRule="auto"/>
        <w:ind w:firstLine="720"/>
      </w:pPr>
      <w:r>
        <w:t xml:space="preserve">Uncertainty is structured information rather than embarrassment.</w:t>
      </w:r>
    </w:p>
    <w:p>
      <w:pPr>
        <w:pStyle w:val="BodyText"/>
        <w:spacing w:line="480" w:lineRule="auto"/>
        <w:ind w:firstLine="720"/>
      </w:pPr>
      <w:r>
        <w:t xml:space="preserve">A narrow band means model choice is not the driver; a wide one means gather more evidence, choose a conservative rule, or design adaptively, especially where fast growth ages the assumptions. Low Earth orbit is no uniform commons, its regimes differing in congestion, persistence, and risk, and the empirical papers show structured tracked-shell density alongside strongly scaled cumulative growth, so a single-number capacity stays hard to defend</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12">
        <w:r>
          <w:rPr>
            <w:rStyle w:val="Hyperlink"/>
          </w:rPr>
          <w:t xml:space="preserve">[12]</w:t>
        </w:r>
      </w:hyperlink>
      <w:r>
        <w:t xml:space="preserve">,</w:t>
      </w:r>
      <w:r>
        <w:t xml:space="preserve"> </w:t>
      </w:r>
      <w:hyperlink w:anchor="ref-20">
        <w:r>
          <w:rPr>
            <w:rStyle w:val="Hyperlink"/>
          </w:rPr>
          <w:t xml:space="preserve">[20]</w:t>
        </w:r>
      </w:hyperlink>
      <w:r>
        <w:t xml:space="preserve">. Compatibility with practice comes from limiting the claim. The framework asks engineers not to abandon ORDEM or MASTER but to report how the choice of model moves a decision-relevant estimate, a narrower and more useful demand that respects expertise while surfacing consequences. Judgment stays visible, resting on risk tolerance, public purpose, industry burden, and coordination, and the envelope gives it a disciplined basis rather than removing it</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12">
        <w:r>
          <w:rPr>
            <w:rStyle w:val="Hyperlink"/>
          </w:rPr>
          <w:t xml:space="preserve">[12]</w:t>
        </w:r>
      </w:hyperlink>
      <w:r>
        <w:t xml:space="preserve">,</w:t>
      </w:r>
      <w:r>
        <w:t xml:space="preserve"> </w:t>
      </w:r>
      <w:hyperlink w:anchor="ref-20">
        <w:r>
          <w:rPr>
            <w:rStyle w:val="Hyperlink"/>
          </w:rPr>
          <w:t xml:space="preserve">[20]</w:t>
        </w:r>
      </w:hyperlink>
      <w:r>
        <w:t xml:space="preserve">.</w:t>
      </w:r>
    </w:p>
    <w:bookmarkEnd w:id="119"/>
    <w:bookmarkStart w:id="120" w:name="decision-consequence-6"/>
    <w:p>
      <w:pPr>
        <w:pStyle w:val="Heading2"/>
        <w:spacing w:line="480" w:lineRule="auto"/>
      </w:pPr>
      <w:r>
        <w:t xml:space="preserve">Decision consequence</w:t>
      </w:r>
    </w:p>
    <w:p>
      <w:pPr>
        <w:pStyle w:val="FirstParagraph"/>
        <w:spacing w:line="480" w:lineRule="auto"/>
      </w:pPr>
      <w:r>
        <w:t xml:space="preserve">Consequence arises in regulatory triggers, insurance assumptions, operational standards, and debris-removal targeting. A shell heavy with tracked pressure, active-payload share, and debris share should not be handled like a sparse one merely because both are classified LEO. The same logic covers model disagreement: a flux gap in a busy shell carries a policy meaning the same proportional gap in a quiet shell does not, and the envelope makes that difference explicit</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12">
        <w:r>
          <w:rPr>
            <w:rStyle w:val="Hyperlink"/>
          </w:rPr>
          <w:t xml:space="preserve">[12]</w:t>
        </w:r>
      </w:hyperlink>
      <w:r>
        <w:t xml:space="preserve">,</w:t>
      </w:r>
      <w:r>
        <w:t xml:space="preserve"> </w:t>
      </w:r>
      <w:hyperlink w:anchor="ref-20">
        <w:r>
          <w:rPr>
            <w:rStyle w:val="Hyperlink"/>
          </w:rPr>
          <w:t xml:space="preserve">[20]</w:t>
        </w:r>
      </w:hyperlink>
      <w:r>
        <w:t xml:space="preserve">.</w:t>
      </w:r>
    </w:p>
    <w:p>
      <w:pPr>
        <w:pStyle w:val="BodyText"/>
        <w:spacing w:line="480" w:lineRule="auto"/>
        <w:ind w:firstLine="720"/>
      </w:pPr>
      <w:r>
        <w:t xml:space="preserve">The test stays practical.</w:t>
      </w:r>
    </w:p>
    <w:p>
      <w:pPr>
        <w:pStyle w:val="BodyText"/>
        <w:spacing w:line="480" w:lineRule="auto"/>
        <w:ind w:firstLine="720"/>
      </w:pPr>
      <w:r>
        <w:t xml:space="preserve">For policy translation, the question is whether the framework changes a real decision rather than restating a known hazard, since restatement adds little to governance, licensing, or mitigation practice. Show a threshold robust under both ORDEM and MASTER and you strengthen the decision; show it changing with the family and you warn against the midpoint. That separates description from support</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12">
        <w:r>
          <w:rPr>
            <w:rStyle w:val="Hyperlink"/>
          </w:rPr>
          <w:t xml:space="preserve">[12]</w:t>
        </w:r>
      </w:hyperlink>
      <w:r>
        <w:t xml:space="preserve">,</w:t>
      </w:r>
      <w:r>
        <w:t xml:space="preserve"> </w:t>
      </w:r>
      <w:hyperlink w:anchor="ref-20">
        <w:r>
          <w:rPr>
            <w:rStyle w:val="Hyperlink"/>
          </w:rPr>
          <w:t xml:space="preserve">[20]</w:t>
        </w:r>
      </w:hyperlink>
      <w:r>
        <w:t xml:space="preserve">. Uncertainty is structured information rather than embarrassment. A narrow band means model choice is not driving the decision; a wide one means gather more evidence, choose a conservative rule, or design adaptively, most urgently where fast growth ages the assumptions</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12">
        <w:r>
          <w:rPr>
            <w:rStyle w:val="Hyperlink"/>
          </w:rPr>
          <w:t xml:space="preserve">[12]</w:t>
        </w:r>
      </w:hyperlink>
      <w:r>
        <w:t xml:space="preserve">,</w:t>
      </w:r>
      <w:r>
        <w:t xml:space="preserve"> </w:t>
      </w:r>
      <w:hyperlink w:anchor="ref-20">
        <w:r>
          <w:rPr>
            <w:rStyle w:val="Hyperlink"/>
          </w:rPr>
          <w:t xml:space="preserve">[20]</w:t>
        </w:r>
      </w:hyperlink>
      <w:r>
        <w:t xml:space="preserve">. Low Earth orbit is no uniform commons. It comprises altitude, inclination, object-type, and mission-use regimes whose congestion, persistence, and risk profiles differ enough to matter for capacity and governance, and the empirical papers reinforce it, structured tracked-shell density on one side and strongly scaled cumulative growth on the other, so a single-number capacity stays hard to defend. The framework asks engineers only how the choice of model moves a decision-relevant estimate, which respects expertise while surfacing consequences. Judgment stays visible, resting on risk tolerance, public purpose, industry burden, and coordination.</w:t>
      </w:r>
    </w:p>
    <w:bookmarkEnd w:id="120"/>
    <w:bookmarkStart w:id="121" w:name="capacity-logic-6"/>
    <w:p>
      <w:pPr>
        <w:pStyle w:val="Heading2"/>
        <w:spacing w:line="480" w:lineRule="auto"/>
      </w:pPr>
      <w:r>
        <w:t xml:space="preserve">Capacity logic</w:t>
      </w:r>
    </w:p>
    <w:p>
      <w:pPr>
        <w:pStyle w:val="FirstParagraph"/>
        <w:spacing w:line="480" w:lineRule="auto"/>
      </w:pPr>
      <w:r>
        <w:t xml:space="preserve">Capacity logic starts from a simple premise. Carrying capacity is not observed directly but inferred through a chain of data, model assumptions, risk thresholds, and governance choices, and a point estimate hides parts of that chain while an envelope exposes them. Less tidy, more honest. The band shows where the result is robust, where it is sensitive, and what measurement would narrow it</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12">
        <w:r>
          <w:rPr>
            <w:rStyle w:val="Hyperlink"/>
          </w:rPr>
          <w:t xml:space="preserve">[12]</w:t>
        </w:r>
      </w:hyperlink>
      <w:r>
        <w:t xml:space="preserve">,</w:t>
      </w:r>
      <w:r>
        <w:t xml:space="preserve"> </w:t>
      </w:r>
      <w:hyperlink w:anchor="ref-20">
        <w:r>
          <w:rPr>
            <w:rStyle w:val="Hyperlink"/>
          </w:rPr>
          <w:t xml:space="preserve">[20]</w:t>
        </w:r>
      </w:hyperlink>
      <w:r>
        <w:t xml:space="preserve">.</w:t>
      </w:r>
    </w:p>
    <w:p>
      <w:pPr>
        <w:pStyle w:val="BodyText"/>
        <w:spacing w:line="480" w:lineRule="auto"/>
        <w:ind w:firstLine="720"/>
      </w:pPr>
      <w:r>
        <w:t xml:space="preserve">Uncertainty is structured information rather than embarrassment. A narrow band means model choice is not the driver; a wide one means gather more evidence, choose a conservative rule, or design adaptively, and the pressure is sharpest where fast growth ages the assumptions</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12">
        <w:r>
          <w:rPr>
            <w:rStyle w:val="Hyperlink"/>
          </w:rPr>
          <w:t xml:space="preserve">[12]</w:t>
        </w:r>
      </w:hyperlink>
      <w:r>
        <w:t xml:space="preserve">,</w:t>
      </w:r>
      <w:r>
        <w:t xml:space="preserve"> </w:t>
      </w:r>
      <w:hyperlink w:anchor="ref-20">
        <w:r>
          <w:rPr>
            <w:rStyle w:val="Hyperlink"/>
          </w:rPr>
          <w:t xml:space="preserve">[20]</w:t>
        </w:r>
      </w:hyperlink>
      <w:r>
        <w:t xml:space="preserve">.</w:t>
      </w:r>
    </w:p>
    <w:p>
      <w:pPr>
        <w:pStyle w:val="BodyText"/>
        <w:spacing w:line="480" w:lineRule="auto"/>
        <w:ind w:firstLine="720"/>
      </w:pPr>
      <w:r>
        <w:t xml:space="preserve">For policy translation, the working test applies to the logic. Restate debris danger and you add little. Where the framework shows a threshold robust under both ORDEM and MASTER, it strengthens the decision; where the threshold shifts with the family, it warns against the midpoint. That separates description from support</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12">
        <w:r>
          <w:rPr>
            <w:rStyle w:val="Hyperlink"/>
          </w:rPr>
          <w:t xml:space="preserve">[12]</w:t>
        </w:r>
      </w:hyperlink>
      <w:r>
        <w:t xml:space="preserve">,</w:t>
      </w:r>
      <w:r>
        <w:t xml:space="preserve"> </w:t>
      </w:r>
      <w:hyperlink w:anchor="ref-20">
        <w:r>
          <w:rPr>
            <w:rStyle w:val="Hyperlink"/>
          </w:rPr>
          <w:t xml:space="preserve">[20]</w:t>
        </w:r>
      </w:hyperlink>
      <w:r>
        <w:t xml:space="preserve">. Low Earth orbit is no uniform commons; its altitude, inclination, object-type, and mission-use regimes vary in congestion, persistence, and risk, and the empirical papers show structured tracked-shell density alongside strongly scaled cumulative growth, so a single-number capacity stays hard to defend. The framework stays compatible with practice by asking only how the choice of model moves a decision-relevant estimate, a narrower and more useful demand that respects expertise while surfacing consequences. Judgment stays visible, since a debris fee, shielding standard, launch authorization rule, or remediation priority rests on risk tolerance, public purpose, industry burden, and coordination rather than physics alone</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12">
        <w:r>
          <w:rPr>
            <w:rStyle w:val="Hyperlink"/>
          </w:rPr>
          <w:t xml:space="preserve">[12]</w:t>
        </w:r>
      </w:hyperlink>
      <w:r>
        <w:t xml:space="preserve">,</w:t>
      </w:r>
      <w:r>
        <w:t xml:space="preserve"> </w:t>
      </w:r>
      <w:hyperlink w:anchor="ref-20">
        <w:r>
          <w:rPr>
            <w:rStyle w:val="Hyperlink"/>
          </w:rPr>
          <w:t xml:space="preserve">[20]</w:t>
        </w:r>
      </w:hyperlink>
      <w:r>
        <w:t xml:space="preserve">.</w:t>
      </w:r>
    </w:p>
    <w:bookmarkEnd w:id="121"/>
    <w:bookmarkStart w:id="122" w:name="validity-guardrail-6"/>
    <w:p>
      <w:pPr>
        <w:pStyle w:val="Heading2"/>
        <w:spacing w:line="480" w:lineRule="auto"/>
      </w:pPr>
      <w:r>
        <w:t xml:space="preserve">Validity guardrail</w:t>
      </w:r>
    </w:p>
    <w:p>
      <w:pPr>
        <w:pStyle w:val="FirstParagraph"/>
        <w:spacing w:line="480" w:lineRule="auto"/>
      </w:pPr>
      <w:r>
        <w:t xml:space="preserve">The principal guardrail is a refusal of false substitution. SATCAT is not a sub-catalog flux model. ORDEM and MASTER are not statutes. Flux-criticality papers are not license rules, and sustainability ratings are not collision-probability engines. Source roles matter, and each stays valuable only when used for the claim it can support, which makes source-role discipline a major contribution of the dissertation. For policy translation, the working test asks whether the framework changes a real decision rather than restating a known hazard; where it shows a threshold robust under both ORDEM and MASTER it strengthens the decision, and where it shows the threshold changing with the family it cautions against the midpoint. That separates description from support</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12">
        <w:r>
          <w:rPr>
            <w:rStyle w:val="Hyperlink"/>
          </w:rPr>
          <w:t xml:space="preserve">[12]</w:t>
        </w:r>
      </w:hyperlink>
      <w:r>
        <w:t xml:space="preserve">,</w:t>
      </w:r>
      <w:r>
        <w:t xml:space="preserve"> </w:t>
      </w:r>
      <w:hyperlink w:anchor="ref-20">
        <w:r>
          <w:rPr>
            <w:rStyle w:val="Hyperlink"/>
          </w:rPr>
          <w:t xml:space="preserve">[20]</w:t>
        </w:r>
      </w:hyperlink>
      <w:r>
        <w:t xml:space="preserve">.</w:t>
      </w:r>
    </w:p>
    <w:p>
      <w:pPr>
        <w:pStyle w:val="BodyText"/>
        <w:spacing w:line="480" w:lineRule="auto"/>
        <w:ind w:firstLine="720"/>
      </w:pPr>
      <w:r>
        <w:t xml:space="preserve">Uncertainty is structured information rather than embarrassment. A narrow band means model choice is not driving the decision; a wide one means gather more evidence, choose a conservative rule, or design adaptively, most sharply where fast growth ages the assumptions</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12">
        <w:r>
          <w:rPr>
            <w:rStyle w:val="Hyperlink"/>
          </w:rPr>
          <w:t xml:space="preserve">[12]</w:t>
        </w:r>
      </w:hyperlink>
      <w:r>
        <w:t xml:space="preserve">,</w:t>
      </w:r>
      <w:r>
        <w:t xml:space="preserve"> </w:t>
      </w:r>
      <w:hyperlink w:anchor="ref-20">
        <w:r>
          <w:rPr>
            <w:rStyle w:val="Hyperlink"/>
          </w:rPr>
          <w:t xml:space="preserve">[20]</w:t>
        </w:r>
      </w:hyperlink>
      <w:r>
        <w:t xml:space="preserve">.</w:t>
      </w:r>
    </w:p>
    <w:p>
      <w:pPr>
        <w:pStyle w:val="BodyText"/>
        <w:spacing w:line="480" w:lineRule="auto"/>
        <w:ind w:firstLine="720"/>
      </w:pPr>
      <w:r>
        <w:t xml:space="preserve">Low Earth orbit is no uniform commons. It is a set of altitude, inclination, object-type, and mission-use regimes with distinct congestion, persistence, and risk, and the empirical papers show structured tracked-shell density alongside strongly scaled cumulative growth, so a single-number capacity stays hard to defend</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12">
        <w:r>
          <w:rPr>
            <w:rStyle w:val="Hyperlink"/>
          </w:rPr>
          <w:t xml:space="preserve">[12]</w:t>
        </w:r>
      </w:hyperlink>
      <w:r>
        <w:t xml:space="preserve">,</w:t>
      </w:r>
      <w:r>
        <w:t xml:space="preserve"> </w:t>
      </w:r>
      <w:hyperlink w:anchor="ref-20">
        <w:r>
          <w:rPr>
            <w:rStyle w:val="Hyperlink"/>
          </w:rPr>
          <w:t xml:space="preserve">[20]</w:t>
        </w:r>
      </w:hyperlink>
      <w:r>
        <w:t xml:space="preserve">. Compatibility with practice comes from the framework’s limited demand, which is narrow. It asks engineers not to abandon ORDEM or MASTER but to report how model choice moves a decision-relevant estimate, a requirement that respects expertise while surfacing consequences. Judgment stays visible, since a debris fee, shielding standard, launch authorization rule, or remediation priority rests on risk tolerance, public purpose, industry burden, and coordination, and the envelope gives that judgment a disciplined basis rather than removing it</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12">
        <w:r>
          <w:rPr>
            <w:rStyle w:val="Hyperlink"/>
          </w:rPr>
          <w:t xml:space="preserve">[12]</w:t>
        </w:r>
      </w:hyperlink>
      <w:r>
        <w:t xml:space="preserve">,</w:t>
      </w:r>
      <w:r>
        <w:t xml:space="preserve"> </w:t>
      </w:r>
      <w:hyperlink w:anchor="ref-20">
        <w:r>
          <w:rPr>
            <w:rStyle w:val="Hyperlink"/>
          </w:rPr>
          <w:t xml:space="preserve">[20]</w:t>
        </w:r>
      </w:hyperlink>
      <w:r>
        <w:t xml:space="preserve">.</w:t>
      </w:r>
    </w:p>
    <w:bookmarkEnd w:id="122"/>
    <w:bookmarkStart w:id="123" w:name="operationalizing-the-envelope-6"/>
    <w:p>
      <w:pPr>
        <w:pStyle w:val="Heading2"/>
        <w:spacing w:line="480" w:lineRule="auto"/>
      </w:pPr>
      <w:r>
        <w:t xml:space="preserve">Operationalizing the Envelope</w:t>
      </w:r>
    </w:p>
    <w:p>
      <w:pPr>
        <w:pStyle w:val="FirstParagraph"/>
        <w:spacing w:line="480" w:lineRule="auto"/>
      </w:pPr>
      <w:r>
        <w:t xml:space="preserve">Operational use turns the analysis into repeatable decision steps rather than a single result. Analysts begin by defining the shell, inclination regime, size regime, and policy threshold before comparing outputs. They attach the tracked-catalog anchor next, since the visible population marks where a decision is most exposed to congestion and conjunction pressure</w:t>
      </w:r>
      <w:r>
        <w:t xml:space="preserve"> </w:t>
      </w:r>
      <w:hyperlink w:anchor="ref-6">
        <w:r>
          <w:rPr>
            <w:rStyle w:val="Hyperlink"/>
          </w:rPr>
          <w:t xml:space="preserve">[6]</w:t>
        </w:r>
      </w:hyperlink>
      <w:r>
        <w:t xml:space="preserve">. After that they record the relevant ORDEM and MASTER assumptions, size bins, altitude ranges, validation basis, and intended engineering use among them</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 The calculation captures the width, not the midpoint alone, and identifies which decision would change if the high-end estimate governed instead of the low-end one. A launch-license rule could sort a proposed deployment into a low, medium, or high concern shell, while a shielding standard leans on the high side for crewed systems and the midpoint for replaceable robotic ones.</w:t>
      </w:r>
    </w:p>
    <w:p>
      <w:pPr>
        <w:pStyle w:val="BodyText"/>
        <w:spacing w:line="480" w:lineRule="auto"/>
        <w:ind w:firstLine="720"/>
      </w:pPr>
      <w:r>
        <w:t xml:space="preserve">A remediation policy could prioritize shells where tracked density, debris share, and model-disagreement width coincide, and a fee schedule could charge more where marginal occupancy adds risk to an already crowded regime. Later updates use the same sequence. A new ORDEM version, a MASTER update, or a shift in CelesTrak catalog conditions after fresh launches or decay events can be rerun without altering the logic.</w:t>
      </w:r>
    </w:p>
    <w:p>
      <w:pPr>
        <w:pStyle w:val="BodyText"/>
        <w:spacing w:line="480" w:lineRule="auto"/>
        <w:ind w:firstLine="720"/>
      </w:pPr>
      <w:r>
        <w:t xml:space="preserve">None of these decisions requires false certainty. Each requires a transparent link from evidence to action</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12">
        <w:r>
          <w:rPr>
            <w:rStyle w:val="Hyperlink"/>
          </w:rPr>
          <w:t xml:space="preserve">[12]</w:t>
        </w:r>
      </w:hyperlink>
      <w:r>
        <w:t xml:space="preserve">,</w:t>
      </w:r>
      <w:r>
        <w:t xml:space="preserve"> </w:t>
      </w:r>
      <w:hyperlink w:anchor="ref-20">
        <w:r>
          <w:rPr>
            <w:rStyle w:val="Hyperlink"/>
          </w:rPr>
          <w:t xml:space="preserve">[20]</w:t>
        </w:r>
      </w:hyperlink>
      <w:r>
        <w:t xml:space="preserve">. The framework is not a one-time table but a method for keeping orbital carrying-capacity claims current, auditable, and candid about uncertainty.</w:t>
      </w:r>
    </w:p>
    <w:bookmarkEnd w:id="123"/>
    <w:bookmarkStart w:id="124" w:name="chapter-synthesis-6"/>
    <w:p>
      <w:pPr>
        <w:pStyle w:val="Heading2"/>
        <w:spacing w:line="480" w:lineRule="auto"/>
      </w:pPr>
      <w:r>
        <w:t xml:space="preserve">Chapter Synthesis</w:t>
      </w:r>
    </w:p>
    <w:p>
      <w:pPr>
        <w:pStyle w:val="FirstParagraph"/>
        <w:spacing w:line="480" w:lineRule="auto"/>
      </w:pPr>
      <w:r>
        <w:t xml:space="preserve">The chapter advances the dissertation’s argument by putting model uncertainty directly into governance design. Fees, caps, shielding rules, and remediation priorities should answer to the width of the uncertainty envelope, not to its midpoint alone. In practice, orbital carrying capacity should be reported as a structured envelope by shell, regime, and threshold. Such an envelope still supports policy action while lowering the risk that decision makers treat model choice, source incompleteness, or calibration era as certainty</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12">
        <w:r>
          <w:rPr>
            <w:rStyle w:val="Hyperlink"/>
          </w:rPr>
          <w:t xml:space="preserve">[12]</w:t>
        </w:r>
      </w:hyperlink>
      <w:r>
        <w:t xml:space="preserve">,</w:t>
      </w:r>
      <w:r>
        <w:t xml:space="preserve"> </w:t>
      </w:r>
      <w:hyperlink w:anchor="ref-20">
        <w:r>
          <w:rPr>
            <w:rStyle w:val="Hyperlink"/>
          </w:rPr>
          <w:t xml:space="preserve">[20]</w:t>
        </w:r>
      </w:hyperlink>
      <w:r>
        <w:t xml:space="preserve">.</w:t>
      </w:r>
    </w:p>
    <w:bookmarkEnd w:id="124"/>
    <w:bookmarkEnd w:id="125"/>
    <w:bookmarkStart w:id="179" w:name="Xb834e40d32c95f0088b91bd66737619cca41802"/>
    <w:p>
      <w:pPr>
        <w:pStyle w:val="Heading1"/>
        <w:spacing w:line="480" w:lineRule="auto"/>
      </w:pPr>
      <w:r>
        <w:t xml:space="preserve">Chapter 8. Conclusion: A Decision-Relevant Envelope for Orbital Capacity</w:t>
      </w:r>
    </w:p>
    <w:p>
      <w:pPr>
        <w:pStyle w:val="FirstParagraph"/>
        <w:spacing w:line="480" w:lineRule="auto"/>
      </w:pPr>
      <w:r>
        <w:t xml:space="preserve">The conclusion draws the dissertation together on the claim that has run through every chapter. Model disagreement becomes a practical capacity framework when the disagreement is carried into the estimate rather than averaged out of it. Every source stays inside the shared reference pool. The governing rule holds one last time: model disagreement is not a nuisance to be averaged away but a decision-relevant feature that must be propagated into the carrying-capacity claim, so the conclusion presents disagreement as part of the capacity judgment itself rather than as an external uncertainty to suppress</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p>
    <w:bookmarkStart w:id="126" w:name="problem-frame-7"/>
    <w:p>
      <w:pPr>
        <w:pStyle w:val="Heading2"/>
        <w:spacing w:line="480" w:lineRule="auto"/>
      </w:pPr>
      <w:r>
        <w:t xml:space="preserve">Problem frame</w:t>
      </w:r>
    </w:p>
    <w:p>
      <w:pPr>
        <w:pStyle w:val="FirstParagraph"/>
        <w:spacing w:line="480" w:lineRule="auto"/>
      </w:pPr>
      <w:r>
        <w:t xml:space="preserve">For Henry Ramos, the closing problem is a synthesis of evidence, uncertainty, and decision practice. Civil agencies, commercial operators, insurers, and standards bodies keep reaching for capacity language, and they cannot wield it responsibly while the environmental substrate is treated as settled when it stays contested. ORDEM and MASTER are both legitimate model families, and their authority is why the space between them matters, since a disagreement between weak sources can be ignored while one between authoritative sources has to be managed</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p>
    <w:p>
      <w:pPr>
        <w:pStyle w:val="BodyText"/>
        <w:spacing w:line="480" w:lineRule="auto"/>
        <w:ind w:firstLine="720"/>
      </w:pPr>
      <w:r>
        <w:t xml:space="preserve">For this conclusion, the working test is whether the framework changes a real decision. Restate that debris is dangerous and you add little. Show a threshold holding under both ORDEM and MASTER and the decision gains footing; show it flipping with the model family and the midpoint stands warned against. That separates description from decision support</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p>
    <w:p>
      <w:pPr>
        <w:pStyle w:val="BodyText"/>
        <w:spacing w:line="480" w:lineRule="auto"/>
        <w:ind w:firstLine="720"/>
      </w:pPr>
      <w:r>
        <w:t xml:space="preserve">Uncertainty is structured information rather than embarrassment.</w:t>
      </w:r>
    </w:p>
    <w:p>
      <w:pPr>
        <w:pStyle w:val="BodyText"/>
        <w:spacing w:line="480" w:lineRule="auto"/>
        <w:ind w:firstLine="720"/>
      </w:pPr>
      <w:r>
        <w:t xml:space="preserve">A narrow band says model choice is not driving the decision; a wide one says gather more evidence, choose a conservative rule, or design adaptively, most sharply where fast traffic growth has already made the old assumptions brittle. Low Earth orbit is no uniform commons, its regimes differing in congestion, persistence, and risk, and the empirical papers show structured tracked-shell density alongside strongly scaled growth, so a single-number capacity stays hard to defend</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 Compatibility with engineering practice sits at the center of the framework, which asks engineers not to abandon ORDEM or MASTER but to report how the choice of model moves a decision-relevant estimate. That narrower demand is the more useful one, respecting expertise while surfacing consequences. Judgment stays visible throughout, since no debris fee, shielding standard, launch authorization rule, or remediation priority comes from physics alone, resting instead on risk tolerance, public purpose, industry burden, and coordination</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p>
    <w:bookmarkEnd w:id="126"/>
    <w:bookmarkStart w:id="127" w:name="evidence-role-7"/>
    <w:p>
      <w:pPr>
        <w:pStyle w:val="Heading2"/>
        <w:spacing w:line="480" w:lineRule="auto"/>
      </w:pPr>
      <w:r>
        <w:t xml:space="preserve">Evidence role</w:t>
      </w:r>
    </w:p>
    <w:p>
      <w:pPr>
        <w:pStyle w:val="FirstParagraph"/>
        <w:spacing w:line="480" w:lineRule="auto"/>
      </w:pPr>
      <w:r>
        <w:t xml:space="preserve">The chapter ties public catalog anchors, model documentation, flux criticality, growth pressure, and updateable governance to the dissertation’s claim, and it treats no single source as having defeated another. At the center is the envelope, its width reflecting model disagreement, observable pressure, and threshold choice, and the width matters most for sub-catalog debris, where observation stays incomplete and a defensible flux assumption is still owed</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p>
    <w:p>
      <w:pPr>
        <w:pStyle w:val="BodyText"/>
        <w:spacing w:line="480" w:lineRule="auto"/>
        <w:ind w:firstLine="720"/>
      </w:pPr>
      <w:r>
        <w:t xml:space="preserve">In this concluding chapter, the working test recurs. A framework that only restates the hazard adds little. One that shows a threshold robust under both ORDEM and MASTER strengthens the decision; one that shows it changing with the family cautions against the midpoint. That separates description from support</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p>
    <w:p>
      <w:pPr>
        <w:pStyle w:val="BodyText"/>
        <w:spacing w:line="480" w:lineRule="auto"/>
        <w:ind w:firstLine="720"/>
      </w:pPr>
      <w:r>
        <w:t xml:space="preserve">Uncertainty is structured information rather than embarrassment.</w:t>
      </w:r>
    </w:p>
    <w:p>
      <w:pPr>
        <w:pStyle w:val="BodyText"/>
        <w:spacing w:line="480" w:lineRule="auto"/>
        <w:ind w:firstLine="720"/>
      </w:pPr>
      <w:r>
        <w:t xml:space="preserve">When the band is narrow, model choice is not driving the decision; when it is wide, the decision maker should gather more evidence, choose a conservative rule, or design adaptively, and the signal is sharpest where fast growth ages the assumptions. Low Earth orbit is no uniform commons, its regimes differing in congestion, persistence, and risk, and the empirical papers reinforce it with structured density on one side and strongly scaled growth on the other. Nothing here asks engineers to leave ORDEM or MASTER, only to report how model choice moves a decision-relevant estimate, which respects expertise while surfacing consequences. Judgment stays visible, since a debris fee, shielding standard, launch authorization rule, or remediation priority rests on risk tolerance, public purpose, industry burden, and coordination rather than physics alone, and the envelope disciplines that judgment rather than removing it</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p>
    <w:bookmarkEnd w:id="127"/>
    <w:bookmarkStart w:id="128" w:name="methodological-discipline-7"/>
    <w:p>
      <w:pPr>
        <w:pStyle w:val="Heading2"/>
        <w:spacing w:line="480" w:lineRule="auto"/>
      </w:pPr>
      <w:r>
        <w:t xml:space="preserve">Methodological discipline</w:t>
      </w:r>
    </w:p>
    <w:p>
      <w:pPr>
        <w:pStyle w:val="FirstParagraph"/>
        <w:spacing w:line="480" w:lineRule="auto"/>
      </w:pPr>
      <w:r>
        <w:t xml:space="preserve">Discipline begins by holding each source within its evidentiary role. ORDEM documentation explains model process, validation, and engineering use, while MASTER and the wider ESA environment reporting supply a parallel model and an institutional base, SATCAT anchors the tracked-object population, and the Acta and AMOS papers add flux, capacity, and governance context. The dissertation combines them without treating them as equivalent evidence</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p>
    <w:p>
      <w:pPr>
        <w:pStyle w:val="BodyText"/>
        <w:spacing w:line="480" w:lineRule="auto"/>
        <w:ind w:firstLine="720"/>
      </w:pPr>
      <w:r>
        <w:t xml:space="preserve">In the conclusion, the working test sharpens. Merely restate that debris is dangerous and you contribute little. Show a threshold robust under both ORDEM and MASTER and you strengthen the decision; show it shifting with the family and you warn against the midpoint. That separates description from support</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p>
    <w:p>
      <w:pPr>
        <w:pStyle w:val="BodyText"/>
        <w:spacing w:line="480" w:lineRule="auto"/>
        <w:ind w:firstLine="720"/>
      </w:pPr>
      <w:r>
        <w:t xml:space="preserve">Uncertainty is structured information rather than embarrassment. A narrow band means model choice is not driving the decision; a wide one means gather more evidence, choose a conservative rule, or design adaptively, especially where fast growth ages the assumptions. Compatibility with practice follows from the framework’s limited demand, which asks engineers only to report how model choice moves a decision-relevant estimate, respecting expertise while surfacing consequences</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 Judgment stays visible, since a debris fee, shielding standard, launch authorization rule, or remediation priority rests on risk tolerance, public purpose, industry burden, and coordination in ways technical measurement can inform but not settle, and the envelope gives that judgment a disciplined basis rather than removing it. Low Earth orbit is no uniform commons, its regimes differing in congestion, persistence, and risk, and the empirical papers show structured tracked-shell density alongside strongly scaled cumulative growth, so a single-number capacity stays hard to defend</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p>
    <w:bookmarkEnd w:id="128"/>
    <w:bookmarkStart w:id="129" w:name="decision-consequence-7"/>
    <w:p>
      <w:pPr>
        <w:pStyle w:val="Heading2"/>
        <w:spacing w:line="480" w:lineRule="auto"/>
      </w:pPr>
      <w:r>
        <w:t xml:space="preserve">Decision consequence</w:t>
      </w:r>
    </w:p>
    <w:p>
      <w:pPr>
        <w:pStyle w:val="FirstParagraph"/>
        <w:spacing w:line="480" w:lineRule="auto"/>
      </w:pPr>
      <w:r>
        <w:t xml:space="preserve">Consequence rests on five linked elements: public catalog anchors, model documentation, flux criticality, growth pressure, and updateable governance. A shell heavy with tracked pressure, active-payload share, and debris share should not be handled like a sparse one merely because both fall within LEO. A flux gap in a busy shell carries a policy meaning the same proportional gap in a quiet shell does not, since exposure, operational density, and the consequences of uncertainty are not spread evenly across orbital environments. Low Earth orbit is no uniform commons, its regimes differing in congestion, persistence, and risk, and the empirical papers show structured tracked-shell density alongside strongly scaled growth, so a single-number capacity stays hard to defend, and the envelope makes that difference explicit</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p>
    <w:p>
      <w:pPr>
        <w:pStyle w:val="BodyText"/>
        <w:spacing w:line="480" w:lineRule="auto"/>
        <w:ind w:firstLine="720"/>
      </w:pPr>
      <w:r>
        <w:t xml:space="preserve">Practical value turns on whether the framework changes an actual decision.</w:t>
      </w:r>
    </w:p>
    <w:p>
      <w:pPr>
        <w:pStyle w:val="BodyText"/>
        <w:spacing w:line="480" w:lineRule="auto"/>
        <w:ind w:firstLine="720"/>
      </w:pPr>
      <w:r>
        <w:t xml:space="preserve">Mere hazard restatement adds little. Show a threshold robust under both ORDEM and MASTER and you strengthen the decision; show it changing with the family and you caution against the midpoint. That separates description from support</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 Uncertainty is structured information rather than embarrassment. A narrow band means model choice is not driving the decision; a wide one means gather more evidence, choose a conservative rule, or design adaptively, most urgently where fast growth ages the assumptions. Compatibility with practice follows from the framework’s limited demand, which asks engineers only to report how the choice of model moves a decision-relevant estimate, respecting expertise while surfacing consequences</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 Judgment stays visible, since a debris fee, shielding standard, launch authorization rule, or remediation priority rests on risk tolerance, public purpose, industry burden, and coordination rather than physics alone, and the envelope disciplines that evidentiary basis without removing the judgment</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p>
    <w:bookmarkEnd w:id="129"/>
    <w:bookmarkStart w:id="130" w:name="capacity-logic-7"/>
    <w:p>
      <w:pPr>
        <w:pStyle w:val="Heading2"/>
        <w:spacing w:line="480" w:lineRule="auto"/>
      </w:pPr>
      <w:r>
        <w:t xml:space="preserve">Capacity logic</w:t>
      </w:r>
    </w:p>
    <w:p>
      <w:pPr>
        <w:pStyle w:val="FirstParagraph"/>
        <w:spacing w:line="480" w:lineRule="auto"/>
      </w:pPr>
      <w:r>
        <w:t xml:space="preserve">Capacity is never observed directly. It is inferred through a chain of data, model assumptions, risk thresholds, and governance choices, and a point estimate conceals parts of that chain while an envelope makes them visible. Less tidy, more candid. The band tells the decision maker where the result is robust, where it is sensitive, and what measurement would narrow it</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p>
    <w:p>
      <w:pPr>
        <w:pStyle w:val="BodyText"/>
        <w:spacing w:line="480" w:lineRule="auto"/>
        <w:ind w:firstLine="720"/>
      </w:pPr>
      <w:r>
        <w:t xml:space="preserve">A practical test asks whether the framework changes a real decision. Restate the hazard and you add little. Show a threshold robust under both ORDEM and MASTER and you strengthen the decision; show it changing with the family and you warn against the midpoint. That separates description from support</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p>
    <w:p>
      <w:pPr>
        <w:pStyle w:val="BodyText"/>
        <w:spacing w:line="480" w:lineRule="auto"/>
        <w:ind w:firstLine="720"/>
      </w:pPr>
      <w:r>
        <w:t xml:space="preserve">Uncertainty is structured information rather than embarrassment. A narrow band means model choice is not driving the decision; a wide one means gather more evidence, choose a conservative rule, or design adaptively, most sharply where fast growth ages the assumptions</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 Low Earth orbit is no uniform commons. Its altitude, inclination, object-type, and mission-use regimes carry distinct congestion, persistence, and risk, and the empirical papers reinforce it, structured tracked-shell density on one side and strongly scaled cumulative growth on the other, so a single-number capacity stays hard to defend. The framework stays compatible with practice by asking only how the choice of model moves a decision-relevant estimate, respecting expertise while surfacing consequences. Judgment stays visible, resting on risk tolerance, public purpose, industry burden, and coordination.</w:t>
      </w:r>
    </w:p>
    <w:bookmarkEnd w:id="130"/>
    <w:bookmarkStart w:id="131" w:name="validity-guardrail-7"/>
    <w:p>
      <w:pPr>
        <w:pStyle w:val="Heading2"/>
        <w:spacing w:line="480" w:lineRule="auto"/>
      </w:pPr>
      <w:r>
        <w:t xml:space="preserve">Validity guardrail</w:t>
      </w:r>
    </w:p>
    <w:p>
      <w:pPr>
        <w:pStyle w:val="FirstParagraph"/>
        <w:spacing w:line="480" w:lineRule="auto"/>
      </w:pPr>
      <w:r>
        <w:t xml:space="preserve">The principal guardrail is a refusal of false substitution. SATCAT must not be read as a sub-catalog flux model, ORDEM and MASTER must not be read as statutes, flux-criticality papers must not be read as license rules, and sustainability ratings must not be read as collision-probability engines. Each stays valuable when used for the claim it can support, and holding that source-role discipline is a major contribution of the dissertation</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p>
    <w:p>
      <w:pPr>
        <w:pStyle w:val="BodyText"/>
        <w:spacing w:line="480" w:lineRule="auto"/>
        <w:ind w:firstLine="720"/>
      </w:pPr>
      <w:r>
        <w:t xml:space="preserve">For the conclusion, the working test applies as restraint. A framework that overreaches its sources adds little; one that respects them earns a defensible band. Show a threshold robust under both ORDEM and MASTER and you strengthen the decision; show it changing with the family and you warn against the midpoint. That separates description from support</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p>
    <w:p>
      <w:pPr>
        <w:pStyle w:val="BodyText"/>
        <w:spacing w:line="480" w:lineRule="auto"/>
        <w:ind w:firstLine="720"/>
      </w:pPr>
      <w:r>
        <w:t xml:space="preserve">Uncertainty is structured information rather than embarrassment. A narrow band means model choice is not driving the decision; a wide one means gather more evidence, choose a conservative rule, or design adaptively, most sharply where fast growth ages the assumptions</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 Low Earth orbit is no uniform commons; it is a set of altitude, inclination, object-type, and mission-use regimes with distinct congestion, persistence, and risk. The empirical papers show structured tracked-shell density alongside strongly scaled cumulative growth, so a single-number capacity stays hard to defend. Compatibility with practice comes from the framework’s limited demand, which asks engineers only to report how the choice of model moves a decision-relevant estimate, respecting expertise while surfacing consequences. Judgment stays visible throughout, resting on risk tolerance, public purpose, industry burden, and coordination, and the envelope gives it a disciplined basis rather than removing it</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p>
    <w:bookmarkEnd w:id="131"/>
    <w:bookmarkStart w:id="132" w:name="operationalizing-the-envelope-7"/>
    <w:p>
      <w:pPr>
        <w:pStyle w:val="Heading2"/>
        <w:spacing w:line="480" w:lineRule="auto"/>
      </w:pPr>
      <w:r>
        <w:t xml:space="preserve">Operationalizing the Envelope</w:t>
      </w:r>
    </w:p>
    <w:p>
      <w:pPr>
        <w:pStyle w:val="FirstParagraph"/>
        <w:spacing w:line="480" w:lineRule="auto"/>
      </w:pPr>
      <w:r>
        <w:t xml:space="preserve">Operational use converts the analysis into repeatable decision steps.</w:t>
      </w:r>
    </w:p>
    <w:p>
      <w:pPr>
        <w:pStyle w:val="BodyText"/>
        <w:spacing w:line="480" w:lineRule="auto"/>
        <w:ind w:firstLine="720"/>
      </w:pPr>
      <w:r>
        <w:t xml:space="preserve">Specify the shell, inclination regime, size regime, and policy threshold before comparing outputs. Attach the tracked-catalog anchor next, since the visible population marks where the decision is most exposed to congestion and conjunction pressure</w:t>
      </w:r>
      <w:r>
        <w:t xml:space="preserve"> </w:t>
      </w:r>
      <w:hyperlink w:anchor="ref-6">
        <w:r>
          <w:rPr>
            <w:rStyle w:val="Hyperlink"/>
          </w:rPr>
          <w:t xml:space="preserve">[6]</w:t>
        </w:r>
      </w:hyperlink>
      <w:r>
        <w:t xml:space="preserve">. Record the ORDEM and MASTER assumptions as well, size bins, altitude ranges, validation basis, and intended engineering use among them</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 Compute the width. Do not report the midpoint alone, and state which decision would change if the high-end estimate governed instead of the low-end one. That sequence keeps the dissertation practical: launch licensing can use the band to sort a deployment into a low, medium, or high concern shell; shielding standards can take the high side for crewed systems and the midpoint for replaceable robotic ones; remediation policy can target shells where tracked density, debris share, and model-disagreement width overlap; and a fee schedule can charge more where marginal occupancy adds risk to an already crowded regime. These applications do not require false certainty; each requires a transparent link from evidence to action</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r>
        <w:t xml:space="preserve"> </w:t>
      </w:r>
      <w:hyperlink w:anchor="ref-12">
        <w:r>
          <w:rPr>
            <w:rStyle w:val="Hyperlink"/>
          </w:rPr>
          <w:t xml:space="preserve">[12]</w:t>
        </w:r>
      </w:hyperlink>
      <w:r>
        <w:t xml:space="preserve">,</w:t>
      </w:r>
      <w:r>
        <w:t xml:space="preserve"> </w:t>
      </w:r>
      <w:hyperlink w:anchor="ref-20">
        <w:r>
          <w:rPr>
            <w:rStyle w:val="Hyperlink"/>
          </w:rPr>
          <w:t xml:space="preserve">[20]</w:t>
        </w:r>
      </w:hyperlink>
      <w:r>
        <w:t xml:space="preserve">.</w:t>
      </w:r>
    </w:p>
    <w:p>
      <w:pPr>
        <w:pStyle w:val="BodyText"/>
        <w:spacing w:line="480" w:lineRule="auto"/>
        <w:ind w:firstLine="720"/>
      </w:pPr>
      <w:r>
        <w:t xml:space="preserve">Later updates fit the same sequence rather than replacing it. A new ORDEM version, a MASTER update, or a shift in CelesTrak catalog conditions after fresh launches or decay events can be rerun without changing the logic.</w:t>
      </w:r>
    </w:p>
    <w:p>
      <w:pPr>
        <w:pStyle w:val="BodyText"/>
        <w:spacing w:line="480" w:lineRule="auto"/>
        <w:ind w:firstLine="720"/>
      </w:pPr>
      <w:r>
        <w:t xml:space="preserve">The framework is not a one-time table. It is a method for keeping orbital carrying-capacity claims current, auditable, and honest about uncertainty.</w:t>
      </w:r>
    </w:p>
    <w:bookmarkEnd w:id="132"/>
    <w:bookmarkStart w:id="133" w:name="chapter-synthesis-7"/>
    <w:p>
      <w:pPr>
        <w:pStyle w:val="Heading2"/>
        <w:spacing w:line="480" w:lineRule="auto"/>
      </w:pPr>
      <w:r>
        <w:t xml:space="preserve">Chapter Synthesis</w:t>
      </w:r>
    </w:p>
    <w:p>
      <w:pPr>
        <w:pStyle w:val="FirstParagraph"/>
        <w:spacing w:line="480" w:lineRule="auto"/>
      </w:pPr>
      <w:r>
        <w:t xml:space="preserve">The chapter supports the dissertation by showing how a synthesis of evidence, uncertainty, and decision practice converts model disagreement into a practical capacity framework. In practice, orbital carrying capacity should be reported as a structured envelope by shell, regime, and threshold. The envelope still supports action, and it keeps decision makers from mistaking model choice, source incompleteness, or calibration era for certainty</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w:t>
      </w:r>
    </w:p>
    <w:bookmarkEnd w:id="133"/>
    <w:bookmarkStart w:id="178" w:name="references"/>
    <w:p>
      <w:pPr>
        <w:pStyle w:val="Heading2"/>
        <w:spacing w:line="480" w:lineRule="auto"/>
      </w:pPr>
      <w:r>
        <w:t xml:space="preserve">References</w:t>
      </w:r>
    </w:p>
    <w:p>
      <w:pPr>
        <w:pStyle w:val="FirstParagraph"/>
        <w:spacing w:line="480" w:lineRule="auto"/>
      </w:pPr>
      <w:bookmarkStart w:id="134" w:name="ref-1"/>
      <w:bookmarkEnd w:id="134"/>
      <w:r>
        <w:t xml:space="preserve">1. NASA Orbital Debris Program Office. ORDEM 3.2: OD Engineering Model. NASA Johnson Space Center. Available at the NASA orbital debris modeling portal.</w:t>
      </w:r>
    </w:p>
    <w:p>
      <w:pPr>
        <w:pStyle w:val="BodyText"/>
        <w:spacing w:line="480" w:lineRule="auto"/>
        <w:ind w:firstLine="720"/>
      </w:pPr>
      <w:bookmarkStart w:id="135" w:name="ref-2"/>
      <w:bookmarkEnd w:id="135"/>
      <w:r>
        <w:t xml:space="preserve">2. A. Manis, M. Matney, A. Vavrin, J. Seago, D. Gates, P. Anz-Meador, T. Kennedy, H. Cowardin, and Y. Xu.</w:t>
      </w:r>
      <w:r>
        <w:t xml:space="preserve"> </w:t>
      </w:r>
      <w:r>
        <w:rPr>
          <w:i/>
          <w:iCs/>
        </w:rPr>
        <w:t xml:space="preserve">NASA Orbital Debris Engineering Model (ORDEM) 3.1 Model Process</w:t>
      </w:r>
      <w:r>
        <w:t xml:space="preserve">. NASA Technical Publication, NASA Technical Reports Server, 2022.</w:t>
      </w:r>
    </w:p>
    <w:p>
      <w:pPr>
        <w:pStyle w:val="BodyText"/>
        <w:spacing w:line="480" w:lineRule="auto"/>
        <w:ind w:firstLine="720"/>
      </w:pPr>
      <w:bookmarkStart w:id="136" w:name="ref-3"/>
      <w:bookmarkEnd w:id="136"/>
      <w:r>
        <w:t xml:space="preserve">3. T. Kennedy, M. Matney, H. Cowardin, A. Manis, A. Vavrin, J. Seago, D. Gates, P. Anz-Meador, and Y. Xu.</w:t>
      </w:r>
      <w:r>
        <w:t xml:space="preserve"> </w:t>
      </w:r>
      <w:r>
        <w:rPr>
          <w:i/>
          <w:iCs/>
        </w:rPr>
        <w:t xml:space="preserve">NASA Orbital Debris Engineering Model (ORDEM) 3.1: Model Verification and Validation</w:t>
      </w:r>
      <w:r>
        <w:t xml:space="preserve">. NASA Technical Reports Server, 2022.</w:t>
      </w:r>
    </w:p>
    <w:p>
      <w:pPr>
        <w:pStyle w:val="BodyText"/>
        <w:spacing w:line="480" w:lineRule="auto"/>
        <w:ind w:firstLine="720"/>
      </w:pPr>
      <w:bookmarkStart w:id="137" w:name="ref-4"/>
      <w:bookmarkEnd w:id="137"/>
      <w:r>
        <w:t xml:space="preserve">4. European Space Agency.</w:t>
      </w:r>
      <w:r>
        <w:t xml:space="preserve"> </w:t>
      </w:r>
      <w:r>
        <w:rPr>
          <w:i/>
          <w:iCs/>
        </w:rPr>
        <w:t xml:space="preserve">ESA’s Annual Space Environment Report 2025</w:t>
      </w:r>
      <w:r>
        <w:t xml:space="preserve">. ESA Space Debris Office, 2025.</w:t>
      </w:r>
    </w:p>
    <w:p>
      <w:pPr>
        <w:pStyle w:val="BodyText"/>
        <w:spacing w:line="480" w:lineRule="auto"/>
        <w:ind w:firstLine="720"/>
      </w:pPr>
      <w:bookmarkStart w:id="138" w:name="ref-5"/>
      <w:bookmarkEnd w:id="138"/>
      <w:r>
        <w:t xml:space="preserve">5. M. Landgraf, R. Jehn, and W. Flury. Comparison of EISCAT radar data on space debris with model prediction by the MASTER model of ESA. 2003.</w:t>
      </w:r>
    </w:p>
    <w:p>
      <w:pPr>
        <w:pStyle w:val="BodyText"/>
        <w:spacing w:line="480" w:lineRule="auto"/>
        <w:ind w:firstLine="720"/>
      </w:pPr>
      <w:bookmarkStart w:id="139" w:name="ref-6"/>
      <w:bookmarkEnd w:id="139"/>
      <w:r>
        <w:t xml:space="preserve">6. T. S. Kelso. CelesTrak SATCAT public catalog CSV, downloaded 2026-06-27. https://celestrak.org/pub/satcat.csv.</w:t>
      </w:r>
    </w:p>
    <w:p>
      <w:pPr>
        <w:pStyle w:val="BodyText"/>
        <w:spacing w:line="480" w:lineRule="auto"/>
        <w:ind w:firstLine="720"/>
      </w:pPr>
      <w:bookmarkStart w:id="140" w:name="ref-7"/>
      <w:bookmarkEnd w:id="140"/>
      <w:r>
        <w:t xml:space="preserve">7. C. Pardini and L. Anselmo. Using the space debris flux to assess the criticality of the environment in low Earth orbit. Acta Astronautica 198, 2022. doi:</w:t>
      </w:r>
      <w:r>
        <w:t xml:space="preserve"> </w:t>
      </w:r>
      <w:hyperlink r:id="rId141">
        <w:r>
          <w:rPr>
            <w:rStyle w:val="Hyperlink"/>
          </w:rPr>
          <w:t xml:space="preserve">10.1016/j.actaastro.2022.05.045</w:t>
        </w:r>
      </w:hyperlink>
    </w:p>
    <w:p>
      <w:pPr>
        <w:pStyle w:val="BodyText"/>
        <w:spacing w:line="480" w:lineRule="auto"/>
        <w:ind w:firstLine="720"/>
      </w:pPr>
      <w:bookmarkStart w:id="142" w:name="ref-8"/>
      <w:bookmarkEnd w:id="142"/>
      <w:r>
        <w:t xml:space="preserve">8. C. Pardini and L. Anselmo. Evaluating the impact of space activities in low earth orbit. Acta Astronautica 184, 2021. doi:</w:t>
      </w:r>
      <w:r>
        <w:t xml:space="preserve"> </w:t>
      </w:r>
      <w:hyperlink r:id="rId143">
        <w:r>
          <w:rPr>
            <w:rStyle w:val="Hyperlink"/>
          </w:rPr>
          <w:t xml:space="preserve">10.1016/j.actaastro.2021.03.030</w:t>
        </w:r>
      </w:hyperlink>
    </w:p>
    <w:p>
      <w:pPr>
        <w:pStyle w:val="BodyText"/>
        <w:spacing w:line="480" w:lineRule="auto"/>
        <w:ind w:firstLine="720"/>
      </w:pPr>
      <w:bookmarkStart w:id="144" w:name="ref-9"/>
      <w:bookmarkEnd w:id="144"/>
      <w:r>
        <w:t xml:space="preserve">9. L. Giudici, C. Colombo, A. Horstmann, F. Letizia, and S. Lemmens. Density-based evolutionary model of the space debris environment in low-Earth orbit. Acta Astronautica 219, 2024. doi:</w:t>
      </w:r>
      <w:r>
        <w:t xml:space="preserve"> </w:t>
      </w:r>
      <w:hyperlink r:id="rId145">
        <w:r>
          <w:rPr>
            <w:rStyle w:val="Hyperlink"/>
          </w:rPr>
          <w:t xml:space="preserve">10.1016/j.actaastro.2024.03.008</w:t>
        </w:r>
      </w:hyperlink>
    </w:p>
    <w:p>
      <w:pPr>
        <w:pStyle w:val="BodyText"/>
        <w:spacing w:line="480" w:lineRule="auto"/>
        <w:ind w:firstLine="720"/>
      </w:pPr>
      <w:bookmarkStart w:id="146" w:name="ref-10"/>
      <w:bookmarkEnd w:id="146"/>
      <w:r>
        <w:t xml:space="preserve">10. M. A. Sturza, M. D. Dankberg, and W. N. Blount. LEO Capacity Modeling for Sustainable Design. Advanced Maui Optical and Space Surveillance Technologies Conference, 2022.</w:t>
      </w:r>
    </w:p>
    <w:p>
      <w:pPr>
        <w:pStyle w:val="BodyText"/>
        <w:spacing w:line="480" w:lineRule="auto"/>
        <w:ind w:firstLine="720"/>
      </w:pPr>
      <w:bookmarkStart w:id="147" w:name="ref-11"/>
      <w:bookmarkEnd w:id="147"/>
      <w:r>
        <w:t xml:space="preserve">11. D. Jang, P. M. Siew, P. Machuca, and R. Linares. Monte-Carlo Methods for All-vs-all Future LEO Population Evolution Modeling. Advanced Maui Optical and Space Surveillance Technologies Conference, 2023. doi:</w:t>
      </w:r>
      <w:r>
        <w:t xml:space="preserve"> </w:t>
      </w:r>
      <w:hyperlink r:id="rId148">
        <w:r>
          <w:rPr>
            <w:rStyle w:val="Hyperlink"/>
          </w:rPr>
          <w:t xml:space="preserve">10.64861/XQKK7584</w:t>
        </w:r>
      </w:hyperlink>
    </w:p>
    <w:p>
      <w:pPr>
        <w:pStyle w:val="BodyText"/>
        <w:spacing w:line="480" w:lineRule="auto"/>
        <w:ind w:firstLine="720"/>
      </w:pPr>
      <w:bookmarkStart w:id="149" w:name="ref-12"/>
      <w:bookmarkEnd w:id="149"/>
      <w:r>
        <w:t xml:space="preserve">12. M. Rathnasabapathy, F. Letizia, S. Lemmens, M. Jah, S. J. Potter, N. Khlystov, K. Acuff, M. Lifson, S. Dorrington, S. Es haghi, E. David, J. P. Kneib, and D. Wood. Space sustainability rating: Designing a composite indicator to incentivize satellite operators to pursue long-term sustainability of the space environment. Acta Astronautica 232, 2025. doi:</w:t>
      </w:r>
      <w:r>
        <w:t xml:space="preserve"> </w:t>
      </w:r>
      <w:hyperlink r:id="rId150">
        <w:r>
          <w:rPr>
            <w:rStyle w:val="Hyperlink"/>
          </w:rPr>
          <w:t xml:space="preserve">10.1016/j.actaastro.2025.03.034</w:t>
        </w:r>
      </w:hyperlink>
    </w:p>
    <w:p>
      <w:pPr>
        <w:pStyle w:val="BodyText"/>
        <w:spacing w:line="480" w:lineRule="auto"/>
        <w:ind w:firstLine="720"/>
      </w:pPr>
      <w:bookmarkStart w:id="151" w:name="ref-13"/>
      <w:bookmarkEnd w:id="151"/>
      <w:r>
        <w:t xml:space="preserve">13. Jacqueline Smith, MIT; Moriba Jah, University of Texas; Danielle Wood, MIT. Architecting a Decision Support System for Continuing Supervision of Commercial In-Space Servicing (2024). doi:</w:t>
      </w:r>
      <w:r>
        <w:t xml:space="preserve"> </w:t>
      </w:r>
      <w:hyperlink r:id="rId152">
        <w:r>
          <w:rPr>
            <w:rStyle w:val="Hyperlink"/>
          </w:rPr>
          <w:t xml:space="preserve">10.64861/SYQO6621</w:t>
        </w:r>
      </w:hyperlink>
    </w:p>
    <w:p>
      <w:pPr>
        <w:pStyle w:val="BodyText"/>
        <w:spacing w:line="480" w:lineRule="auto"/>
        <w:ind w:firstLine="720"/>
      </w:pPr>
      <w:bookmarkStart w:id="153" w:name="ref-14"/>
      <w:bookmarkEnd w:id="153"/>
      <w:r>
        <w:t xml:space="preserve">14. Merlin F. Barschke, Technische Universität Berlin, Dr. Oliver Romberg, German Aerospace Center (DLR), Dr. Waldemar Bauer, German Aerospace Center (DLR). Environment Characterisation by Using Innovative Debris Detector (2015).</w:t>
      </w:r>
    </w:p>
    <w:p>
      <w:pPr>
        <w:pStyle w:val="BodyText"/>
        <w:spacing w:line="480" w:lineRule="auto"/>
        <w:ind w:firstLine="720"/>
      </w:pPr>
      <w:bookmarkStart w:id="154" w:name="ref-15"/>
      <w:bookmarkEnd w:id="154"/>
      <w:r>
        <w:t xml:space="preserve">15. Masahiko Uetsuhara, ASTROSCALE PTE. LTD., Mitsunobu Okada, ASTROSCALE PTE. LTD., Yasunori Yamazaki, ASTROSCALE PTE. LTD., Toshiya Hanada, Kyushu University. Sub-Millimeter Size Debris Monitoring System with IDEA OSG 1 (2016).</w:t>
      </w:r>
    </w:p>
    <w:p>
      <w:pPr>
        <w:pStyle w:val="BodyText"/>
        <w:spacing w:line="480" w:lineRule="auto"/>
        <w:ind w:firstLine="720"/>
      </w:pPr>
      <w:bookmarkStart w:id="155" w:name="ref-16"/>
      <w:bookmarkEnd w:id="155"/>
      <w:r>
        <w:t xml:space="preserve">16. Tory Smith, USSF/MIT; Zachary Folcik, MIT Lincoln Laboratory; Richard Linares, Massachusetts Institute of Technology. Challenges in Orbital Debris Modeling: A Comparative Analysis of NASA SBM and Space Fence Data (2024). doi:</w:t>
      </w:r>
      <w:r>
        <w:t xml:space="preserve"> </w:t>
      </w:r>
      <w:hyperlink r:id="rId156">
        <w:r>
          <w:rPr>
            <w:rStyle w:val="Hyperlink"/>
          </w:rPr>
          <w:t xml:space="preserve">10.64861/HODQ3334</w:t>
        </w:r>
      </w:hyperlink>
    </w:p>
    <w:p>
      <w:pPr>
        <w:pStyle w:val="BodyText"/>
        <w:spacing w:line="480" w:lineRule="auto"/>
        <w:ind w:firstLine="720"/>
      </w:pPr>
      <w:bookmarkStart w:id="157" w:name="ref-17"/>
      <w:bookmarkEnd w:id="157"/>
      <w:r>
        <w:t xml:space="preserve">17. n.a.. Design of Wide Angle and Large Aperture Optical System of a LiDAR Sensor for Characterization of Space Debris Particles (2024). doi:</w:t>
      </w:r>
      <w:r>
        <w:t xml:space="preserve"> </w:t>
      </w:r>
      <w:hyperlink r:id="rId158">
        <w:r>
          <w:rPr>
            <w:rStyle w:val="Hyperlink"/>
          </w:rPr>
          <w:t xml:space="preserve">10.64861/AVPH5589</w:t>
        </w:r>
      </w:hyperlink>
    </w:p>
    <w:p>
      <w:pPr>
        <w:pStyle w:val="BodyText"/>
        <w:spacing w:line="480" w:lineRule="auto"/>
        <w:ind w:firstLine="720"/>
      </w:pPr>
      <w:bookmarkStart w:id="159" w:name="ref-18"/>
      <w:bookmarkEnd w:id="159"/>
      <w:r>
        <w:t xml:space="preserve">18. A. Horstmann, Institute of Space Systems - Technische Universitat Braunschweig, E. Stoll, Institute of Space Systems - Technische Universitat Braunschweig, H. Krag, Space Debris Office - ESA/ESOC. A Validation Method of ESA’s MASTER 1 cm Population in Low Earth Orbit (2017).</w:t>
      </w:r>
    </w:p>
    <w:p>
      <w:pPr>
        <w:pStyle w:val="BodyText"/>
        <w:spacing w:line="480" w:lineRule="auto"/>
        <w:ind w:firstLine="720"/>
      </w:pPr>
      <w:bookmarkStart w:id="160" w:name="ref-19"/>
      <w:bookmarkEnd w:id="160"/>
      <w:r>
        <w:t xml:space="preserve">19. Heather Cowardin, NASA Orbital Debris Program; Eric Christiansen, NASA Johnson Space Center,; Mark Matney, NASA Orbital Debris Program; Joshua Miller, University of Texas at El Paso; Bruce (Alan) Davis, Jacobs Technology; Corbin Cruz, Jacobs Technology; John Seago, Jacobs Technology; John Opiela, Jacobs Technology; Austen King, Jacobs Technology; Alyssa Manis, Jacobs Technology. Orbital Debris Shape Effect Investigations for Mitigating Risk (2023). doi:</w:t>
      </w:r>
      <w:r>
        <w:t xml:space="preserve"> </w:t>
      </w:r>
      <w:hyperlink r:id="rId161">
        <w:r>
          <w:rPr>
            <w:rStyle w:val="Hyperlink"/>
          </w:rPr>
          <w:t xml:space="preserve">10.64861/PWBU1061</w:t>
        </w:r>
      </w:hyperlink>
    </w:p>
    <w:p>
      <w:pPr>
        <w:pStyle w:val="BodyText"/>
        <w:spacing w:line="480" w:lineRule="auto"/>
        <w:ind w:firstLine="720"/>
      </w:pPr>
      <w:bookmarkStart w:id="162" w:name="ref-20"/>
      <w:bookmarkEnd w:id="162"/>
      <w:r>
        <w:t xml:space="preserve">20. Miles Lifson, Massachusetts Institute of Technology; Daniel Jang, Massachusetts Institute of Technology; Richard Linares, Massachusetts Institute of Technology. Space Environmental Governance and Decision-Support using Source-Sink Evolutionary Environmental Models (2023). doi:</w:t>
      </w:r>
      <w:r>
        <w:t xml:space="preserve"> </w:t>
      </w:r>
      <w:hyperlink r:id="rId163">
        <w:r>
          <w:rPr>
            <w:rStyle w:val="Hyperlink"/>
          </w:rPr>
          <w:t xml:space="preserve">10.64861/FKER7625</w:t>
        </w:r>
      </w:hyperlink>
    </w:p>
    <w:p>
      <w:pPr>
        <w:pStyle w:val="BodyText"/>
        <w:spacing w:line="480" w:lineRule="auto"/>
        <w:ind w:firstLine="720"/>
      </w:pPr>
      <w:bookmarkStart w:id="164" w:name="ref-21"/>
      <w:bookmarkEnd w:id="164"/>
      <w:r>
        <w:t xml:space="preserve">21. Daniel Oltrogge; Salvatore Alfano; C. M. Law; Alex Cacioni; T. S. Kelso. A comprehensive assessment of collision likelihood in Geosynchronous Earth Orbit (2018). doi:</w:t>
      </w:r>
      <w:r>
        <w:t xml:space="preserve"> </w:t>
      </w:r>
      <w:hyperlink r:id="rId165">
        <w:r>
          <w:rPr>
            <w:rStyle w:val="Hyperlink"/>
          </w:rPr>
          <w:t xml:space="preserve">10.1016/j.actaastro.2018.03.017</w:t>
        </w:r>
      </w:hyperlink>
    </w:p>
    <w:p>
      <w:pPr>
        <w:pStyle w:val="BodyText"/>
        <w:spacing w:line="480" w:lineRule="auto"/>
        <w:ind w:firstLine="720"/>
      </w:pPr>
      <w:bookmarkStart w:id="166" w:name="ref-22"/>
      <w:bookmarkEnd w:id="166"/>
      <w:r>
        <w:t xml:space="preserve">22. Jacqueline H. Smith; Moriba Jah; Danielle Wood. Architecting a decision support system for continuing supervision of commercial in-space servicing (2025). doi:</w:t>
      </w:r>
      <w:r>
        <w:t xml:space="preserve"> </w:t>
      </w:r>
      <w:hyperlink r:id="rId167">
        <w:r>
          <w:rPr>
            <w:rStyle w:val="Hyperlink"/>
          </w:rPr>
          <w:t xml:space="preserve">10.1016/j.actaastro.2025.05.036</w:t>
        </w:r>
      </w:hyperlink>
    </w:p>
    <w:p>
      <w:pPr>
        <w:pStyle w:val="BodyText"/>
        <w:spacing w:line="480" w:lineRule="auto"/>
        <w:ind w:firstLine="720"/>
      </w:pPr>
      <w:bookmarkStart w:id="168" w:name="ref-23"/>
      <w:bookmarkEnd w:id="168"/>
      <w:r>
        <w:t xml:space="preserve">23. MJ Burchell; L.A. Alesbrook; M. van Ginneken; P.J. Wozniakiewicz. Hypervelocity perforation of thin films applicable to debris detection in Low Earth Orbit (2026). doi:</w:t>
      </w:r>
      <w:r>
        <w:t xml:space="preserve"> </w:t>
      </w:r>
      <w:hyperlink r:id="rId169">
        <w:r>
          <w:rPr>
            <w:rStyle w:val="Hyperlink"/>
          </w:rPr>
          <w:t xml:space="preserve">10.1016/j.actaastro.2026.01.050</w:t>
        </w:r>
      </w:hyperlink>
    </w:p>
    <w:p>
      <w:pPr>
        <w:pStyle w:val="BodyText"/>
        <w:spacing w:line="480" w:lineRule="auto"/>
        <w:ind w:firstLine="720"/>
      </w:pPr>
      <w:bookmarkStart w:id="170" w:name="ref-24"/>
      <w:bookmarkEnd w:id="170"/>
      <w:r>
        <w:t xml:space="preserve">24. Minoo Rathnasabapathy; Francesca Letizia; Stijn Lemmens; Moriba Jah; Simon J. Potter; Nikolai Khlystov; Kristi Acuff; Miles Lifson; Scott Dorrington; Sina Es haghi; Emmanuelle David; Jean-Paul Kneib; Danielle Wood. Space sustainability rating: Designing a composite indicator to incentivize satellite operators to pursue long-term sustainability of the space environment (2025). doi:</w:t>
      </w:r>
      <w:r>
        <w:t xml:space="preserve"> </w:t>
      </w:r>
      <w:hyperlink r:id="rId150">
        <w:r>
          <w:rPr>
            <w:rStyle w:val="Hyperlink"/>
          </w:rPr>
          <w:t xml:space="preserve">10.1016/j.actaastro.2025.03.034</w:t>
        </w:r>
      </w:hyperlink>
    </w:p>
    <w:p>
      <w:pPr>
        <w:pStyle w:val="BodyText"/>
        <w:spacing w:line="480" w:lineRule="auto"/>
        <w:ind w:firstLine="720"/>
      </w:pPr>
      <w:bookmarkStart w:id="171" w:name="ref-25"/>
      <w:bookmarkEnd w:id="171"/>
      <w:r>
        <w:t xml:space="preserve">25. Akinari Ogawa; Yoshinao Kobayashi; Yunosuke Kudo; Ryo Kuzuno. Orbital Infrastructure for High-Energy Planetary Injection and Debris Risk Assessment (2026). doi:</w:t>
      </w:r>
      <w:r>
        <w:t xml:space="preserve"> </w:t>
      </w:r>
      <w:hyperlink r:id="rId172">
        <w:r>
          <w:rPr>
            <w:rStyle w:val="Hyperlink"/>
          </w:rPr>
          <w:t xml:space="preserve">10.1016/j.actaastro.2026.05.061</w:t>
        </w:r>
      </w:hyperlink>
    </w:p>
    <w:p>
      <w:pPr>
        <w:pStyle w:val="BodyText"/>
        <w:spacing w:line="480" w:lineRule="auto"/>
        <w:ind w:firstLine="720"/>
      </w:pPr>
      <w:bookmarkStart w:id="173" w:name="ref-26"/>
      <w:bookmarkEnd w:id="173"/>
      <w:r>
        <w:t xml:space="preserve">26. M. Rebelo; J.P. Sánchez. Optimizing launch window opportunities for ESA’s comet Interceptor mission using primer vector theory (2024). doi:</w:t>
      </w:r>
      <w:r>
        <w:t xml:space="preserve"> </w:t>
      </w:r>
      <w:hyperlink r:id="rId174">
        <w:r>
          <w:rPr>
            <w:rStyle w:val="Hyperlink"/>
          </w:rPr>
          <w:t xml:space="preserve">10.1016/j.actaastro.2024.03.006</w:t>
        </w:r>
      </w:hyperlink>
    </w:p>
    <w:p>
      <w:pPr>
        <w:pStyle w:val="BodyText"/>
        <w:spacing w:line="480" w:lineRule="auto"/>
        <w:ind w:firstLine="720"/>
      </w:pPr>
      <w:bookmarkStart w:id="175" w:name="ref-27"/>
      <w:bookmarkEnd w:id="175"/>
      <w:r>
        <w:t xml:space="preserve">27. Mathilda Bolis; Elisa Maria Alessi; Camilla Colombo. Mission analysis for the Radiation Environment Monitor for Energetic Cosmic rays (REMEC) mission (2025). doi:</w:t>
      </w:r>
      <w:r>
        <w:t xml:space="preserve"> </w:t>
      </w:r>
      <w:hyperlink r:id="rId176">
        <w:r>
          <w:rPr>
            <w:rStyle w:val="Hyperlink"/>
          </w:rPr>
          <w:t xml:space="preserve">10.1016/j.actaastro.2025.02.013</w:t>
        </w:r>
      </w:hyperlink>
    </w:p>
    <w:p>
      <w:pPr>
        <w:pStyle w:val="BodyText"/>
        <w:spacing w:line="480" w:lineRule="auto"/>
        <w:ind w:firstLine="720"/>
      </w:pPr>
      <w:bookmarkStart w:id="177" w:name="ref-28"/>
      <w:bookmarkEnd w:id="177"/>
      <w:r>
        <w:t xml:space="preserve">28. Carmen Pardini; Luciano Anselmo. Evaluating the impact of space activities in low earth orbit (2021). doi:</w:t>
      </w:r>
      <w:r>
        <w:t xml:space="preserve"> </w:t>
      </w:r>
      <w:hyperlink r:id="rId143">
        <w:r>
          <w:rPr>
            <w:rStyle w:val="Hyperlink"/>
          </w:rPr>
          <w:t xml:space="preserve">10.1016/j.actaastro.2021.03.030</w:t>
        </w:r>
      </w:hyperlink>
    </w:p>
    <w:bookmarkEnd w:id="178"/>
    <w:bookmarkEnd w:id="179"/>
    <w:bookmarkStart w:id="196"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87" w:name="X1d513fe7698ad4431a3d8f8a14d61fb88f624d5"/>
    <w:p>
      <w:pPr>
        <w:pStyle w:val="Heading2"/>
        <w:spacing w:line="480" w:lineRule="auto"/>
      </w:pPr>
      <w:r>
        <w:t xml:space="preserve">A.1 Tracked LEO Shell Density as a Capacity-Envelope Anchor for ORDEM and MASTER Disagreement</w:t>
      </w:r>
    </w:p>
    <w:p>
      <w:pPr>
        <w:pStyle w:val="FirstParagraph"/>
        <w:spacing w:line="480" w:lineRule="auto"/>
      </w:pPr>
      <m:oMathPara>
        <m:oMathParaPr>
          <m:jc m:val="center"/>
        </m:oMathParaPr>
        <m:oMath>
          <m:r>
            <m:rPr>
              <m:sty m:val="p"/>
            </m:rPr>
            <m:t>log</m:t>
          </m:r>
          <m:r>
            <m:rPr>
              <m:sty m:val="p"/>
            </m:rPr>
            <m:t>(</m:t>
          </m:r>
          <m:r>
            <m:t>1</m:t>
          </m:r>
          <m:r>
            <m:rPr>
              <m:sty m:val="p"/>
            </m:rPr>
            <m:t>+</m:t>
          </m:r>
          <m:sSub>
            <m:e>
              <m:r>
                <m:t>N</m:t>
              </m:r>
            </m:e>
            <m:sub>
              <m:r>
                <m:t>s</m:t>
              </m:r>
              <m:r>
                <m:t>b</m:t>
              </m:r>
            </m:sub>
          </m:sSub>
          <m:r>
            <m:rPr>
              <m:sty m:val="p"/>
            </m:rPr>
            <m:t>)</m:t>
          </m:r>
          <m:r>
            <m:rPr>
              <m:sty m:val="p"/>
            </m:rPr>
            <m:t>=</m:t>
          </m:r>
          <m:r>
            <m:t>α</m:t>
          </m:r>
          <m:r>
            <m:rPr>
              <m:sty m:val="p"/>
            </m:rPr>
            <m:t>+</m:t>
          </m:r>
          <m:sSub>
            <m:e>
              <m:r>
                <m:t>β</m:t>
              </m:r>
            </m:e>
            <m:sub>
              <m:r>
                <m:t>1</m:t>
              </m:r>
            </m:sub>
          </m:sSub>
          <m:sSub>
            <m:e>
              <m:r>
                <m:t>h</m:t>
              </m:r>
            </m:e>
            <m:sub>
              <m:r>
                <m:t>s</m:t>
              </m:r>
            </m:sub>
          </m:sSub>
          <m:r>
            <m:rPr>
              <m:sty m:val="p"/>
            </m:rPr>
            <m:t>+</m:t>
          </m:r>
          <m:sSub>
            <m:e>
              <m:r>
                <m:t>β</m:t>
              </m:r>
            </m:e>
            <m:sub>
              <m:r>
                <m:t>2</m:t>
              </m:r>
            </m:sub>
          </m:sSub>
          <m:r>
            <m:t>S</m:t>
          </m:r>
          <m:r>
            <m:t>S</m:t>
          </m:r>
          <m:sSub>
            <m:e>
              <m:r>
                <m:t>O</m:t>
              </m:r>
            </m:e>
            <m:sub>
              <m:r>
                <m:t>b</m:t>
              </m:r>
            </m:sub>
          </m:sSub>
          <m:r>
            <m:rPr>
              <m:sty m:val="p"/>
            </m:rPr>
            <m:t>+</m:t>
          </m:r>
          <m:sSub>
            <m:e>
              <m:r>
                <m:t>β</m:t>
              </m:r>
            </m:e>
            <m:sub>
              <m:r>
                <m:t>3</m:t>
              </m:r>
            </m:sub>
          </m:sSub>
          <m:sSub>
            <m:e>
              <m:r>
                <m:t>C</m:t>
              </m:r>
            </m:e>
            <m:sub>
              <m:r>
                <m:t>s</m:t>
              </m:r>
            </m:sub>
          </m:sSub>
          <m:r>
            <m:rPr>
              <m:sty m:val="p"/>
            </m:rPr>
            <m:t>+</m:t>
          </m:r>
          <m:sSub>
            <m:e>
              <m:r>
                <m:t>β</m:t>
              </m:r>
            </m:e>
            <m:sub>
              <m:r>
                <m:t>4</m:t>
              </m:r>
            </m:sub>
          </m:sSub>
          <m:sSub>
            <m:e>
              <m:r>
                <m:t>D</m:t>
              </m:r>
            </m:e>
            <m:sub>
              <m:r>
                <m:t>s</m:t>
              </m:r>
              <m:r>
                <m:t>b</m:t>
              </m:r>
            </m:sub>
          </m:sSub>
          <m:r>
            <m:rPr>
              <m:sty m:val="p"/>
            </m:rPr>
            <m:t>+</m:t>
          </m:r>
          <m:sSub>
            <m:e>
              <m:r>
                <m:t>β</m:t>
              </m:r>
            </m:e>
            <m:sub>
              <m:r>
                <m:t>5</m:t>
              </m:r>
            </m:sub>
          </m:sSub>
          <m:sSub>
            <m:e>
              <m:r>
                <m:t>A</m:t>
              </m:r>
            </m:e>
            <m:sub>
              <m:r>
                <m:t>s</m:t>
              </m:r>
              <m:r>
                <m:t>b</m:t>
              </m:r>
            </m:sub>
          </m:sSub>
          <m:r>
            <m:rPr>
              <m:sty m:val="p"/>
            </m:rPr>
            <m:t>+</m:t>
          </m:r>
          <m:sSub>
            <m:e>
              <m:r>
                <m:t>ε</m:t>
              </m:r>
            </m:e>
            <m:sub>
              <m:r>
                <m:t>s</m:t>
              </m:r>
              <m:r>
                <m:t>b</m:t>
              </m:r>
            </m:sub>
          </m:sSub>
        </m:oMath>
      </m:oMathPara>
    </w:p>
    <w:bookmarkStart w:id="180"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1.2295</w:t>
            </w:r>
          </w:p>
        </w:tc>
        <w:tc>
          <w:tcPr>
            <w:tcW w:w="0" w:type="auto"/>
          </w:tcPr>
          <w:p>
            <w:pPr>
              <w:spacing w:line="240" w:lineRule="auto" w:before="0" w:after="0"/>
              <w:pStyle w:val="Compact"/>
            </w:pPr>
            <w:r>
              <w:rPr>
                <w:sz w:val="20"/>
                <w:szCs w:val="20"/>
              </w:rPr>
              <w:t xml:space="preserve">0.6401</w:t>
            </w:r>
          </w:p>
        </w:tc>
        <w:tc>
          <w:tcPr>
            <w:tcW w:w="0" w:type="auto"/>
          </w:tcPr>
          <w:p>
            <w:pPr>
              <w:spacing w:line="240" w:lineRule="auto" w:before="0" w:after="0"/>
              <w:pStyle w:val="Compact"/>
            </w:pPr>
            <w:r>
              <w:rPr>
                <w:sz w:val="20"/>
                <w:szCs w:val="20"/>
              </w:rPr>
              <w:t xml:space="preserve">1.9207</w:t>
            </w:r>
          </w:p>
        </w:tc>
        <w:tc>
          <w:tcPr>
            <w:tcW w:w="0" w:type="auto"/>
          </w:tcPr>
          <w:p>
            <w:pPr>
              <w:spacing w:line="240" w:lineRule="auto" w:before="0" w:after="0"/>
              <w:pStyle w:val="Compact"/>
            </w:pPr>
            <w:r>
              <w:rPr>
                <w:sz w:val="20"/>
                <w:szCs w:val="20"/>
              </w:rPr>
              <w:t xml:space="preserve">0.0548</w:t>
            </w:r>
          </w:p>
        </w:tc>
        <w:tc>
          <w:tcPr>
            <w:tcW w:w="0" w:type="auto"/>
          </w:tcPr>
          <w:p>
            <w:pPr>
              <w:spacing w:line="240" w:lineRule="auto" w:before="0" w:after="0"/>
              <w:pStyle w:val="Compact"/>
            </w:pPr>
            <w:r>
              <w:rPr>
                <w:sz w:val="20"/>
                <w:szCs w:val="20"/>
              </w:rPr>
              <w:t xml:space="preserve">[-0.0251, 2.4842]</w:t>
            </w:r>
          </w:p>
        </w:tc>
      </w:tr>
      <w:tr>
        <w:tc>
          <w:tcPr>
            <w:tcW w:w="0" w:type="auto"/>
          </w:tcPr>
          <w:p>
            <w:pPr>
              <w:spacing w:line="240" w:lineRule="auto" w:before="0" w:after="0"/>
              <w:pStyle w:val="Compact"/>
            </w:pPr>
            <w:r>
              <w:rPr>
                <w:sz w:val="20"/>
                <w:szCs w:val="20"/>
              </w:rPr>
              <w:t xml:space="preserve">shell_mid_km</w:t>
            </w:r>
          </w:p>
        </w:tc>
        <w:tc>
          <w:tcPr>
            <w:tcW w:w="0" w:type="auto"/>
          </w:tcPr>
          <w:p>
            <w:pPr>
              <w:spacing w:line="240" w:lineRule="auto" w:before="0" w:after="0"/>
              <w:pStyle w:val="Compact"/>
            </w:pPr>
            <w:r>
              <w:rPr>
                <w:sz w:val="20"/>
                <w:szCs w:val="20"/>
              </w:rPr>
              <w:t xml:space="preserve">-0.0006351</w:t>
            </w:r>
          </w:p>
        </w:tc>
        <w:tc>
          <w:tcPr>
            <w:tcW w:w="0" w:type="auto"/>
          </w:tcPr>
          <w:p>
            <w:pPr>
              <w:spacing w:line="240" w:lineRule="auto" w:before="0" w:after="0"/>
              <w:pStyle w:val="Compact"/>
            </w:pPr>
            <w:r>
              <w:rPr>
                <w:sz w:val="20"/>
                <w:szCs w:val="20"/>
              </w:rPr>
              <w:t xml:space="preserve">0.0005029</w:t>
            </w:r>
          </w:p>
        </w:tc>
        <w:tc>
          <w:tcPr>
            <w:tcW w:w="0" w:type="auto"/>
          </w:tcPr>
          <w:p>
            <w:pPr>
              <w:spacing w:line="240" w:lineRule="auto" w:before="0" w:after="0"/>
              <w:pStyle w:val="Compact"/>
            </w:pPr>
            <w:r>
              <w:rPr>
                <w:sz w:val="20"/>
                <w:szCs w:val="20"/>
              </w:rPr>
              <w:t xml:space="preserve">-1.2628</w:t>
            </w:r>
          </w:p>
        </w:tc>
        <w:tc>
          <w:tcPr>
            <w:tcW w:w="0" w:type="auto"/>
          </w:tcPr>
          <w:p>
            <w:pPr>
              <w:spacing w:line="240" w:lineRule="auto" w:before="0" w:after="0"/>
              <w:pStyle w:val="Compact"/>
            </w:pPr>
            <w:r>
              <w:rPr>
                <w:sz w:val="20"/>
                <w:szCs w:val="20"/>
              </w:rPr>
              <w:t xml:space="preserve">0.2067</w:t>
            </w:r>
          </w:p>
        </w:tc>
        <w:tc>
          <w:tcPr>
            <w:tcW w:w="0" w:type="auto"/>
          </w:tcPr>
          <w:p>
            <w:pPr>
              <w:spacing w:line="240" w:lineRule="auto" w:before="0" w:after="0"/>
              <w:pStyle w:val="Compact"/>
            </w:pPr>
            <w:r>
              <w:rPr>
                <w:sz w:val="20"/>
                <w:szCs w:val="20"/>
              </w:rPr>
              <w:t xml:space="preserve">[-0.0016, 0.0003506]</w:t>
            </w:r>
          </w:p>
        </w:tc>
      </w:tr>
      <w:tr>
        <w:tc>
          <w:tcPr>
            <w:tcW w:w="0" w:type="auto"/>
          </w:tcPr>
          <w:p>
            <w:pPr>
              <w:spacing w:line="240" w:lineRule="auto" w:before="0" w:after="0"/>
              <w:pStyle w:val="Compact"/>
            </w:pPr>
            <w:r>
              <w:rPr>
                <w:sz w:val="20"/>
                <w:szCs w:val="20"/>
              </w:rPr>
              <w:t xml:space="preserve">is_sso_band</w:t>
            </w:r>
          </w:p>
        </w:tc>
        <w:tc>
          <w:tcPr>
            <w:tcW w:w="0" w:type="auto"/>
          </w:tcPr>
          <w:p>
            <w:pPr>
              <w:spacing w:line="240" w:lineRule="auto" w:before="0" w:after="0"/>
              <w:pStyle w:val="Compact"/>
            </w:pPr>
            <w:r>
              <w:rPr>
                <w:sz w:val="20"/>
                <w:szCs w:val="20"/>
              </w:rPr>
              <w:t xml:space="preserve">2.6545</w:t>
            </w:r>
          </w:p>
        </w:tc>
        <w:tc>
          <w:tcPr>
            <w:tcW w:w="0" w:type="auto"/>
          </w:tcPr>
          <w:p>
            <w:pPr>
              <w:spacing w:line="240" w:lineRule="auto" w:before="0" w:after="0"/>
              <w:pStyle w:val="Compact"/>
            </w:pPr>
            <w:r>
              <w:rPr>
                <w:sz w:val="20"/>
                <w:szCs w:val="20"/>
              </w:rPr>
              <w:t xml:space="preserve">0.5114</w:t>
            </w:r>
          </w:p>
        </w:tc>
        <w:tc>
          <w:tcPr>
            <w:tcW w:w="0" w:type="auto"/>
          </w:tcPr>
          <w:p>
            <w:pPr>
              <w:spacing w:line="240" w:lineRule="auto" w:before="0" w:after="0"/>
              <w:pStyle w:val="Compact"/>
            </w:pPr>
            <w:r>
              <w:rPr>
                <w:sz w:val="20"/>
                <w:szCs w:val="20"/>
              </w:rPr>
              <w:t xml:space="preserve">5.1908</w:t>
            </w:r>
          </w:p>
        </w:tc>
        <w:tc>
          <w:tcPr>
            <w:tcW w:w="0" w:type="auto"/>
          </w:tcPr>
          <w:p>
            <w:pPr>
              <w:spacing w:line="240" w:lineRule="auto" w:before="0" w:after="0"/>
              <w:pStyle w:val="Compact"/>
            </w:pPr>
            <w:r>
              <w:rPr>
                <w:sz w:val="20"/>
                <w:szCs w:val="20"/>
              </w:rPr>
              <w:t xml:space="preserve">2.094e-07</w:t>
            </w:r>
          </w:p>
        </w:tc>
        <w:tc>
          <w:tcPr>
            <w:tcW w:w="0" w:type="auto"/>
          </w:tcPr>
          <w:p>
            <w:pPr>
              <w:spacing w:line="240" w:lineRule="auto" w:before="0" w:after="0"/>
              <w:pStyle w:val="Compact"/>
            </w:pPr>
            <w:r>
              <w:rPr>
                <w:sz w:val="20"/>
                <w:szCs w:val="20"/>
              </w:rPr>
              <w:t xml:space="preserve">[1.6522, 3.6568]</w:t>
            </w:r>
          </w:p>
        </w:tc>
      </w:tr>
      <w:tr>
        <w:tc>
          <w:tcPr>
            <w:tcW w:w="0" w:type="auto"/>
          </w:tcPr>
          <w:p>
            <w:pPr>
              <w:spacing w:line="240" w:lineRule="auto" w:before="0" w:after="0"/>
              <w:pStyle w:val="Compact"/>
            </w:pPr>
            <w:r>
              <w:rPr>
                <w:sz w:val="20"/>
                <w:szCs w:val="20"/>
              </w:rPr>
              <w:t xml:space="preserve">is_critical_500_900</w:t>
            </w:r>
          </w:p>
        </w:tc>
        <w:tc>
          <w:tcPr>
            <w:tcW w:w="0" w:type="auto"/>
          </w:tcPr>
          <w:p>
            <w:pPr>
              <w:spacing w:line="240" w:lineRule="auto" w:before="0" w:after="0"/>
              <w:pStyle w:val="Compact"/>
            </w:pPr>
            <w:r>
              <w:rPr>
                <w:sz w:val="20"/>
                <w:szCs w:val="20"/>
              </w:rPr>
              <w:t xml:space="preserve">0.8453</w:t>
            </w:r>
          </w:p>
        </w:tc>
        <w:tc>
          <w:tcPr>
            <w:tcW w:w="0" w:type="auto"/>
          </w:tcPr>
          <w:p>
            <w:pPr>
              <w:spacing w:line="240" w:lineRule="auto" w:before="0" w:after="0"/>
              <w:pStyle w:val="Compact"/>
            </w:pPr>
            <w:r>
              <w:rPr>
                <w:sz w:val="20"/>
                <w:szCs w:val="20"/>
              </w:rPr>
              <w:t xml:space="preserve">0.4945</w:t>
            </w:r>
          </w:p>
        </w:tc>
        <w:tc>
          <w:tcPr>
            <w:tcW w:w="0" w:type="auto"/>
          </w:tcPr>
          <w:p>
            <w:pPr>
              <w:spacing w:line="240" w:lineRule="auto" w:before="0" w:after="0"/>
              <w:pStyle w:val="Compact"/>
            </w:pPr>
            <w:r>
              <w:rPr>
                <w:sz w:val="20"/>
                <w:szCs w:val="20"/>
              </w:rPr>
              <w:t xml:space="preserve">1.7096</w:t>
            </w:r>
          </w:p>
        </w:tc>
        <w:tc>
          <w:tcPr>
            <w:tcW w:w="0" w:type="auto"/>
          </w:tcPr>
          <w:p>
            <w:pPr>
              <w:spacing w:line="240" w:lineRule="auto" w:before="0" w:after="0"/>
              <w:pStyle w:val="Compact"/>
            </w:pPr>
            <w:r>
              <w:rPr>
                <w:sz w:val="20"/>
                <w:szCs w:val="20"/>
              </w:rPr>
              <w:t xml:space="preserve">0.0873</w:t>
            </w:r>
          </w:p>
        </w:tc>
        <w:tc>
          <w:tcPr>
            <w:tcW w:w="0" w:type="auto"/>
          </w:tcPr>
          <w:p>
            <w:pPr>
              <w:spacing w:line="240" w:lineRule="auto" w:before="0" w:after="0"/>
              <w:pStyle w:val="Compact"/>
            </w:pPr>
            <w:r>
              <w:rPr>
                <w:sz w:val="20"/>
                <w:szCs w:val="20"/>
              </w:rPr>
              <w:t xml:space="preserve">[-0.1238, 1.8145]</w:t>
            </w:r>
          </w:p>
        </w:tc>
      </w:tr>
      <w:tr>
        <w:tc>
          <w:tcPr>
            <w:tcW w:w="0" w:type="auto"/>
          </w:tcPr>
          <w:p>
            <w:pPr>
              <w:spacing w:line="240" w:lineRule="auto" w:before="0" w:after="0"/>
              <w:pStyle w:val="Compact"/>
            </w:pPr>
            <w:r>
              <w:rPr>
                <w:sz w:val="20"/>
                <w:szCs w:val="20"/>
              </w:rPr>
              <w:t xml:space="preserve">debris_share</w:t>
            </w:r>
          </w:p>
        </w:tc>
        <w:tc>
          <w:tcPr>
            <w:tcW w:w="0" w:type="auto"/>
          </w:tcPr>
          <w:p>
            <w:pPr>
              <w:spacing w:line="240" w:lineRule="auto" w:before="0" w:after="0"/>
              <w:pStyle w:val="Compact"/>
            </w:pPr>
            <w:r>
              <w:rPr>
                <w:sz w:val="20"/>
                <w:szCs w:val="20"/>
              </w:rPr>
              <w:t xml:space="preserve">2.7007</w:t>
            </w:r>
          </w:p>
        </w:tc>
        <w:tc>
          <w:tcPr>
            <w:tcW w:w="0" w:type="auto"/>
          </w:tcPr>
          <w:p>
            <w:pPr>
              <w:spacing w:line="240" w:lineRule="auto" w:before="0" w:after="0"/>
              <w:pStyle w:val="Compact"/>
            </w:pPr>
            <w:r>
              <w:rPr>
                <w:sz w:val="20"/>
                <w:szCs w:val="20"/>
              </w:rPr>
              <w:t xml:space="preserve">0.6942</w:t>
            </w:r>
          </w:p>
        </w:tc>
        <w:tc>
          <w:tcPr>
            <w:tcW w:w="0" w:type="auto"/>
          </w:tcPr>
          <w:p>
            <w:pPr>
              <w:spacing w:line="240" w:lineRule="auto" w:before="0" w:after="0"/>
              <w:pStyle w:val="Compact"/>
            </w:pPr>
            <w:r>
              <w:rPr>
                <w:sz w:val="20"/>
                <w:szCs w:val="20"/>
              </w:rPr>
              <w:t xml:space="preserve">3.8904</w:t>
            </w:r>
          </w:p>
        </w:tc>
        <w:tc>
          <w:tcPr>
            <w:tcW w:w="0" w:type="auto"/>
          </w:tcPr>
          <w:p>
            <w:pPr>
              <w:spacing w:line="240" w:lineRule="auto" w:before="0" w:after="0"/>
              <w:pStyle w:val="Compact"/>
            </w:pPr>
            <w:r>
              <w:rPr>
                <w:sz w:val="20"/>
                <w:szCs w:val="20"/>
              </w:rPr>
              <w:t xml:space="preserve">0.0001001</w:t>
            </w:r>
          </w:p>
        </w:tc>
        <w:tc>
          <w:tcPr>
            <w:tcW w:w="0" w:type="auto"/>
          </w:tcPr>
          <w:p>
            <w:pPr>
              <w:spacing w:line="240" w:lineRule="auto" w:before="0" w:after="0"/>
              <w:pStyle w:val="Compact"/>
            </w:pPr>
            <w:r>
              <w:rPr>
                <w:sz w:val="20"/>
                <w:szCs w:val="20"/>
              </w:rPr>
              <w:t xml:space="preserve">[1.3401, 4.0613]</w:t>
            </w:r>
          </w:p>
        </w:tc>
      </w:tr>
      <w:tr>
        <w:tc>
          <w:tcPr>
            <w:tcW w:w="0" w:type="auto"/>
          </w:tcPr>
          <w:p>
            <w:pPr>
              <w:spacing w:line="240" w:lineRule="auto" w:before="0" w:after="0"/>
              <w:pStyle w:val="Compact"/>
            </w:pPr>
            <w:r>
              <w:rPr>
                <w:sz w:val="20"/>
                <w:szCs w:val="20"/>
              </w:rPr>
              <w:t xml:space="preserve">active_payload_share</w:t>
            </w:r>
          </w:p>
        </w:tc>
        <w:tc>
          <w:tcPr>
            <w:tcW w:w="0" w:type="auto"/>
          </w:tcPr>
          <w:p>
            <w:pPr>
              <w:spacing w:line="240" w:lineRule="auto" w:before="0" w:after="0"/>
              <w:pStyle w:val="Compact"/>
            </w:pPr>
            <w:r>
              <w:rPr>
                <w:sz w:val="20"/>
                <w:szCs w:val="20"/>
              </w:rPr>
              <w:t xml:space="preserve">3.6815</w:t>
            </w:r>
          </w:p>
        </w:tc>
        <w:tc>
          <w:tcPr>
            <w:tcW w:w="0" w:type="auto"/>
          </w:tcPr>
          <w:p>
            <w:pPr>
              <w:spacing w:line="240" w:lineRule="auto" w:before="0" w:after="0"/>
              <w:pStyle w:val="Compact"/>
            </w:pPr>
            <w:r>
              <w:rPr>
                <w:sz w:val="20"/>
                <w:szCs w:val="20"/>
              </w:rPr>
              <w:t xml:space="preserve">0.9086</w:t>
            </w:r>
          </w:p>
        </w:tc>
        <w:tc>
          <w:tcPr>
            <w:tcW w:w="0" w:type="auto"/>
          </w:tcPr>
          <w:p>
            <w:pPr>
              <w:spacing w:line="240" w:lineRule="auto" w:before="0" w:after="0"/>
              <w:pStyle w:val="Compact"/>
            </w:pPr>
            <w:r>
              <w:rPr>
                <w:sz w:val="20"/>
                <w:szCs w:val="20"/>
              </w:rPr>
              <w:t xml:space="preserve">4.052</w:t>
            </w:r>
          </w:p>
        </w:tc>
        <w:tc>
          <w:tcPr>
            <w:tcW w:w="0" w:type="auto"/>
          </w:tcPr>
          <w:p>
            <w:pPr>
              <w:spacing w:line="240" w:lineRule="auto" w:before="0" w:after="0"/>
              <w:pStyle w:val="Compact"/>
            </w:pPr>
            <w:r>
              <w:rPr>
                <w:sz w:val="20"/>
                <w:szCs w:val="20"/>
              </w:rPr>
              <w:t xml:space="preserve">5.079e-05</w:t>
            </w:r>
          </w:p>
        </w:tc>
        <w:tc>
          <w:tcPr>
            <w:tcW w:w="0" w:type="auto"/>
          </w:tcPr>
          <w:p>
            <w:pPr>
              <w:spacing w:line="240" w:lineRule="auto" w:before="0" w:after="0"/>
              <w:pStyle w:val="Compact"/>
            </w:pPr>
            <w:r>
              <w:rPr>
                <w:sz w:val="20"/>
                <w:szCs w:val="20"/>
              </w:rPr>
              <w:t xml:space="preserve">[1.9008, 5.4623]</w:t>
            </w:r>
          </w:p>
        </w:tc>
      </w:tr>
    </w:tbl>
    <w:p>
      <w:pPr>
        <w:pStyle w:val="BodyText"/>
        <w:spacing w:line="480" w:lineRule="auto"/>
        <w:ind w:firstLine="720"/>
      </w:pPr>
      <w:r>
        <w:t xml:space="preserve">Fit: N = 72 R2 = 0.5766 R2_adj = 0.5446 F = 39.4234 F_p = 1.502e-18</w:t>
      </w:r>
    </w:p>
    <w:bookmarkEnd w:id="180"/>
    <w:bookmarkStart w:id="184"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racked LEO shell density by altitude-shell midpoint." title="" id="182" name="Picture"/>
            <a:graphic>
              <a:graphicData uri="http://schemas.openxmlformats.org/drawingml/2006/picture">
                <pic:pic>
                  <pic:nvPicPr>
                    <pic:cNvPr descr="D:/Claude_Code/brain/collegium/candidates/dissertations/DEBRIS_13/research_papers/p1/paper_fig1.png" id="183" name="Picture"/>
                    <pic:cNvPicPr>
                      <a:picLocks noChangeArrowheads="1" noChangeAspect="1"/>
                    </pic:cNvPicPr>
                  </pic:nvPicPr>
                  <pic:blipFill>
                    <a:blip r:embed="rId18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Tracked LEO shell density by altitude-shell midpoint.</w:t>
      </w:r>
    </w:p>
    <w:bookmarkEnd w:id="184"/>
    <w:bookmarkStart w:id="185"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439"/>
        <w:gridCol w:w="439"/>
        <w:gridCol w:w="439"/>
        <w:gridCol w:w="439"/>
        <w:gridCol w:w="439"/>
        <w:gridCol w:w="439"/>
        <w:gridCol w:w="439"/>
        <w:gridCol w:w="439"/>
        <w:gridCol w:w="439"/>
        <w:gridCol w:w="439"/>
        <w:gridCol w:w="439"/>
        <w:gridCol w:w="439"/>
        <w:gridCol w:w="439"/>
        <w:gridCol w:w="439"/>
        <w:gridCol w:w="439"/>
        <w:gridCol w:w="439"/>
        <w:gridCol w:w="439"/>
        <w:gridCol w:w="439"/>
      </w:tblGrid>
      <w:tr>
        <w:trPr>
          <w:tblHeader w:val="on"/>
        </w:trPr>
        <w:tc>
          <w:tcPr>
            <w:tcW w:w="0" w:type="auto"/>
          </w:tcPr>
          <w:p>
            <w:pPr>
              <w:spacing w:line="240" w:lineRule="auto" w:before="0" w:after="0"/>
              <w:pStyle w:val="Compact"/>
            </w:pPr>
            <w:r>
              <w:rPr>
                <w:sz w:val="20"/>
                <w:szCs w:val="20"/>
              </w:rPr>
              <w:t xml:space="preserve">shell_id</w:t>
            </w:r>
          </w:p>
        </w:tc>
        <w:tc>
          <w:tcPr>
            <w:tcW w:w="0" w:type="auto"/>
          </w:tcPr>
          <w:p>
            <w:pPr>
              <w:spacing w:line="240" w:lineRule="auto" w:before="0" w:after="0"/>
              <w:pStyle w:val="Compact"/>
            </w:pPr>
            <w:r>
              <w:rPr>
                <w:sz w:val="20"/>
                <w:szCs w:val="20"/>
              </w:rPr>
              <w:t xml:space="preserve">shell_low_km</w:t>
            </w:r>
          </w:p>
        </w:tc>
        <w:tc>
          <w:tcPr>
            <w:tcW w:w="0" w:type="auto"/>
          </w:tcPr>
          <w:p>
            <w:pPr>
              <w:spacing w:line="240" w:lineRule="auto" w:before="0" w:after="0"/>
              <w:pStyle w:val="Compact"/>
            </w:pPr>
            <w:r>
              <w:rPr>
                <w:sz w:val="20"/>
                <w:szCs w:val="20"/>
              </w:rPr>
              <w:t xml:space="preserve">shell_high_km</w:t>
            </w:r>
          </w:p>
        </w:tc>
        <w:tc>
          <w:tcPr>
            <w:tcW w:w="0" w:type="auto"/>
          </w:tcPr>
          <w:p>
            <w:pPr>
              <w:spacing w:line="240" w:lineRule="auto" w:before="0" w:after="0"/>
              <w:pStyle w:val="Compact"/>
            </w:pPr>
            <w:r>
              <w:rPr>
                <w:sz w:val="20"/>
                <w:szCs w:val="20"/>
              </w:rPr>
              <w:t xml:space="preserve">shell_mid_km</w:t>
            </w:r>
          </w:p>
        </w:tc>
        <w:tc>
          <w:tcPr>
            <w:tcW w:w="0" w:type="auto"/>
          </w:tcPr>
          <w:p>
            <w:pPr>
              <w:spacing w:line="240" w:lineRule="auto" w:before="0" w:after="0"/>
              <w:pStyle w:val="Compact"/>
            </w:pPr>
            <w:r>
              <w:rPr>
                <w:sz w:val="20"/>
                <w:szCs w:val="20"/>
              </w:rPr>
              <w:t xml:space="preserve">inclination_regime</w:t>
            </w:r>
          </w:p>
        </w:tc>
        <w:tc>
          <w:tcPr>
            <w:tcW w:w="0" w:type="auto"/>
          </w:tcPr>
          <w:p>
            <w:pPr>
              <w:spacing w:line="240" w:lineRule="auto" w:before="0" w:after="0"/>
              <w:pStyle w:val="Compact"/>
            </w:pPr>
            <w:r>
              <w:rPr>
                <w:sz w:val="20"/>
                <w:szCs w:val="20"/>
              </w:rPr>
              <w:t xml:space="preserve">inclination_code</w:t>
            </w:r>
          </w:p>
        </w:tc>
        <w:tc>
          <w:tcPr>
            <w:tcW w:w="0" w:type="auto"/>
          </w:tcPr>
          <w:p>
            <w:pPr>
              <w:spacing w:line="240" w:lineRule="auto" w:before="0" w:after="0"/>
              <w:pStyle w:val="Compact"/>
            </w:pPr>
            <w:r>
              <w:rPr>
                <w:sz w:val="20"/>
                <w:szCs w:val="20"/>
              </w:rPr>
              <w:t xml:space="preserve">tracked_count</w:t>
            </w:r>
          </w:p>
        </w:tc>
        <w:tc>
          <w:tcPr>
            <w:tcW w:w="0" w:type="auto"/>
          </w:tcPr>
          <w:p>
            <w:pPr>
              <w:spacing w:line="240" w:lineRule="auto" w:before="0" w:after="0"/>
              <w:pStyle w:val="Compact"/>
            </w:pPr>
            <w:r>
              <w:rPr>
                <w:sz w:val="20"/>
                <w:szCs w:val="20"/>
              </w:rPr>
              <w:t xml:space="preserve">payload_count</w:t>
            </w:r>
          </w:p>
        </w:tc>
        <w:tc>
          <w:tcPr>
            <w:tcW w:w="0" w:type="auto"/>
          </w:tcPr>
          <w:p>
            <w:pPr>
              <w:spacing w:line="240" w:lineRule="auto" w:before="0" w:after="0"/>
              <w:pStyle w:val="Compact"/>
            </w:pPr>
            <w:r>
              <w:rPr>
                <w:sz w:val="20"/>
                <w:szCs w:val="20"/>
              </w:rPr>
              <w:t xml:space="preserve">debris_count</w:t>
            </w:r>
          </w:p>
        </w:tc>
        <w:tc>
          <w:tcPr>
            <w:tcW w:w="0" w:type="auto"/>
          </w:tcPr>
          <w:p>
            <w:pPr>
              <w:spacing w:line="240" w:lineRule="auto" w:before="0" w:after="0"/>
              <w:pStyle w:val="Compact"/>
            </w:pPr>
            <w:r>
              <w:rPr>
                <w:sz w:val="20"/>
                <w:szCs w:val="20"/>
              </w:rPr>
              <w:t xml:space="preserve">rocket_body_count</w:t>
            </w:r>
          </w:p>
        </w:tc>
        <w:tc>
          <w:tcPr>
            <w:tcW w:w="0" w:type="auto"/>
          </w:tcPr>
          <w:p>
            <w:pPr>
              <w:spacing w:line="240" w:lineRule="auto" w:before="0" w:after="0"/>
              <w:pStyle w:val="Compact"/>
            </w:pPr>
            <w:r>
              <w:rPr>
                <w:sz w:val="20"/>
                <w:szCs w:val="20"/>
              </w:rPr>
              <w:t xml:space="preserve">active_payload_count</w:t>
            </w:r>
          </w:p>
        </w:tc>
        <w:tc>
          <w:tcPr>
            <w:tcW w:w="0" w:type="auto"/>
          </w:tcPr>
          <w:p>
            <w:pPr>
              <w:spacing w:line="240" w:lineRule="auto" w:before="0" w:after="0"/>
              <w:pStyle w:val="Compact"/>
            </w:pPr>
            <w:r>
              <w:rPr>
                <w:sz w:val="20"/>
                <w:szCs w:val="20"/>
              </w:rPr>
              <w:t xml:space="preserve">debris_share</w:t>
            </w:r>
          </w:p>
        </w:tc>
        <w:tc>
          <w:tcPr>
            <w:tcW w:w="0" w:type="auto"/>
          </w:tcPr>
          <w:p>
            <w:pPr>
              <w:spacing w:line="240" w:lineRule="auto" w:before="0" w:after="0"/>
              <w:pStyle w:val="Compact"/>
            </w:pPr>
            <w:r>
              <w:rPr>
                <w:sz w:val="20"/>
                <w:szCs w:val="20"/>
              </w:rPr>
              <w:t xml:space="preserve">payload_share</w:t>
            </w:r>
          </w:p>
        </w:tc>
        <w:tc>
          <w:tcPr>
            <w:tcW w:w="0" w:type="auto"/>
          </w:tcPr>
          <w:p>
            <w:pPr>
              <w:spacing w:line="240" w:lineRule="auto" w:before="0" w:after="0"/>
              <w:pStyle w:val="Compact"/>
            </w:pPr>
            <w:r>
              <w:rPr>
                <w:sz w:val="20"/>
                <w:szCs w:val="20"/>
              </w:rPr>
              <w:t xml:space="preserve">active_payload_share</w:t>
            </w:r>
          </w:p>
        </w:tc>
        <w:tc>
          <w:tcPr>
            <w:tcW w:w="0" w:type="auto"/>
          </w:tcPr>
          <w:p>
            <w:pPr>
              <w:spacing w:line="240" w:lineRule="auto" w:before="0" w:after="0"/>
              <w:pStyle w:val="Compact"/>
            </w:pPr>
            <w:r>
              <w:rPr>
                <w:sz w:val="20"/>
                <w:szCs w:val="20"/>
              </w:rPr>
              <w:t xml:space="preserve">is_sso_band</w:t>
            </w:r>
          </w:p>
        </w:tc>
        <w:tc>
          <w:tcPr>
            <w:tcW w:w="0" w:type="auto"/>
          </w:tcPr>
          <w:p>
            <w:pPr>
              <w:spacing w:line="240" w:lineRule="auto" w:before="0" w:after="0"/>
              <w:pStyle w:val="Compact"/>
            </w:pPr>
            <w:r>
              <w:rPr>
                <w:sz w:val="20"/>
                <w:szCs w:val="20"/>
              </w:rPr>
              <w:t xml:space="preserve">is_critical_500_900</w:t>
            </w:r>
          </w:p>
        </w:tc>
        <w:tc>
          <w:tcPr>
            <w:tcW w:w="0" w:type="auto"/>
          </w:tcPr>
          <w:p>
            <w:pPr>
              <w:spacing w:line="240" w:lineRule="auto" w:before="0" w:after="0"/>
              <w:pStyle w:val="Compact"/>
            </w:pPr>
            <w:r>
              <w:rPr>
                <w:sz w:val="20"/>
                <w:szCs w:val="20"/>
              </w:rPr>
              <w:t xml:space="preserve">log_count_plus_one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200_300_equatorial</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equatorial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200_300_mid_inclination</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mid_inclination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0.025</w:t>
            </w:r>
          </w:p>
        </w:tc>
        <w:tc>
          <w:tcPr>
            <w:tcW w:w="0" w:type="auto"/>
          </w:tcPr>
          <w:p>
            <w:pPr>
              <w:spacing w:line="240" w:lineRule="auto" w:before="0" w:after="0"/>
              <w:pStyle w:val="Compact"/>
            </w:pPr>
            <w:r>
              <w:rPr>
                <w:sz w:val="20"/>
                <w:szCs w:val="20"/>
              </w:rPr>
              <w:t xml:space="preserve">0.975</w:t>
            </w:r>
          </w:p>
        </w:tc>
        <w:tc>
          <w:tcPr>
            <w:tcW w:w="0" w:type="auto"/>
          </w:tcPr>
          <w:p>
            <w:pPr>
              <w:spacing w:line="240" w:lineRule="auto" w:before="0" w:after="0"/>
              <w:pStyle w:val="Compact"/>
            </w:pPr>
            <w:r>
              <w:rPr>
                <w:sz w:val="20"/>
                <w:szCs w:val="20"/>
              </w:rPr>
              <w:t xml:space="preserve">0.95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4.3944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200_300_sso_polar</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sso_polar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0.0345</w:t>
            </w:r>
          </w:p>
        </w:tc>
        <w:tc>
          <w:tcPr>
            <w:tcW w:w="0" w:type="auto"/>
          </w:tcPr>
          <w:p>
            <w:pPr>
              <w:spacing w:line="240" w:lineRule="auto" w:before="0" w:after="0"/>
              <w:pStyle w:val="Compact"/>
            </w:pPr>
            <w:r>
              <w:rPr>
                <w:sz w:val="20"/>
                <w:szCs w:val="20"/>
              </w:rPr>
              <w:t xml:space="preserve">0.931</w:t>
            </w:r>
          </w:p>
        </w:tc>
        <w:tc>
          <w:tcPr>
            <w:tcW w:w="0" w:type="auto"/>
          </w:tcPr>
          <w:p>
            <w:pPr>
              <w:spacing w:line="240" w:lineRule="auto" w:before="0" w:after="0"/>
              <w:pStyle w:val="Compact"/>
            </w:pPr>
            <w:r>
              <w:rPr>
                <w:sz w:val="20"/>
                <w:szCs w:val="20"/>
              </w:rPr>
              <w:t xml:space="preserve">0.8966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4.0775</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200_300_retrograde_high</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retrograde_high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300_400_equatorial</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350</w:t>
            </w:r>
          </w:p>
        </w:tc>
        <w:tc>
          <w:tcPr>
            <w:tcW w:w="0" w:type="auto"/>
          </w:tcPr>
          <w:p>
            <w:pPr>
              <w:spacing w:line="240" w:lineRule="auto" w:before="0" w:after="0"/>
              <w:pStyle w:val="Compact"/>
            </w:pPr>
            <w:r>
              <w:rPr>
                <w:sz w:val="20"/>
                <w:szCs w:val="20"/>
              </w:rPr>
              <w:t xml:space="preserve">equatorial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300_400_mid_inclination</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350</w:t>
            </w:r>
          </w:p>
        </w:tc>
        <w:tc>
          <w:tcPr>
            <w:tcW w:w="0" w:type="auto"/>
          </w:tcPr>
          <w:p>
            <w:pPr>
              <w:spacing w:line="240" w:lineRule="auto" w:before="0" w:after="0"/>
              <w:pStyle w:val="Compact"/>
            </w:pPr>
            <w:r>
              <w:rPr>
                <w:sz w:val="20"/>
                <w:szCs w:val="20"/>
              </w:rPr>
              <w:t xml:space="preserve">mid_inclination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993</w:t>
            </w:r>
          </w:p>
        </w:tc>
        <w:tc>
          <w:tcPr>
            <w:tcW w:w="0" w:type="auto"/>
          </w:tcPr>
          <w:p>
            <w:pPr>
              <w:spacing w:line="240" w:lineRule="auto" w:before="0" w:after="0"/>
              <w:pStyle w:val="Compact"/>
            </w:pPr>
            <w:r>
              <w:rPr>
                <w:sz w:val="20"/>
                <w:szCs w:val="20"/>
              </w:rPr>
              <w:t xml:space="preserve">972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964</w:t>
            </w:r>
          </w:p>
        </w:tc>
        <w:tc>
          <w:tcPr>
            <w:tcW w:w="0" w:type="auto"/>
          </w:tcPr>
          <w:p>
            <w:pPr>
              <w:spacing w:line="240" w:lineRule="auto" w:before="0" w:after="0"/>
              <w:pStyle w:val="Compact"/>
            </w:pPr>
            <w:r>
              <w:rPr>
                <w:sz w:val="20"/>
                <w:szCs w:val="20"/>
              </w:rPr>
              <w:t xml:space="preserve">0.0111</w:t>
            </w:r>
          </w:p>
        </w:tc>
        <w:tc>
          <w:tcPr>
            <w:tcW w:w="0" w:type="auto"/>
          </w:tcPr>
          <w:p>
            <w:pPr>
              <w:spacing w:line="240" w:lineRule="auto" w:before="0" w:after="0"/>
              <w:pStyle w:val="Compact"/>
            </w:pPr>
            <w:r>
              <w:rPr>
                <w:sz w:val="20"/>
                <w:szCs w:val="20"/>
              </w:rPr>
              <w:t xml:space="preserve">0.9789</w:t>
            </w:r>
          </w:p>
        </w:tc>
        <w:tc>
          <w:tcPr>
            <w:tcW w:w="0" w:type="auto"/>
          </w:tcPr>
          <w:p>
            <w:pPr>
              <w:spacing w:line="240" w:lineRule="auto" w:before="0" w:after="0"/>
              <w:pStyle w:val="Compact"/>
            </w:pPr>
            <w:r>
              <w:rPr>
                <w:sz w:val="20"/>
                <w:szCs w:val="20"/>
              </w:rPr>
              <w:t xml:space="preserve">0.9708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6.9017</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300_400_sso_polar</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350</w:t>
            </w:r>
          </w:p>
        </w:tc>
        <w:tc>
          <w:tcPr>
            <w:tcW w:w="0" w:type="auto"/>
          </w:tcPr>
          <w:p>
            <w:pPr>
              <w:spacing w:line="240" w:lineRule="auto" w:before="0" w:after="0"/>
              <w:pStyle w:val="Compact"/>
            </w:pPr>
            <w:r>
              <w:rPr>
                <w:sz w:val="20"/>
                <w:szCs w:val="20"/>
              </w:rPr>
              <w:t xml:space="preserve">sso_polar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274</w:t>
            </w:r>
          </w:p>
        </w:tc>
        <w:tc>
          <w:tcPr>
            <w:tcW w:w="0" w:type="auto"/>
          </w:tcPr>
          <w:p>
            <w:pPr>
              <w:spacing w:line="240" w:lineRule="auto" w:before="0" w:after="0"/>
              <w:pStyle w:val="Compact"/>
            </w:pPr>
            <w:r>
              <w:rPr>
                <w:sz w:val="20"/>
                <w:szCs w:val="20"/>
              </w:rPr>
              <w:t xml:space="preserve">234</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205</w:t>
            </w:r>
          </w:p>
        </w:tc>
        <w:tc>
          <w:tcPr>
            <w:tcW w:w="0" w:type="auto"/>
          </w:tcPr>
          <w:p>
            <w:pPr>
              <w:spacing w:line="240" w:lineRule="auto" w:before="0" w:after="0"/>
              <w:pStyle w:val="Compact"/>
            </w:pPr>
            <w:r>
              <w:rPr>
                <w:sz w:val="20"/>
                <w:szCs w:val="20"/>
              </w:rPr>
              <w:t xml:space="preserve">0.0803</w:t>
            </w:r>
          </w:p>
        </w:tc>
        <w:tc>
          <w:tcPr>
            <w:tcW w:w="0" w:type="auto"/>
          </w:tcPr>
          <w:p>
            <w:pPr>
              <w:spacing w:line="240" w:lineRule="auto" w:before="0" w:after="0"/>
              <w:pStyle w:val="Compact"/>
            </w:pPr>
            <w:r>
              <w:rPr>
                <w:sz w:val="20"/>
                <w:szCs w:val="20"/>
              </w:rPr>
              <w:t xml:space="preserve">0.854</w:t>
            </w:r>
          </w:p>
        </w:tc>
        <w:tc>
          <w:tcPr>
            <w:tcW w:w="0" w:type="auto"/>
          </w:tcPr>
          <w:p>
            <w:pPr>
              <w:spacing w:line="240" w:lineRule="auto" w:before="0" w:after="0"/>
              <w:pStyle w:val="Compact"/>
            </w:pPr>
            <w:r>
              <w:rPr>
                <w:sz w:val="20"/>
                <w:szCs w:val="20"/>
              </w:rPr>
              <w:t xml:space="preserve">0.7482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5.6168</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300_400_retrograde_high</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350</w:t>
            </w:r>
          </w:p>
        </w:tc>
        <w:tc>
          <w:tcPr>
            <w:tcW w:w="0" w:type="auto"/>
          </w:tcPr>
          <w:p>
            <w:pPr>
              <w:spacing w:line="240" w:lineRule="auto" w:before="0" w:after="0"/>
              <w:pStyle w:val="Compact"/>
            </w:pPr>
            <w:r>
              <w:rPr>
                <w:sz w:val="20"/>
                <w:szCs w:val="20"/>
              </w:rPr>
              <w:t xml:space="preserve">retrograde_high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0.6667</w:t>
            </w:r>
          </w:p>
        </w:tc>
        <w:tc>
          <w:tcPr>
            <w:tcW w:w="0" w:type="auto"/>
          </w:tcPr>
          <w:p>
            <w:pPr>
              <w:spacing w:line="240" w:lineRule="auto" w:before="0" w:after="0"/>
              <w:pStyle w:val="Compact"/>
            </w:pPr>
            <w:r>
              <w:rPr>
                <w:sz w:val="20"/>
                <w:szCs w:val="20"/>
              </w:rPr>
              <w:t xml:space="preserve">0.6667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400_500_equatorial</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equatorial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0.7778</w:t>
            </w:r>
          </w:p>
        </w:tc>
        <w:tc>
          <w:tcPr>
            <w:tcW w:w="0" w:type="auto"/>
          </w:tcPr>
          <w:p>
            <w:pPr>
              <w:spacing w:line="240" w:lineRule="auto" w:before="0" w:after="0"/>
              <w:pStyle w:val="Compact"/>
            </w:pPr>
            <w:r>
              <w:rPr>
                <w:sz w:val="20"/>
                <w:szCs w:val="20"/>
              </w:rPr>
              <w:t xml:space="preserve">0.6667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2.3026</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400_500_mid_inclination</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mid_inclination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6811</w:t>
            </w:r>
          </w:p>
        </w:tc>
        <w:tc>
          <w:tcPr>
            <w:tcW w:w="0" w:type="auto"/>
          </w:tcPr>
          <w:p>
            <w:pPr>
              <w:spacing w:line="240" w:lineRule="auto" w:before="0" w:after="0"/>
              <w:pStyle w:val="Compact"/>
            </w:pPr>
            <w:r>
              <w:rPr>
                <w:sz w:val="20"/>
                <w:szCs w:val="20"/>
              </w:rPr>
              <w:t xml:space="preserve">6780</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6769</w:t>
            </w:r>
          </w:p>
        </w:tc>
        <w:tc>
          <w:tcPr>
            <w:tcW w:w="0" w:type="auto"/>
          </w:tcPr>
          <w:p>
            <w:pPr>
              <w:spacing w:line="240" w:lineRule="auto" w:before="0" w:after="0"/>
              <w:pStyle w:val="Compact"/>
            </w:pPr>
            <w:r>
              <w:rPr>
                <w:sz w:val="20"/>
                <w:szCs w:val="20"/>
              </w:rPr>
              <w:t xml:space="preserve">0.0023</w:t>
            </w:r>
          </w:p>
        </w:tc>
        <w:tc>
          <w:tcPr>
            <w:tcW w:w="0" w:type="auto"/>
          </w:tcPr>
          <w:p>
            <w:pPr>
              <w:spacing w:line="240" w:lineRule="auto" w:before="0" w:after="0"/>
              <w:pStyle w:val="Compact"/>
            </w:pPr>
            <w:r>
              <w:rPr>
                <w:sz w:val="20"/>
                <w:szCs w:val="20"/>
              </w:rPr>
              <w:t xml:space="preserve">0.9954</w:t>
            </w:r>
          </w:p>
        </w:tc>
        <w:tc>
          <w:tcPr>
            <w:tcW w:w="0" w:type="auto"/>
          </w:tcPr>
          <w:p>
            <w:pPr>
              <w:spacing w:line="240" w:lineRule="auto" w:before="0" w:after="0"/>
              <w:pStyle w:val="Compact"/>
            </w:pPr>
            <w:r>
              <w:rPr>
                <w:sz w:val="20"/>
                <w:szCs w:val="20"/>
              </w:rPr>
              <w:t xml:space="preserve">0.9938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8.8264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400_500_sso_polar</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sso_polar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1596</w:t>
            </w:r>
          </w:p>
        </w:tc>
        <w:tc>
          <w:tcPr>
            <w:tcW w:w="0" w:type="auto"/>
          </w:tcPr>
          <w:p>
            <w:pPr>
              <w:spacing w:line="240" w:lineRule="auto" w:before="0" w:after="0"/>
              <w:pStyle w:val="Compact"/>
            </w:pPr>
            <w:r>
              <w:rPr>
                <w:sz w:val="20"/>
                <w:szCs w:val="20"/>
              </w:rPr>
              <w:t xml:space="preserve">1427</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1388</w:t>
            </w:r>
          </w:p>
        </w:tc>
        <w:tc>
          <w:tcPr>
            <w:tcW w:w="0" w:type="auto"/>
          </w:tcPr>
          <w:p>
            <w:pPr>
              <w:spacing w:line="240" w:lineRule="auto" w:before="0" w:after="0"/>
              <w:pStyle w:val="Compact"/>
            </w:pPr>
            <w:r>
              <w:rPr>
                <w:sz w:val="20"/>
                <w:szCs w:val="20"/>
              </w:rPr>
              <w:t xml:space="preserve">0.0677</w:t>
            </w:r>
          </w:p>
        </w:tc>
        <w:tc>
          <w:tcPr>
            <w:tcW w:w="0" w:type="auto"/>
          </w:tcPr>
          <w:p>
            <w:pPr>
              <w:spacing w:line="240" w:lineRule="auto" w:before="0" w:after="0"/>
              <w:pStyle w:val="Compact"/>
            </w:pPr>
            <w:r>
              <w:rPr>
                <w:sz w:val="20"/>
                <w:szCs w:val="20"/>
              </w:rPr>
              <w:t xml:space="preserve">0.8941</w:t>
            </w:r>
          </w:p>
        </w:tc>
        <w:tc>
          <w:tcPr>
            <w:tcW w:w="0" w:type="auto"/>
          </w:tcPr>
          <w:p>
            <w:pPr>
              <w:spacing w:line="240" w:lineRule="auto" w:before="0" w:after="0"/>
              <w:pStyle w:val="Compact"/>
            </w:pPr>
            <w:r>
              <w:rPr>
                <w:sz w:val="20"/>
                <w:szCs w:val="20"/>
              </w:rPr>
              <w:t xml:space="preserve">0.8697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7.3759</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400_500_retrograde_high</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retrograde_high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500_600_equatorial</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equatorial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0.871</w:t>
            </w:r>
          </w:p>
        </w:tc>
        <w:tc>
          <w:tcPr>
            <w:tcW w:w="0" w:type="auto"/>
          </w:tcPr>
          <w:p>
            <w:pPr>
              <w:spacing w:line="240" w:lineRule="auto" w:before="0" w:after="0"/>
              <w:pStyle w:val="Compact"/>
            </w:pPr>
            <w:r>
              <w:rPr>
                <w:sz w:val="20"/>
                <w:szCs w:val="20"/>
              </w:rPr>
              <w:t xml:space="preserve">0.7742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3.4657</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500_600_mid_inclination</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mid_inclination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1462</w:t>
            </w:r>
          </w:p>
        </w:tc>
        <w:tc>
          <w:tcPr>
            <w:tcW w:w="0" w:type="auto"/>
          </w:tcPr>
          <w:p>
            <w:pPr>
              <w:spacing w:line="240" w:lineRule="auto" w:before="0" w:after="0"/>
              <w:pStyle w:val="Compact"/>
            </w:pPr>
            <w:r>
              <w:rPr>
                <w:sz w:val="20"/>
                <w:szCs w:val="20"/>
              </w:rPr>
              <w:t xml:space="preserve">1409</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1391</w:t>
            </w:r>
          </w:p>
        </w:tc>
        <w:tc>
          <w:tcPr>
            <w:tcW w:w="0" w:type="auto"/>
          </w:tcPr>
          <w:p>
            <w:pPr>
              <w:spacing w:line="240" w:lineRule="auto" w:before="0" w:after="0"/>
              <w:pStyle w:val="Compact"/>
            </w:pPr>
            <w:r>
              <w:rPr>
                <w:sz w:val="20"/>
                <w:szCs w:val="20"/>
              </w:rPr>
              <w:t xml:space="preserve">0.0192</w:t>
            </w:r>
          </w:p>
        </w:tc>
        <w:tc>
          <w:tcPr>
            <w:tcW w:w="0" w:type="auto"/>
          </w:tcPr>
          <w:p>
            <w:pPr>
              <w:spacing w:line="240" w:lineRule="auto" w:before="0" w:after="0"/>
              <w:pStyle w:val="Compact"/>
            </w:pPr>
            <w:r>
              <w:rPr>
                <w:sz w:val="20"/>
                <w:szCs w:val="20"/>
              </w:rPr>
              <w:t xml:space="preserve">0.9637</w:t>
            </w:r>
          </w:p>
        </w:tc>
        <w:tc>
          <w:tcPr>
            <w:tcW w:w="0" w:type="auto"/>
          </w:tcPr>
          <w:p>
            <w:pPr>
              <w:spacing w:line="240" w:lineRule="auto" w:before="0" w:after="0"/>
              <w:pStyle w:val="Compact"/>
            </w:pPr>
            <w:r>
              <w:rPr>
                <w:sz w:val="20"/>
                <w:szCs w:val="20"/>
              </w:rPr>
              <w:t xml:space="preserve">0.9514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7.2882</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500_600_sso_polar</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sso_polar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2672</w:t>
            </w:r>
          </w:p>
        </w:tc>
        <w:tc>
          <w:tcPr>
            <w:tcW w:w="0" w:type="auto"/>
          </w:tcPr>
          <w:p>
            <w:pPr>
              <w:spacing w:line="240" w:lineRule="auto" w:before="0" w:after="0"/>
              <w:pStyle w:val="Compact"/>
            </w:pPr>
            <w:r>
              <w:rPr>
                <w:sz w:val="20"/>
                <w:szCs w:val="20"/>
              </w:rPr>
              <w:t xml:space="preserve">2308</w:t>
            </w:r>
          </w:p>
        </w:tc>
        <w:tc>
          <w:tcPr>
            <w:tcW w:w="0" w:type="auto"/>
          </w:tcPr>
          <w:p>
            <w:pPr>
              <w:spacing w:line="240" w:lineRule="auto" w:before="0" w:after="0"/>
              <w:pStyle w:val="Compact"/>
            </w:pPr>
            <w:r>
              <w:rPr>
                <w:sz w:val="20"/>
                <w:szCs w:val="20"/>
              </w:rPr>
              <w:t xml:space="preserve">305</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2236</w:t>
            </w:r>
          </w:p>
        </w:tc>
        <w:tc>
          <w:tcPr>
            <w:tcW w:w="0" w:type="auto"/>
          </w:tcPr>
          <w:p>
            <w:pPr>
              <w:spacing w:line="240" w:lineRule="auto" w:before="0" w:after="0"/>
              <w:pStyle w:val="Compact"/>
            </w:pPr>
            <w:r>
              <w:rPr>
                <w:sz w:val="20"/>
                <w:szCs w:val="20"/>
              </w:rPr>
              <w:t xml:space="preserve">0.1141</w:t>
            </w:r>
          </w:p>
        </w:tc>
        <w:tc>
          <w:tcPr>
            <w:tcW w:w="0" w:type="auto"/>
          </w:tcPr>
          <w:p>
            <w:pPr>
              <w:spacing w:line="240" w:lineRule="auto" w:before="0" w:after="0"/>
              <w:pStyle w:val="Compact"/>
            </w:pPr>
            <w:r>
              <w:rPr>
                <w:sz w:val="20"/>
                <w:szCs w:val="20"/>
              </w:rPr>
              <w:t xml:space="preserve">0.8638</w:t>
            </w:r>
          </w:p>
        </w:tc>
        <w:tc>
          <w:tcPr>
            <w:tcW w:w="0" w:type="auto"/>
          </w:tcPr>
          <w:p>
            <w:pPr>
              <w:spacing w:line="240" w:lineRule="auto" w:before="0" w:after="0"/>
              <w:pStyle w:val="Compact"/>
            </w:pPr>
            <w:r>
              <w:rPr>
                <w:sz w:val="20"/>
                <w:szCs w:val="20"/>
              </w:rPr>
              <w:t xml:space="preserve">0.8368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7.891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500_600_retrograde_high</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retrograde_high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0.1429</w:t>
            </w:r>
          </w:p>
        </w:tc>
        <w:tc>
          <w:tcPr>
            <w:tcW w:w="0" w:type="auto"/>
          </w:tcPr>
          <w:p>
            <w:pPr>
              <w:spacing w:line="240" w:lineRule="auto" w:before="0" w:after="0"/>
              <w:pStyle w:val="Compact"/>
            </w:pPr>
            <w:r>
              <w:rPr>
                <w:sz w:val="20"/>
                <w:szCs w:val="20"/>
              </w:rPr>
              <w:t xml:space="preserve">0.7143</w:t>
            </w:r>
          </w:p>
        </w:tc>
        <w:tc>
          <w:tcPr>
            <w:tcW w:w="0" w:type="auto"/>
          </w:tcPr>
          <w:p>
            <w:pPr>
              <w:spacing w:line="240" w:lineRule="auto" w:before="0" w:after="0"/>
              <w:pStyle w:val="Compact"/>
            </w:pPr>
            <w:r>
              <w:rPr>
                <w:sz w:val="20"/>
                <w:szCs w:val="20"/>
              </w:rPr>
              <w:t xml:space="preserve">0.5714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2.0794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600_700_equatorial</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650</w:t>
            </w:r>
          </w:p>
        </w:tc>
        <w:tc>
          <w:tcPr>
            <w:tcW w:w="0" w:type="auto"/>
          </w:tcPr>
          <w:p>
            <w:pPr>
              <w:spacing w:line="240" w:lineRule="auto" w:before="0" w:after="0"/>
              <w:pStyle w:val="Compact"/>
            </w:pPr>
            <w:r>
              <w:rPr>
                <w:sz w:val="20"/>
                <w:szCs w:val="20"/>
              </w:rPr>
              <w:t xml:space="preserve">equatorial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0.1667</w:t>
            </w:r>
          </w:p>
        </w:tc>
        <w:tc>
          <w:tcPr>
            <w:tcW w:w="0" w:type="auto"/>
          </w:tcPr>
          <w:p>
            <w:pPr>
              <w:spacing w:line="240" w:lineRule="auto" w:before="0" w:after="0"/>
              <w:pStyle w:val="Compact"/>
            </w:pPr>
            <w:r>
              <w:rPr>
                <w:sz w:val="20"/>
                <w:szCs w:val="20"/>
              </w:rPr>
              <w:t xml:space="preserve">0.5417</w:t>
            </w:r>
          </w:p>
        </w:tc>
        <w:tc>
          <w:tcPr>
            <w:tcW w:w="0" w:type="auto"/>
          </w:tcPr>
          <w:p>
            <w:pPr>
              <w:spacing w:line="240" w:lineRule="auto" w:before="0" w:after="0"/>
              <w:pStyle w:val="Compact"/>
            </w:pPr>
            <w:r>
              <w:rPr>
                <w:sz w:val="20"/>
                <w:szCs w:val="20"/>
              </w:rPr>
              <w:t xml:space="preserve">0.2917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3.2189</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600_700_mid_inclination</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650</w:t>
            </w:r>
          </w:p>
        </w:tc>
        <w:tc>
          <w:tcPr>
            <w:tcW w:w="0" w:type="auto"/>
          </w:tcPr>
          <w:p>
            <w:pPr>
              <w:spacing w:line="240" w:lineRule="auto" w:before="0" w:after="0"/>
              <w:pStyle w:val="Compact"/>
            </w:pPr>
            <w:r>
              <w:rPr>
                <w:sz w:val="20"/>
                <w:szCs w:val="20"/>
              </w:rPr>
              <w:t xml:space="preserve">mid_inclination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405</w:t>
            </w:r>
          </w:p>
        </w:tc>
        <w:tc>
          <w:tcPr>
            <w:tcW w:w="0" w:type="auto"/>
          </w:tcPr>
          <w:p>
            <w:pPr>
              <w:spacing w:line="240" w:lineRule="auto" w:before="0" w:after="0"/>
              <w:pStyle w:val="Compact"/>
            </w:pPr>
            <w:r>
              <w:rPr>
                <w:sz w:val="20"/>
                <w:szCs w:val="20"/>
              </w:rPr>
              <w:t xml:space="preserve">346</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318</w:t>
            </w:r>
          </w:p>
        </w:tc>
        <w:tc>
          <w:tcPr>
            <w:tcW w:w="0" w:type="auto"/>
          </w:tcPr>
          <w:p>
            <w:pPr>
              <w:spacing w:line="240" w:lineRule="auto" w:before="0" w:after="0"/>
              <w:pStyle w:val="Compact"/>
            </w:pPr>
            <w:r>
              <w:rPr>
                <w:sz w:val="20"/>
                <w:szCs w:val="20"/>
              </w:rPr>
              <w:t xml:space="preserve">0.1259</w:t>
            </w:r>
          </w:p>
        </w:tc>
        <w:tc>
          <w:tcPr>
            <w:tcW w:w="0" w:type="auto"/>
          </w:tcPr>
          <w:p>
            <w:pPr>
              <w:spacing w:line="240" w:lineRule="auto" w:before="0" w:after="0"/>
              <w:pStyle w:val="Compact"/>
            </w:pPr>
            <w:r>
              <w:rPr>
                <w:sz w:val="20"/>
                <w:szCs w:val="20"/>
              </w:rPr>
              <w:t xml:space="preserve">0.8543</w:t>
            </w:r>
          </w:p>
        </w:tc>
        <w:tc>
          <w:tcPr>
            <w:tcW w:w="0" w:type="auto"/>
          </w:tcPr>
          <w:p>
            <w:pPr>
              <w:spacing w:line="240" w:lineRule="auto" w:before="0" w:after="0"/>
              <w:pStyle w:val="Compact"/>
            </w:pPr>
            <w:r>
              <w:rPr>
                <w:sz w:val="20"/>
                <w:szCs w:val="20"/>
              </w:rPr>
              <w:t xml:space="preserve">0.7852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6.0064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600_700_sso_polar</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650</w:t>
            </w:r>
          </w:p>
        </w:tc>
        <w:tc>
          <w:tcPr>
            <w:tcW w:w="0" w:type="auto"/>
          </w:tcPr>
          <w:p>
            <w:pPr>
              <w:spacing w:line="240" w:lineRule="auto" w:before="0" w:after="0"/>
              <w:pStyle w:val="Compact"/>
            </w:pPr>
            <w:r>
              <w:rPr>
                <w:sz w:val="20"/>
                <w:szCs w:val="20"/>
              </w:rPr>
              <w:t xml:space="preserve">sso_polar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1444</w:t>
            </w:r>
          </w:p>
        </w:tc>
        <w:tc>
          <w:tcPr>
            <w:tcW w:w="0" w:type="auto"/>
          </w:tcPr>
          <w:p>
            <w:pPr>
              <w:spacing w:line="240" w:lineRule="auto" w:before="0" w:after="0"/>
              <w:pStyle w:val="Compact"/>
            </w:pPr>
            <w:r>
              <w:rPr>
                <w:sz w:val="20"/>
                <w:szCs w:val="20"/>
              </w:rPr>
              <w:t xml:space="preserve">378</w:t>
            </w:r>
          </w:p>
        </w:tc>
        <w:tc>
          <w:tcPr>
            <w:tcW w:w="0" w:type="auto"/>
          </w:tcPr>
          <w:p>
            <w:pPr>
              <w:spacing w:line="240" w:lineRule="auto" w:before="0" w:after="0"/>
              <w:pStyle w:val="Compact"/>
            </w:pPr>
            <w:r>
              <w:rPr>
                <w:sz w:val="20"/>
                <w:szCs w:val="20"/>
              </w:rPr>
              <w:t xml:space="preserve">964</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283</w:t>
            </w:r>
          </w:p>
        </w:tc>
        <w:tc>
          <w:tcPr>
            <w:tcW w:w="0" w:type="auto"/>
          </w:tcPr>
          <w:p>
            <w:pPr>
              <w:spacing w:line="240" w:lineRule="auto" w:before="0" w:after="0"/>
              <w:pStyle w:val="Compact"/>
            </w:pPr>
            <w:r>
              <w:rPr>
                <w:sz w:val="20"/>
                <w:szCs w:val="20"/>
              </w:rPr>
              <w:t xml:space="preserve">0.6676</w:t>
            </w:r>
          </w:p>
        </w:tc>
        <w:tc>
          <w:tcPr>
            <w:tcW w:w="0" w:type="auto"/>
          </w:tcPr>
          <w:p>
            <w:pPr>
              <w:spacing w:line="240" w:lineRule="auto" w:before="0" w:after="0"/>
              <w:pStyle w:val="Compact"/>
            </w:pPr>
            <w:r>
              <w:rPr>
                <w:sz w:val="20"/>
                <w:szCs w:val="20"/>
              </w:rPr>
              <w:t xml:space="preserve">0.2618</w:t>
            </w:r>
          </w:p>
        </w:tc>
        <w:tc>
          <w:tcPr>
            <w:tcW w:w="0" w:type="auto"/>
          </w:tcPr>
          <w:p>
            <w:pPr>
              <w:spacing w:line="240" w:lineRule="auto" w:before="0" w:after="0"/>
              <w:pStyle w:val="Compact"/>
            </w:pPr>
            <w:r>
              <w:rPr>
                <w:sz w:val="20"/>
                <w:szCs w:val="20"/>
              </w:rPr>
              <w:t xml:space="preserve">0.196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7.2759</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600_700_retrograde_high</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650</w:t>
            </w:r>
          </w:p>
        </w:tc>
        <w:tc>
          <w:tcPr>
            <w:tcW w:w="0" w:type="auto"/>
          </w:tcPr>
          <w:p>
            <w:pPr>
              <w:spacing w:line="240" w:lineRule="auto" w:before="0" w:after="0"/>
              <w:pStyle w:val="Compact"/>
            </w:pPr>
            <w:r>
              <w:rPr>
                <w:sz w:val="20"/>
                <w:szCs w:val="20"/>
              </w:rPr>
              <w:t xml:space="preserve">retrograde_high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700_800_equatorial</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750</w:t>
            </w:r>
          </w:p>
        </w:tc>
        <w:tc>
          <w:tcPr>
            <w:tcW w:w="0" w:type="auto"/>
          </w:tcPr>
          <w:p>
            <w:pPr>
              <w:spacing w:line="240" w:lineRule="auto" w:before="0" w:after="0"/>
              <w:pStyle w:val="Compact"/>
            </w:pPr>
            <w:r>
              <w:rPr>
                <w:sz w:val="20"/>
                <w:szCs w:val="20"/>
              </w:rPr>
              <w:t xml:space="preserve">equatorial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0.375</w:t>
            </w:r>
          </w:p>
        </w:tc>
        <w:tc>
          <w:tcPr>
            <w:tcW w:w="0" w:type="auto"/>
          </w:tcPr>
          <w:p>
            <w:pPr>
              <w:spacing w:line="240" w:lineRule="auto" w:before="0" w:after="0"/>
              <w:pStyle w:val="Compact"/>
            </w:pPr>
            <w:r>
              <w:rPr>
                <w:sz w:val="20"/>
                <w:szCs w:val="20"/>
              </w:rPr>
              <w:t xml:space="preserve">0.4375</w:t>
            </w:r>
          </w:p>
        </w:tc>
        <w:tc>
          <w:tcPr>
            <w:tcW w:w="0" w:type="auto"/>
          </w:tcPr>
          <w:p>
            <w:pPr>
              <w:spacing w:line="240" w:lineRule="auto" w:before="0" w:after="0"/>
              <w:pStyle w:val="Compact"/>
            </w:pPr>
            <w:r>
              <w:rPr>
                <w:sz w:val="20"/>
                <w:szCs w:val="20"/>
              </w:rPr>
              <w:t xml:space="preserve">0.3125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2.8332</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700_800_mid_inclination</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750</w:t>
            </w:r>
          </w:p>
        </w:tc>
        <w:tc>
          <w:tcPr>
            <w:tcW w:w="0" w:type="auto"/>
          </w:tcPr>
          <w:p>
            <w:pPr>
              <w:spacing w:line="240" w:lineRule="auto" w:before="0" w:after="0"/>
              <w:pStyle w:val="Compact"/>
            </w:pPr>
            <w:r>
              <w:rPr>
                <w:sz w:val="20"/>
                <w:szCs w:val="20"/>
              </w:rPr>
              <w:t xml:space="preserve">mid_inclination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274</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174</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0.635</w:t>
            </w:r>
          </w:p>
        </w:tc>
        <w:tc>
          <w:tcPr>
            <w:tcW w:w="0" w:type="auto"/>
          </w:tcPr>
          <w:p>
            <w:pPr>
              <w:spacing w:line="240" w:lineRule="auto" w:before="0" w:after="0"/>
              <w:pStyle w:val="Compact"/>
            </w:pPr>
            <w:r>
              <w:rPr>
                <w:sz w:val="20"/>
                <w:szCs w:val="20"/>
              </w:rPr>
              <w:t xml:space="preserve">0.2628</w:t>
            </w:r>
          </w:p>
        </w:tc>
        <w:tc>
          <w:tcPr>
            <w:tcW w:w="0" w:type="auto"/>
          </w:tcPr>
          <w:p>
            <w:pPr>
              <w:spacing w:line="240" w:lineRule="auto" w:before="0" w:after="0"/>
              <w:pStyle w:val="Compact"/>
            </w:pPr>
            <w:r>
              <w:rPr>
                <w:sz w:val="20"/>
                <w:szCs w:val="20"/>
              </w:rPr>
              <w:t xml:space="preserve">0.0985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5.6168</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700_800_sso_polar</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750</w:t>
            </w:r>
          </w:p>
        </w:tc>
        <w:tc>
          <w:tcPr>
            <w:tcW w:w="0" w:type="auto"/>
          </w:tcPr>
          <w:p>
            <w:pPr>
              <w:spacing w:line="240" w:lineRule="auto" w:before="0" w:after="0"/>
              <w:pStyle w:val="Compact"/>
            </w:pPr>
            <w:r>
              <w:rPr>
                <w:sz w:val="20"/>
                <w:szCs w:val="20"/>
              </w:rPr>
              <w:t xml:space="preserve">sso_polar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2441</w:t>
            </w:r>
          </w:p>
        </w:tc>
        <w:tc>
          <w:tcPr>
            <w:tcW w:w="0" w:type="auto"/>
          </w:tcPr>
          <w:p>
            <w:pPr>
              <w:spacing w:line="240" w:lineRule="auto" w:before="0" w:after="0"/>
              <w:pStyle w:val="Compact"/>
            </w:pPr>
            <w:r>
              <w:rPr>
                <w:sz w:val="20"/>
                <w:szCs w:val="20"/>
              </w:rPr>
              <w:t xml:space="preserve">339</w:t>
            </w:r>
          </w:p>
        </w:tc>
        <w:tc>
          <w:tcPr>
            <w:tcW w:w="0" w:type="auto"/>
          </w:tcPr>
          <w:p>
            <w:pPr>
              <w:spacing w:line="240" w:lineRule="auto" w:before="0" w:after="0"/>
              <w:pStyle w:val="Compact"/>
            </w:pPr>
            <w:r>
              <w:rPr>
                <w:sz w:val="20"/>
                <w:szCs w:val="20"/>
              </w:rPr>
              <w:t xml:space="preserve">1976</w:t>
            </w:r>
          </w:p>
        </w:tc>
        <w:tc>
          <w:tcPr>
            <w:tcW w:w="0" w:type="auto"/>
          </w:tcPr>
          <w:p>
            <w:pPr>
              <w:spacing w:line="240" w:lineRule="auto" w:before="0" w:after="0"/>
              <w:pStyle w:val="Compact"/>
            </w:pPr>
            <w:r>
              <w:rPr>
                <w:sz w:val="20"/>
                <w:szCs w:val="20"/>
              </w:rPr>
              <w:t xml:space="preserve">124</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0.8095</w:t>
            </w:r>
          </w:p>
        </w:tc>
        <w:tc>
          <w:tcPr>
            <w:tcW w:w="0" w:type="auto"/>
          </w:tcPr>
          <w:p>
            <w:pPr>
              <w:spacing w:line="240" w:lineRule="auto" w:before="0" w:after="0"/>
              <w:pStyle w:val="Compact"/>
            </w:pPr>
            <w:r>
              <w:rPr>
                <w:sz w:val="20"/>
                <w:szCs w:val="20"/>
              </w:rPr>
              <w:t xml:space="preserve">0.1389</w:t>
            </w:r>
          </w:p>
        </w:tc>
        <w:tc>
          <w:tcPr>
            <w:tcW w:w="0" w:type="auto"/>
          </w:tcPr>
          <w:p>
            <w:pPr>
              <w:spacing w:line="240" w:lineRule="auto" w:before="0" w:after="0"/>
              <w:pStyle w:val="Compact"/>
            </w:pPr>
            <w:r>
              <w:rPr>
                <w:sz w:val="20"/>
                <w:szCs w:val="20"/>
              </w:rPr>
              <w:t xml:space="preserve">0.0647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7.8006</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700_800_retrograde_high</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750</w:t>
            </w:r>
          </w:p>
        </w:tc>
        <w:tc>
          <w:tcPr>
            <w:tcW w:w="0" w:type="auto"/>
          </w:tcPr>
          <w:p>
            <w:pPr>
              <w:spacing w:line="240" w:lineRule="auto" w:before="0" w:after="0"/>
              <w:pStyle w:val="Compact"/>
            </w:pPr>
            <w:r>
              <w:rPr>
                <w:sz w:val="20"/>
                <w:szCs w:val="20"/>
              </w:rPr>
              <w:t xml:space="preserve">retrograde_high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800_900_equatorial</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equatorial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0.4167</w:t>
            </w:r>
          </w:p>
        </w:tc>
        <w:tc>
          <w:tcPr>
            <w:tcW w:w="0" w:type="auto"/>
          </w:tcPr>
          <w:p>
            <w:pPr>
              <w:spacing w:line="240" w:lineRule="auto" w:before="0" w:after="0"/>
              <w:pStyle w:val="Compact"/>
            </w:pPr>
            <w:r>
              <w:rPr>
                <w:sz w:val="20"/>
                <w:szCs w:val="20"/>
              </w:rPr>
              <w:t xml:space="preserve">0.3333</w:t>
            </w:r>
          </w:p>
        </w:tc>
        <w:tc>
          <w:tcPr>
            <w:tcW w:w="0" w:type="auto"/>
          </w:tcPr>
          <w:p>
            <w:pPr>
              <w:spacing w:line="240" w:lineRule="auto" w:before="0" w:after="0"/>
              <w:pStyle w:val="Compact"/>
            </w:pPr>
            <w:r>
              <w:rPr>
                <w:sz w:val="20"/>
                <w:szCs w:val="20"/>
              </w:rPr>
              <w:t xml:space="preserve">0.1667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2.5649</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800_900_mid_inclination</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mid_inclination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159</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0.5723</w:t>
            </w:r>
          </w:p>
        </w:tc>
        <w:tc>
          <w:tcPr>
            <w:tcW w:w="0" w:type="auto"/>
          </w:tcPr>
          <w:p>
            <w:pPr>
              <w:spacing w:line="240" w:lineRule="auto" w:before="0" w:after="0"/>
              <w:pStyle w:val="Compact"/>
            </w:pPr>
            <w:r>
              <w:rPr>
                <w:sz w:val="20"/>
                <w:szCs w:val="20"/>
              </w:rPr>
              <w:t xml:space="preserve">0.327</w:t>
            </w:r>
          </w:p>
        </w:tc>
        <w:tc>
          <w:tcPr>
            <w:tcW w:w="0" w:type="auto"/>
          </w:tcPr>
          <w:p>
            <w:pPr>
              <w:spacing w:line="240" w:lineRule="auto" w:before="0" w:after="0"/>
              <w:pStyle w:val="Compact"/>
            </w:pPr>
            <w:r>
              <w:rPr>
                <w:sz w:val="20"/>
                <w:szCs w:val="20"/>
              </w:rPr>
              <w:t xml:space="preserve">0.2704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5.0752</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800_900_sso_polar</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sso_polar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2757</w:t>
            </w:r>
          </w:p>
        </w:tc>
        <w:tc>
          <w:tcPr>
            <w:tcW w:w="0" w:type="auto"/>
          </w:tcPr>
          <w:p>
            <w:pPr>
              <w:spacing w:line="240" w:lineRule="auto" w:before="0" w:after="0"/>
              <w:pStyle w:val="Compact"/>
            </w:pPr>
            <w:r>
              <w:rPr>
                <w:sz w:val="20"/>
                <w:szCs w:val="20"/>
              </w:rPr>
              <w:t xml:space="preserve">238</w:t>
            </w:r>
          </w:p>
        </w:tc>
        <w:tc>
          <w:tcPr>
            <w:tcW w:w="0" w:type="auto"/>
          </w:tcPr>
          <w:p>
            <w:pPr>
              <w:spacing w:line="240" w:lineRule="auto" w:before="0" w:after="0"/>
              <w:pStyle w:val="Compact"/>
            </w:pPr>
            <w:r>
              <w:rPr>
                <w:sz w:val="20"/>
                <w:szCs w:val="20"/>
              </w:rPr>
              <w:t xml:space="preserve">2424</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115</w:t>
            </w:r>
          </w:p>
        </w:tc>
        <w:tc>
          <w:tcPr>
            <w:tcW w:w="0" w:type="auto"/>
          </w:tcPr>
          <w:p>
            <w:pPr>
              <w:spacing w:line="240" w:lineRule="auto" w:before="0" w:after="0"/>
              <w:pStyle w:val="Compact"/>
            </w:pPr>
            <w:r>
              <w:rPr>
                <w:sz w:val="20"/>
                <w:szCs w:val="20"/>
              </w:rPr>
              <w:t xml:space="preserve">0.8792</w:t>
            </w:r>
          </w:p>
        </w:tc>
        <w:tc>
          <w:tcPr>
            <w:tcW w:w="0" w:type="auto"/>
          </w:tcPr>
          <w:p>
            <w:pPr>
              <w:spacing w:line="240" w:lineRule="auto" w:before="0" w:after="0"/>
              <w:pStyle w:val="Compact"/>
            </w:pPr>
            <w:r>
              <w:rPr>
                <w:sz w:val="20"/>
                <w:szCs w:val="20"/>
              </w:rPr>
              <w:t xml:space="preserve">0.0863</w:t>
            </w:r>
          </w:p>
        </w:tc>
        <w:tc>
          <w:tcPr>
            <w:tcW w:w="0" w:type="auto"/>
          </w:tcPr>
          <w:p>
            <w:pPr>
              <w:spacing w:line="240" w:lineRule="auto" w:before="0" w:after="0"/>
              <w:pStyle w:val="Compact"/>
            </w:pPr>
            <w:r>
              <w:rPr>
                <w:sz w:val="20"/>
                <w:szCs w:val="20"/>
              </w:rPr>
              <w:t xml:space="preserve">0.0417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7.9223</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800_900_retrograde_high</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retrograde_high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900_1000_equatorial</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950</w:t>
            </w:r>
          </w:p>
        </w:tc>
        <w:tc>
          <w:tcPr>
            <w:tcW w:w="0" w:type="auto"/>
          </w:tcPr>
          <w:p>
            <w:pPr>
              <w:spacing w:line="240" w:lineRule="auto" w:before="0" w:after="0"/>
              <w:pStyle w:val="Compact"/>
            </w:pPr>
            <w:r>
              <w:rPr>
                <w:sz w:val="20"/>
                <w:szCs w:val="20"/>
              </w:rPr>
              <w:t xml:space="preserve">equatorial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0.7857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2.7081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900_1000_mid_inclination</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950</w:t>
            </w:r>
          </w:p>
        </w:tc>
        <w:tc>
          <w:tcPr>
            <w:tcW w:w="0" w:type="auto"/>
          </w:tcPr>
          <w:p>
            <w:pPr>
              <w:spacing w:line="240" w:lineRule="auto" w:before="0" w:after="0"/>
              <w:pStyle w:val="Compact"/>
            </w:pPr>
            <w:r>
              <w:rPr>
                <w:sz w:val="20"/>
                <w:szCs w:val="20"/>
              </w:rPr>
              <w:t xml:space="preserve">mid_inclination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380</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241</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0.6342</w:t>
            </w:r>
          </w:p>
        </w:tc>
        <w:tc>
          <w:tcPr>
            <w:tcW w:w="0" w:type="auto"/>
          </w:tcPr>
          <w:p>
            <w:pPr>
              <w:spacing w:line="240" w:lineRule="auto" w:before="0" w:after="0"/>
              <w:pStyle w:val="Compact"/>
            </w:pPr>
            <w:r>
              <w:rPr>
                <w:sz w:val="20"/>
                <w:szCs w:val="20"/>
              </w:rPr>
              <w:t xml:space="preserve">0.3079</w:t>
            </w:r>
          </w:p>
        </w:tc>
        <w:tc>
          <w:tcPr>
            <w:tcW w:w="0" w:type="auto"/>
          </w:tcPr>
          <w:p>
            <w:pPr>
              <w:spacing w:line="240" w:lineRule="auto" w:before="0" w:after="0"/>
              <w:pStyle w:val="Compact"/>
            </w:pPr>
            <w:r>
              <w:rPr>
                <w:sz w:val="20"/>
                <w:szCs w:val="20"/>
              </w:rPr>
              <w:t xml:space="preserve">0.1158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5.9428</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900_1000_sso_polar</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950</w:t>
            </w:r>
          </w:p>
        </w:tc>
        <w:tc>
          <w:tcPr>
            <w:tcW w:w="0" w:type="auto"/>
          </w:tcPr>
          <w:p>
            <w:pPr>
              <w:spacing w:line="240" w:lineRule="auto" w:before="0" w:after="0"/>
              <w:pStyle w:val="Compact"/>
            </w:pPr>
            <w:r>
              <w:rPr>
                <w:sz w:val="20"/>
                <w:szCs w:val="20"/>
              </w:rPr>
              <w:t xml:space="preserve">sso_polar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1477</w:t>
            </w:r>
          </w:p>
        </w:tc>
        <w:tc>
          <w:tcPr>
            <w:tcW w:w="0" w:type="auto"/>
          </w:tcPr>
          <w:p>
            <w:pPr>
              <w:spacing w:line="240" w:lineRule="auto" w:before="0" w:after="0"/>
              <w:pStyle w:val="Compact"/>
            </w:pPr>
            <w:r>
              <w:rPr>
                <w:sz w:val="20"/>
                <w:szCs w:val="20"/>
              </w:rPr>
              <w:t xml:space="preserve">315</w:t>
            </w:r>
          </w:p>
        </w:tc>
        <w:tc>
          <w:tcPr>
            <w:tcW w:w="0" w:type="auto"/>
          </w:tcPr>
          <w:p>
            <w:pPr>
              <w:spacing w:line="240" w:lineRule="auto" w:before="0" w:after="0"/>
              <w:pStyle w:val="Compact"/>
            </w:pPr>
            <w:r>
              <w:rPr>
                <w:sz w:val="20"/>
                <w:szCs w:val="20"/>
              </w:rPr>
              <w:t xml:space="preserve">977</w:t>
            </w:r>
          </w:p>
        </w:tc>
        <w:tc>
          <w:tcPr>
            <w:tcW w:w="0" w:type="auto"/>
          </w:tcPr>
          <w:p>
            <w:pPr>
              <w:spacing w:line="240" w:lineRule="auto" w:before="0" w:after="0"/>
              <w:pStyle w:val="Compact"/>
            </w:pPr>
            <w:r>
              <w:rPr>
                <w:sz w:val="20"/>
                <w:szCs w:val="20"/>
              </w:rPr>
              <w:t xml:space="preserve">185</w:t>
            </w:r>
          </w:p>
        </w:tc>
        <w:tc>
          <w:tcPr>
            <w:tcW w:w="0" w:type="auto"/>
          </w:tcPr>
          <w:p>
            <w:pPr>
              <w:spacing w:line="240" w:lineRule="auto" w:before="0" w:after="0"/>
              <w:pStyle w:val="Compact"/>
            </w:pPr>
            <w:r>
              <w:rPr>
                <w:sz w:val="20"/>
                <w:szCs w:val="20"/>
              </w:rPr>
              <w:t xml:space="preserve">115</w:t>
            </w:r>
          </w:p>
        </w:tc>
        <w:tc>
          <w:tcPr>
            <w:tcW w:w="0" w:type="auto"/>
          </w:tcPr>
          <w:p>
            <w:pPr>
              <w:spacing w:line="240" w:lineRule="auto" w:before="0" w:after="0"/>
              <w:pStyle w:val="Compact"/>
            </w:pPr>
            <w:r>
              <w:rPr>
                <w:sz w:val="20"/>
                <w:szCs w:val="20"/>
              </w:rPr>
              <w:t xml:space="preserve">0.6615</w:t>
            </w:r>
          </w:p>
        </w:tc>
        <w:tc>
          <w:tcPr>
            <w:tcW w:w="0" w:type="auto"/>
          </w:tcPr>
          <w:p>
            <w:pPr>
              <w:spacing w:line="240" w:lineRule="auto" w:before="0" w:after="0"/>
              <w:pStyle w:val="Compact"/>
            </w:pPr>
            <w:r>
              <w:rPr>
                <w:sz w:val="20"/>
                <w:szCs w:val="20"/>
              </w:rPr>
              <w:t xml:space="preserve">0.2133</w:t>
            </w:r>
          </w:p>
        </w:tc>
        <w:tc>
          <w:tcPr>
            <w:tcW w:w="0" w:type="auto"/>
          </w:tcPr>
          <w:p>
            <w:pPr>
              <w:spacing w:line="240" w:lineRule="auto" w:before="0" w:after="0"/>
              <w:pStyle w:val="Compact"/>
            </w:pPr>
            <w:r>
              <w:rPr>
                <w:sz w:val="20"/>
                <w:szCs w:val="20"/>
              </w:rPr>
              <w:t xml:space="preserve">0.0779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7.2984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900_1000_retrograde_high</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950</w:t>
            </w:r>
          </w:p>
        </w:tc>
        <w:tc>
          <w:tcPr>
            <w:tcW w:w="0" w:type="auto"/>
          </w:tcPr>
          <w:p>
            <w:pPr>
              <w:spacing w:line="240" w:lineRule="auto" w:before="0" w:after="0"/>
              <w:pStyle w:val="Compact"/>
            </w:pPr>
            <w:r>
              <w:rPr>
                <w:sz w:val="20"/>
                <w:szCs w:val="20"/>
              </w:rPr>
              <w:t xml:space="preserve">retrograde_high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0.375</w:t>
            </w:r>
          </w:p>
        </w:tc>
        <w:tc>
          <w:tcPr>
            <w:tcW w:w="0" w:type="auto"/>
          </w:tcPr>
          <w:p>
            <w:pPr>
              <w:spacing w:line="240" w:lineRule="auto" w:before="0" w:after="0"/>
              <w:pStyle w:val="Compact"/>
            </w:pPr>
            <w:r>
              <w:rPr>
                <w:sz w:val="20"/>
                <w:szCs w:val="20"/>
              </w:rPr>
              <w:t xml:space="preserve">0.375</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2.1972</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1000_1100_equatorial</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1050</w:t>
            </w:r>
          </w:p>
        </w:tc>
        <w:tc>
          <w:tcPr>
            <w:tcW w:w="0" w:type="auto"/>
          </w:tcPr>
          <w:p>
            <w:pPr>
              <w:spacing w:line="240" w:lineRule="auto" w:before="0" w:after="0"/>
              <w:pStyle w:val="Compact"/>
            </w:pPr>
            <w:r>
              <w:rPr>
                <w:sz w:val="20"/>
                <w:szCs w:val="20"/>
              </w:rPr>
              <w:t xml:space="preserve">equatorial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0.5625</w:t>
            </w:r>
          </w:p>
        </w:tc>
        <w:tc>
          <w:tcPr>
            <w:tcW w:w="0" w:type="auto"/>
          </w:tcPr>
          <w:p>
            <w:pPr>
              <w:spacing w:line="240" w:lineRule="auto" w:before="0" w:after="0"/>
              <w:pStyle w:val="Compact"/>
            </w:pPr>
            <w:r>
              <w:rPr>
                <w:sz w:val="20"/>
                <w:szCs w:val="20"/>
              </w:rPr>
              <w:t xml:space="preserve">0.1875</w:t>
            </w:r>
          </w:p>
        </w:tc>
        <w:tc>
          <w:tcPr>
            <w:tcW w:w="0" w:type="auto"/>
          </w:tcPr>
          <w:p>
            <w:pPr>
              <w:spacing w:line="240" w:lineRule="auto" w:before="0" w:after="0"/>
              <w:pStyle w:val="Compact"/>
            </w:pPr>
            <w:r>
              <w:rPr>
                <w:sz w:val="20"/>
                <w:szCs w:val="20"/>
              </w:rPr>
              <w:t xml:space="preserve">0.0625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2.8332</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1000_1100_mid_inclination</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1050</w:t>
            </w:r>
          </w:p>
        </w:tc>
        <w:tc>
          <w:tcPr>
            <w:tcW w:w="0" w:type="auto"/>
          </w:tcPr>
          <w:p>
            <w:pPr>
              <w:spacing w:line="240" w:lineRule="auto" w:before="0" w:after="0"/>
              <w:pStyle w:val="Compact"/>
            </w:pPr>
            <w:r>
              <w:rPr>
                <w:sz w:val="20"/>
                <w:szCs w:val="20"/>
              </w:rPr>
              <w:t xml:space="preserve">mid_inclination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129</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0.6386</w:t>
            </w:r>
          </w:p>
        </w:tc>
        <w:tc>
          <w:tcPr>
            <w:tcW w:w="0" w:type="auto"/>
          </w:tcPr>
          <w:p>
            <w:pPr>
              <w:spacing w:line="240" w:lineRule="auto" w:before="0" w:after="0"/>
              <w:pStyle w:val="Compact"/>
            </w:pPr>
            <w:r>
              <w:rPr>
                <w:sz w:val="20"/>
                <w:szCs w:val="20"/>
              </w:rPr>
              <w:t xml:space="preserve">0.2574</w:t>
            </w:r>
          </w:p>
        </w:tc>
        <w:tc>
          <w:tcPr>
            <w:tcW w:w="0" w:type="auto"/>
          </w:tcPr>
          <w:p>
            <w:pPr>
              <w:spacing w:line="240" w:lineRule="auto" w:before="0" w:after="0"/>
              <w:pStyle w:val="Compact"/>
            </w:pPr>
            <w:r>
              <w:rPr>
                <w:sz w:val="20"/>
                <w:szCs w:val="20"/>
              </w:rPr>
              <w:t xml:space="preserve">0.1782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5.3132</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1000_1100_sso_polar</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1050</w:t>
            </w:r>
          </w:p>
        </w:tc>
        <w:tc>
          <w:tcPr>
            <w:tcW w:w="0" w:type="auto"/>
          </w:tcPr>
          <w:p>
            <w:pPr>
              <w:spacing w:line="240" w:lineRule="auto" w:before="0" w:after="0"/>
              <w:pStyle w:val="Compact"/>
            </w:pPr>
            <w:r>
              <w:rPr>
                <w:sz w:val="20"/>
                <w:szCs w:val="20"/>
              </w:rPr>
              <w:t xml:space="preserve">sso_polar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711</w:t>
            </w:r>
          </w:p>
        </w:tc>
        <w:tc>
          <w:tcPr>
            <w:tcW w:w="0" w:type="auto"/>
          </w:tcPr>
          <w:p>
            <w:pPr>
              <w:spacing w:line="240" w:lineRule="auto" w:before="0" w:after="0"/>
              <w:pStyle w:val="Compact"/>
            </w:pPr>
            <w:r>
              <w:rPr>
                <w:sz w:val="20"/>
                <w:szCs w:val="20"/>
              </w:rPr>
              <w:t xml:space="preserve">162</w:t>
            </w:r>
          </w:p>
        </w:tc>
        <w:tc>
          <w:tcPr>
            <w:tcW w:w="0" w:type="auto"/>
          </w:tcPr>
          <w:p>
            <w:pPr>
              <w:spacing w:line="240" w:lineRule="auto" w:before="0" w:after="0"/>
              <w:pStyle w:val="Compact"/>
            </w:pPr>
            <w:r>
              <w:rPr>
                <w:sz w:val="20"/>
                <w:szCs w:val="20"/>
              </w:rPr>
              <w:t xml:space="preserve">522</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128</w:t>
            </w:r>
          </w:p>
        </w:tc>
        <w:tc>
          <w:tcPr>
            <w:tcW w:w="0" w:type="auto"/>
          </w:tcPr>
          <w:p>
            <w:pPr>
              <w:spacing w:line="240" w:lineRule="auto" w:before="0" w:after="0"/>
              <w:pStyle w:val="Compact"/>
            </w:pPr>
            <w:r>
              <w:rPr>
                <w:sz w:val="20"/>
                <w:szCs w:val="20"/>
              </w:rPr>
              <w:t xml:space="preserve">0.7342</w:t>
            </w:r>
          </w:p>
        </w:tc>
        <w:tc>
          <w:tcPr>
            <w:tcW w:w="0" w:type="auto"/>
          </w:tcPr>
          <w:p>
            <w:pPr>
              <w:spacing w:line="240" w:lineRule="auto" w:before="0" w:after="0"/>
              <w:pStyle w:val="Compact"/>
            </w:pPr>
            <w:r>
              <w:rPr>
                <w:sz w:val="20"/>
                <w:szCs w:val="20"/>
              </w:rPr>
              <w:t xml:space="preserve">0.2278</w:t>
            </w:r>
          </w:p>
        </w:tc>
        <w:tc>
          <w:tcPr>
            <w:tcW w:w="0" w:type="auto"/>
          </w:tcPr>
          <w:p>
            <w:pPr>
              <w:spacing w:line="240" w:lineRule="auto" w:before="0" w:after="0"/>
              <w:pStyle w:val="Compact"/>
            </w:pPr>
            <w:r>
              <w:rPr>
                <w:sz w:val="20"/>
                <w:szCs w:val="20"/>
              </w:rPr>
              <w:t xml:space="preserve">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6.5681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1000_1100_retrograde_high</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1050</w:t>
            </w:r>
          </w:p>
        </w:tc>
        <w:tc>
          <w:tcPr>
            <w:tcW w:w="0" w:type="auto"/>
          </w:tcPr>
          <w:p>
            <w:pPr>
              <w:spacing w:line="240" w:lineRule="auto" w:before="0" w:after="0"/>
              <w:pStyle w:val="Compact"/>
            </w:pPr>
            <w:r>
              <w:rPr>
                <w:sz w:val="20"/>
                <w:szCs w:val="20"/>
              </w:rPr>
              <w:t xml:space="preserve">retrograde_high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1100_1200_equatorial</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1150</w:t>
            </w:r>
          </w:p>
        </w:tc>
        <w:tc>
          <w:tcPr>
            <w:tcW w:w="0" w:type="auto"/>
          </w:tcPr>
          <w:p>
            <w:pPr>
              <w:spacing w:line="240" w:lineRule="auto" w:before="0" w:after="0"/>
              <w:pStyle w:val="Compact"/>
            </w:pPr>
            <w:r>
              <w:rPr>
                <w:sz w:val="20"/>
                <w:szCs w:val="20"/>
              </w:rPr>
              <w:t xml:space="preserve">equatorial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0.6429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2.7081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1100_1200_mid_inclination</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1150</w:t>
            </w:r>
          </w:p>
        </w:tc>
        <w:tc>
          <w:tcPr>
            <w:tcW w:w="0" w:type="auto"/>
          </w:tcPr>
          <w:p>
            <w:pPr>
              <w:spacing w:line="240" w:lineRule="auto" w:before="0" w:after="0"/>
              <w:pStyle w:val="Compact"/>
            </w:pPr>
            <w:r>
              <w:rPr>
                <w:sz w:val="20"/>
                <w:szCs w:val="20"/>
              </w:rPr>
              <w:t xml:space="preserve">mid_inclination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214</w:t>
            </w:r>
          </w:p>
        </w:tc>
        <w:tc>
          <w:tcPr>
            <w:tcW w:w="0" w:type="auto"/>
          </w:tcPr>
          <w:p>
            <w:pPr>
              <w:spacing w:line="240" w:lineRule="auto" w:before="0" w:after="0"/>
              <w:pStyle w:val="Compact"/>
            </w:pPr>
            <w:r>
              <w:rPr>
                <w:sz w:val="20"/>
                <w:szCs w:val="20"/>
              </w:rPr>
              <w:t xml:space="preserve">136</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0.3364</w:t>
            </w:r>
          </w:p>
        </w:tc>
        <w:tc>
          <w:tcPr>
            <w:tcW w:w="0" w:type="auto"/>
          </w:tcPr>
          <w:p>
            <w:pPr>
              <w:spacing w:line="240" w:lineRule="auto" w:before="0" w:after="0"/>
              <w:pStyle w:val="Compact"/>
            </w:pPr>
            <w:r>
              <w:rPr>
                <w:sz w:val="20"/>
                <w:szCs w:val="20"/>
              </w:rPr>
              <w:t xml:space="preserve">0.6355</w:t>
            </w:r>
          </w:p>
        </w:tc>
        <w:tc>
          <w:tcPr>
            <w:tcW w:w="0" w:type="auto"/>
          </w:tcPr>
          <w:p>
            <w:pPr>
              <w:spacing w:line="240" w:lineRule="auto" w:before="0" w:after="0"/>
              <w:pStyle w:val="Compact"/>
            </w:pPr>
            <w:r>
              <w:rPr>
                <w:sz w:val="20"/>
                <w:szCs w:val="20"/>
              </w:rPr>
              <w:t xml:space="preserve">0.6075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5.3706</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1100_1200_sso_polar</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1150</w:t>
            </w:r>
          </w:p>
        </w:tc>
        <w:tc>
          <w:tcPr>
            <w:tcW w:w="0" w:type="auto"/>
          </w:tcPr>
          <w:p>
            <w:pPr>
              <w:spacing w:line="240" w:lineRule="auto" w:before="0" w:after="0"/>
              <w:pStyle w:val="Compact"/>
            </w:pPr>
            <w:r>
              <w:rPr>
                <w:sz w:val="20"/>
                <w:szCs w:val="20"/>
              </w:rPr>
              <w:t xml:space="preserve">sso_polar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752</w:t>
            </w:r>
          </w:p>
        </w:tc>
        <w:tc>
          <w:tcPr>
            <w:tcW w:w="0" w:type="auto"/>
          </w:tcPr>
          <w:p>
            <w:pPr>
              <w:spacing w:line="240" w:lineRule="auto" w:before="0" w:after="0"/>
              <w:pStyle w:val="Compact"/>
            </w:pPr>
            <w:r>
              <w:rPr>
                <w:sz w:val="20"/>
                <w:szCs w:val="20"/>
              </w:rPr>
              <w:t xml:space="preserve">412</w:t>
            </w:r>
          </w:p>
        </w:tc>
        <w:tc>
          <w:tcPr>
            <w:tcW w:w="0" w:type="auto"/>
          </w:tcPr>
          <w:p>
            <w:pPr>
              <w:spacing w:line="240" w:lineRule="auto" w:before="0" w:after="0"/>
              <w:pStyle w:val="Compact"/>
            </w:pPr>
            <w:r>
              <w:rPr>
                <w:sz w:val="20"/>
                <w:szCs w:val="20"/>
              </w:rPr>
              <w:t xml:space="preserve">316</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386</w:t>
            </w:r>
          </w:p>
        </w:tc>
        <w:tc>
          <w:tcPr>
            <w:tcW w:w="0" w:type="auto"/>
          </w:tcPr>
          <w:p>
            <w:pPr>
              <w:spacing w:line="240" w:lineRule="auto" w:before="0" w:after="0"/>
              <w:pStyle w:val="Compact"/>
            </w:pPr>
            <w:r>
              <w:rPr>
                <w:sz w:val="20"/>
                <w:szCs w:val="20"/>
              </w:rPr>
              <w:t xml:space="preserve">0.4202</w:t>
            </w:r>
          </w:p>
        </w:tc>
        <w:tc>
          <w:tcPr>
            <w:tcW w:w="0" w:type="auto"/>
          </w:tcPr>
          <w:p>
            <w:pPr>
              <w:spacing w:line="240" w:lineRule="auto" w:before="0" w:after="0"/>
              <w:pStyle w:val="Compact"/>
            </w:pPr>
            <w:r>
              <w:rPr>
                <w:sz w:val="20"/>
                <w:szCs w:val="20"/>
              </w:rPr>
              <w:t xml:space="preserve">0.5479</w:t>
            </w:r>
          </w:p>
        </w:tc>
        <w:tc>
          <w:tcPr>
            <w:tcW w:w="0" w:type="auto"/>
          </w:tcPr>
          <w:p>
            <w:pPr>
              <w:spacing w:line="240" w:lineRule="auto" w:before="0" w:after="0"/>
              <w:pStyle w:val="Compact"/>
            </w:pPr>
            <w:r>
              <w:rPr>
                <w:sz w:val="20"/>
                <w:szCs w:val="20"/>
              </w:rPr>
              <w:t xml:space="preserve">0.5133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6.6241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1100_1200_retrograde_high</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1150</w:t>
            </w:r>
          </w:p>
        </w:tc>
        <w:tc>
          <w:tcPr>
            <w:tcW w:w="0" w:type="auto"/>
          </w:tcPr>
          <w:p>
            <w:pPr>
              <w:spacing w:line="240" w:lineRule="auto" w:before="0" w:after="0"/>
              <w:pStyle w:val="Compact"/>
            </w:pPr>
            <w:r>
              <w:rPr>
                <w:sz w:val="20"/>
                <w:szCs w:val="20"/>
              </w:rPr>
              <w:t xml:space="preserve">retrograde_high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1.7918</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1200_1300_equatorial</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1300</w:t>
            </w:r>
          </w:p>
        </w:tc>
        <w:tc>
          <w:tcPr>
            <w:tcW w:w="0" w:type="auto"/>
          </w:tcPr>
          <w:p>
            <w:pPr>
              <w:spacing w:line="240" w:lineRule="auto" w:before="0" w:after="0"/>
              <w:pStyle w:val="Compact"/>
            </w:pPr>
            <w:r>
              <w:rPr>
                <w:sz w:val="20"/>
                <w:szCs w:val="20"/>
              </w:rPr>
              <w:t xml:space="preserve">1250</w:t>
            </w:r>
          </w:p>
        </w:tc>
        <w:tc>
          <w:tcPr>
            <w:tcW w:w="0" w:type="auto"/>
          </w:tcPr>
          <w:p>
            <w:pPr>
              <w:spacing w:line="240" w:lineRule="auto" w:before="0" w:after="0"/>
              <w:pStyle w:val="Compact"/>
            </w:pPr>
            <w:r>
              <w:rPr>
                <w:sz w:val="20"/>
                <w:szCs w:val="20"/>
              </w:rPr>
              <w:t xml:space="preserve">equatorial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1.9459</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1200_1300_mid_inclination</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1300</w:t>
            </w:r>
          </w:p>
        </w:tc>
        <w:tc>
          <w:tcPr>
            <w:tcW w:w="0" w:type="auto"/>
          </w:tcPr>
          <w:p>
            <w:pPr>
              <w:spacing w:line="240" w:lineRule="auto" w:before="0" w:after="0"/>
              <w:pStyle w:val="Compact"/>
            </w:pPr>
            <w:r>
              <w:rPr>
                <w:sz w:val="20"/>
                <w:szCs w:val="20"/>
              </w:rPr>
              <w:t xml:space="preserve">1250</w:t>
            </w:r>
          </w:p>
        </w:tc>
        <w:tc>
          <w:tcPr>
            <w:tcW w:w="0" w:type="auto"/>
          </w:tcPr>
          <w:p>
            <w:pPr>
              <w:spacing w:line="240" w:lineRule="auto" w:before="0" w:after="0"/>
              <w:pStyle w:val="Compact"/>
            </w:pPr>
            <w:r>
              <w:rPr>
                <w:sz w:val="20"/>
                <w:szCs w:val="20"/>
              </w:rPr>
              <w:t xml:space="preserve">mid_inclination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0.9016</w:t>
            </w:r>
          </w:p>
        </w:tc>
        <w:tc>
          <w:tcPr>
            <w:tcW w:w="0" w:type="auto"/>
          </w:tcPr>
          <w:p>
            <w:pPr>
              <w:spacing w:line="240" w:lineRule="auto" w:before="0" w:after="0"/>
              <w:pStyle w:val="Compact"/>
            </w:pPr>
            <w:r>
              <w:rPr>
                <w:sz w:val="20"/>
                <w:szCs w:val="20"/>
              </w:rPr>
              <w:t xml:space="preserve">0.0656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4.1271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1200_1300_sso_polar</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1300</w:t>
            </w:r>
          </w:p>
        </w:tc>
        <w:tc>
          <w:tcPr>
            <w:tcW w:w="0" w:type="auto"/>
          </w:tcPr>
          <w:p>
            <w:pPr>
              <w:spacing w:line="240" w:lineRule="auto" w:before="0" w:after="0"/>
              <w:pStyle w:val="Compact"/>
            </w:pPr>
            <w:r>
              <w:rPr>
                <w:sz w:val="20"/>
                <w:szCs w:val="20"/>
              </w:rPr>
              <w:t xml:space="preserve">1250</w:t>
            </w:r>
          </w:p>
        </w:tc>
        <w:tc>
          <w:tcPr>
            <w:tcW w:w="0" w:type="auto"/>
          </w:tcPr>
          <w:p>
            <w:pPr>
              <w:spacing w:line="240" w:lineRule="auto" w:before="0" w:after="0"/>
              <w:pStyle w:val="Compact"/>
            </w:pPr>
            <w:r>
              <w:rPr>
                <w:sz w:val="20"/>
                <w:szCs w:val="20"/>
              </w:rPr>
              <w:t xml:space="preserve">sso_polar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669</w:t>
            </w:r>
          </w:p>
        </w:tc>
        <w:tc>
          <w:tcPr>
            <w:tcW w:w="0" w:type="auto"/>
          </w:tcPr>
          <w:p>
            <w:pPr>
              <w:spacing w:line="240" w:lineRule="auto" w:before="0" w:after="0"/>
              <w:pStyle w:val="Compact"/>
            </w:pPr>
            <w:r>
              <w:rPr>
                <w:sz w:val="20"/>
                <w:szCs w:val="20"/>
              </w:rPr>
              <w:t xml:space="preserve">347</w:t>
            </w:r>
          </w:p>
        </w:tc>
        <w:tc>
          <w:tcPr>
            <w:tcW w:w="0" w:type="auto"/>
          </w:tcPr>
          <w:p>
            <w:pPr>
              <w:spacing w:line="240" w:lineRule="auto" w:before="0" w:after="0"/>
              <w:pStyle w:val="Compact"/>
            </w:pPr>
            <w:r>
              <w:rPr>
                <w:sz w:val="20"/>
                <w:szCs w:val="20"/>
              </w:rPr>
              <w:t xml:space="preserve">317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339</w:t>
            </w:r>
          </w:p>
        </w:tc>
        <w:tc>
          <w:tcPr>
            <w:tcW w:w="0" w:type="auto"/>
          </w:tcPr>
          <w:p>
            <w:pPr>
              <w:spacing w:line="240" w:lineRule="auto" w:before="0" w:after="0"/>
              <w:pStyle w:val="Compact"/>
            </w:pPr>
            <w:r>
              <w:rPr>
                <w:sz w:val="20"/>
                <w:szCs w:val="20"/>
              </w:rPr>
              <w:t xml:space="preserve">0.4738</w:t>
            </w:r>
          </w:p>
        </w:tc>
        <w:tc>
          <w:tcPr>
            <w:tcW w:w="0" w:type="auto"/>
          </w:tcPr>
          <w:p>
            <w:pPr>
              <w:spacing w:line="240" w:lineRule="auto" w:before="0" w:after="0"/>
              <w:pStyle w:val="Compact"/>
            </w:pPr>
            <w:r>
              <w:rPr>
                <w:sz w:val="20"/>
                <w:szCs w:val="20"/>
              </w:rPr>
              <w:t xml:space="preserve">0.5187</w:t>
            </w:r>
          </w:p>
        </w:tc>
        <w:tc>
          <w:tcPr>
            <w:tcW w:w="0" w:type="auto"/>
          </w:tcPr>
          <w:p>
            <w:pPr>
              <w:spacing w:line="240" w:lineRule="auto" w:before="0" w:after="0"/>
              <w:pStyle w:val="Compact"/>
            </w:pPr>
            <w:r>
              <w:rPr>
                <w:sz w:val="20"/>
                <w:szCs w:val="20"/>
              </w:rPr>
              <w:t xml:space="preserve">0.5067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6.5073</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1200_1300_retrograde_high</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1300</w:t>
            </w:r>
          </w:p>
        </w:tc>
        <w:tc>
          <w:tcPr>
            <w:tcW w:w="0" w:type="auto"/>
          </w:tcPr>
          <w:p>
            <w:pPr>
              <w:spacing w:line="240" w:lineRule="auto" w:before="0" w:after="0"/>
              <w:pStyle w:val="Compact"/>
            </w:pPr>
            <w:r>
              <w:rPr>
                <w:sz w:val="20"/>
                <w:szCs w:val="20"/>
              </w:rPr>
              <w:t xml:space="preserve">1250</w:t>
            </w:r>
          </w:p>
        </w:tc>
        <w:tc>
          <w:tcPr>
            <w:tcW w:w="0" w:type="auto"/>
          </w:tcPr>
          <w:p>
            <w:pPr>
              <w:spacing w:line="240" w:lineRule="auto" w:before="0" w:after="0"/>
              <w:pStyle w:val="Compact"/>
            </w:pPr>
            <w:r>
              <w:rPr>
                <w:sz w:val="20"/>
                <w:szCs w:val="20"/>
              </w:rPr>
              <w:t xml:space="preserve">retrograde_high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1300_1400_equatorial</w:t>
            </w:r>
          </w:p>
        </w:tc>
        <w:tc>
          <w:tcPr>
            <w:tcW w:w="0" w:type="auto"/>
          </w:tcPr>
          <w:p>
            <w:pPr>
              <w:spacing w:line="240" w:lineRule="auto" w:before="0" w:after="0"/>
              <w:pStyle w:val="Compact"/>
            </w:pPr>
            <w:r>
              <w:rPr>
                <w:sz w:val="20"/>
                <w:szCs w:val="20"/>
              </w:rPr>
              <w:t xml:space="preserve">1300</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1350</w:t>
            </w:r>
          </w:p>
        </w:tc>
        <w:tc>
          <w:tcPr>
            <w:tcW w:w="0" w:type="auto"/>
          </w:tcPr>
          <w:p>
            <w:pPr>
              <w:spacing w:line="240" w:lineRule="auto" w:before="0" w:after="0"/>
              <w:pStyle w:val="Compact"/>
            </w:pPr>
            <w:r>
              <w:rPr>
                <w:sz w:val="20"/>
                <w:szCs w:val="20"/>
              </w:rPr>
              <w:t xml:space="preserve">equatorial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0.8333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1.9459</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1300_1400_mid_inclination</w:t>
            </w:r>
          </w:p>
        </w:tc>
        <w:tc>
          <w:tcPr>
            <w:tcW w:w="0" w:type="auto"/>
          </w:tcPr>
          <w:p>
            <w:pPr>
              <w:spacing w:line="240" w:lineRule="auto" w:before="0" w:after="0"/>
              <w:pStyle w:val="Compact"/>
            </w:pPr>
            <w:r>
              <w:rPr>
                <w:sz w:val="20"/>
                <w:szCs w:val="20"/>
              </w:rPr>
              <w:t xml:space="preserve">1300</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1350</w:t>
            </w:r>
          </w:p>
        </w:tc>
        <w:tc>
          <w:tcPr>
            <w:tcW w:w="0" w:type="auto"/>
          </w:tcPr>
          <w:p>
            <w:pPr>
              <w:spacing w:line="240" w:lineRule="auto" w:before="0" w:after="0"/>
              <w:pStyle w:val="Compact"/>
            </w:pPr>
            <w:r>
              <w:rPr>
                <w:sz w:val="20"/>
                <w:szCs w:val="20"/>
              </w:rPr>
              <w:t xml:space="preserve">mid_inclination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0.7231</w:t>
            </w:r>
          </w:p>
        </w:tc>
        <w:tc>
          <w:tcPr>
            <w:tcW w:w="0" w:type="auto"/>
          </w:tcPr>
          <w:p>
            <w:pPr>
              <w:spacing w:line="240" w:lineRule="auto" w:before="0" w:after="0"/>
              <w:pStyle w:val="Compact"/>
            </w:pPr>
            <w:r>
              <w:rPr>
                <w:sz w:val="20"/>
                <w:szCs w:val="20"/>
              </w:rPr>
              <w:t xml:space="preserve">0.2308</w:t>
            </w:r>
          </w:p>
        </w:tc>
        <w:tc>
          <w:tcPr>
            <w:tcW w:w="0" w:type="auto"/>
          </w:tcPr>
          <w:p>
            <w:pPr>
              <w:spacing w:line="240" w:lineRule="auto" w:before="0" w:after="0"/>
              <w:pStyle w:val="Compact"/>
            </w:pPr>
            <w:r>
              <w:rPr>
                <w:sz w:val="20"/>
                <w:szCs w:val="20"/>
              </w:rPr>
              <w:t xml:space="preserve">0.0462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4.1897</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1300_1400_sso_polar</w:t>
            </w:r>
          </w:p>
        </w:tc>
        <w:tc>
          <w:tcPr>
            <w:tcW w:w="0" w:type="auto"/>
          </w:tcPr>
          <w:p>
            <w:pPr>
              <w:spacing w:line="240" w:lineRule="auto" w:before="0" w:after="0"/>
              <w:pStyle w:val="Compact"/>
            </w:pPr>
            <w:r>
              <w:rPr>
                <w:sz w:val="20"/>
                <w:szCs w:val="20"/>
              </w:rPr>
              <w:t xml:space="preserve">1300</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1350</w:t>
            </w:r>
          </w:p>
        </w:tc>
        <w:tc>
          <w:tcPr>
            <w:tcW w:w="0" w:type="auto"/>
          </w:tcPr>
          <w:p>
            <w:pPr>
              <w:spacing w:line="240" w:lineRule="auto" w:before="0" w:after="0"/>
              <w:pStyle w:val="Compact"/>
            </w:pPr>
            <w:r>
              <w:rPr>
                <w:sz w:val="20"/>
                <w:szCs w:val="20"/>
              </w:rPr>
              <w:t xml:space="preserve">sso_polar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243</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184</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0.7572</w:t>
            </w:r>
          </w:p>
        </w:tc>
        <w:tc>
          <w:tcPr>
            <w:tcW w:w="0" w:type="auto"/>
          </w:tcPr>
          <w:p>
            <w:pPr>
              <w:spacing w:line="240" w:lineRule="auto" w:before="0" w:after="0"/>
              <w:pStyle w:val="Compact"/>
            </w:pPr>
            <w:r>
              <w:rPr>
                <w:sz w:val="20"/>
                <w:szCs w:val="20"/>
              </w:rPr>
              <w:t xml:space="preserve">0.144</w:t>
            </w:r>
          </w:p>
        </w:tc>
        <w:tc>
          <w:tcPr>
            <w:tcW w:w="0" w:type="auto"/>
          </w:tcPr>
          <w:p>
            <w:pPr>
              <w:spacing w:line="240" w:lineRule="auto" w:before="0" w:after="0"/>
              <w:pStyle w:val="Compact"/>
            </w:pPr>
            <w:r>
              <w:rPr>
                <w:sz w:val="20"/>
                <w:szCs w:val="20"/>
              </w:rPr>
              <w:t xml:space="preserve">0.0041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5.4972</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1300_1400_retrograde_high</w:t>
            </w:r>
          </w:p>
        </w:tc>
        <w:tc>
          <w:tcPr>
            <w:tcW w:w="0" w:type="auto"/>
          </w:tcPr>
          <w:p>
            <w:pPr>
              <w:spacing w:line="240" w:lineRule="auto" w:before="0" w:after="0"/>
              <w:pStyle w:val="Compact"/>
            </w:pPr>
            <w:r>
              <w:rPr>
                <w:sz w:val="20"/>
                <w:szCs w:val="20"/>
              </w:rPr>
              <w:t xml:space="preserve">1300</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1350</w:t>
            </w:r>
          </w:p>
        </w:tc>
        <w:tc>
          <w:tcPr>
            <w:tcW w:w="0" w:type="auto"/>
          </w:tcPr>
          <w:p>
            <w:pPr>
              <w:spacing w:line="240" w:lineRule="auto" w:before="0" w:after="0"/>
              <w:pStyle w:val="Compact"/>
            </w:pPr>
            <w:r>
              <w:rPr>
                <w:sz w:val="20"/>
                <w:szCs w:val="20"/>
              </w:rPr>
              <w:t xml:space="preserve">retrograde_high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1400_1500_equatorial</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1450</w:t>
            </w:r>
          </w:p>
        </w:tc>
        <w:tc>
          <w:tcPr>
            <w:tcW w:w="0" w:type="auto"/>
          </w:tcPr>
          <w:p>
            <w:pPr>
              <w:spacing w:line="240" w:lineRule="auto" w:before="0" w:after="0"/>
              <w:pStyle w:val="Compact"/>
            </w:pPr>
            <w:r>
              <w:rPr>
                <w:sz w:val="20"/>
                <w:szCs w:val="20"/>
              </w:rPr>
              <w:t xml:space="preserve">equatorial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0.5714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2.0794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1400_1500_mid_inclination</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1450</w:t>
            </w:r>
          </w:p>
        </w:tc>
        <w:tc>
          <w:tcPr>
            <w:tcW w:w="0" w:type="auto"/>
          </w:tcPr>
          <w:p>
            <w:pPr>
              <w:spacing w:line="240" w:lineRule="auto" w:before="0" w:after="0"/>
              <w:pStyle w:val="Compact"/>
            </w:pPr>
            <w:r>
              <w:rPr>
                <w:sz w:val="20"/>
                <w:szCs w:val="20"/>
              </w:rPr>
              <w:t xml:space="preserve">mid_inclination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111</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0.5856</w:t>
            </w:r>
          </w:p>
        </w:tc>
        <w:tc>
          <w:tcPr>
            <w:tcW w:w="0" w:type="auto"/>
          </w:tcPr>
          <w:p>
            <w:pPr>
              <w:spacing w:line="240" w:lineRule="auto" w:before="0" w:after="0"/>
              <w:pStyle w:val="Compact"/>
            </w:pPr>
            <w:r>
              <w:rPr>
                <w:sz w:val="20"/>
                <w:szCs w:val="20"/>
              </w:rPr>
              <w:t xml:space="preserve">0.4054</w:t>
            </w:r>
          </w:p>
        </w:tc>
        <w:tc>
          <w:tcPr>
            <w:tcW w:w="0" w:type="auto"/>
          </w:tcPr>
          <w:p>
            <w:pPr>
              <w:spacing w:line="240" w:lineRule="auto" w:before="0" w:after="0"/>
              <w:pStyle w:val="Compact"/>
            </w:pPr>
            <w:r>
              <w:rPr>
                <w:sz w:val="20"/>
                <w:szCs w:val="20"/>
              </w:rPr>
              <w:t xml:space="preserve">0.2432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4.7185</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1400_1500_sso_polar</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1450</w:t>
            </w:r>
          </w:p>
        </w:tc>
        <w:tc>
          <w:tcPr>
            <w:tcW w:w="0" w:type="auto"/>
          </w:tcPr>
          <w:p>
            <w:pPr>
              <w:spacing w:line="240" w:lineRule="auto" w:before="0" w:after="0"/>
              <w:pStyle w:val="Compact"/>
            </w:pPr>
            <w:r>
              <w:rPr>
                <w:sz w:val="20"/>
                <w:szCs w:val="20"/>
              </w:rPr>
              <w:t xml:space="preserve">sso_polar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844</w:t>
            </w:r>
          </w:p>
        </w:tc>
        <w:tc>
          <w:tcPr>
            <w:tcW w:w="0" w:type="auto"/>
          </w:tcPr>
          <w:p>
            <w:pPr>
              <w:spacing w:line="240" w:lineRule="auto" w:before="0" w:after="0"/>
              <w:pStyle w:val="Compact"/>
            </w:pPr>
            <w:r>
              <w:rPr>
                <w:sz w:val="20"/>
                <w:szCs w:val="20"/>
              </w:rPr>
              <w:t xml:space="preserve">521</w:t>
            </w:r>
          </w:p>
        </w:tc>
        <w:tc>
          <w:tcPr>
            <w:tcW w:w="0" w:type="auto"/>
          </w:tcPr>
          <w:p>
            <w:pPr>
              <w:spacing w:line="240" w:lineRule="auto" w:before="0" w:after="0"/>
              <w:pStyle w:val="Compact"/>
            </w:pPr>
            <w:r>
              <w:rPr>
                <w:sz w:val="20"/>
                <w:szCs w:val="20"/>
              </w:rPr>
              <w:t xml:space="preserve">279</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0.3306</w:t>
            </w:r>
          </w:p>
        </w:tc>
        <w:tc>
          <w:tcPr>
            <w:tcW w:w="0" w:type="auto"/>
          </w:tcPr>
          <w:p>
            <w:pPr>
              <w:spacing w:line="240" w:lineRule="auto" w:before="0" w:after="0"/>
              <w:pStyle w:val="Compact"/>
            </w:pPr>
            <w:r>
              <w:rPr>
                <w:sz w:val="20"/>
                <w:szCs w:val="20"/>
              </w:rPr>
              <w:t xml:space="preserve">0.6173</w:t>
            </w:r>
          </w:p>
        </w:tc>
        <w:tc>
          <w:tcPr>
            <w:tcW w:w="0" w:type="auto"/>
          </w:tcPr>
          <w:p>
            <w:pPr>
              <w:spacing w:line="240" w:lineRule="auto" w:before="0" w:after="0"/>
              <w:pStyle w:val="Compact"/>
            </w:pPr>
            <w:r>
              <w:rPr>
                <w:sz w:val="20"/>
                <w:szCs w:val="20"/>
              </w:rPr>
              <w:t xml:space="preserve">0.0735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6.7393</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1400_1500_retrograde_high</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1450</w:t>
            </w:r>
          </w:p>
        </w:tc>
        <w:tc>
          <w:tcPr>
            <w:tcW w:w="0" w:type="auto"/>
          </w:tcPr>
          <w:p>
            <w:pPr>
              <w:spacing w:line="240" w:lineRule="auto" w:before="0" w:after="0"/>
              <w:pStyle w:val="Compact"/>
            </w:pPr>
            <w:r>
              <w:rPr>
                <w:sz w:val="20"/>
                <w:szCs w:val="20"/>
              </w:rPr>
              <w:t xml:space="preserve">retrograde_high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1500_1600_equatorial</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equatorial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0.3333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1500_1600_mid_inclination</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mid_inclination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0.6974</w:t>
            </w:r>
          </w:p>
        </w:tc>
        <w:tc>
          <w:tcPr>
            <w:tcW w:w="0" w:type="auto"/>
          </w:tcPr>
          <w:p>
            <w:pPr>
              <w:spacing w:line="240" w:lineRule="auto" w:before="0" w:after="0"/>
              <w:pStyle w:val="Compact"/>
            </w:pPr>
            <w:r>
              <w:rPr>
                <w:sz w:val="20"/>
                <w:szCs w:val="20"/>
              </w:rPr>
              <w:t xml:space="preserve">0.2237</w:t>
            </w:r>
          </w:p>
        </w:tc>
        <w:tc>
          <w:tcPr>
            <w:tcW w:w="0" w:type="auto"/>
          </w:tcPr>
          <w:p>
            <w:pPr>
              <w:spacing w:line="240" w:lineRule="auto" w:before="0" w:after="0"/>
              <w:pStyle w:val="Compact"/>
            </w:pPr>
            <w:r>
              <w:rPr>
                <w:sz w:val="20"/>
                <w:szCs w:val="20"/>
              </w:rPr>
              <w:t xml:space="preserve">0.0263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4.3438</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1500_1600_sso_polar</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sso_polar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414</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0.7246</w:t>
            </w:r>
          </w:p>
        </w:tc>
        <w:tc>
          <w:tcPr>
            <w:tcW w:w="0" w:type="auto"/>
          </w:tcPr>
          <w:p>
            <w:pPr>
              <w:spacing w:line="240" w:lineRule="auto" w:before="0" w:after="0"/>
              <w:pStyle w:val="Compact"/>
            </w:pPr>
            <w:r>
              <w:rPr>
                <w:sz w:val="20"/>
                <w:szCs w:val="20"/>
              </w:rPr>
              <w:t xml:space="preserve">0.1377</w:t>
            </w:r>
          </w:p>
        </w:tc>
        <w:tc>
          <w:tcPr>
            <w:tcW w:w="0" w:type="auto"/>
          </w:tcPr>
          <w:p>
            <w:pPr>
              <w:spacing w:line="240" w:lineRule="auto" w:before="0" w:after="0"/>
              <w:pStyle w:val="Compact"/>
            </w:pPr>
            <w:r>
              <w:rPr>
                <w:sz w:val="20"/>
                <w:szCs w:val="20"/>
              </w:rPr>
              <w:t xml:space="preserve">0.0072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6.0283</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1500_1600_retrograde_high</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retrograde_high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1600_1700_equatorial</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1700</w:t>
            </w:r>
          </w:p>
        </w:tc>
        <w:tc>
          <w:tcPr>
            <w:tcW w:w="0" w:type="auto"/>
          </w:tcPr>
          <w:p>
            <w:pPr>
              <w:spacing w:line="240" w:lineRule="auto" w:before="0" w:after="0"/>
              <w:pStyle w:val="Compact"/>
            </w:pPr>
            <w:r>
              <w:rPr>
                <w:sz w:val="20"/>
                <w:szCs w:val="20"/>
              </w:rPr>
              <w:t xml:space="preserve">1650</w:t>
            </w:r>
          </w:p>
        </w:tc>
        <w:tc>
          <w:tcPr>
            <w:tcW w:w="0" w:type="auto"/>
          </w:tcPr>
          <w:p>
            <w:pPr>
              <w:spacing w:line="240" w:lineRule="auto" w:before="0" w:after="0"/>
              <w:pStyle w:val="Compact"/>
            </w:pPr>
            <w:r>
              <w:rPr>
                <w:sz w:val="20"/>
                <w:szCs w:val="20"/>
              </w:rPr>
              <w:t xml:space="preserve">equatorial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1600_1700_mid_inclination</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1700</w:t>
            </w:r>
          </w:p>
        </w:tc>
        <w:tc>
          <w:tcPr>
            <w:tcW w:w="0" w:type="auto"/>
          </w:tcPr>
          <w:p>
            <w:pPr>
              <w:spacing w:line="240" w:lineRule="auto" w:before="0" w:after="0"/>
              <w:pStyle w:val="Compact"/>
            </w:pPr>
            <w:r>
              <w:rPr>
                <w:sz w:val="20"/>
                <w:szCs w:val="20"/>
              </w:rPr>
              <w:t xml:space="preserve">1650</w:t>
            </w:r>
          </w:p>
        </w:tc>
        <w:tc>
          <w:tcPr>
            <w:tcW w:w="0" w:type="auto"/>
          </w:tcPr>
          <w:p>
            <w:pPr>
              <w:spacing w:line="240" w:lineRule="auto" w:before="0" w:after="0"/>
              <w:pStyle w:val="Compact"/>
            </w:pPr>
            <w:r>
              <w:rPr>
                <w:sz w:val="20"/>
                <w:szCs w:val="20"/>
              </w:rPr>
              <w:t xml:space="preserve">mid_inclination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0.6444</w:t>
            </w:r>
          </w:p>
        </w:tc>
        <w:tc>
          <w:tcPr>
            <w:tcW w:w="0" w:type="auto"/>
          </w:tcPr>
          <w:p>
            <w:pPr>
              <w:spacing w:line="240" w:lineRule="auto" w:before="0" w:after="0"/>
              <w:pStyle w:val="Compact"/>
            </w:pPr>
            <w:r>
              <w:rPr>
                <w:sz w:val="20"/>
                <w:szCs w:val="20"/>
              </w:rPr>
              <w:t xml:space="preserve">0.3111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3.8286</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1600_1700_sso_polar</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1700</w:t>
            </w:r>
          </w:p>
        </w:tc>
        <w:tc>
          <w:tcPr>
            <w:tcW w:w="0" w:type="auto"/>
          </w:tcPr>
          <w:p>
            <w:pPr>
              <w:spacing w:line="240" w:lineRule="auto" w:before="0" w:after="0"/>
              <w:pStyle w:val="Compact"/>
            </w:pPr>
            <w:r>
              <w:rPr>
                <w:sz w:val="20"/>
                <w:szCs w:val="20"/>
              </w:rPr>
              <w:t xml:space="preserve">1650</w:t>
            </w:r>
          </w:p>
        </w:tc>
        <w:tc>
          <w:tcPr>
            <w:tcW w:w="0" w:type="auto"/>
          </w:tcPr>
          <w:p>
            <w:pPr>
              <w:spacing w:line="240" w:lineRule="auto" w:before="0" w:after="0"/>
              <w:pStyle w:val="Compact"/>
            </w:pPr>
            <w:r>
              <w:rPr>
                <w:sz w:val="20"/>
                <w:szCs w:val="20"/>
              </w:rPr>
              <w:t xml:space="preserve">sso_polar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0.8776</w:t>
            </w:r>
          </w:p>
        </w:tc>
        <w:tc>
          <w:tcPr>
            <w:tcW w:w="0" w:type="auto"/>
          </w:tcPr>
          <w:p>
            <w:pPr>
              <w:spacing w:line="240" w:lineRule="auto" w:before="0" w:after="0"/>
              <w:pStyle w:val="Compact"/>
            </w:pPr>
            <w:r>
              <w:rPr>
                <w:sz w:val="20"/>
                <w:szCs w:val="20"/>
              </w:rPr>
              <w:t xml:space="preserve">0.0816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4.9972</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1600_1700_retrograde_high</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1700</w:t>
            </w:r>
          </w:p>
        </w:tc>
        <w:tc>
          <w:tcPr>
            <w:tcW w:w="0" w:type="auto"/>
          </w:tcPr>
          <w:p>
            <w:pPr>
              <w:spacing w:line="240" w:lineRule="auto" w:before="0" w:after="0"/>
              <w:pStyle w:val="Compact"/>
            </w:pPr>
            <w:r>
              <w:rPr>
                <w:sz w:val="20"/>
                <w:szCs w:val="20"/>
              </w:rPr>
              <w:t xml:space="preserve">1650</w:t>
            </w:r>
          </w:p>
        </w:tc>
        <w:tc>
          <w:tcPr>
            <w:tcW w:w="0" w:type="auto"/>
          </w:tcPr>
          <w:p>
            <w:pPr>
              <w:spacing w:line="240" w:lineRule="auto" w:before="0" w:after="0"/>
              <w:pStyle w:val="Compact"/>
            </w:pPr>
            <w:r>
              <w:rPr>
                <w:sz w:val="20"/>
                <w:szCs w:val="20"/>
              </w:rPr>
              <w:t xml:space="preserve">retrograde_high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1700_1800_equatorial</w:t>
            </w:r>
          </w:p>
        </w:tc>
        <w:tc>
          <w:tcPr>
            <w:tcW w:w="0" w:type="auto"/>
          </w:tcPr>
          <w:p>
            <w:pPr>
              <w:spacing w:line="240" w:lineRule="auto" w:before="0" w:after="0"/>
              <w:pStyle w:val="Compact"/>
            </w:pPr>
            <w:r>
              <w:rPr>
                <w:sz w:val="20"/>
                <w:szCs w:val="20"/>
              </w:rPr>
              <w:t xml:space="preserve">1700</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1750</w:t>
            </w:r>
          </w:p>
        </w:tc>
        <w:tc>
          <w:tcPr>
            <w:tcW w:w="0" w:type="auto"/>
          </w:tcPr>
          <w:p>
            <w:pPr>
              <w:spacing w:line="240" w:lineRule="auto" w:before="0" w:after="0"/>
              <w:pStyle w:val="Compact"/>
            </w:pPr>
            <w:r>
              <w:rPr>
                <w:sz w:val="20"/>
                <w:szCs w:val="20"/>
              </w:rPr>
              <w:t xml:space="preserve">equatorial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0.3333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1700_1800_mid_inclination</w:t>
            </w:r>
          </w:p>
        </w:tc>
        <w:tc>
          <w:tcPr>
            <w:tcW w:w="0" w:type="auto"/>
          </w:tcPr>
          <w:p>
            <w:pPr>
              <w:spacing w:line="240" w:lineRule="auto" w:before="0" w:after="0"/>
              <w:pStyle w:val="Compact"/>
            </w:pPr>
            <w:r>
              <w:rPr>
                <w:sz w:val="20"/>
                <w:szCs w:val="20"/>
              </w:rPr>
              <w:t xml:space="preserve">1700</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1750</w:t>
            </w:r>
          </w:p>
        </w:tc>
        <w:tc>
          <w:tcPr>
            <w:tcW w:w="0" w:type="auto"/>
          </w:tcPr>
          <w:p>
            <w:pPr>
              <w:spacing w:line="240" w:lineRule="auto" w:before="0" w:after="0"/>
              <w:pStyle w:val="Compact"/>
            </w:pPr>
            <w:r>
              <w:rPr>
                <w:sz w:val="20"/>
                <w:szCs w:val="20"/>
              </w:rPr>
              <w:t xml:space="preserve">mid_inclination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0.7885</w:t>
            </w:r>
          </w:p>
        </w:tc>
        <w:tc>
          <w:tcPr>
            <w:tcW w:w="0" w:type="auto"/>
          </w:tcPr>
          <w:p>
            <w:pPr>
              <w:spacing w:line="240" w:lineRule="auto" w:before="0" w:after="0"/>
              <w:pStyle w:val="Compact"/>
            </w:pPr>
            <w:r>
              <w:rPr>
                <w:sz w:val="20"/>
                <w:szCs w:val="20"/>
              </w:rPr>
              <w:t xml:space="preserve">0.1923</w:t>
            </w:r>
          </w:p>
        </w:tc>
        <w:tc>
          <w:tcPr>
            <w:tcW w:w="0" w:type="auto"/>
          </w:tcPr>
          <w:p>
            <w:pPr>
              <w:spacing w:line="240" w:lineRule="auto" w:before="0" w:after="0"/>
              <w:pStyle w:val="Compact"/>
            </w:pPr>
            <w:r>
              <w:rPr>
                <w:sz w:val="20"/>
                <w:szCs w:val="20"/>
              </w:rPr>
              <w:t xml:space="preserve">0.0192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3.9703</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1700_1800_sso_polar</w:t>
            </w:r>
          </w:p>
        </w:tc>
        <w:tc>
          <w:tcPr>
            <w:tcW w:w="0" w:type="auto"/>
          </w:tcPr>
          <w:p>
            <w:pPr>
              <w:spacing w:line="240" w:lineRule="auto" w:before="0" w:after="0"/>
              <w:pStyle w:val="Compact"/>
            </w:pPr>
            <w:r>
              <w:rPr>
                <w:sz w:val="20"/>
                <w:szCs w:val="20"/>
              </w:rPr>
              <w:t xml:space="preserve">1700</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1750</w:t>
            </w:r>
          </w:p>
        </w:tc>
        <w:tc>
          <w:tcPr>
            <w:tcW w:w="0" w:type="auto"/>
          </w:tcPr>
          <w:p>
            <w:pPr>
              <w:spacing w:line="240" w:lineRule="auto" w:before="0" w:after="0"/>
              <w:pStyle w:val="Compact"/>
            </w:pPr>
            <w:r>
              <w:rPr>
                <w:sz w:val="20"/>
                <w:szCs w:val="20"/>
              </w:rPr>
              <w:t xml:space="preserve">sso_polar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0.9394</w:t>
            </w:r>
          </w:p>
        </w:tc>
        <w:tc>
          <w:tcPr>
            <w:tcW w:w="0" w:type="auto"/>
          </w:tcPr>
          <w:p>
            <w:pPr>
              <w:spacing w:line="240" w:lineRule="auto" w:before="0" w:after="0"/>
              <w:pStyle w:val="Compact"/>
            </w:pPr>
            <w:r>
              <w:rPr>
                <w:sz w:val="20"/>
                <w:szCs w:val="20"/>
              </w:rPr>
              <w:t xml:space="preserve">0.0303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3.5264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1700_1800_retrograde_high</w:t>
            </w:r>
          </w:p>
        </w:tc>
        <w:tc>
          <w:tcPr>
            <w:tcW w:w="0" w:type="auto"/>
          </w:tcPr>
          <w:p>
            <w:pPr>
              <w:spacing w:line="240" w:lineRule="auto" w:before="0" w:after="0"/>
              <w:pStyle w:val="Compact"/>
            </w:pPr>
            <w:r>
              <w:rPr>
                <w:sz w:val="20"/>
                <w:szCs w:val="20"/>
              </w:rPr>
              <w:t xml:space="preserve">1700</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1750</w:t>
            </w:r>
          </w:p>
        </w:tc>
        <w:tc>
          <w:tcPr>
            <w:tcW w:w="0" w:type="auto"/>
          </w:tcPr>
          <w:p>
            <w:pPr>
              <w:spacing w:line="240" w:lineRule="auto" w:before="0" w:after="0"/>
              <w:pStyle w:val="Compact"/>
            </w:pPr>
            <w:r>
              <w:rPr>
                <w:sz w:val="20"/>
                <w:szCs w:val="20"/>
              </w:rPr>
              <w:t xml:space="preserve">retrograde_high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1800_1900_equatorial</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1900</w:t>
            </w:r>
          </w:p>
        </w:tc>
        <w:tc>
          <w:tcPr>
            <w:tcW w:w="0" w:type="auto"/>
          </w:tcPr>
          <w:p>
            <w:pPr>
              <w:spacing w:line="240" w:lineRule="auto" w:before="0" w:after="0"/>
              <w:pStyle w:val="Compact"/>
            </w:pPr>
            <w:r>
              <w:rPr>
                <w:sz w:val="20"/>
                <w:szCs w:val="20"/>
              </w:rPr>
              <w:t xml:space="preserve">1850</w:t>
            </w:r>
          </w:p>
        </w:tc>
        <w:tc>
          <w:tcPr>
            <w:tcW w:w="0" w:type="auto"/>
          </w:tcPr>
          <w:p>
            <w:pPr>
              <w:spacing w:line="240" w:lineRule="auto" w:before="0" w:after="0"/>
              <w:pStyle w:val="Compact"/>
            </w:pPr>
            <w:r>
              <w:rPr>
                <w:sz w:val="20"/>
                <w:szCs w:val="20"/>
              </w:rPr>
              <w:t xml:space="preserve">equatorial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1800_1900_mid_inclination</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1900</w:t>
            </w:r>
          </w:p>
        </w:tc>
        <w:tc>
          <w:tcPr>
            <w:tcW w:w="0" w:type="auto"/>
          </w:tcPr>
          <w:p>
            <w:pPr>
              <w:spacing w:line="240" w:lineRule="auto" w:before="0" w:after="0"/>
              <w:pStyle w:val="Compact"/>
            </w:pPr>
            <w:r>
              <w:rPr>
                <w:sz w:val="20"/>
                <w:szCs w:val="20"/>
              </w:rPr>
              <w:t xml:space="preserve">1850</w:t>
            </w:r>
          </w:p>
        </w:tc>
        <w:tc>
          <w:tcPr>
            <w:tcW w:w="0" w:type="auto"/>
          </w:tcPr>
          <w:p>
            <w:pPr>
              <w:spacing w:line="240" w:lineRule="auto" w:before="0" w:after="0"/>
              <w:pStyle w:val="Compact"/>
            </w:pPr>
            <w:r>
              <w:rPr>
                <w:sz w:val="20"/>
                <w:szCs w:val="20"/>
              </w:rPr>
              <w:t xml:space="preserve">mid_inclination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0.6667</w:t>
            </w:r>
          </w:p>
        </w:tc>
        <w:tc>
          <w:tcPr>
            <w:tcW w:w="0" w:type="auto"/>
          </w:tcPr>
          <w:p>
            <w:pPr>
              <w:spacing w:line="240" w:lineRule="auto" w:before="0" w:after="0"/>
              <w:pStyle w:val="Compact"/>
            </w:pPr>
            <w:r>
              <w:rPr>
                <w:sz w:val="20"/>
                <w:szCs w:val="20"/>
              </w:rPr>
              <w:t xml:space="preserve">0.3333</w:t>
            </w:r>
          </w:p>
        </w:tc>
        <w:tc>
          <w:tcPr>
            <w:tcW w:w="0" w:type="auto"/>
          </w:tcPr>
          <w:p>
            <w:pPr>
              <w:spacing w:line="240" w:lineRule="auto" w:before="0" w:after="0"/>
              <w:pStyle w:val="Compact"/>
            </w:pPr>
            <w:r>
              <w:rPr>
                <w:sz w:val="20"/>
                <w:szCs w:val="20"/>
              </w:rPr>
              <w:t xml:space="preserve">0.0556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2.9444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1800_1900_sso_polar</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1900</w:t>
            </w:r>
          </w:p>
        </w:tc>
        <w:tc>
          <w:tcPr>
            <w:tcW w:w="0" w:type="auto"/>
          </w:tcPr>
          <w:p>
            <w:pPr>
              <w:spacing w:line="240" w:lineRule="auto" w:before="0" w:after="0"/>
              <w:pStyle w:val="Compact"/>
            </w:pPr>
            <w:r>
              <w:rPr>
                <w:sz w:val="20"/>
                <w:szCs w:val="20"/>
              </w:rPr>
              <w:t xml:space="preserve">1850</w:t>
            </w:r>
          </w:p>
        </w:tc>
        <w:tc>
          <w:tcPr>
            <w:tcW w:w="0" w:type="auto"/>
          </w:tcPr>
          <w:p>
            <w:pPr>
              <w:spacing w:line="240" w:lineRule="auto" w:before="0" w:after="0"/>
              <w:pStyle w:val="Compact"/>
            </w:pPr>
            <w:r>
              <w:rPr>
                <w:sz w:val="20"/>
                <w:szCs w:val="20"/>
              </w:rPr>
              <w:t xml:space="preserve">sso_polar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3.091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1800_1900_retrograde_high</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1900</w:t>
            </w:r>
          </w:p>
        </w:tc>
        <w:tc>
          <w:tcPr>
            <w:tcW w:w="0" w:type="auto"/>
          </w:tcPr>
          <w:p>
            <w:pPr>
              <w:spacing w:line="240" w:lineRule="auto" w:before="0" w:after="0"/>
              <w:pStyle w:val="Compact"/>
            </w:pPr>
            <w:r>
              <w:rPr>
                <w:sz w:val="20"/>
                <w:szCs w:val="20"/>
              </w:rPr>
              <w:t xml:space="preserve">1850</w:t>
            </w:r>
          </w:p>
        </w:tc>
        <w:tc>
          <w:tcPr>
            <w:tcW w:w="0" w:type="auto"/>
          </w:tcPr>
          <w:p>
            <w:pPr>
              <w:spacing w:line="240" w:lineRule="auto" w:before="0" w:after="0"/>
              <w:pStyle w:val="Compact"/>
            </w:pPr>
            <w:r>
              <w:rPr>
                <w:sz w:val="20"/>
                <w:szCs w:val="20"/>
              </w:rPr>
              <w:t xml:space="preserve">retrograde_high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1900_2000_equatorial</w:t>
            </w:r>
          </w:p>
        </w:tc>
        <w:tc>
          <w:tcPr>
            <w:tcW w:w="0" w:type="auto"/>
          </w:tcPr>
          <w:p>
            <w:pPr>
              <w:spacing w:line="240" w:lineRule="auto" w:before="0" w:after="0"/>
              <w:pStyle w:val="Compact"/>
            </w:pPr>
            <w:r>
              <w:rPr>
                <w:sz w:val="20"/>
                <w:szCs w:val="20"/>
              </w:rPr>
              <w:t xml:space="preserve">1900</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1950</w:t>
            </w:r>
          </w:p>
        </w:tc>
        <w:tc>
          <w:tcPr>
            <w:tcW w:w="0" w:type="auto"/>
          </w:tcPr>
          <w:p>
            <w:pPr>
              <w:spacing w:line="240" w:lineRule="auto" w:before="0" w:after="0"/>
              <w:pStyle w:val="Compact"/>
            </w:pPr>
            <w:r>
              <w:rPr>
                <w:sz w:val="20"/>
                <w:szCs w:val="20"/>
              </w:rPr>
              <w:t xml:space="preserve">equatorial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1900_2000_mid_inclination</w:t>
            </w:r>
          </w:p>
        </w:tc>
        <w:tc>
          <w:tcPr>
            <w:tcW w:w="0" w:type="auto"/>
          </w:tcPr>
          <w:p>
            <w:pPr>
              <w:spacing w:line="240" w:lineRule="auto" w:before="0" w:after="0"/>
              <w:pStyle w:val="Compact"/>
            </w:pPr>
            <w:r>
              <w:rPr>
                <w:sz w:val="20"/>
                <w:szCs w:val="20"/>
              </w:rPr>
              <w:t xml:space="preserve">1900</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1950</w:t>
            </w:r>
          </w:p>
        </w:tc>
        <w:tc>
          <w:tcPr>
            <w:tcW w:w="0" w:type="auto"/>
          </w:tcPr>
          <w:p>
            <w:pPr>
              <w:spacing w:line="240" w:lineRule="auto" w:before="0" w:after="0"/>
              <w:pStyle w:val="Compact"/>
            </w:pPr>
            <w:r>
              <w:rPr>
                <w:sz w:val="20"/>
                <w:szCs w:val="20"/>
              </w:rPr>
              <w:t xml:space="preserve">mid_inclination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0.7692</w:t>
            </w:r>
          </w:p>
        </w:tc>
        <w:tc>
          <w:tcPr>
            <w:tcW w:w="0" w:type="auto"/>
          </w:tcPr>
          <w:p>
            <w:pPr>
              <w:spacing w:line="240" w:lineRule="auto" w:before="0" w:after="0"/>
              <w:pStyle w:val="Compact"/>
            </w:pPr>
            <w:r>
              <w:rPr>
                <w:sz w:val="20"/>
                <w:szCs w:val="20"/>
              </w:rPr>
              <w:t xml:space="preserve">0.1923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3.2958</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1900_2000_sso_polar</w:t>
            </w:r>
          </w:p>
        </w:tc>
        <w:tc>
          <w:tcPr>
            <w:tcW w:w="0" w:type="auto"/>
          </w:tcPr>
          <w:p>
            <w:pPr>
              <w:spacing w:line="240" w:lineRule="auto" w:before="0" w:after="0"/>
              <w:pStyle w:val="Compact"/>
            </w:pPr>
            <w:r>
              <w:rPr>
                <w:sz w:val="20"/>
                <w:szCs w:val="20"/>
              </w:rPr>
              <w:t xml:space="preserve">1900</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1950</w:t>
            </w:r>
          </w:p>
        </w:tc>
        <w:tc>
          <w:tcPr>
            <w:tcW w:w="0" w:type="auto"/>
          </w:tcPr>
          <w:p>
            <w:pPr>
              <w:spacing w:line="240" w:lineRule="auto" w:before="0" w:after="0"/>
              <w:pStyle w:val="Compact"/>
            </w:pPr>
            <w:r>
              <w:rPr>
                <w:sz w:val="20"/>
                <w:szCs w:val="20"/>
              </w:rPr>
              <w:t xml:space="preserve">sso_polar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0.9286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2.7081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1900_2000_retrograde_high</w:t>
            </w:r>
          </w:p>
        </w:tc>
        <w:tc>
          <w:tcPr>
            <w:tcW w:w="0" w:type="auto"/>
          </w:tcPr>
          <w:p>
            <w:pPr>
              <w:spacing w:line="240" w:lineRule="auto" w:before="0" w:after="0"/>
              <w:pStyle w:val="Compact"/>
            </w:pPr>
            <w:r>
              <w:rPr>
                <w:sz w:val="20"/>
                <w:szCs w:val="20"/>
              </w:rPr>
              <w:t xml:space="preserve">1900</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1950</w:t>
            </w:r>
          </w:p>
        </w:tc>
        <w:tc>
          <w:tcPr>
            <w:tcW w:w="0" w:type="auto"/>
          </w:tcPr>
          <w:p>
            <w:pPr>
              <w:spacing w:line="240" w:lineRule="auto" w:before="0" w:after="0"/>
              <w:pStyle w:val="Compact"/>
            </w:pPr>
            <w:r>
              <w:rPr>
                <w:sz w:val="20"/>
                <w:szCs w:val="20"/>
              </w:rPr>
              <w:t xml:space="preserve">retrograde_high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bl>
    <w:bookmarkEnd w:id="185"/>
    <w:bookmarkStart w:id="186"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log_count_plus_one</w:t>
            </w:r>
          </w:p>
        </w:tc>
        <w:tc>
          <w:tcPr>
            <w:tcW w:w="0" w:type="auto"/>
          </w:tcPr>
          <w:p>
            <w:pPr>
              <w:spacing w:line="240" w:lineRule="auto" w:before="0" w:after="0"/>
              <w:pStyle w:val="Compact"/>
            </w:pPr>
            <w:r>
              <w:rPr>
                <w:sz w:val="20"/>
                <w:szCs w:val="20"/>
              </w:rPr>
              <w:t xml:space="preserve">Natural log of one plus tracked non-decayed Earth-orbit objects in the shell and inclination bin</w:t>
            </w:r>
          </w:p>
        </w:tc>
        <w:tc>
          <w:tcPr>
            <w:tcW w:w="0" w:type="auto"/>
          </w:tcPr>
          <w:p>
            <w:pPr>
              <w:spacing w:line="240" w:lineRule="auto" w:before="0" w:after="0"/>
              <w:pStyle w:val="Compact"/>
            </w:pPr>
            <w:r>
              <w:rPr>
                <w:sz w:val="20"/>
                <w:szCs w:val="20"/>
              </w:rPr>
              <w:t xml:space="preserve">Computed from CelesTrak SATCAT rows with ORBIT_CENTER EA, blank DECAY_DATE, mean altitude 200 to 2000 km</w:t>
            </w:r>
          </w:p>
        </w:tc>
      </w:tr>
      <w:tr>
        <w:tc>
          <w:tcPr>
            <w:tcW w:w="0" w:type="auto"/>
          </w:tcPr>
          <w:p>
            <w:pPr>
              <w:spacing w:line="240" w:lineRule="auto" w:before="0" w:after="0"/>
              <w:pStyle w:val="Compact"/>
            </w:pPr>
            <w:r>
              <w:rPr>
                <w:sz w:val="20"/>
                <w:szCs w:val="20"/>
              </w:rPr>
              <w:t xml:space="preserve">shell_mid_km</w:t>
            </w:r>
          </w:p>
        </w:tc>
        <w:tc>
          <w:tcPr>
            <w:tcW w:w="0" w:type="auto"/>
          </w:tcPr>
          <w:p>
            <w:pPr>
              <w:spacing w:line="240" w:lineRule="auto" w:before="0" w:after="0"/>
              <w:pStyle w:val="Compact"/>
            </w:pPr>
            <w:r>
              <w:rPr>
                <w:sz w:val="20"/>
                <w:szCs w:val="20"/>
              </w:rPr>
              <w:t xml:space="preserve">Altitude-shell midpoint in kilometers</w:t>
            </w:r>
          </w:p>
        </w:tc>
        <w:tc>
          <w:tcPr>
            <w:tcW w:w="0" w:type="auto"/>
          </w:tcPr>
          <w:p>
            <w:pPr>
              <w:spacing w:line="240" w:lineRule="auto" w:before="0" w:after="0"/>
              <w:pStyle w:val="Compact"/>
            </w:pPr>
            <w:r>
              <w:rPr>
                <w:sz w:val="20"/>
                <w:szCs w:val="20"/>
              </w:rPr>
              <w:t xml:space="preserve">Mean of 100 km shell bounds from 200 to 2000 km</w:t>
            </w:r>
          </w:p>
        </w:tc>
      </w:tr>
      <w:tr>
        <w:tc>
          <w:tcPr>
            <w:tcW w:w="0" w:type="auto"/>
          </w:tcPr>
          <w:p>
            <w:pPr>
              <w:spacing w:line="240" w:lineRule="auto" w:before="0" w:after="0"/>
              <w:pStyle w:val="Compact"/>
            </w:pPr>
            <w:r>
              <w:rPr>
                <w:sz w:val="20"/>
                <w:szCs w:val="20"/>
              </w:rPr>
              <w:t xml:space="preserve">is_sso_band</w:t>
            </w:r>
          </w:p>
        </w:tc>
        <w:tc>
          <w:tcPr>
            <w:tcW w:w="0" w:type="auto"/>
          </w:tcPr>
          <w:p>
            <w:pPr>
              <w:spacing w:line="240" w:lineRule="auto" w:before="0" w:after="0"/>
              <w:pStyle w:val="Compact"/>
            </w:pPr>
            <w:r>
              <w:rPr>
                <w:sz w:val="20"/>
                <w:szCs w:val="20"/>
              </w:rPr>
              <w:t xml:space="preserve">Indicator for 70 to 110 degree inclination regime</w:t>
            </w:r>
          </w:p>
        </w:tc>
        <w:tc>
          <w:tcPr>
            <w:tcW w:w="0" w:type="auto"/>
          </w:tcPr>
          <w:p>
            <w:pPr>
              <w:spacing w:line="240" w:lineRule="auto" w:before="0" w:after="0"/>
              <w:pStyle w:val="Compact"/>
            </w:pPr>
            <w:r>
              <w:rPr>
                <w:sz w:val="20"/>
                <w:szCs w:val="20"/>
              </w:rPr>
              <w:t xml:space="preserve">Derived from SATCAT inclination field</w:t>
            </w:r>
          </w:p>
        </w:tc>
      </w:tr>
      <w:tr>
        <w:tc>
          <w:tcPr>
            <w:tcW w:w="0" w:type="auto"/>
          </w:tcPr>
          <w:p>
            <w:pPr>
              <w:spacing w:line="240" w:lineRule="auto" w:before="0" w:after="0"/>
              <w:pStyle w:val="Compact"/>
            </w:pPr>
            <w:r>
              <w:rPr>
                <w:sz w:val="20"/>
                <w:szCs w:val="20"/>
              </w:rPr>
              <w:t xml:space="preserve">is_critical_500_900</w:t>
            </w:r>
          </w:p>
        </w:tc>
        <w:tc>
          <w:tcPr>
            <w:tcW w:w="0" w:type="auto"/>
          </w:tcPr>
          <w:p>
            <w:pPr>
              <w:spacing w:line="240" w:lineRule="auto" w:before="0" w:after="0"/>
              <w:pStyle w:val="Compact"/>
            </w:pPr>
            <w:r>
              <w:rPr>
                <w:sz w:val="20"/>
                <w:szCs w:val="20"/>
              </w:rPr>
              <w:t xml:space="preserve">Indicator for shell midpoint from 500 km to less than 900 km</w:t>
            </w:r>
          </w:p>
        </w:tc>
        <w:tc>
          <w:tcPr>
            <w:tcW w:w="0" w:type="auto"/>
          </w:tcPr>
          <w:p>
            <w:pPr>
              <w:spacing w:line="240" w:lineRule="auto" w:before="0" w:after="0"/>
              <w:pStyle w:val="Compact"/>
            </w:pPr>
            <w:r>
              <w:rPr>
                <w:sz w:val="20"/>
                <w:szCs w:val="20"/>
              </w:rPr>
              <w:t xml:space="preserve">Policy-critical traffic band in current LEO discussions</w:t>
            </w:r>
          </w:p>
        </w:tc>
      </w:tr>
      <w:tr>
        <w:tc>
          <w:tcPr>
            <w:tcW w:w="0" w:type="auto"/>
          </w:tcPr>
          <w:p>
            <w:pPr>
              <w:spacing w:line="240" w:lineRule="auto" w:before="0" w:after="0"/>
              <w:pStyle w:val="Compact"/>
            </w:pPr>
            <w:r>
              <w:rPr>
                <w:sz w:val="20"/>
                <w:szCs w:val="20"/>
              </w:rPr>
              <w:t xml:space="preserve">debris_share</w:t>
            </w:r>
          </w:p>
        </w:tc>
        <w:tc>
          <w:tcPr>
            <w:tcW w:w="0" w:type="auto"/>
          </w:tcPr>
          <w:p>
            <w:pPr>
              <w:spacing w:line="240" w:lineRule="auto" w:before="0" w:after="0"/>
              <w:pStyle w:val="Compact"/>
            </w:pPr>
            <w:r>
              <w:rPr>
                <w:sz w:val="20"/>
                <w:szCs w:val="20"/>
              </w:rPr>
              <w:t xml:space="preserve">Share of tracked objects classified as debris in the bin</w:t>
            </w:r>
          </w:p>
        </w:tc>
        <w:tc>
          <w:tcPr>
            <w:tcW w:w="0" w:type="auto"/>
          </w:tcPr>
          <w:p>
            <w:pPr>
              <w:spacing w:line="240" w:lineRule="auto" w:before="0" w:after="0"/>
              <w:pStyle w:val="Compact"/>
            </w:pPr>
            <w:r>
              <w:rPr>
                <w:sz w:val="20"/>
                <w:szCs w:val="20"/>
              </w:rPr>
              <w:t xml:space="preserve">OBJECT_TYPE DEB divided by tracked_count</w:t>
            </w:r>
          </w:p>
        </w:tc>
      </w:tr>
      <w:tr>
        <w:tc>
          <w:tcPr>
            <w:tcW w:w="0" w:type="auto"/>
          </w:tcPr>
          <w:p>
            <w:pPr>
              <w:spacing w:line="240" w:lineRule="auto" w:before="0" w:after="0"/>
              <w:pStyle w:val="Compact"/>
            </w:pPr>
            <w:r>
              <w:rPr>
                <w:sz w:val="20"/>
                <w:szCs w:val="20"/>
              </w:rPr>
              <w:t xml:space="preserve">active_payload_share</w:t>
            </w:r>
          </w:p>
        </w:tc>
        <w:tc>
          <w:tcPr>
            <w:tcW w:w="0" w:type="auto"/>
          </w:tcPr>
          <w:p>
            <w:pPr>
              <w:spacing w:line="240" w:lineRule="auto" w:before="0" w:after="0"/>
              <w:pStyle w:val="Compact"/>
            </w:pPr>
            <w:r>
              <w:rPr>
                <w:sz w:val="20"/>
                <w:szCs w:val="20"/>
              </w:rPr>
              <w:t xml:space="preserve">Share of tracked objects that are operational or partially operational payloads</w:t>
            </w:r>
          </w:p>
        </w:tc>
        <w:tc>
          <w:tcPr>
            <w:tcW w:w="0" w:type="auto"/>
          </w:tcPr>
          <w:p>
            <w:pPr>
              <w:spacing w:line="240" w:lineRule="auto" w:before="0" w:after="0"/>
              <w:pStyle w:val="Compact"/>
            </w:pPr>
            <w:r>
              <w:rPr>
                <w:sz w:val="20"/>
                <w:szCs w:val="20"/>
              </w:rPr>
              <w:t xml:space="preserve">OBJECT_TYPE PAY with OPS_STATUS_CODE in +, P, B, or S divided by tracked_count</w:t>
            </w:r>
          </w:p>
        </w:tc>
      </w:tr>
    </w:tbl>
    <w:bookmarkEnd w:id="186"/>
    <w:bookmarkEnd w:id="187"/>
    <w:bookmarkStart w:id="195" w:name="X76e794ef64cef76751ec6010185e4a8e5be6690"/>
    <w:p>
      <w:pPr>
        <w:pStyle w:val="Heading2"/>
        <w:spacing w:line="480" w:lineRule="auto"/>
      </w:pPr>
      <w:r>
        <w:t xml:space="preserve">A.2 A Learning-Curve Baseline for Earth-Orbit Catalog Growth Before ORDEM MASTER Capacity Envelopes</w:t>
      </w:r>
    </w:p>
    <w:p>
      <w:pPr>
        <w:pStyle w:val="FirstParagraph"/>
        <w:spacing w:line="480" w:lineRule="auto"/>
      </w:pPr>
      <m:oMathPara>
        <m:oMathParaPr>
          <m:jc m:val="center"/>
        </m:oMathParaPr>
        <m:oMath>
          <m:r>
            <m:rPr>
              <m:sty m:val="p"/>
            </m:rPr>
            <m:t>log</m:t>
          </m:r>
          <m:r>
            <m:rPr>
              <m:sty m:val="p"/>
            </m:rPr>
            <m:t>(</m:t>
          </m:r>
          <m:sSub>
            <m:e>
              <m:r>
                <m:rPr>
                  <m:sty m:val="p"/>
                </m:rPr>
                <m:t>C</m:t>
              </m:r>
              <m:r>
                <m:rPr>
                  <m:sty m:val="p"/>
                </m:rPr>
                <m:t>u</m:t>
              </m:r>
              <m:r>
                <m:rPr>
                  <m:sty m:val="p"/>
                </m:rPr>
                <m:t>m</m:t>
              </m:r>
              <m:r>
                <m:rPr>
                  <m:sty m:val="p"/>
                </m:rPr>
                <m:t>u</m:t>
              </m:r>
              <m:r>
                <m:rPr>
                  <m:sty m:val="p"/>
                </m:rPr>
                <m:t>l</m:t>
              </m:r>
              <m:r>
                <m:rPr>
                  <m:sty m:val="p"/>
                </m:rPr>
                <m:t>a</m:t>
              </m:r>
              <m:r>
                <m:rPr>
                  <m:sty m:val="p"/>
                </m:rPr>
                <m:t>t</m:t>
              </m:r>
              <m:r>
                <m:rPr>
                  <m:sty m:val="p"/>
                </m:rPr>
                <m:t>i</m:t>
              </m:r>
              <m:r>
                <m:rPr>
                  <m:sty m:val="p"/>
                </m:rPr>
                <m:t>v</m:t>
              </m:r>
              <m:r>
                <m:rPr>
                  <m:sty m:val="p"/>
                </m:rPr>
                <m:t>e</m:t>
              </m:r>
              <m:r>
                <m:rPr>
                  <m:sty m:val="p"/>
                </m:rPr>
                <m:t>O</m:t>
              </m:r>
              <m:r>
                <m:rPr>
                  <m:sty m:val="p"/>
                </m:rPr>
                <m:t>b</m:t>
              </m:r>
              <m:r>
                <m:rPr>
                  <m:sty m:val="p"/>
                </m:rPr>
                <m:t>j</m:t>
              </m:r>
              <m:r>
                <m:rPr>
                  <m:sty m:val="p"/>
                </m:rPr>
                <m:t>e</m:t>
              </m:r>
              <m:r>
                <m:rPr>
                  <m:sty m:val="p"/>
                </m:rPr>
                <m:t>c</m:t>
              </m:r>
              <m:r>
                <m:rPr>
                  <m:sty m:val="p"/>
                </m:rPr>
                <m:t>t</m:t>
              </m:r>
              <m:r>
                <m:rPr>
                  <m:sty m:val="p"/>
                </m:rPr>
                <m:t>s</m:t>
              </m:r>
            </m:e>
            <m:sub>
              <m:r>
                <m:t>t</m:t>
              </m:r>
            </m:sub>
          </m:sSub>
          <m:r>
            <m:rPr>
              <m:sty m:val="p"/>
            </m:rPr>
            <m:t>+</m:t>
          </m:r>
          <m:r>
            <m:t>1</m:t>
          </m:r>
          <m:r>
            <m:rPr>
              <m:sty m:val="p"/>
            </m:rPr>
            <m:t>)</m:t>
          </m:r>
          <m:r>
            <m:rPr>
              <m:sty m:val="p"/>
            </m:rPr>
            <m:t>=</m:t>
          </m:r>
          <m:r>
            <m:t>α</m:t>
          </m:r>
          <m:r>
            <m:rPr>
              <m:sty m:val="p"/>
            </m:rPr>
            <m:t>+</m:t>
          </m:r>
          <m:r>
            <m:t>b</m:t>
          </m:r>
          <m:r>
            <m:rPr>
              <m:sty m:val="p"/>
            </m:rPr>
            <m:t>log</m:t>
          </m:r>
          <m:r>
            <m:rPr>
              <m:sty m:val="p"/>
            </m:rPr>
            <m:t>(</m:t>
          </m:r>
          <m:r>
            <m:t>t</m:t>
          </m:r>
          <m:r>
            <m:rPr>
              <m:sty m:val="p"/>
            </m:rPr>
            <m:t>−</m:t>
          </m:r>
          <m:r>
            <m:t>1957</m:t>
          </m:r>
          <m:r>
            <m:rPr>
              <m:sty m:val="p"/>
            </m:rPr>
            <m:t>+</m:t>
          </m:r>
          <m:r>
            <m:t>1</m:t>
          </m:r>
          <m:r>
            <m:rPr>
              <m:sty m:val="p"/>
            </m:rPr>
            <m:t>)</m:t>
          </m:r>
          <m:r>
            <m:rPr>
              <m:sty m:val="p"/>
            </m:rPr>
            <m:t>+</m:t>
          </m:r>
          <m:sSub>
            <m:e>
              <m:r>
                <m:t>ε</m:t>
              </m:r>
            </m:e>
            <m:sub>
              <m:r>
                <m:t>t</m:t>
              </m:r>
            </m:sub>
          </m:sSub>
        </m:oMath>
      </m:oMathPara>
    </w:p>
    <w:bookmarkStart w:id="188"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2.6388</w:t>
            </w:r>
          </w:p>
        </w:tc>
        <w:tc>
          <w:tcPr>
            <w:tcW w:w="0" w:type="auto"/>
          </w:tcPr>
          <w:p>
            <w:pPr>
              <w:spacing w:line="240" w:lineRule="auto" w:before="0" w:after="0"/>
              <w:pStyle w:val="Compact"/>
            </w:pPr>
            <w:r>
              <w:rPr>
                <w:sz w:val="20"/>
                <w:szCs w:val="20"/>
              </w:rPr>
              <w:t xml:space="preserve">0.446</w:t>
            </w:r>
          </w:p>
        </w:tc>
        <w:tc>
          <w:tcPr>
            <w:tcW w:w="0" w:type="auto"/>
          </w:tcPr>
          <w:p>
            <w:pPr>
              <w:spacing w:line="240" w:lineRule="auto" w:before="0" w:after="0"/>
              <w:pStyle w:val="Compact"/>
            </w:pPr>
            <w:r>
              <w:rPr>
                <w:sz w:val="20"/>
                <w:szCs w:val="20"/>
              </w:rPr>
              <w:t xml:space="preserve">5.9172</w:t>
            </w:r>
          </w:p>
        </w:tc>
        <w:tc>
          <w:tcPr>
            <w:tcW w:w="0" w:type="auto"/>
          </w:tcPr>
          <w:p>
            <w:pPr>
              <w:spacing w:line="240" w:lineRule="auto" w:before="0" w:after="0"/>
              <w:pStyle w:val="Compact"/>
            </w:pPr>
            <w:r>
              <w:rPr>
                <w:sz w:val="20"/>
                <w:szCs w:val="20"/>
              </w:rPr>
              <w:t xml:space="preserve">3.274e-09</w:t>
            </w:r>
          </w:p>
        </w:tc>
        <w:tc>
          <w:tcPr>
            <w:tcW w:w="0" w:type="auto"/>
          </w:tcPr>
          <w:p>
            <w:pPr>
              <w:spacing w:line="240" w:lineRule="auto" w:before="0" w:after="0"/>
              <w:pStyle w:val="Compact"/>
            </w:pPr>
            <w:r>
              <w:rPr>
                <w:sz w:val="20"/>
                <w:szCs w:val="20"/>
              </w:rPr>
              <w:t xml:space="preserve">[1.7647, 3.5128]</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2.0877</w:t>
            </w:r>
          </w:p>
        </w:tc>
        <w:tc>
          <w:tcPr>
            <w:tcW w:w="0" w:type="auto"/>
          </w:tcPr>
          <w:p>
            <w:pPr>
              <w:spacing w:line="240" w:lineRule="auto" w:before="0" w:after="0"/>
              <w:pStyle w:val="Compact"/>
            </w:pPr>
            <w:r>
              <w:rPr>
                <w:sz w:val="20"/>
                <w:szCs w:val="20"/>
              </w:rPr>
              <w:t xml:space="preserve">0.1238</w:t>
            </w:r>
          </w:p>
        </w:tc>
        <w:tc>
          <w:tcPr>
            <w:tcW w:w="0" w:type="auto"/>
          </w:tcPr>
          <w:p>
            <w:pPr>
              <w:spacing w:line="240" w:lineRule="auto" w:before="0" w:after="0"/>
              <w:pStyle w:val="Compact"/>
            </w:pPr>
            <w:r>
              <w:rPr>
                <w:sz w:val="20"/>
                <w:szCs w:val="20"/>
              </w:rPr>
              <w:t xml:space="preserve">16.867</w:t>
            </w:r>
          </w:p>
        </w:tc>
        <w:tc>
          <w:tcPr>
            <w:tcW w:w="0" w:type="auto"/>
          </w:tcPr>
          <w:p>
            <w:pPr>
              <w:spacing w:line="240" w:lineRule="auto" w:before="0" w:after="0"/>
              <w:pStyle w:val="Compact"/>
            </w:pPr>
            <w:r>
              <w:rPr>
                <w:sz w:val="20"/>
                <w:szCs w:val="20"/>
              </w:rPr>
              <w:t xml:space="preserve">7.866e-64</w:t>
            </w:r>
          </w:p>
        </w:tc>
        <w:tc>
          <w:tcPr>
            <w:tcW w:w="0" w:type="auto"/>
          </w:tcPr>
          <w:p>
            <w:pPr>
              <w:spacing w:line="240" w:lineRule="auto" w:before="0" w:after="0"/>
              <w:pStyle w:val="Compact"/>
            </w:pPr>
            <w:r>
              <w:rPr>
                <w:sz w:val="20"/>
                <w:szCs w:val="20"/>
              </w:rPr>
              <w:t xml:space="preserve">[1.8451, 2.3303]</w:t>
            </w:r>
          </w:p>
        </w:tc>
      </w:tr>
    </w:tbl>
    <w:p>
      <w:pPr>
        <w:pStyle w:val="BodyText"/>
        <w:spacing w:line="480" w:lineRule="auto"/>
        <w:ind w:firstLine="720"/>
      </w:pPr>
      <w:r>
        <w:t xml:space="preserve">Fit: N = 70 R2 = 0.9397 elasticity_b = 2.0877 progress_ratio_2^b = 4.2508</w:t>
      </w:r>
    </w:p>
    <w:bookmarkEnd w:id="188"/>
    <w:bookmarkStart w:id="192"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Log-log learning curve for cumulative Earth-orbit catalog growth." title="" id="190" name="Picture"/>
            <a:graphic>
              <a:graphicData uri="http://schemas.openxmlformats.org/drawingml/2006/picture">
                <pic:pic>
                  <pic:nvPicPr>
                    <pic:cNvPr descr="D:/Claude_Code/brain/collegium/candidates/dissertations/DEBRIS_13/research_papers/p2/paper_fig1.png" id="191" name="Picture"/>
                    <pic:cNvPicPr>
                      <a:picLocks noChangeArrowheads="1" noChangeAspect="1"/>
                    </pic:cNvPicPr>
                  </pic:nvPicPr>
                  <pic:blipFill>
                    <a:blip r:embed="rId18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Log-log learning curve for cumulative Earth-orbit catalog growth.</w:t>
      </w:r>
    </w:p>
    <w:bookmarkEnd w:id="192"/>
    <w:bookmarkStart w:id="193"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609"/>
        <w:gridCol w:w="609"/>
        <w:gridCol w:w="609"/>
        <w:gridCol w:w="609"/>
        <w:gridCol w:w="609"/>
        <w:gridCol w:w="609"/>
        <w:gridCol w:w="609"/>
        <w:gridCol w:w="609"/>
        <w:gridCol w:w="609"/>
        <w:gridCol w:w="609"/>
        <w:gridCol w:w="609"/>
        <w:gridCol w:w="609"/>
        <w:gridCol w:w="609"/>
      </w:tblGrid>
      <w:tr>
        <w:trPr>
          <w:tblHeader w:val="on"/>
        </w:trPr>
        <w:tc>
          <w:tcPr>
            <w:tcW w:w="0" w:type="auto"/>
          </w:tcPr>
          <w:p>
            <w:pPr>
              <w:spacing w:line="240" w:lineRule="auto" w:before="0" w:after="0"/>
              <w:pStyle w:val="Compact"/>
            </w:pPr>
            <w:r>
              <w:rPr>
                <w:sz w:val="20"/>
                <w:szCs w:val="20"/>
              </w:rPr>
              <w:t xml:space="preserve">launch_year</w:t>
            </w:r>
          </w:p>
        </w:tc>
        <w:tc>
          <w:tcPr>
            <w:tcW w:w="0" w:type="auto"/>
          </w:tcPr>
          <w:p>
            <w:pPr>
              <w:spacing w:line="240" w:lineRule="auto" w:before="0" w:after="0"/>
              <w:pStyle w:val="Compact"/>
            </w:pPr>
            <w:r>
              <w:rPr>
                <w:sz w:val="20"/>
                <w:szCs w:val="20"/>
              </w:rPr>
              <w:t xml:space="preserve">years_since_1957_plus_one</w:t>
            </w:r>
          </w:p>
        </w:tc>
        <w:tc>
          <w:tcPr>
            <w:tcW w:w="0" w:type="auto"/>
          </w:tcPr>
          <w:p>
            <w:pPr>
              <w:spacing w:line="240" w:lineRule="auto" w:before="0" w:after="0"/>
              <w:pStyle w:val="Compact"/>
            </w:pPr>
            <w:r>
              <w:rPr>
                <w:sz w:val="20"/>
                <w:szCs w:val="20"/>
              </w:rPr>
              <w:t xml:space="preserve">annual_earth_orbit_objects</w:t>
            </w:r>
          </w:p>
        </w:tc>
        <w:tc>
          <w:tcPr>
            <w:tcW w:w="0" w:type="auto"/>
          </w:tcPr>
          <w:p>
            <w:pPr>
              <w:spacing w:line="240" w:lineRule="auto" w:before="0" w:after="0"/>
              <w:pStyle w:val="Compact"/>
            </w:pPr>
            <w:r>
              <w:rPr>
                <w:sz w:val="20"/>
                <w:szCs w:val="20"/>
              </w:rPr>
              <w:t xml:space="preserve">annual_payloads</w:t>
            </w:r>
          </w:p>
        </w:tc>
        <w:tc>
          <w:tcPr>
            <w:tcW w:w="0" w:type="auto"/>
          </w:tcPr>
          <w:p>
            <w:pPr>
              <w:spacing w:line="240" w:lineRule="auto" w:before="0" w:after="0"/>
              <w:pStyle w:val="Compact"/>
            </w:pPr>
            <w:r>
              <w:rPr>
                <w:sz w:val="20"/>
                <w:szCs w:val="20"/>
              </w:rPr>
              <w:t xml:space="preserve">annual_debris</w:t>
            </w:r>
          </w:p>
        </w:tc>
        <w:tc>
          <w:tcPr>
            <w:tcW w:w="0" w:type="auto"/>
          </w:tcPr>
          <w:p>
            <w:pPr>
              <w:spacing w:line="240" w:lineRule="auto" w:before="0" w:after="0"/>
              <w:pStyle w:val="Compact"/>
            </w:pPr>
            <w:r>
              <w:rPr>
                <w:sz w:val="20"/>
                <w:szCs w:val="20"/>
              </w:rPr>
              <w:t xml:space="preserve">annual_rocket_bodies</w:t>
            </w:r>
          </w:p>
        </w:tc>
        <w:tc>
          <w:tcPr>
            <w:tcW w:w="0" w:type="auto"/>
          </w:tcPr>
          <w:p>
            <w:pPr>
              <w:spacing w:line="240" w:lineRule="auto" w:before="0" w:after="0"/>
              <w:pStyle w:val="Compact"/>
            </w:pPr>
            <w:r>
              <w:rPr>
                <w:sz w:val="20"/>
                <w:szCs w:val="20"/>
              </w:rPr>
              <w:t xml:space="preserve">annual_decayed_objects</w:t>
            </w:r>
          </w:p>
        </w:tc>
        <w:tc>
          <w:tcPr>
            <w:tcW w:w="0" w:type="auto"/>
          </w:tcPr>
          <w:p>
            <w:pPr>
              <w:spacing w:line="240" w:lineRule="auto" w:before="0" w:after="0"/>
              <w:pStyle w:val="Compact"/>
            </w:pPr>
            <w:r>
              <w:rPr>
                <w:sz w:val="20"/>
                <w:szCs w:val="20"/>
              </w:rPr>
              <w:t xml:space="preserve">cumulative_earth_orbit_objects</w:t>
            </w:r>
          </w:p>
        </w:tc>
        <w:tc>
          <w:tcPr>
            <w:tcW w:w="0" w:type="auto"/>
          </w:tcPr>
          <w:p>
            <w:pPr>
              <w:spacing w:line="240" w:lineRule="auto" w:before="0" w:after="0"/>
              <w:pStyle w:val="Compact"/>
            </w:pPr>
            <w:r>
              <w:rPr>
                <w:sz w:val="20"/>
                <w:szCs w:val="20"/>
              </w:rPr>
              <w:t xml:space="preserve">cumulative_payloads</w:t>
            </w:r>
          </w:p>
        </w:tc>
        <w:tc>
          <w:tcPr>
            <w:tcW w:w="0" w:type="auto"/>
          </w:tcPr>
          <w:p>
            <w:pPr>
              <w:spacing w:line="240" w:lineRule="auto" w:before="0" w:after="0"/>
              <w:pStyle w:val="Compact"/>
            </w:pPr>
            <w:r>
              <w:rPr>
                <w:sz w:val="20"/>
                <w:szCs w:val="20"/>
              </w:rPr>
              <w:t xml:space="preserve">cumulative_debris</w:t>
            </w:r>
          </w:p>
        </w:tc>
        <w:tc>
          <w:tcPr>
            <w:tcW w:w="0" w:type="auto"/>
          </w:tcPr>
          <w:p>
            <w:pPr>
              <w:spacing w:line="240" w:lineRule="auto" w:before="0" w:after="0"/>
              <w:pStyle w:val="Compact"/>
            </w:pPr>
            <w:r>
              <w:rPr>
                <w:sz w:val="20"/>
                <w:szCs w:val="20"/>
              </w:rPr>
              <w:t xml:space="preserve">cumulative_rocket_bodies</w:t>
            </w:r>
          </w:p>
        </w:tc>
        <w:tc>
          <w:tcPr>
            <w:tcW w:w="0" w:type="auto"/>
          </w:tcPr>
          <w:p>
            <w:pPr>
              <w:spacing w:line="240" w:lineRule="auto" w:before="0" w:after="0"/>
              <w:pStyle w:val="Compact"/>
            </w:pPr>
            <w:r>
              <w:rPr>
                <w:sz w:val="20"/>
                <w:szCs w:val="20"/>
              </w:rPr>
              <w:t xml:space="preserve">cumulative_objects_plus_one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1957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1958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1959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1960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1961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418</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364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208</w:t>
            </w:r>
          </w:p>
        </w:tc>
        <w:tc>
          <w:tcPr>
            <w:tcW w:w="0" w:type="auto"/>
          </w:tcPr>
          <w:p>
            <w:pPr>
              <w:spacing w:line="240" w:lineRule="auto" w:before="0" w:after="0"/>
              <w:pStyle w:val="Compact"/>
            </w:pPr>
            <w:r>
              <w:rPr>
                <w:sz w:val="20"/>
                <w:szCs w:val="20"/>
              </w:rPr>
              <w:t xml:space="preserve">503</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391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504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1962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198</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173</w:t>
            </w:r>
          </w:p>
        </w:tc>
        <w:tc>
          <w:tcPr>
            <w:tcW w:w="0" w:type="auto"/>
          </w:tcPr>
          <w:p>
            <w:pPr>
              <w:spacing w:line="240" w:lineRule="auto" w:before="0" w:after="0"/>
              <w:pStyle w:val="Compact"/>
            </w:pPr>
            <w:r>
              <w:rPr>
                <w:sz w:val="20"/>
                <w:szCs w:val="20"/>
              </w:rPr>
              <w:t xml:space="preserve">701</w:t>
            </w:r>
          </w:p>
        </w:tc>
        <w:tc>
          <w:tcPr>
            <w:tcW w:w="0" w:type="auto"/>
          </w:tcPr>
          <w:p>
            <w:pPr>
              <w:spacing w:line="240" w:lineRule="auto" w:before="0" w:after="0"/>
              <w:pStyle w:val="Compact"/>
            </w:pPr>
            <w:r>
              <w:rPr>
                <w:sz w:val="20"/>
                <w:szCs w:val="20"/>
              </w:rPr>
              <w:t xml:space="preserve">154</w:t>
            </w:r>
          </w:p>
        </w:tc>
        <w:tc>
          <w:tcPr>
            <w:tcW w:w="0" w:type="auto"/>
          </w:tcPr>
          <w:p>
            <w:pPr>
              <w:spacing w:line="240" w:lineRule="auto" w:before="0" w:after="0"/>
              <w:pStyle w:val="Compact"/>
            </w:pPr>
            <w:r>
              <w:rPr>
                <w:sz w:val="20"/>
                <w:szCs w:val="20"/>
              </w:rPr>
              <w:t xml:space="preserve">479</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702</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1963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343</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241</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253</w:t>
            </w:r>
          </w:p>
        </w:tc>
        <w:tc>
          <w:tcPr>
            <w:tcW w:w="0" w:type="auto"/>
          </w:tcPr>
          <w:p>
            <w:pPr>
              <w:spacing w:line="240" w:lineRule="auto" w:before="0" w:after="0"/>
              <w:pStyle w:val="Compact"/>
            </w:pPr>
            <w:r>
              <w:rPr>
                <w:sz w:val="20"/>
                <w:szCs w:val="20"/>
              </w:rPr>
              <w:t xml:space="preserve">1044</w:t>
            </w:r>
          </w:p>
        </w:tc>
        <w:tc>
          <w:tcPr>
            <w:tcW w:w="0" w:type="auto"/>
          </w:tcPr>
          <w:p>
            <w:pPr>
              <w:spacing w:line="240" w:lineRule="auto" w:before="0" w:after="0"/>
              <w:pStyle w:val="Compact"/>
            </w:pPr>
            <w:r>
              <w:rPr>
                <w:sz w:val="20"/>
                <w:szCs w:val="20"/>
              </w:rPr>
              <w:t xml:space="preserve">225</w:t>
            </w:r>
          </w:p>
        </w:tc>
        <w:tc>
          <w:tcPr>
            <w:tcW w:w="0" w:type="auto"/>
          </w:tcPr>
          <w:p>
            <w:pPr>
              <w:spacing w:line="240" w:lineRule="auto" w:before="0" w:after="0"/>
              <w:pStyle w:val="Compact"/>
            </w:pPr>
            <w:r>
              <w:rPr>
                <w:sz w:val="20"/>
                <w:szCs w:val="20"/>
              </w:rPr>
              <w:t xml:space="preserve">720</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1045</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1964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394</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244</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340</w:t>
            </w:r>
          </w:p>
        </w:tc>
        <w:tc>
          <w:tcPr>
            <w:tcW w:w="0" w:type="auto"/>
          </w:tcPr>
          <w:p>
            <w:pPr>
              <w:spacing w:line="240" w:lineRule="auto" w:before="0" w:after="0"/>
              <w:pStyle w:val="Compact"/>
            </w:pPr>
            <w:r>
              <w:rPr>
                <w:sz w:val="20"/>
                <w:szCs w:val="20"/>
              </w:rPr>
              <w:t xml:space="preserve">1438</w:t>
            </w:r>
          </w:p>
        </w:tc>
        <w:tc>
          <w:tcPr>
            <w:tcW w:w="0" w:type="auto"/>
          </w:tcPr>
          <w:p>
            <w:pPr>
              <w:spacing w:line="240" w:lineRule="auto" w:before="0" w:after="0"/>
              <w:pStyle w:val="Compact"/>
            </w:pPr>
            <w:r>
              <w:rPr>
                <w:sz w:val="20"/>
                <w:szCs w:val="20"/>
              </w:rPr>
              <w:t xml:space="preserve">323</w:t>
            </w:r>
          </w:p>
        </w:tc>
        <w:tc>
          <w:tcPr>
            <w:tcW w:w="0" w:type="auto"/>
          </w:tcPr>
          <w:p>
            <w:pPr>
              <w:spacing w:line="240" w:lineRule="auto" w:before="0" w:after="0"/>
              <w:pStyle w:val="Compact"/>
            </w:pPr>
            <w:r>
              <w:rPr>
                <w:sz w:val="20"/>
                <w:szCs w:val="20"/>
              </w:rPr>
              <w:t xml:space="preserve">964</w:t>
            </w:r>
          </w:p>
        </w:tc>
        <w:tc>
          <w:tcPr>
            <w:tcW w:w="0" w:type="auto"/>
          </w:tcPr>
          <w:p>
            <w:pPr>
              <w:spacing w:line="240" w:lineRule="auto" w:before="0" w:after="0"/>
              <w:pStyle w:val="Compact"/>
            </w:pPr>
            <w:r>
              <w:rPr>
                <w:sz w:val="20"/>
                <w:szCs w:val="20"/>
              </w:rPr>
              <w:t xml:space="preserve">151</w:t>
            </w:r>
          </w:p>
        </w:tc>
        <w:tc>
          <w:tcPr>
            <w:tcW w:w="0" w:type="auto"/>
          </w:tcPr>
          <w:p>
            <w:pPr>
              <w:spacing w:line="240" w:lineRule="auto" w:before="0" w:after="0"/>
              <w:pStyle w:val="Compact"/>
            </w:pPr>
            <w:r>
              <w:rPr>
                <w:sz w:val="20"/>
                <w:szCs w:val="20"/>
              </w:rPr>
              <w:t xml:space="preserve">1439</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1965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1516</w:t>
            </w:r>
          </w:p>
        </w:tc>
        <w:tc>
          <w:tcPr>
            <w:tcW w:w="0" w:type="auto"/>
          </w:tcPr>
          <w:p>
            <w:pPr>
              <w:spacing w:line="240" w:lineRule="auto" w:before="0" w:after="0"/>
              <w:pStyle w:val="Compact"/>
            </w:pPr>
            <w:r>
              <w:rPr>
                <w:sz w:val="20"/>
                <w:szCs w:val="20"/>
              </w:rPr>
              <w:t xml:space="preserve">147</w:t>
            </w:r>
          </w:p>
        </w:tc>
        <w:tc>
          <w:tcPr>
            <w:tcW w:w="0" w:type="auto"/>
          </w:tcPr>
          <w:p>
            <w:pPr>
              <w:spacing w:line="240" w:lineRule="auto" w:before="0" w:after="0"/>
              <w:pStyle w:val="Compact"/>
            </w:pPr>
            <w:r>
              <w:rPr>
                <w:sz w:val="20"/>
                <w:szCs w:val="20"/>
              </w:rPr>
              <w:t xml:space="preserve">1281</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1075</w:t>
            </w:r>
          </w:p>
        </w:tc>
        <w:tc>
          <w:tcPr>
            <w:tcW w:w="0" w:type="auto"/>
          </w:tcPr>
          <w:p>
            <w:pPr>
              <w:spacing w:line="240" w:lineRule="auto" w:before="0" w:after="0"/>
              <w:pStyle w:val="Compact"/>
            </w:pPr>
            <w:r>
              <w:rPr>
                <w:sz w:val="20"/>
                <w:szCs w:val="20"/>
              </w:rPr>
              <w:t xml:space="preserve">2954</w:t>
            </w:r>
          </w:p>
        </w:tc>
        <w:tc>
          <w:tcPr>
            <w:tcW w:w="0" w:type="auto"/>
          </w:tcPr>
          <w:p>
            <w:pPr>
              <w:spacing w:line="240" w:lineRule="auto" w:before="0" w:after="0"/>
              <w:pStyle w:val="Compact"/>
            </w:pPr>
            <w:r>
              <w:rPr>
                <w:sz w:val="20"/>
                <w:szCs w:val="20"/>
              </w:rPr>
              <w:t xml:space="preserve">470</w:t>
            </w:r>
          </w:p>
        </w:tc>
        <w:tc>
          <w:tcPr>
            <w:tcW w:w="0" w:type="auto"/>
          </w:tcPr>
          <w:p>
            <w:pPr>
              <w:spacing w:line="240" w:lineRule="auto" w:before="0" w:after="0"/>
              <w:pStyle w:val="Compact"/>
            </w:pPr>
            <w:r>
              <w:rPr>
                <w:sz w:val="20"/>
                <w:szCs w:val="20"/>
              </w:rPr>
              <w:t xml:space="preserve">2245</w:t>
            </w:r>
          </w:p>
        </w:tc>
        <w:tc>
          <w:tcPr>
            <w:tcW w:w="0" w:type="auto"/>
          </w:tcPr>
          <w:p>
            <w:pPr>
              <w:spacing w:line="240" w:lineRule="auto" w:before="0" w:after="0"/>
              <w:pStyle w:val="Compact"/>
            </w:pPr>
            <w:r>
              <w:rPr>
                <w:sz w:val="20"/>
                <w:szCs w:val="20"/>
              </w:rPr>
              <w:t xml:space="preserve">239</w:t>
            </w:r>
          </w:p>
        </w:tc>
        <w:tc>
          <w:tcPr>
            <w:tcW w:w="0" w:type="auto"/>
          </w:tcPr>
          <w:p>
            <w:pPr>
              <w:spacing w:line="240" w:lineRule="auto" w:before="0" w:after="0"/>
              <w:pStyle w:val="Compact"/>
            </w:pPr>
            <w:r>
              <w:rPr>
                <w:sz w:val="20"/>
                <w:szCs w:val="20"/>
              </w:rPr>
              <w:t xml:space="preserve">2955</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1966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778</w:t>
            </w:r>
          </w:p>
        </w:tc>
        <w:tc>
          <w:tcPr>
            <w:tcW w:w="0" w:type="auto"/>
          </w:tcPr>
          <w:p>
            <w:pPr>
              <w:spacing w:line="240" w:lineRule="auto" w:before="0" w:after="0"/>
              <w:pStyle w:val="Compact"/>
            </w:pPr>
            <w:r>
              <w:rPr>
                <w:sz w:val="20"/>
                <w:szCs w:val="20"/>
              </w:rPr>
              <w:t xml:space="preserve">135</w:t>
            </w:r>
          </w:p>
        </w:tc>
        <w:tc>
          <w:tcPr>
            <w:tcW w:w="0" w:type="auto"/>
          </w:tcPr>
          <w:p>
            <w:pPr>
              <w:spacing w:line="240" w:lineRule="auto" w:before="0" w:after="0"/>
              <w:pStyle w:val="Compact"/>
            </w:pPr>
            <w:r>
              <w:rPr>
                <w:sz w:val="20"/>
                <w:szCs w:val="20"/>
              </w:rPr>
              <w:t xml:space="preserve">555</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584</w:t>
            </w:r>
          </w:p>
        </w:tc>
        <w:tc>
          <w:tcPr>
            <w:tcW w:w="0" w:type="auto"/>
          </w:tcPr>
          <w:p>
            <w:pPr>
              <w:spacing w:line="240" w:lineRule="auto" w:before="0" w:after="0"/>
              <w:pStyle w:val="Compact"/>
            </w:pPr>
            <w:r>
              <w:rPr>
                <w:sz w:val="20"/>
                <w:szCs w:val="20"/>
              </w:rPr>
              <w:t xml:space="preserve">3732</w:t>
            </w:r>
          </w:p>
        </w:tc>
        <w:tc>
          <w:tcPr>
            <w:tcW w:w="0" w:type="auto"/>
          </w:tcPr>
          <w:p>
            <w:pPr>
              <w:spacing w:line="240" w:lineRule="auto" w:before="0" w:after="0"/>
              <w:pStyle w:val="Compact"/>
            </w:pPr>
            <w:r>
              <w:rPr>
                <w:sz w:val="20"/>
                <w:szCs w:val="20"/>
              </w:rPr>
              <w:t xml:space="preserve">605</w:t>
            </w:r>
          </w:p>
        </w:tc>
        <w:tc>
          <w:tcPr>
            <w:tcW w:w="0" w:type="auto"/>
          </w:tcPr>
          <w:p>
            <w:pPr>
              <w:spacing w:line="240" w:lineRule="auto" w:before="0" w:after="0"/>
              <w:pStyle w:val="Compact"/>
            </w:pPr>
            <w:r>
              <w:rPr>
                <w:sz w:val="20"/>
                <w:szCs w:val="20"/>
              </w:rPr>
              <w:t xml:space="preserve">2800</w:t>
            </w:r>
          </w:p>
        </w:tc>
        <w:tc>
          <w:tcPr>
            <w:tcW w:w="0" w:type="auto"/>
          </w:tcPr>
          <w:p>
            <w:pPr>
              <w:spacing w:line="240" w:lineRule="auto" w:before="0" w:after="0"/>
              <w:pStyle w:val="Compact"/>
            </w:pPr>
            <w:r>
              <w:rPr>
                <w:sz w:val="20"/>
                <w:szCs w:val="20"/>
              </w:rPr>
              <w:t xml:space="preserve">327</w:t>
            </w:r>
          </w:p>
        </w:tc>
        <w:tc>
          <w:tcPr>
            <w:tcW w:w="0" w:type="auto"/>
          </w:tcPr>
          <w:p>
            <w:pPr>
              <w:spacing w:line="240" w:lineRule="auto" w:before="0" w:after="0"/>
              <w:pStyle w:val="Compact"/>
            </w:pPr>
            <w:r>
              <w:rPr>
                <w:sz w:val="20"/>
                <w:szCs w:val="20"/>
              </w:rPr>
              <w:t xml:space="preserve">3733</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1967</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146</w:t>
            </w:r>
          </w:p>
        </w:tc>
        <w:tc>
          <w:tcPr>
            <w:tcW w:w="0" w:type="auto"/>
          </w:tcPr>
          <w:p>
            <w:pPr>
              <w:spacing w:line="240" w:lineRule="auto" w:before="0" w:after="0"/>
              <w:pStyle w:val="Compact"/>
            </w:pPr>
            <w:r>
              <w:rPr>
                <w:sz w:val="20"/>
                <w:szCs w:val="20"/>
              </w:rPr>
              <w:t xml:space="preserve">197</w:t>
            </w:r>
          </w:p>
        </w:tc>
        <w:tc>
          <w:tcPr>
            <w:tcW w:w="0" w:type="auto"/>
          </w:tcPr>
          <w:p>
            <w:pPr>
              <w:spacing w:line="240" w:lineRule="auto" w:before="0" w:after="0"/>
              <w:pStyle w:val="Compact"/>
            </w:pPr>
            <w:r>
              <w:rPr>
                <w:sz w:val="20"/>
                <w:szCs w:val="20"/>
              </w:rPr>
              <w:t xml:space="preserve">107</w:t>
            </w:r>
          </w:p>
        </w:tc>
        <w:tc>
          <w:tcPr>
            <w:tcW w:w="0" w:type="auto"/>
          </w:tcPr>
          <w:p>
            <w:pPr>
              <w:spacing w:line="240" w:lineRule="auto" w:before="0" w:after="0"/>
              <w:pStyle w:val="Compact"/>
            </w:pPr>
            <w:r>
              <w:rPr>
                <w:sz w:val="20"/>
                <w:szCs w:val="20"/>
              </w:rPr>
              <w:t xml:space="preserve">364</w:t>
            </w:r>
          </w:p>
        </w:tc>
        <w:tc>
          <w:tcPr>
            <w:tcW w:w="0" w:type="auto"/>
          </w:tcPr>
          <w:p>
            <w:pPr>
              <w:spacing w:line="240" w:lineRule="auto" w:before="0" w:after="0"/>
              <w:pStyle w:val="Compact"/>
            </w:pPr>
            <w:r>
              <w:rPr>
                <w:sz w:val="20"/>
                <w:szCs w:val="20"/>
              </w:rPr>
              <w:t xml:space="preserve">4182</w:t>
            </w:r>
          </w:p>
        </w:tc>
        <w:tc>
          <w:tcPr>
            <w:tcW w:w="0" w:type="auto"/>
          </w:tcPr>
          <w:p>
            <w:pPr>
              <w:spacing w:line="240" w:lineRule="auto" w:before="0" w:after="0"/>
              <w:pStyle w:val="Compact"/>
            </w:pPr>
            <w:r>
              <w:rPr>
                <w:sz w:val="20"/>
                <w:szCs w:val="20"/>
              </w:rPr>
              <w:t xml:space="preserve">751</w:t>
            </w:r>
          </w:p>
        </w:tc>
        <w:tc>
          <w:tcPr>
            <w:tcW w:w="0" w:type="auto"/>
          </w:tcPr>
          <w:p>
            <w:pPr>
              <w:spacing w:line="240" w:lineRule="auto" w:before="0" w:after="0"/>
              <w:pStyle w:val="Compact"/>
            </w:pPr>
            <w:r>
              <w:rPr>
                <w:sz w:val="20"/>
                <w:szCs w:val="20"/>
              </w:rPr>
              <w:t xml:space="preserve">2997</w:t>
            </w:r>
          </w:p>
        </w:tc>
        <w:tc>
          <w:tcPr>
            <w:tcW w:w="0" w:type="auto"/>
          </w:tcPr>
          <w:p>
            <w:pPr>
              <w:spacing w:line="240" w:lineRule="auto" w:before="0" w:after="0"/>
              <w:pStyle w:val="Compact"/>
            </w:pPr>
            <w:r>
              <w:rPr>
                <w:sz w:val="20"/>
                <w:szCs w:val="20"/>
              </w:rPr>
              <w:t xml:space="preserve">434</w:t>
            </w:r>
          </w:p>
        </w:tc>
        <w:tc>
          <w:tcPr>
            <w:tcW w:w="0" w:type="auto"/>
          </w:tcPr>
          <w:p>
            <w:pPr>
              <w:spacing w:line="240" w:lineRule="auto" w:before="0" w:after="0"/>
              <w:pStyle w:val="Compact"/>
            </w:pPr>
            <w:r>
              <w:rPr>
                <w:sz w:val="20"/>
                <w:szCs w:val="20"/>
              </w:rPr>
              <w:t xml:space="preserve">4183</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1968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691</w:t>
            </w:r>
          </w:p>
        </w:tc>
        <w:tc>
          <w:tcPr>
            <w:tcW w:w="0" w:type="auto"/>
          </w:tcPr>
          <w:p>
            <w:pPr>
              <w:spacing w:line="240" w:lineRule="auto" w:before="0" w:after="0"/>
              <w:pStyle w:val="Compact"/>
            </w:pPr>
            <w:r>
              <w:rPr>
                <w:sz w:val="20"/>
                <w:szCs w:val="20"/>
              </w:rPr>
              <w:t xml:space="preserve">136</w:t>
            </w:r>
          </w:p>
        </w:tc>
        <w:tc>
          <w:tcPr>
            <w:tcW w:w="0" w:type="auto"/>
          </w:tcPr>
          <w:p>
            <w:pPr>
              <w:spacing w:line="240" w:lineRule="auto" w:before="0" w:after="0"/>
              <w:pStyle w:val="Compact"/>
            </w:pPr>
            <w:r>
              <w:rPr>
                <w:sz w:val="20"/>
                <w:szCs w:val="20"/>
              </w:rPr>
              <w:t xml:space="preserve">454</w:t>
            </w:r>
          </w:p>
        </w:tc>
        <w:tc>
          <w:tcPr>
            <w:tcW w:w="0" w:type="auto"/>
          </w:tcPr>
          <w:p>
            <w:pPr>
              <w:spacing w:line="240" w:lineRule="auto" w:before="0" w:after="0"/>
              <w:pStyle w:val="Compact"/>
            </w:pPr>
            <w:r>
              <w:rPr>
                <w:sz w:val="20"/>
                <w:szCs w:val="20"/>
              </w:rPr>
              <w:t xml:space="preserve">101</w:t>
            </w:r>
          </w:p>
        </w:tc>
        <w:tc>
          <w:tcPr>
            <w:tcW w:w="0" w:type="auto"/>
          </w:tcPr>
          <w:p>
            <w:pPr>
              <w:spacing w:line="240" w:lineRule="auto" w:before="0" w:after="0"/>
              <w:pStyle w:val="Compact"/>
            </w:pPr>
            <w:r>
              <w:rPr>
                <w:sz w:val="20"/>
                <w:szCs w:val="20"/>
              </w:rPr>
              <w:t xml:space="preserve">478</w:t>
            </w:r>
          </w:p>
        </w:tc>
        <w:tc>
          <w:tcPr>
            <w:tcW w:w="0" w:type="auto"/>
          </w:tcPr>
          <w:p>
            <w:pPr>
              <w:spacing w:line="240" w:lineRule="auto" w:before="0" w:after="0"/>
              <w:pStyle w:val="Compact"/>
            </w:pPr>
            <w:r>
              <w:rPr>
                <w:sz w:val="20"/>
                <w:szCs w:val="20"/>
              </w:rPr>
              <w:t xml:space="preserve">4873</w:t>
            </w:r>
          </w:p>
        </w:tc>
        <w:tc>
          <w:tcPr>
            <w:tcW w:w="0" w:type="auto"/>
          </w:tcPr>
          <w:p>
            <w:pPr>
              <w:spacing w:line="240" w:lineRule="auto" w:before="0" w:after="0"/>
              <w:pStyle w:val="Compact"/>
            </w:pPr>
            <w:r>
              <w:rPr>
                <w:sz w:val="20"/>
                <w:szCs w:val="20"/>
              </w:rPr>
              <w:t xml:space="preserve">887</w:t>
            </w:r>
          </w:p>
        </w:tc>
        <w:tc>
          <w:tcPr>
            <w:tcW w:w="0" w:type="auto"/>
          </w:tcPr>
          <w:p>
            <w:pPr>
              <w:spacing w:line="240" w:lineRule="auto" w:before="0" w:after="0"/>
              <w:pStyle w:val="Compact"/>
            </w:pPr>
            <w:r>
              <w:rPr>
                <w:sz w:val="20"/>
                <w:szCs w:val="20"/>
              </w:rPr>
              <w:t xml:space="preserve">3451</w:t>
            </w:r>
          </w:p>
        </w:tc>
        <w:tc>
          <w:tcPr>
            <w:tcW w:w="0" w:type="auto"/>
          </w:tcPr>
          <w:p>
            <w:pPr>
              <w:spacing w:line="240" w:lineRule="auto" w:before="0" w:after="0"/>
              <w:pStyle w:val="Compact"/>
            </w:pPr>
            <w:r>
              <w:rPr>
                <w:sz w:val="20"/>
                <w:szCs w:val="20"/>
              </w:rPr>
              <w:t xml:space="preserve">535</w:t>
            </w:r>
          </w:p>
        </w:tc>
        <w:tc>
          <w:tcPr>
            <w:tcW w:w="0" w:type="auto"/>
          </w:tcPr>
          <w:p>
            <w:pPr>
              <w:spacing w:line="240" w:lineRule="auto" w:before="0" w:after="0"/>
              <w:pStyle w:val="Compact"/>
            </w:pPr>
            <w:r>
              <w:rPr>
                <w:sz w:val="20"/>
                <w:szCs w:val="20"/>
              </w:rPr>
              <w:t xml:space="preserve">4874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1969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629</w:t>
            </w:r>
          </w:p>
        </w:tc>
        <w:tc>
          <w:tcPr>
            <w:tcW w:w="0" w:type="auto"/>
          </w:tcPr>
          <w:p>
            <w:pPr>
              <w:spacing w:line="240" w:lineRule="auto" w:before="0" w:after="0"/>
              <w:pStyle w:val="Compact"/>
            </w:pPr>
            <w:r>
              <w:rPr>
                <w:sz w:val="20"/>
                <w:szCs w:val="20"/>
              </w:rPr>
              <w:t xml:space="preserve">129</w:t>
            </w:r>
          </w:p>
        </w:tc>
        <w:tc>
          <w:tcPr>
            <w:tcW w:w="0" w:type="auto"/>
          </w:tcPr>
          <w:p>
            <w:pPr>
              <w:spacing w:line="240" w:lineRule="auto" w:before="0" w:after="0"/>
              <w:pStyle w:val="Compact"/>
            </w:pPr>
            <w:r>
              <w:rPr>
                <w:sz w:val="20"/>
                <w:szCs w:val="20"/>
              </w:rPr>
              <w:t xml:space="preserve">405</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502</w:t>
            </w:r>
          </w:p>
        </w:tc>
        <w:tc>
          <w:tcPr>
            <w:tcW w:w="0" w:type="auto"/>
          </w:tcPr>
          <w:p>
            <w:pPr>
              <w:spacing w:line="240" w:lineRule="auto" w:before="0" w:after="0"/>
              <w:pStyle w:val="Compact"/>
            </w:pPr>
            <w:r>
              <w:rPr>
                <w:sz w:val="20"/>
                <w:szCs w:val="20"/>
              </w:rPr>
              <w:t xml:space="preserve">5502</w:t>
            </w:r>
          </w:p>
        </w:tc>
        <w:tc>
          <w:tcPr>
            <w:tcW w:w="0" w:type="auto"/>
          </w:tcPr>
          <w:p>
            <w:pPr>
              <w:spacing w:line="240" w:lineRule="auto" w:before="0" w:after="0"/>
              <w:pStyle w:val="Compact"/>
            </w:pPr>
            <w:r>
              <w:rPr>
                <w:sz w:val="20"/>
                <w:szCs w:val="20"/>
              </w:rPr>
              <w:t xml:space="preserve">1016</w:t>
            </w:r>
          </w:p>
        </w:tc>
        <w:tc>
          <w:tcPr>
            <w:tcW w:w="0" w:type="auto"/>
          </w:tcPr>
          <w:p>
            <w:pPr>
              <w:spacing w:line="240" w:lineRule="auto" w:before="0" w:after="0"/>
              <w:pStyle w:val="Compact"/>
            </w:pPr>
            <w:r>
              <w:rPr>
                <w:sz w:val="20"/>
                <w:szCs w:val="20"/>
              </w:rPr>
              <w:t xml:space="preserve">3856</w:t>
            </w:r>
          </w:p>
        </w:tc>
        <w:tc>
          <w:tcPr>
            <w:tcW w:w="0" w:type="auto"/>
          </w:tcPr>
          <w:p>
            <w:pPr>
              <w:spacing w:line="240" w:lineRule="auto" w:before="0" w:after="0"/>
              <w:pStyle w:val="Compact"/>
            </w:pPr>
            <w:r>
              <w:rPr>
                <w:sz w:val="20"/>
                <w:szCs w:val="20"/>
              </w:rPr>
              <w:t xml:space="preserve">630</w:t>
            </w:r>
          </w:p>
        </w:tc>
        <w:tc>
          <w:tcPr>
            <w:tcW w:w="0" w:type="auto"/>
          </w:tcPr>
          <w:p>
            <w:pPr>
              <w:spacing w:line="240" w:lineRule="auto" w:before="0" w:after="0"/>
              <w:pStyle w:val="Compact"/>
            </w:pPr>
            <w:r>
              <w:rPr>
                <w:sz w:val="20"/>
                <w:szCs w:val="20"/>
              </w:rPr>
              <w:t xml:space="preserve">5503</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1970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910</w:t>
            </w:r>
          </w:p>
        </w:tc>
        <w:tc>
          <w:tcPr>
            <w:tcW w:w="0" w:type="auto"/>
          </w:tcPr>
          <w:p>
            <w:pPr>
              <w:spacing w:line="240" w:lineRule="auto" w:before="0" w:after="0"/>
              <w:pStyle w:val="Compact"/>
            </w:pPr>
            <w:r>
              <w:rPr>
                <w:sz w:val="20"/>
                <w:szCs w:val="20"/>
              </w:rPr>
              <w:t xml:space="preserve">126</w:t>
            </w:r>
          </w:p>
        </w:tc>
        <w:tc>
          <w:tcPr>
            <w:tcW w:w="0" w:type="auto"/>
          </w:tcPr>
          <w:p>
            <w:pPr>
              <w:spacing w:line="240" w:lineRule="auto" w:before="0" w:after="0"/>
              <w:pStyle w:val="Compact"/>
            </w:pPr>
            <w:r>
              <w:rPr>
                <w:sz w:val="20"/>
                <w:szCs w:val="20"/>
              </w:rPr>
              <w:t xml:space="preserve">679</w:t>
            </w:r>
          </w:p>
        </w:tc>
        <w:tc>
          <w:tcPr>
            <w:tcW w:w="0" w:type="auto"/>
          </w:tcPr>
          <w:p>
            <w:pPr>
              <w:spacing w:line="240" w:lineRule="auto" w:before="0" w:after="0"/>
              <w:pStyle w:val="Compact"/>
            </w:pPr>
            <w:r>
              <w:rPr>
                <w:sz w:val="20"/>
                <w:szCs w:val="20"/>
              </w:rPr>
              <w:t xml:space="preserve">105</w:t>
            </w:r>
          </w:p>
        </w:tc>
        <w:tc>
          <w:tcPr>
            <w:tcW w:w="0" w:type="auto"/>
          </w:tcPr>
          <w:p>
            <w:pPr>
              <w:spacing w:line="240" w:lineRule="auto" w:before="0" w:after="0"/>
              <w:pStyle w:val="Compact"/>
            </w:pPr>
            <w:r>
              <w:rPr>
                <w:sz w:val="20"/>
                <w:szCs w:val="20"/>
              </w:rPr>
              <w:t xml:space="preserve">541</w:t>
            </w:r>
          </w:p>
        </w:tc>
        <w:tc>
          <w:tcPr>
            <w:tcW w:w="0" w:type="auto"/>
          </w:tcPr>
          <w:p>
            <w:pPr>
              <w:spacing w:line="240" w:lineRule="auto" w:before="0" w:after="0"/>
              <w:pStyle w:val="Compact"/>
            </w:pPr>
            <w:r>
              <w:rPr>
                <w:sz w:val="20"/>
                <w:szCs w:val="20"/>
              </w:rPr>
              <w:t xml:space="preserve">6412</w:t>
            </w:r>
          </w:p>
        </w:tc>
        <w:tc>
          <w:tcPr>
            <w:tcW w:w="0" w:type="auto"/>
          </w:tcPr>
          <w:p>
            <w:pPr>
              <w:spacing w:line="240" w:lineRule="auto" w:before="0" w:after="0"/>
              <w:pStyle w:val="Compact"/>
            </w:pPr>
            <w:r>
              <w:rPr>
                <w:sz w:val="20"/>
                <w:szCs w:val="20"/>
              </w:rPr>
              <w:t xml:space="preserve">1142</w:t>
            </w:r>
          </w:p>
        </w:tc>
        <w:tc>
          <w:tcPr>
            <w:tcW w:w="0" w:type="auto"/>
          </w:tcPr>
          <w:p>
            <w:pPr>
              <w:spacing w:line="240" w:lineRule="auto" w:before="0" w:after="0"/>
              <w:pStyle w:val="Compact"/>
            </w:pPr>
            <w:r>
              <w:rPr>
                <w:sz w:val="20"/>
                <w:szCs w:val="20"/>
              </w:rPr>
              <w:t xml:space="preserve">4535</w:t>
            </w:r>
          </w:p>
        </w:tc>
        <w:tc>
          <w:tcPr>
            <w:tcW w:w="0" w:type="auto"/>
          </w:tcPr>
          <w:p>
            <w:pPr>
              <w:spacing w:line="240" w:lineRule="auto" w:before="0" w:after="0"/>
              <w:pStyle w:val="Compact"/>
            </w:pPr>
            <w:r>
              <w:rPr>
                <w:sz w:val="20"/>
                <w:szCs w:val="20"/>
              </w:rPr>
              <w:t xml:space="preserve">735</w:t>
            </w:r>
          </w:p>
        </w:tc>
        <w:tc>
          <w:tcPr>
            <w:tcW w:w="0" w:type="auto"/>
          </w:tcPr>
          <w:p>
            <w:pPr>
              <w:spacing w:line="240" w:lineRule="auto" w:before="0" w:after="0"/>
              <w:pStyle w:val="Compact"/>
            </w:pPr>
            <w:r>
              <w:rPr>
                <w:sz w:val="20"/>
                <w:szCs w:val="20"/>
              </w:rPr>
              <w:t xml:space="preserve">6413</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1971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623</w:t>
            </w:r>
          </w:p>
        </w:tc>
        <w:tc>
          <w:tcPr>
            <w:tcW w:w="0" w:type="auto"/>
          </w:tcPr>
          <w:p>
            <w:pPr>
              <w:spacing w:line="240" w:lineRule="auto" w:before="0" w:after="0"/>
              <w:pStyle w:val="Compact"/>
            </w:pPr>
            <w:r>
              <w:rPr>
                <w:sz w:val="20"/>
                <w:szCs w:val="20"/>
              </w:rPr>
              <w:t xml:space="preserve">146</w:t>
            </w:r>
          </w:p>
        </w:tc>
        <w:tc>
          <w:tcPr>
            <w:tcW w:w="0" w:type="auto"/>
          </w:tcPr>
          <w:p>
            <w:pPr>
              <w:spacing w:line="240" w:lineRule="auto" w:before="0" w:after="0"/>
              <w:pStyle w:val="Compact"/>
            </w:pPr>
            <w:r>
              <w:rPr>
                <w:sz w:val="20"/>
                <w:szCs w:val="20"/>
              </w:rPr>
              <w:t xml:space="preserve">369</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483</w:t>
            </w:r>
          </w:p>
        </w:tc>
        <w:tc>
          <w:tcPr>
            <w:tcW w:w="0" w:type="auto"/>
          </w:tcPr>
          <w:p>
            <w:pPr>
              <w:spacing w:line="240" w:lineRule="auto" w:before="0" w:after="0"/>
              <w:pStyle w:val="Compact"/>
            </w:pPr>
            <w:r>
              <w:rPr>
                <w:sz w:val="20"/>
                <w:szCs w:val="20"/>
              </w:rPr>
              <w:t xml:space="preserve">7035</w:t>
            </w:r>
          </w:p>
        </w:tc>
        <w:tc>
          <w:tcPr>
            <w:tcW w:w="0" w:type="auto"/>
          </w:tcPr>
          <w:p>
            <w:pPr>
              <w:spacing w:line="240" w:lineRule="auto" w:before="0" w:after="0"/>
              <w:pStyle w:val="Compact"/>
            </w:pPr>
            <w:r>
              <w:rPr>
                <w:sz w:val="20"/>
                <w:szCs w:val="20"/>
              </w:rPr>
              <w:t xml:space="preserve">1288</w:t>
            </w:r>
          </w:p>
        </w:tc>
        <w:tc>
          <w:tcPr>
            <w:tcW w:w="0" w:type="auto"/>
          </w:tcPr>
          <w:p>
            <w:pPr>
              <w:spacing w:line="240" w:lineRule="auto" w:before="0" w:after="0"/>
              <w:pStyle w:val="Compact"/>
            </w:pPr>
            <w:r>
              <w:rPr>
                <w:sz w:val="20"/>
                <w:szCs w:val="20"/>
              </w:rPr>
              <w:t xml:space="preserve">4904</w:t>
            </w:r>
          </w:p>
        </w:tc>
        <w:tc>
          <w:tcPr>
            <w:tcW w:w="0" w:type="auto"/>
          </w:tcPr>
          <w:p>
            <w:pPr>
              <w:spacing w:line="240" w:lineRule="auto" w:before="0" w:after="0"/>
              <w:pStyle w:val="Compact"/>
            </w:pPr>
            <w:r>
              <w:rPr>
                <w:sz w:val="20"/>
                <w:szCs w:val="20"/>
              </w:rPr>
              <w:t xml:space="preserve">843</w:t>
            </w:r>
          </w:p>
        </w:tc>
        <w:tc>
          <w:tcPr>
            <w:tcW w:w="0" w:type="auto"/>
          </w:tcPr>
          <w:p>
            <w:pPr>
              <w:spacing w:line="240" w:lineRule="auto" w:before="0" w:after="0"/>
              <w:pStyle w:val="Compact"/>
            </w:pPr>
            <w:r>
              <w:rPr>
                <w:sz w:val="20"/>
                <w:szCs w:val="20"/>
              </w:rPr>
              <w:t xml:space="preserve">7036</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1972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647</w:t>
            </w:r>
          </w:p>
        </w:tc>
        <w:tc>
          <w:tcPr>
            <w:tcW w:w="0" w:type="auto"/>
          </w:tcPr>
          <w:p>
            <w:pPr>
              <w:spacing w:line="240" w:lineRule="auto" w:before="0" w:after="0"/>
              <w:pStyle w:val="Compact"/>
            </w:pPr>
            <w:r>
              <w:rPr>
                <w:sz w:val="20"/>
                <w:szCs w:val="20"/>
              </w:rPr>
              <w:t xml:space="preserve">124</w:t>
            </w:r>
          </w:p>
        </w:tc>
        <w:tc>
          <w:tcPr>
            <w:tcW w:w="0" w:type="auto"/>
          </w:tcPr>
          <w:p>
            <w:pPr>
              <w:spacing w:line="240" w:lineRule="auto" w:before="0" w:after="0"/>
              <w:pStyle w:val="Compact"/>
            </w:pPr>
            <w:r>
              <w:rPr>
                <w:sz w:val="20"/>
                <w:szCs w:val="20"/>
              </w:rPr>
              <w:t xml:space="preserve">414</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526</w:t>
            </w:r>
          </w:p>
        </w:tc>
        <w:tc>
          <w:tcPr>
            <w:tcW w:w="0" w:type="auto"/>
          </w:tcPr>
          <w:p>
            <w:pPr>
              <w:spacing w:line="240" w:lineRule="auto" w:before="0" w:after="0"/>
              <w:pStyle w:val="Compact"/>
            </w:pPr>
            <w:r>
              <w:rPr>
                <w:sz w:val="20"/>
                <w:szCs w:val="20"/>
              </w:rPr>
              <w:t xml:space="preserve">7682</w:t>
            </w:r>
          </w:p>
        </w:tc>
        <w:tc>
          <w:tcPr>
            <w:tcW w:w="0" w:type="auto"/>
          </w:tcPr>
          <w:p>
            <w:pPr>
              <w:spacing w:line="240" w:lineRule="auto" w:before="0" w:after="0"/>
              <w:pStyle w:val="Compact"/>
            </w:pPr>
            <w:r>
              <w:rPr>
                <w:sz w:val="20"/>
                <w:szCs w:val="20"/>
              </w:rPr>
              <w:t xml:space="preserve">1412</w:t>
            </w:r>
          </w:p>
        </w:tc>
        <w:tc>
          <w:tcPr>
            <w:tcW w:w="0" w:type="auto"/>
          </w:tcPr>
          <w:p>
            <w:pPr>
              <w:spacing w:line="240" w:lineRule="auto" w:before="0" w:after="0"/>
              <w:pStyle w:val="Compact"/>
            </w:pPr>
            <w:r>
              <w:rPr>
                <w:sz w:val="20"/>
                <w:szCs w:val="20"/>
              </w:rPr>
              <w:t xml:space="preserve">5318</w:t>
            </w:r>
          </w:p>
        </w:tc>
        <w:tc>
          <w:tcPr>
            <w:tcW w:w="0" w:type="auto"/>
          </w:tcPr>
          <w:p>
            <w:pPr>
              <w:spacing w:line="240" w:lineRule="auto" w:before="0" w:after="0"/>
              <w:pStyle w:val="Compact"/>
            </w:pPr>
            <w:r>
              <w:rPr>
                <w:sz w:val="20"/>
                <w:szCs w:val="20"/>
              </w:rPr>
              <w:t xml:space="preserve">952</w:t>
            </w:r>
          </w:p>
        </w:tc>
        <w:tc>
          <w:tcPr>
            <w:tcW w:w="0" w:type="auto"/>
          </w:tcPr>
          <w:p>
            <w:pPr>
              <w:spacing w:line="240" w:lineRule="auto" w:before="0" w:after="0"/>
              <w:pStyle w:val="Compact"/>
            </w:pPr>
            <w:r>
              <w:rPr>
                <w:sz w:val="20"/>
                <w:szCs w:val="20"/>
              </w:rPr>
              <w:t xml:space="preserve">7683</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1973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866</w:t>
            </w:r>
          </w:p>
        </w:tc>
        <w:tc>
          <w:tcPr>
            <w:tcW w:w="0" w:type="auto"/>
          </w:tcPr>
          <w:p>
            <w:pPr>
              <w:spacing w:line="240" w:lineRule="auto" w:before="0" w:after="0"/>
              <w:pStyle w:val="Compact"/>
            </w:pPr>
            <w:r>
              <w:rPr>
                <w:sz w:val="20"/>
                <w:szCs w:val="20"/>
              </w:rPr>
              <w:t xml:space="preserve">125</w:t>
            </w:r>
          </w:p>
        </w:tc>
        <w:tc>
          <w:tcPr>
            <w:tcW w:w="0" w:type="auto"/>
          </w:tcPr>
          <w:p>
            <w:pPr>
              <w:spacing w:line="240" w:lineRule="auto" w:before="0" w:after="0"/>
              <w:pStyle w:val="Compact"/>
            </w:pPr>
            <w:r>
              <w:rPr>
                <w:sz w:val="20"/>
                <w:szCs w:val="20"/>
              </w:rPr>
              <w:t xml:space="preserve">623</w:t>
            </w:r>
          </w:p>
        </w:tc>
        <w:tc>
          <w:tcPr>
            <w:tcW w:w="0" w:type="auto"/>
          </w:tcPr>
          <w:p>
            <w:pPr>
              <w:spacing w:line="240" w:lineRule="auto" w:before="0" w:after="0"/>
              <w:pStyle w:val="Compact"/>
            </w:pPr>
            <w:r>
              <w:rPr>
                <w:sz w:val="20"/>
                <w:szCs w:val="20"/>
              </w:rPr>
              <w:t xml:space="preserve">118</w:t>
            </w:r>
          </w:p>
        </w:tc>
        <w:tc>
          <w:tcPr>
            <w:tcW w:w="0" w:type="auto"/>
          </w:tcPr>
          <w:p>
            <w:pPr>
              <w:spacing w:line="240" w:lineRule="auto" w:before="0" w:after="0"/>
              <w:pStyle w:val="Compact"/>
            </w:pPr>
            <w:r>
              <w:rPr>
                <w:sz w:val="20"/>
                <w:szCs w:val="20"/>
              </w:rPr>
              <w:t xml:space="preserve">599</w:t>
            </w:r>
          </w:p>
        </w:tc>
        <w:tc>
          <w:tcPr>
            <w:tcW w:w="0" w:type="auto"/>
          </w:tcPr>
          <w:p>
            <w:pPr>
              <w:spacing w:line="240" w:lineRule="auto" w:before="0" w:after="0"/>
              <w:pStyle w:val="Compact"/>
            </w:pPr>
            <w:r>
              <w:rPr>
                <w:sz w:val="20"/>
                <w:szCs w:val="20"/>
              </w:rPr>
              <w:t xml:space="preserve">8548</w:t>
            </w:r>
          </w:p>
        </w:tc>
        <w:tc>
          <w:tcPr>
            <w:tcW w:w="0" w:type="auto"/>
          </w:tcPr>
          <w:p>
            <w:pPr>
              <w:spacing w:line="240" w:lineRule="auto" w:before="0" w:after="0"/>
              <w:pStyle w:val="Compact"/>
            </w:pPr>
            <w:r>
              <w:rPr>
                <w:sz w:val="20"/>
                <w:szCs w:val="20"/>
              </w:rPr>
              <w:t xml:space="preserve">1537</w:t>
            </w:r>
          </w:p>
        </w:tc>
        <w:tc>
          <w:tcPr>
            <w:tcW w:w="0" w:type="auto"/>
          </w:tcPr>
          <w:p>
            <w:pPr>
              <w:spacing w:line="240" w:lineRule="auto" w:before="0" w:after="0"/>
              <w:pStyle w:val="Compact"/>
            </w:pPr>
            <w:r>
              <w:rPr>
                <w:sz w:val="20"/>
                <w:szCs w:val="20"/>
              </w:rPr>
              <w:t xml:space="preserve">5941</w:t>
            </w:r>
          </w:p>
        </w:tc>
        <w:tc>
          <w:tcPr>
            <w:tcW w:w="0" w:type="auto"/>
          </w:tcPr>
          <w:p>
            <w:pPr>
              <w:spacing w:line="240" w:lineRule="auto" w:before="0" w:after="0"/>
              <w:pStyle w:val="Compact"/>
            </w:pPr>
            <w:r>
              <w:rPr>
                <w:sz w:val="20"/>
                <w:szCs w:val="20"/>
              </w:rPr>
              <w:t xml:space="preserve">1070</w:t>
            </w:r>
          </w:p>
        </w:tc>
        <w:tc>
          <w:tcPr>
            <w:tcW w:w="0" w:type="auto"/>
          </w:tcPr>
          <w:p>
            <w:pPr>
              <w:spacing w:line="240" w:lineRule="auto" w:before="0" w:after="0"/>
              <w:pStyle w:val="Compact"/>
            </w:pPr>
            <w:r>
              <w:rPr>
                <w:sz w:val="20"/>
                <w:szCs w:val="20"/>
              </w:rPr>
              <w:t xml:space="preserve">8549</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1974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704</w:t>
            </w:r>
          </w:p>
        </w:tc>
        <w:tc>
          <w:tcPr>
            <w:tcW w:w="0" w:type="auto"/>
          </w:tcPr>
          <w:p>
            <w:pPr>
              <w:spacing w:line="240" w:lineRule="auto" w:before="0" w:after="0"/>
              <w:pStyle w:val="Compact"/>
            </w:pPr>
            <w:r>
              <w:rPr>
                <w:sz w:val="20"/>
                <w:szCs w:val="20"/>
              </w:rPr>
              <w:t xml:space="preserve">123</w:t>
            </w:r>
          </w:p>
        </w:tc>
        <w:tc>
          <w:tcPr>
            <w:tcW w:w="0" w:type="auto"/>
          </w:tcPr>
          <w:p>
            <w:pPr>
              <w:spacing w:line="240" w:lineRule="auto" w:before="0" w:after="0"/>
              <w:pStyle w:val="Compact"/>
            </w:pPr>
            <w:r>
              <w:rPr>
                <w:sz w:val="20"/>
                <w:szCs w:val="20"/>
              </w:rPr>
              <w:t xml:space="preserve">459</w:t>
            </w:r>
          </w:p>
        </w:tc>
        <w:tc>
          <w:tcPr>
            <w:tcW w:w="0" w:type="auto"/>
          </w:tcPr>
          <w:p>
            <w:pPr>
              <w:spacing w:line="240" w:lineRule="auto" w:before="0" w:after="0"/>
              <w:pStyle w:val="Compact"/>
            </w:pPr>
            <w:r>
              <w:rPr>
                <w:sz w:val="20"/>
                <w:szCs w:val="20"/>
              </w:rPr>
              <w:t xml:space="preserve">122</w:t>
            </w:r>
          </w:p>
        </w:tc>
        <w:tc>
          <w:tcPr>
            <w:tcW w:w="0" w:type="auto"/>
          </w:tcPr>
          <w:p>
            <w:pPr>
              <w:spacing w:line="240" w:lineRule="auto" w:before="0" w:after="0"/>
              <w:pStyle w:val="Compact"/>
            </w:pPr>
            <w:r>
              <w:rPr>
                <w:sz w:val="20"/>
                <w:szCs w:val="20"/>
              </w:rPr>
              <w:t xml:space="preserve">444</w:t>
            </w:r>
          </w:p>
        </w:tc>
        <w:tc>
          <w:tcPr>
            <w:tcW w:w="0" w:type="auto"/>
          </w:tcPr>
          <w:p>
            <w:pPr>
              <w:spacing w:line="240" w:lineRule="auto" w:before="0" w:after="0"/>
              <w:pStyle w:val="Compact"/>
            </w:pPr>
            <w:r>
              <w:rPr>
                <w:sz w:val="20"/>
                <w:szCs w:val="20"/>
              </w:rPr>
              <w:t xml:space="preserve">9252</w:t>
            </w:r>
          </w:p>
        </w:tc>
        <w:tc>
          <w:tcPr>
            <w:tcW w:w="0" w:type="auto"/>
          </w:tcPr>
          <w:p>
            <w:pPr>
              <w:spacing w:line="240" w:lineRule="auto" w:before="0" w:after="0"/>
              <w:pStyle w:val="Compact"/>
            </w:pPr>
            <w:r>
              <w:rPr>
                <w:sz w:val="20"/>
                <w:szCs w:val="20"/>
              </w:rPr>
              <w:t xml:space="preserve">1660</w:t>
            </w:r>
          </w:p>
        </w:tc>
        <w:tc>
          <w:tcPr>
            <w:tcW w:w="0" w:type="auto"/>
          </w:tcPr>
          <w:p>
            <w:pPr>
              <w:spacing w:line="240" w:lineRule="auto" w:before="0" w:after="0"/>
              <w:pStyle w:val="Compact"/>
            </w:pPr>
            <w:r>
              <w:rPr>
                <w:sz w:val="20"/>
                <w:szCs w:val="20"/>
              </w:rPr>
              <w:t xml:space="preserve">6400</w:t>
            </w:r>
          </w:p>
        </w:tc>
        <w:tc>
          <w:tcPr>
            <w:tcW w:w="0" w:type="auto"/>
          </w:tcPr>
          <w:p>
            <w:pPr>
              <w:spacing w:line="240" w:lineRule="auto" w:before="0" w:after="0"/>
              <w:pStyle w:val="Compact"/>
            </w:pPr>
            <w:r>
              <w:rPr>
                <w:sz w:val="20"/>
                <w:szCs w:val="20"/>
              </w:rPr>
              <w:t xml:space="preserve">1192</w:t>
            </w:r>
          </w:p>
        </w:tc>
        <w:tc>
          <w:tcPr>
            <w:tcW w:w="0" w:type="auto"/>
          </w:tcPr>
          <w:p>
            <w:pPr>
              <w:spacing w:line="240" w:lineRule="auto" w:before="0" w:after="0"/>
              <w:pStyle w:val="Compact"/>
            </w:pPr>
            <w:r>
              <w:rPr>
                <w:sz w:val="20"/>
                <w:szCs w:val="20"/>
              </w:rPr>
              <w:t xml:space="preserve">9253</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1975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1187</w:t>
            </w:r>
          </w:p>
        </w:tc>
        <w:tc>
          <w:tcPr>
            <w:tcW w:w="0" w:type="auto"/>
          </w:tcPr>
          <w:p>
            <w:pPr>
              <w:spacing w:line="240" w:lineRule="auto" w:before="0" w:after="0"/>
              <w:pStyle w:val="Compact"/>
            </w:pPr>
            <w:r>
              <w:rPr>
                <w:sz w:val="20"/>
                <w:szCs w:val="20"/>
              </w:rPr>
              <w:t xml:space="preserve">147</w:t>
            </w:r>
          </w:p>
        </w:tc>
        <w:tc>
          <w:tcPr>
            <w:tcW w:w="0" w:type="auto"/>
          </w:tcPr>
          <w:p>
            <w:pPr>
              <w:spacing w:line="240" w:lineRule="auto" w:before="0" w:after="0"/>
              <w:pStyle w:val="Compact"/>
            </w:pPr>
            <w:r>
              <w:rPr>
                <w:sz w:val="20"/>
                <w:szCs w:val="20"/>
              </w:rPr>
              <w:t xml:space="preserve">897</w:t>
            </w:r>
          </w:p>
        </w:tc>
        <w:tc>
          <w:tcPr>
            <w:tcW w:w="0" w:type="auto"/>
          </w:tcPr>
          <w:p>
            <w:pPr>
              <w:spacing w:line="240" w:lineRule="auto" w:before="0" w:after="0"/>
              <w:pStyle w:val="Compact"/>
            </w:pPr>
            <w:r>
              <w:rPr>
                <w:sz w:val="20"/>
                <w:szCs w:val="20"/>
              </w:rPr>
              <w:t xml:space="preserve">143</w:t>
            </w:r>
          </w:p>
        </w:tc>
        <w:tc>
          <w:tcPr>
            <w:tcW w:w="0" w:type="auto"/>
          </w:tcPr>
          <w:p>
            <w:pPr>
              <w:spacing w:line="240" w:lineRule="auto" w:before="0" w:after="0"/>
              <w:pStyle w:val="Compact"/>
            </w:pPr>
            <w:r>
              <w:rPr>
                <w:sz w:val="20"/>
                <w:szCs w:val="20"/>
              </w:rPr>
              <w:t xml:space="preserve">823</w:t>
            </w:r>
          </w:p>
        </w:tc>
        <w:tc>
          <w:tcPr>
            <w:tcW w:w="0" w:type="auto"/>
          </w:tcPr>
          <w:p>
            <w:pPr>
              <w:spacing w:line="240" w:lineRule="auto" w:before="0" w:after="0"/>
              <w:pStyle w:val="Compact"/>
            </w:pPr>
            <w:r>
              <w:rPr>
                <w:sz w:val="20"/>
                <w:szCs w:val="20"/>
              </w:rPr>
              <w:t xml:space="preserve">10439</w:t>
            </w:r>
          </w:p>
        </w:tc>
        <w:tc>
          <w:tcPr>
            <w:tcW w:w="0" w:type="auto"/>
          </w:tcPr>
          <w:p>
            <w:pPr>
              <w:spacing w:line="240" w:lineRule="auto" w:before="0" w:after="0"/>
              <w:pStyle w:val="Compact"/>
            </w:pPr>
            <w:r>
              <w:rPr>
                <w:sz w:val="20"/>
                <w:szCs w:val="20"/>
              </w:rPr>
              <w:t xml:space="preserve">1807</w:t>
            </w:r>
          </w:p>
        </w:tc>
        <w:tc>
          <w:tcPr>
            <w:tcW w:w="0" w:type="auto"/>
          </w:tcPr>
          <w:p>
            <w:pPr>
              <w:spacing w:line="240" w:lineRule="auto" w:before="0" w:after="0"/>
              <w:pStyle w:val="Compact"/>
            </w:pPr>
            <w:r>
              <w:rPr>
                <w:sz w:val="20"/>
                <w:szCs w:val="20"/>
              </w:rPr>
              <w:t xml:space="preserve">7297</w:t>
            </w:r>
          </w:p>
        </w:tc>
        <w:tc>
          <w:tcPr>
            <w:tcW w:w="0" w:type="auto"/>
          </w:tcPr>
          <w:p>
            <w:pPr>
              <w:spacing w:line="240" w:lineRule="auto" w:before="0" w:after="0"/>
              <w:pStyle w:val="Compact"/>
            </w:pPr>
            <w:r>
              <w:rPr>
                <w:sz w:val="20"/>
                <w:szCs w:val="20"/>
              </w:rPr>
              <w:t xml:space="preserve">1335</w:t>
            </w:r>
          </w:p>
        </w:tc>
        <w:tc>
          <w:tcPr>
            <w:tcW w:w="0" w:type="auto"/>
          </w:tcPr>
          <w:p>
            <w:pPr>
              <w:spacing w:line="240" w:lineRule="auto" w:before="0" w:after="0"/>
              <w:pStyle w:val="Compact"/>
            </w:pPr>
            <w:r>
              <w:rPr>
                <w:sz w:val="20"/>
                <w:szCs w:val="20"/>
              </w:rPr>
              <w:t xml:space="preserve">10440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1976</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1263</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956</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830</w:t>
            </w:r>
          </w:p>
        </w:tc>
        <w:tc>
          <w:tcPr>
            <w:tcW w:w="0" w:type="auto"/>
          </w:tcPr>
          <w:p>
            <w:pPr>
              <w:spacing w:line="240" w:lineRule="auto" w:before="0" w:after="0"/>
              <w:pStyle w:val="Compact"/>
            </w:pPr>
            <w:r>
              <w:rPr>
                <w:sz w:val="20"/>
                <w:szCs w:val="20"/>
              </w:rPr>
              <w:t xml:space="preserve">11702</w:t>
            </w:r>
          </w:p>
        </w:tc>
        <w:tc>
          <w:tcPr>
            <w:tcW w:w="0" w:type="auto"/>
          </w:tcPr>
          <w:p>
            <w:pPr>
              <w:spacing w:line="240" w:lineRule="auto" w:before="0" w:after="0"/>
              <w:pStyle w:val="Compact"/>
            </w:pPr>
            <w:r>
              <w:rPr>
                <w:sz w:val="20"/>
                <w:szCs w:val="20"/>
              </w:rPr>
              <w:t xml:space="preserve">1964</w:t>
            </w:r>
          </w:p>
        </w:tc>
        <w:tc>
          <w:tcPr>
            <w:tcW w:w="0" w:type="auto"/>
          </w:tcPr>
          <w:p>
            <w:pPr>
              <w:spacing w:line="240" w:lineRule="auto" w:before="0" w:after="0"/>
              <w:pStyle w:val="Compact"/>
            </w:pPr>
            <w:r>
              <w:rPr>
                <w:sz w:val="20"/>
                <w:szCs w:val="20"/>
              </w:rPr>
              <w:t xml:space="preserve">8253</w:t>
            </w:r>
          </w:p>
        </w:tc>
        <w:tc>
          <w:tcPr>
            <w:tcW w:w="0" w:type="auto"/>
          </w:tcPr>
          <w:p>
            <w:pPr>
              <w:spacing w:line="240" w:lineRule="auto" w:before="0" w:after="0"/>
              <w:pStyle w:val="Compact"/>
            </w:pPr>
            <w:r>
              <w:rPr>
                <w:sz w:val="20"/>
                <w:szCs w:val="20"/>
              </w:rPr>
              <w:t xml:space="preserve">1485</w:t>
            </w:r>
          </w:p>
        </w:tc>
        <w:tc>
          <w:tcPr>
            <w:tcW w:w="0" w:type="auto"/>
          </w:tcPr>
          <w:p>
            <w:pPr>
              <w:spacing w:line="240" w:lineRule="auto" w:before="0" w:after="0"/>
              <w:pStyle w:val="Compact"/>
            </w:pPr>
            <w:r>
              <w:rPr>
                <w:sz w:val="20"/>
                <w:szCs w:val="20"/>
              </w:rPr>
              <w:t xml:space="preserve">11703</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1977</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951</w:t>
            </w:r>
          </w:p>
        </w:tc>
        <w:tc>
          <w:tcPr>
            <w:tcW w:w="0" w:type="auto"/>
          </w:tcPr>
          <w:p>
            <w:pPr>
              <w:spacing w:line="240" w:lineRule="auto" w:before="0" w:after="0"/>
              <w:pStyle w:val="Compact"/>
            </w:pPr>
            <w:r>
              <w:rPr>
                <w:sz w:val="20"/>
                <w:szCs w:val="20"/>
              </w:rPr>
              <w:t xml:space="preserve">134</w:t>
            </w:r>
          </w:p>
        </w:tc>
        <w:tc>
          <w:tcPr>
            <w:tcW w:w="0" w:type="auto"/>
          </w:tcPr>
          <w:p>
            <w:pPr>
              <w:spacing w:line="240" w:lineRule="auto" w:before="0" w:after="0"/>
              <w:pStyle w:val="Compact"/>
            </w:pPr>
            <w:r>
              <w:rPr>
                <w:sz w:val="20"/>
                <w:szCs w:val="20"/>
              </w:rPr>
              <w:t xml:space="preserve">671</w:t>
            </w:r>
          </w:p>
        </w:tc>
        <w:tc>
          <w:tcPr>
            <w:tcW w:w="0" w:type="auto"/>
          </w:tcPr>
          <w:p>
            <w:pPr>
              <w:spacing w:line="240" w:lineRule="auto" w:before="0" w:after="0"/>
              <w:pStyle w:val="Compact"/>
            </w:pPr>
            <w:r>
              <w:rPr>
                <w:sz w:val="20"/>
                <w:szCs w:val="20"/>
              </w:rPr>
              <w:t xml:space="preserve">146</w:t>
            </w:r>
          </w:p>
        </w:tc>
        <w:tc>
          <w:tcPr>
            <w:tcW w:w="0" w:type="auto"/>
          </w:tcPr>
          <w:p>
            <w:pPr>
              <w:spacing w:line="240" w:lineRule="auto" w:before="0" w:after="0"/>
              <w:pStyle w:val="Compact"/>
            </w:pPr>
            <w:r>
              <w:rPr>
                <w:sz w:val="20"/>
                <w:szCs w:val="20"/>
              </w:rPr>
              <w:t xml:space="preserve">618</w:t>
            </w:r>
          </w:p>
        </w:tc>
        <w:tc>
          <w:tcPr>
            <w:tcW w:w="0" w:type="auto"/>
          </w:tcPr>
          <w:p>
            <w:pPr>
              <w:spacing w:line="240" w:lineRule="auto" w:before="0" w:after="0"/>
              <w:pStyle w:val="Compact"/>
            </w:pPr>
            <w:r>
              <w:rPr>
                <w:sz w:val="20"/>
                <w:szCs w:val="20"/>
              </w:rPr>
              <w:t xml:space="preserve">12653</w:t>
            </w:r>
          </w:p>
        </w:tc>
        <w:tc>
          <w:tcPr>
            <w:tcW w:w="0" w:type="auto"/>
          </w:tcPr>
          <w:p>
            <w:pPr>
              <w:spacing w:line="240" w:lineRule="auto" w:before="0" w:after="0"/>
              <w:pStyle w:val="Compact"/>
            </w:pPr>
            <w:r>
              <w:rPr>
                <w:sz w:val="20"/>
                <w:szCs w:val="20"/>
              </w:rPr>
              <w:t xml:space="preserve">2098</w:t>
            </w:r>
          </w:p>
        </w:tc>
        <w:tc>
          <w:tcPr>
            <w:tcW w:w="0" w:type="auto"/>
          </w:tcPr>
          <w:p>
            <w:pPr>
              <w:spacing w:line="240" w:lineRule="auto" w:before="0" w:after="0"/>
              <w:pStyle w:val="Compact"/>
            </w:pPr>
            <w:r>
              <w:rPr>
                <w:sz w:val="20"/>
                <w:szCs w:val="20"/>
              </w:rPr>
              <w:t xml:space="preserve">8924</w:t>
            </w:r>
          </w:p>
        </w:tc>
        <w:tc>
          <w:tcPr>
            <w:tcW w:w="0" w:type="auto"/>
          </w:tcPr>
          <w:p>
            <w:pPr>
              <w:spacing w:line="240" w:lineRule="auto" w:before="0" w:after="0"/>
              <w:pStyle w:val="Compact"/>
            </w:pPr>
            <w:r>
              <w:rPr>
                <w:sz w:val="20"/>
                <w:szCs w:val="20"/>
              </w:rPr>
              <w:t xml:space="preserve">1631</w:t>
            </w:r>
          </w:p>
        </w:tc>
        <w:tc>
          <w:tcPr>
            <w:tcW w:w="0" w:type="auto"/>
          </w:tcPr>
          <w:p>
            <w:pPr>
              <w:spacing w:line="240" w:lineRule="auto" w:before="0" w:after="0"/>
              <w:pStyle w:val="Compact"/>
            </w:pPr>
            <w:r>
              <w:rPr>
                <w:sz w:val="20"/>
                <w:szCs w:val="20"/>
              </w:rPr>
              <w:t xml:space="preserve">12654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1978</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781</w:t>
            </w:r>
          </w:p>
        </w:tc>
        <w:tc>
          <w:tcPr>
            <w:tcW w:w="0" w:type="auto"/>
          </w:tcPr>
          <w:p>
            <w:pPr>
              <w:spacing w:line="240" w:lineRule="auto" w:before="0" w:after="0"/>
              <w:pStyle w:val="Compact"/>
            </w:pPr>
            <w:r>
              <w:rPr>
                <w:sz w:val="20"/>
                <w:szCs w:val="20"/>
              </w:rPr>
              <w:t xml:space="preserve">155</w:t>
            </w:r>
          </w:p>
        </w:tc>
        <w:tc>
          <w:tcPr>
            <w:tcW w:w="0" w:type="auto"/>
          </w:tcPr>
          <w:p>
            <w:pPr>
              <w:spacing w:line="240" w:lineRule="auto" w:before="0" w:after="0"/>
              <w:pStyle w:val="Compact"/>
            </w:pPr>
            <w:r>
              <w:rPr>
                <w:sz w:val="20"/>
                <w:szCs w:val="20"/>
              </w:rPr>
              <w:t xml:space="preserve">483</w:t>
            </w:r>
          </w:p>
        </w:tc>
        <w:tc>
          <w:tcPr>
            <w:tcW w:w="0" w:type="auto"/>
          </w:tcPr>
          <w:p>
            <w:pPr>
              <w:spacing w:line="240" w:lineRule="auto" w:before="0" w:after="0"/>
              <w:pStyle w:val="Compact"/>
            </w:pPr>
            <w:r>
              <w:rPr>
                <w:sz w:val="20"/>
                <w:szCs w:val="20"/>
              </w:rPr>
              <w:t xml:space="preserve">143</w:t>
            </w:r>
          </w:p>
        </w:tc>
        <w:tc>
          <w:tcPr>
            <w:tcW w:w="0" w:type="auto"/>
          </w:tcPr>
          <w:p>
            <w:pPr>
              <w:spacing w:line="240" w:lineRule="auto" w:before="0" w:after="0"/>
              <w:pStyle w:val="Compact"/>
            </w:pPr>
            <w:r>
              <w:rPr>
                <w:sz w:val="20"/>
                <w:szCs w:val="20"/>
              </w:rPr>
              <w:t xml:space="preserve">449</w:t>
            </w:r>
          </w:p>
        </w:tc>
        <w:tc>
          <w:tcPr>
            <w:tcW w:w="0" w:type="auto"/>
          </w:tcPr>
          <w:p>
            <w:pPr>
              <w:spacing w:line="240" w:lineRule="auto" w:before="0" w:after="0"/>
              <w:pStyle w:val="Compact"/>
            </w:pPr>
            <w:r>
              <w:rPr>
                <w:sz w:val="20"/>
                <w:szCs w:val="20"/>
              </w:rPr>
              <w:t xml:space="preserve">13434</w:t>
            </w:r>
          </w:p>
        </w:tc>
        <w:tc>
          <w:tcPr>
            <w:tcW w:w="0" w:type="auto"/>
          </w:tcPr>
          <w:p>
            <w:pPr>
              <w:spacing w:line="240" w:lineRule="auto" w:before="0" w:after="0"/>
              <w:pStyle w:val="Compact"/>
            </w:pPr>
            <w:r>
              <w:rPr>
                <w:sz w:val="20"/>
                <w:szCs w:val="20"/>
              </w:rPr>
              <w:t xml:space="preserve">2253</w:t>
            </w:r>
          </w:p>
        </w:tc>
        <w:tc>
          <w:tcPr>
            <w:tcW w:w="0" w:type="auto"/>
          </w:tcPr>
          <w:p>
            <w:pPr>
              <w:spacing w:line="240" w:lineRule="auto" w:before="0" w:after="0"/>
              <w:pStyle w:val="Compact"/>
            </w:pPr>
            <w:r>
              <w:rPr>
                <w:sz w:val="20"/>
                <w:szCs w:val="20"/>
              </w:rPr>
              <w:t xml:space="preserve">9407</w:t>
            </w:r>
          </w:p>
        </w:tc>
        <w:tc>
          <w:tcPr>
            <w:tcW w:w="0" w:type="auto"/>
          </w:tcPr>
          <w:p>
            <w:pPr>
              <w:spacing w:line="240" w:lineRule="auto" w:before="0" w:after="0"/>
              <w:pStyle w:val="Compact"/>
            </w:pPr>
            <w:r>
              <w:rPr>
                <w:sz w:val="20"/>
                <w:szCs w:val="20"/>
              </w:rPr>
              <w:t xml:space="preserve">1774</w:t>
            </w:r>
          </w:p>
        </w:tc>
        <w:tc>
          <w:tcPr>
            <w:tcW w:w="0" w:type="auto"/>
          </w:tcPr>
          <w:p>
            <w:pPr>
              <w:spacing w:line="240" w:lineRule="auto" w:before="0" w:after="0"/>
              <w:pStyle w:val="Compact"/>
            </w:pPr>
            <w:r>
              <w:rPr>
                <w:sz w:val="20"/>
                <w:szCs w:val="20"/>
              </w:rPr>
              <w:t xml:space="preserve">13435</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1979</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873</w:t>
            </w:r>
          </w:p>
        </w:tc>
        <w:tc>
          <w:tcPr>
            <w:tcW w:w="0" w:type="auto"/>
          </w:tcPr>
          <w:p>
            <w:pPr>
              <w:spacing w:line="240" w:lineRule="auto" w:before="0" w:after="0"/>
              <w:pStyle w:val="Compact"/>
            </w:pPr>
            <w:r>
              <w:rPr>
                <w:sz w:val="20"/>
                <w:szCs w:val="20"/>
              </w:rPr>
              <w:t xml:space="preserve">123</w:t>
            </w:r>
          </w:p>
        </w:tc>
        <w:tc>
          <w:tcPr>
            <w:tcW w:w="0" w:type="auto"/>
          </w:tcPr>
          <w:p>
            <w:pPr>
              <w:spacing w:line="240" w:lineRule="auto" w:before="0" w:after="0"/>
              <w:pStyle w:val="Compact"/>
            </w:pPr>
            <w:r>
              <w:rPr>
                <w:sz w:val="20"/>
                <w:szCs w:val="20"/>
              </w:rPr>
              <w:t xml:space="preserve">619</w:t>
            </w:r>
          </w:p>
        </w:tc>
        <w:tc>
          <w:tcPr>
            <w:tcW w:w="0" w:type="auto"/>
          </w:tcPr>
          <w:p>
            <w:pPr>
              <w:spacing w:line="240" w:lineRule="auto" w:before="0" w:after="0"/>
              <w:pStyle w:val="Compact"/>
            </w:pPr>
            <w:r>
              <w:rPr>
                <w:sz w:val="20"/>
                <w:szCs w:val="20"/>
              </w:rPr>
              <w:t xml:space="preserve">131</w:t>
            </w:r>
          </w:p>
        </w:tc>
        <w:tc>
          <w:tcPr>
            <w:tcW w:w="0" w:type="auto"/>
          </w:tcPr>
          <w:p>
            <w:pPr>
              <w:spacing w:line="240" w:lineRule="auto" w:before="0" w:after="0"/>
              <w:pStyle w:val="Compact"/>
            </w:pPr>
            <w:r>
              <w:rPr>
                <w:sz w:val="20"/>
                <w:szCs w:val="20"/>
              </w:rPr>
              <w:t xml:space="preserve">688</w:t>
            </w:r>
          </w:p>
        </w:tc>
        <w:tc>
          <w:tcPr>
            <w:tcW w:w="0" w:type="auto"/>
          </w:tcPr>
          <w:p>
            <w:pPr>
              <w:spacing w:line="240" w:lineRule="auto" w:before="0" w:after="0"/>
              <w:pStyle w:val="Compact"/>
            </w:pPr>
            <w:r>
              <w:rPr>
                <w:sz w:val="20"/>
                <w:szCs w:val="20"/>
              </w:rPr>
              <w:t xml:space="preserve">14307</w:t>
            </w:r>
          </w:p>
        </w:tc>
        <w:tc>
          <w:tcPr>
            <w:tcW w:w="0" w:type="auto"/>
          </w:tcPr>
          <w:p>
            <w:pPr>
              <w:spacing w:line="240" w:lineRule="auto" w:before="0" w:after="0"/>
              <w:pStyle w:val="Compact"/>
            </w:pPr>
            <w:r>
              <w:rPr>
                <w:sz w:val="20"/>
                <w:szCs w:val="20"/>
              </w:rPr>
              <w:t xml:space="preserve">2376</w:t>
            </w:r>
          </w:p>
        </w:tc>
        <w:tc>
          <w:tcPr>
            <w:tcW w:w="0" w:type="auto"/>
          </w:tcPr>
          <w:p>
            <w:pPr>
              <w:spacing w:line="240" w:lineRule="auto" w:before="0" w:after="0"/>
              <w:pStyle w:val="Compact"/>
            </w:pPr>
            <w:r>
              <w:rPr>
                <w:sz w:val="20"/>
                <w:szCs w:val="20"/>
              </w:rPr>
              <w:t xml:space="preserve">10026</w:t>
            </w:r>
          </w:p>
        </w:tc>
        <w:tc>
          <w:tcPr>
            <w:tcW w:w="0" w:type="auto"/>
          </w:tcPr>
          <w:p>
            <w:pPr>
              <w:spacing w:line="240" w:lineRule="auto" w:before="0" w:after="0"/>
              <w:pStyle w:val="Compact"/>
            </w:pPr>
            <w:r>
              <w:rPr>
                <w:sz w:val="20"/>
                <w:szCs w:val="20"/>
              </w:rPr>
              <w:t xml:space="preserve">1905</w:t>
            </w:r>
          </w:p>
        </w:tc>
        <w:tc>
          <w:tcPr>
            <w:tcW w:w="0" w:type="auto"/>
          </w:tcPr>
          <w:p>
            <w:pPr>
              <w:spacing w:line="240" w:lineRule="auto" w:before="0" w:after="0"/>
              <w:pStyle w:val="Compact"/>
            </w:pPr>
            <w:r>
              <w:rPr>
                <w:sz w:val="20"/>
                <w:szCs w:val="20"/>
              </w:rPr>
              <w:t xml:space="preserve">14308</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1980</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643</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382</w:t>
            </w:r>
          </w:p>
        </w:tc>
        <w:tc>
          <w:tcPr>
            <w:tcW w:w="0" w:type="auto"/>
          </w:tcPr>
          <w:p>
            <w:pPr>
              <w:spacing w:line="240" w:lineRule="auto" w:before="0" w:after="0"/>
              <w:pStyle w:val="Compact"/>
            </w:pPr>
            <w:r>
              <w:rPr>
                <w:sz w:val="20"/>
                <w:szCs w:val="20"/>
              </w:rPr>
              <w:t xml:space="preserve">131</w:t>
            </w:r>
          </w:p>
        </w:tc>
        <w:tc>
          <w:tcPr>
            <w:tcW w:w="0" w:type="auto"/>
          </w:tcPr>
          <w:p>
            <w:pPr>
              <w:spacing w:line="240" w:lineRule="auto" w:before="0" w:after="0"/>
              <w:pStyle w:val="Compact"/>
            </w:pPr>
            <w:r>
              <w:rPr>
                <w:sz w:val="20"/>
                <w:szCs w:val="20"/>
              </w:rPr>
              <w:t xml:space="preserve">502</w:t>
            </w:r>
          </w:p>
        </w:tc>
        <w:tc>
          <w:tcPr>
            <w:tcW w:w="0" w:type="auto"/>
          </w:tcPr>
          <w:p>
            <w:pPr>
              <w:spacing w:line="240" w:lineRule="auto" w:before="0" w:after="0"/>
              <w:pStyle w:val="Compact"/>
            </w:pPr>
            <w:r>
              <w:rPr>
                <w:sz w:val="20"/>
                <w:szCs w:val="20"/>
              </w:rPr>
              <w:t xml:space="preserve">14950</w:t>
            </w:r>
          </w:p>
        </w:tc>
        <w:tc>
          <w:tcPr>
            <w:tcW w:w="0" w:type="auto"/>
          </w:tcPr>
          <w:p>
            <w:pPr>
              <w:spacing w:line="240" w:lineRule="auto" w:before="0" w:after="0"/>
              <w:pStyle w:val="Compact"/>
            </w:pPr>
            <w:r>
              <w:rPr>
                <w:sz w:val="20"/>
                <w:szCs w:val="20"/>
              </w:rPr>
              <w:t xml:space="preserve">2506</w:t>
            </w:r>
          </w:p>
        </w:tc>
        <w:tc>
          <w:tcPr>
            <w:tcW w:w="0" w:type="auto"/>
          </w:tcPr>
          <w:p>
            <w:pPr>
              <w:spacing w:line="240" w:lineRule="auto" w:before="0" w:after="0"/>
              <w:pStyle w:val="Compact"/>
            </w:pPr>
            <w:r>
              <w:rPr>
                <w:sz w:val="20"/>
                <w:szCs w:val="20"/>
              </w:rPr>
              <w:t xml:space="preserve">10408</w:t>
            </w:r>
          </w:p>
        </w:tc>
        <w:tc>
          <w:tcPr>
            <w:tcW w:w="0" w:type="auto"/>
          </w:tcPr>
          <w:p>
            <w:pPr>
              <w:spacing w:line="240" w:lineRule="auto" w:before="0" w:after="0"/>
              <w:pStyle w:val="Compact"/>
            </w:pPr>
            <w:r>
              <w:rPr>
                <w:sz w:val="20"/>
                <w:szCs w:val="20"/>
              </w:rPr>
              <w:t xml:space="preserve">2036</w:t>
            </w:r>
          </w:p>
        </w:tc>
        <w:tc>
          <w:tcPr>
            <w:tcW w:w="0" w:type="auto"/>
          </w:tcPr>
          <w:p>
            <w:pPr>
              <w:spacing w:line="240" w:lineRule="auto" w:before="0" w:after="0"/>
              <w:pStyle w:val="Compact"/>
            </w:pPr>
            <w:r>
              <w:rPr>
                <w:sz w:val="20"/>
                <w:szCs w:val="20"/>
              </w:rPr>
              <w:t xml:space="preserve">14951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1981</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1188</w:t>
            </w:r>
          </w:p>
        </w:tc>
        <w:tc>
          <w:tcPr>
            <w:tcW w:w="0" w:type="auto"/>
          </w:tcPr>
          <w:p>
            <w:pPr>
              <w:spacing w:line="240" w:lineRule="auto" w:before="0" w:after="0"/>
              <w:pStyle w:val="Compact"/>
            </w:pPr>
            <w:r>
              <w:rPr>
                <w:sz w:val="20"/>
                <w:szCs w:val="20"/>
              </w:rPr>
              <w:t xml:space="preserve">155</w:t>
            </w:r>
          </w:p>
        </w:tc>
        <w:tc>
          <w:tcPr>
            <w:tcW w:w="0" w:type="auto"/>
          </w:tcPr>
          <w:p>
            <w:pPr>
              <w:spacing w:line="240" w:lineRule="auto" w:before="0" w:after="0"/>
              <w:pStyle w:val="Compact"/>
            </w:pPr>
            <w:r>
              <w:rPr>
                <w:sz w:val="20"/>
                <w:szCs w:val="20"/>
              </w:rPr>
              <w:t xml:space="preserve">882</w:t>
            </w:r>
          </w:p>
        </w:tc>
        <w:tc>
          <w:tcPr>
            <w:tcW w:w="0" w:type="auto"/>
          </w:tcPr>
          <w:p>
            <w:pPr>
              <w:spacing w:line="240" w:lineRule="auto" w:before="0" w:after="0"/>
              <w:pStyle w:val="Compact"/>
            </w:pPr>
            <w:r>
              <w:rPr>
                <w:sz w:val="20"/>
                <w:szCs w:val="20"/>
              </w:rPr>
              <w:t xml:space="preserve">151</w:t>
            </w:r>
          </w:p>
        </w:tc>
        <w:tc>
          <w:tcPr>
            <w:tcW w:w="0" w:type="auto"/>
          </w:tcPr>
          <w:p>
            <w:pPr>
              <w:spacing w:line="240" w:lineRule="auto" w:before="0" w:after="0"/>
              <w:pStyle w:val="Compact"/>
            </w:pPr>
            <w:r>
              <w:rPr>
                <w:sz w:val="20"/>
                <w:szCs w:val="20"/>
              </w:rPr>
              <w:t xml:space="preserve">547</w:t>
            </w:r>
          </w:p>
        </w:tc>
        <w:tc>
          <w:tcPr>
            <w:tcW w:w="0" w:type="auto"/>
          </w:tcPr>
          <w:p>
            <w:pPr>
              <w:spacing w:line="240" w:lineRule="auto" w:before="0" w:after="0"/>
              <w:pStyle w:val="Compact"/>
            </w:pPr>
            <w:r>
              <w:rPr>
                <w:sz w:val="20"/>
                <w:szCs w:val="20"/>
              </w:rPr>
              <w:t xml:space="preserve">16138</w:t>
            </w:r>
          </w:p>
        </w:tc>
        <w:tc>
          <w:tcPr>
            <w:tcW w:w="0" w:type="auto"/>
          </w:tcPr>
          <w:p>
            <w:pPr>
              <w:spacing w:line="240" w:lineRule="auto" w:before="0" w:after="0"/>
              <w:pStyle w:val="Compact"/>
            </w:pPr>
            <w:r>
              <w:rPr>
                <w:sz w:val="20"/>
                <w:szCs w:val="20"/>
              </w:rPr>
              <w:t xml:space="preserve">2661</w:t>
            </w:r>
          </w:p>
        </w:tc>
        <w:tc>
          <w:tcPr>
            <w:tcW w:w="0" w:type="auto"/>
          </w:tcPr>
          <w:p>
            <w:pPr>
              <w:spacing w:line="240" w:lineRule="auto" w:before="0" w:after="0"/>
              <w:pStyle w:val="Compact"/>
            </w:pPr>
            <w:r>
              <w:rPr>
                <w:sz w:val="20"/>
                <w:szCs w:val="20"/>
              </w:rPr>
              <w:t xml:space="preserve">11290</w:t>
            </w:r>
          </w:p>
        </w:tc>
        <w:tc>
          <w:tcPr>
            <w:tcW w:w="0" w:type="auto"/>
          </w:tcPr>
          <w:p>
            <w:pPr>
              <w:spacing w:line="240" w:lineRule="auto" w:before="0" w:after="0"/>
              <w:pStyle w:val="Compact"/>
            </w:pPr>
            <w:r>
              <w:rPr>
                <w:sz w:val="20"/>
                <w:szCs w:val="20"/>
              </w:rPr>
              <w:t xml:space="preserve">2187</w:t>
            </w:r>
          </w:p>
        </w:tc>
        <w:tc>
          <w:tcPr>
            <w:tcW w:w="0" w:type="auto"/>
          </w:tcPr>
          <w:p>
            <w:pPr>
              <w:spacing w:line="240" w:lineRule="auto" w:before="0" w:after="0"/>
              <w:pStyle w:val="Compact"/>
            </w:pPr>
            <w:r>
              <w:rPr>
                <w:sz w:val="20"/>
                <w:szCs w:val="20"/>
              </w:rPr>
              <w:t xml:space="preserve">16139</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1982</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2755</w:t>
            </w:r>
          </w:p>
        </w:tc>
        <w:tc>
          <w:tcPr>
            <w:tcW w:w="0" w:type="auto"/>
          </w:tcPr>
          <w:p>
            <w:pPr>
              <w:spacing w:line="240" w:lineRule="auto" w:before="0" w:after="0"/>
              <w:pStyle w:val="Compact"/>
            </w:pPr>
            <w:r>
              <w:rPr>
                <w:sz w:val="20"/>
                <w:szCs w:val="20"/>
              </w:rPr>
              <w:t xml:space="preserve">143</w:t>
            </w:r>
          </w:p>
        </w:tc>
        <w:tc>
          <w:tcPr>
            <w:tcW w:w="0" w:type="auto"/>
          </w:tcPr>
          <w:p>
            <w:pPr>
              <w:spacing w:line="240" w:lineRule="auto" w:before="0" w:after="0"/>
              <w:pStyle w:val="Compact"/>
            </w:pPr>
            <w:r>
              <w:rPr>
                <w:sz w:val="20"/>
                <w:szCs w:val="20"/>
              </w:rPr>
              <w:t xml:space="preserve">2462</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2495</w:t>
            </w:r>
          </w:p>
        </w:tc>
        <w:tc>
          <w:tcPr>
            <w:tcW w:w="0" w:type="auto"/>
          </w:tcPr>
          <w:p>
            <w:pPr>
              <w:spacing w:line="240" w:lineRule="auto" w:before="0" w:after="0"/>
              <w:pStyle w:val="Compact"/>
            </w:pPr>
            <w:r>
              <w:rPr>
                <w:sz w:val="20"/>
                <w:szCs w:val="20"/>
              </w:rPr>
              <w:t xml:space="preserve">18893</w:t>
            </w:r>
          </w:p>
        </w:tc>
        <w:tc>
          <w:tcPr>
            <w:tcW w:w="0" w:type="auto"/>
          </w:tcPr>
          <w:p>
            <w:pPr>
              <w:spacing w:line="240" w:lineRule="auto" w:before="0" w:after="0"/>
              <w:pStyle w:val="Compact"/>
            </w:pPr>
            <w:r>
              <w:rPr>
                <w:sz w:val="20"/>
                <w:szCs w:val="20"/>
              </w:rPr>
              <w:t xml:space="preserve">2804</w:t>
            </w:r>
          </w:p>
        </w:tc>
        <w:tc>
          <w:tcPr>
            <w:tcW w:w="0" w:type="auto"/>
          </w:tcPr>
          <w:p>
            <w:pPr>
              <w:spacing w:line="240" w:lineRule="auto" w:before="0" w:after="0"/>
              <w:pStyle w:val="Compact"/>
            </w:pPr>
            <w:r>
              <w:rPr>
                <w:sz w:val="20"/>
                <w:szCs w:val="20"/>
              </w:rPr>
              <w:t xml:space="preserve">13752</w:t>
            </w:r>
          </w:p>
        </w:tc>
        <w:tc>
          <w:tcPr>
            <w:tcW w:w="0" w:type="auto"/>
          </w:tcPr>
          <w:p>
            <w:pPr>
              <w:spacing w:line="240" w:lineRule="auto" w:before="0" w:after="0"/>
              <w:pStyle w:val="Compact"/>
            </w:pPr>
            <w:r>
              <w:rPr>
                <w:sz w:val="20"/>
                <w:szCs w:val="20"/>
              </w:rPr>
              <w:t xml:space="preserve">2337</w:t>
            </w:r>
          </w:p>
        </w:tc>
        <w:tc>
          <w:tcPr>
            <w:tcW w:w="0" w:type="auto"/>
          </w:tcPr>
          <w:p>
            <w:pPr>
              <w:spacing w:line="240" w:lineRule="auto" w:before="0" w:after="0"/>
              <w:pStyle w:val="Compact"/>
            </w:pPr>
            <w:r>
              <w:rPr>
                <w:sz w:val="20"/>
                <w:szCs w:val="20"/>
              </w:rPr>
              <w:t xml:space="preserve">18894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1983</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890</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563</w:t>
            </w:r>
          </w:p>
        </w:tc>
        <w:tc>
          <w:tcPr>
            <w:tcW w:w="0" w:type="auto"/>
          </w:tcPr>
          <w:p>
            <w:pPr>
              <w:spacing w:line="240" w:lineRule="auto" w:before="0" w:after="0"/>
              <w:pStyle w:val="Compact"/>
            </w:pPr>
            <w:r>
              <w:rPr>
                <w:sz w:val="20"/>
                <w:szCs w:val="20"/>
              </w:rPr>
              <w:t xml:space="preserve">169</w:t>
            </w:r>
          </w:p>
        </w:tc>
        <w:tc>
          <w:tcPr>
            <w:tcW w:w="0" w:type="auto"/>
          </w:tcPr>
          <w:p>
            <w:pPr>
              <w:spacing w:line="240" w:lineRule="auto" w:before="0" w:after="0"/>
              <w:pStyle w:val="Compact"/>
            </w:pPr>
            <w:r>
              <w:rPr>
                <w:sz w:val="20"/>
                <w:szCs w:val="20"/>
              </w:rPr>
              <w:t xml:space="preserve">727</w:t>
            </w:r>
          </w:p>
        </w:tc>
        <w:tc>
          <w:tcPr>
            <w:tcW w:w="0" w:type="auto"/>
          </w:tcPr>
          <w:p>
            <w:pPr>
              <w:spacing w:line="240" w:lineRule="auto" w:before="0" w:after="0"/>
              <w:pStyle w:val="Compact"/>
            </w:pPr>
            <w:r>
              <w:rPr>
                <w:sz w:val="20"/>
                <w:szCs w:val="20"/>
              </w:rPr>
              <w:t xml:space="preserve">19783</w:t>
            </w:r>
          </w:p>
        </w:tc>
        <w:tc>
          <w:tcPr>
            <w:tcW w:w="0" w:type="auto"/>
          </w:tcPr>
          <w:p>
            <w:pPr>
              <w:spacing w:line="240" w:lineRule="auto" w:before="0" w:after="0"/>
              <w:pStyle w:val="Compact"/>
            </w:pPr>
            <w:r>
              <w:rPr>
                <w:sz w:val="20"/>
                <w:szCs w:val="20"/>
              </w:rPr>
              <w:t xml:space="preserve">2962</w:t>
            </w:r>
          </w:p>
        </w:tc>
        <w:tc>
          <w:tcPr>
            <w:tcW w:w="0" w:type="auto"/>
          </w:tcPr>
          <w:p>
            <w:pPr>
              <w:spacing w:line="240" w:lineRule="auto" w:before="0" w:after="0"/>
              <w:pStyle w:val="Compact"/>
            </w:pPr>
            <w:r>
              <w:rPr>
                <w:sz w:val="20"/>
                <w:szCs w:val="20"/>
              </w:rPr>
              <w:t xml:space="preserve">14315</w:t>
            </w:r>
          </w:p>
        </w:tc>
        <w:tc>
          <w:tcPr>
            <w:tcW w:w="0" w:type="auto"/>
          </w:tcPr>
          <w:p>
            <w:pPr>
              <w:spacing w:line="240" w:lineRule="auto" w:before="0" w:after="0"/>
              <w:pStyle w:val="Compact"/>
            </w:pPr>
            <w:r>
              <w:rPr>
                <w:sz w:val="20"/>
                <w:szCs w:val="20"/>
              </w:rPr>
              <w:t xml:space="preserve">2506</w:t>
            </w:r>
          </w:p>
        </w:tc>
        <w:tc>
          <w:tcPr>
            <w:tcW w:w="0" w:type="auto"/>
          </w:tcPr>
          <w:p>
            <w:pPr>
              <w:spacing w:line="240" w:lineRule="auto" w:before="0" w:after="0"/>
              <w:pStyle w:val="Compact"/>
            </w:pPr>
            <w:r>
              <w:rPr>
                <w:sz w:val="20"/>
                <w:szCs w:val="20"/>
              </w:rPr>
              <w:t xml:space="preserve">19784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1984</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762</w:t>
            </w:r>
          </w:p>
        </w:tc>
        <w:tc>
          <w:tcPr>
            <w:tcW w:w="0" w:type="auto"/>
          </w:tcPr>
          <w:p>
            <w:pPr>
              <w:spacing w:line="240" w:lineRule="auto" w:before="0" w:after="0"/>
              <w:pStyle w:val="Compact"/>
            </w:pPr>
            <w:r>
              <w:rPr>
                <w:sz w:val="20"/>
                <w:szCs w:val="20"/>
              </w:rPr>
              <w:t xml:space="preserve">167</w:t>
            </w:r>
          </w:p>
        </w:tc>
        <w:tc>
          <w:tcPr>
            <w:tcW w:w="0" w:type="auto"/>
          </w:tcPr>
          <w:p>
            <w:pPr>
              <w:spacing w:line="240" w:lineRule="auto" w:before="0" w:after="0"/>
              <w:pStyle w:val="Compact"/>
            </w:pPr>
            <w:r>
              <w:rPr>
                <w:sz w:val="20"/>
                <w:szCs w:val="20"/>
              </w:rPr>
              <w:t xml:space="preserve">416</w:t>
            </w:r>
          </w:p>
        </w:tc>
        <w:tc>
          <w:tcPr>
            <w:tcW w:w="0" w:type="auto"/>
          </w:tcPr>
          <w:p>
            <w:pPr>
              <w:spacing w:line="240" w:lineRule="auto" w:before="0" w:after="0"/>
              <w:pStyle w:val="Compact"/>
            </w:pPr>
            <w:r>
              <w:rPr>
                <w:sz w:val="20"/>
                <w:szCs w:val="20"/>
              </w:rPr>
              <w:t xml:space="preserve">179</w:t>
            </w:r>
          </w:p>
        </w:tc>
        <w:tc>
          <w:tcPr>
            <w:tcW w:w="0" w:type="auto"/>
          </w:tcPr>
          <w:p>
            <w:pPr>
              <w:spacing w:line="240" w:lineRule="auto" w:before="0" w:after="0"/>
              <w:pStyle w:val="Compact"/>
            </w:pPr>
            <w:r>
              <w:rPr>
                <w:sz w:val="20"/>
                <w:szCs w:val="20"/>
              </w:rPr>
              <w:t xml:space="preserve">528</w:t>
            </w:r>
          </w:p>
        </w:tc>
        <w:tc>
          <w:tcPr>
            <w:tcW w:w="0" w:type="auto"/>
          </w:tcPr>
          <w:p>
            <w:pPr>
              <w:spacing w:line="240" w:lineRule="auto" w:before="0" w:after="0"/>
              <w:pStyle w:val="Compact"/>
            </w:pPr>
            <w:r>
              <w:rPr>
                <w:sz w:val="20"/>
                <w:szCs w:val="20"/>
              </w:rPr>
              <w:t xml:space="preserve">20545</w:t>
            </w:r>
          </w:p>
        </w:tc>
        <w:tc>
          <w:tcPr>
            <w:tcW w:w="0" w:type="auto"/>
          </w:tcPr>
          <w:p>
            <w:pPr>
              <w:spacing w:line="240" w:lineRule="auto" w:before="0" w:after="0"/>
              <w:pStyle w:val="Compact"/>
            </w:pPr>
            <w:r>
              <w:rPr>
                <w:sz w:val="20"/>
                <w:szCs w:val="20"/>
              </w:rPr>
              <w:t xml:space="preserve">3129</w:t>
            </w:r>
          </w:p>
        </w:tc>
        <w:tc>
          <w:tcPr>
            <w:tcW w:w="0" w:type="auto"/>
          </w:tcPr>
          <w:p>
            <w:pPr>
              <w:spacing w:line="240" w:lineRule="auto" w:before="0" w:after="0"/>
              <w:pStyle w:val="Compact"/>
            </w:pPr>
            <w:r>
              <w:rPr>
                <w:sz w:val="20"/>
                <w:szCs w:val="20"/>
              </w:rPr>
              <w:t xml:space="preserve">14731</w:t>
            </w:r>
          </w:p>
        </w:tc>
        <w:tc>
          <w:tcPr>
            <w:tcW w:w="0" w:type="auto"/>
          </w:tcPr>
          <w:p>
            <w:pPr>
              <w:spacing w:line="240" w:lineRule="auto" w:before="0" w:after="0"/>
              <w:pStyle w:val="Compact"/>
            </w:pPr>
            <w:r>
              <w:rPr>
                <w:sz w:val="20"/>
                <w:szCs w:val="20"/>
              </w:rPr>
              <w:t xml:space="preserve">2685</w:t>
            </w:r>
          </w:p>
        </w:tc>
        <w:tc>
          <w:tcPr>
            <w:tcW w:w="0" w:type="auto"/>
          </w:tcPr>
          <w:p>
            <w:pPr>
              <w:spacing w:line="240" w:lineRule="auto" w:before="0" w:after="0"/>
              <w:pStyle w:val="Compact"/>
            </w:pPr>
            <w:r>
              <w:rPr>
                <w:sz w:val="20"/>
                <w:szCs w:val="20"/>
              </w:rPr>
              <w:t xml:space="preserve">20546</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1985</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795</w:t>
            </w:r>
          </w:p>
        </w:tc>
        <w:tc>
          <w:tcPr>
            <w:tcW w:w="0" w:type="auto"/>
          </w:tcPr>
          <w:p>
            <w:pPr>
              <w:spacing w:line="240" w:lineRule="auto" w:before="0" w:after="0"/>
              <w:pStyle w:val="Compact"/>
            </w:pPr>
            <w:r>
              <w:rPr>
                <w:sz w:val="20"/>
                <w:szCs w:val="20"/>
              </w:rPr>
              <w:t xml:space="preserve">163</w:t>
            </w:r>
          </w:p>
        </w:tc>
        <w:tc>
          <w:tcPr>
            <w:tcW w:w="0" w:type="auto"/>
          </w:tcPr>
          <w:p>
            <w:pPr>
              <w:spacing w:line="240" w:lineRule="auto" w:before="0" w:after="0"/>
              <w:pStyle w:val="Compact"/>
            </w:pPr>
            <w:r>
              <w:rPr>
                <w:sz w:val="20"/>
                <w:szCs w:val="20"/>
              </w:rPr>
              <w:t xml:space="preserve">465</w:t>
            </w:r>
          </w:p>
        </w:tc>
        <w:tc>
          <w:tcPr>
            <w:tcW w:w="0" w:type="auto"/>
          </w:tcPr>
          <w:p>
            <w:pPr>
              <w:spacing w:line="240" w:lineRule="auto" w:before="0" w:after="0"/>
              <w:pStyle w:val="Compact"/>
            </w:pPr>
            <w:r>
              <w:rPr>
                <w:sz w:val="20"/>
                <w:szCs w:val="20"/>
              </w:rPr>
              <w:t xml:space="preserve">167</w:t>
            </w:r>
          </w:p>
        </w:tc>
        <w:tc>
          <w:tcPr>
            <w:tcW w:w="0" w:type="auto"/>
          </w:tcPr>
          <w:p>
            <w:pPr>
              <w:spacing w:line="240" w:lineRule="auto" w:before="0" w:after="0"/>
              <w:pStyle w:val="Compact"/>
            </w:pPr>
            <w:r>
              <w:rPr>
                <w:sz w:val="20"/>
                <w:szCs w:val="20"/>
              </w:rPr>
              <w:t xml:space="preserve">580</w:t>
            </w:r>
          </w:p>
        </w:tc>
        <w:tc>
          <w:tcPr>
            <w:tcW w:w="0" w:type="auto"/>
          </w:tcPr>
          <w:p>
            <w:pPr>
              <w:spacing w:line="240" w:lineRule="auto" w:before="0" w:after="0"/>
              <w:pStyle w:val="Compact"/>
            </w:pPr>
            <w:r>
              <w:rPr>
                <w:sz w:val="20"/>
                <w:szCs w:val="20"/>
              </w:rPr>
              <w:t xml:space="preserve">21340</w:t>
            </w:r>
          </w:p>
        </w:tc>
        <w:tc>
          <w:tcPr>
            <w:tcW w:w="0" w:type="auto"/>
          </w:tcPr>
          <w:p>
            <w:pPr>
              <w:spacing w:line="240" w:lineRule="auto" w:before="0" w:after="0"/>
              <w:pStyle w:val="Compact"/>
            </w:pPr>
            <w:r>
              <w:rPr>
                <w:sz w:val="20"/>
                <w:szCs w:val="20"/>
              </w:rPr>
              <w:t xml:space="preserve">3292</w:t>
            </w:r>
          </w:p>
        </w:tc>
        <w:tc>
          <w:tcPr>
            <w:tcW w:w="0" w:type="auto"/>
          </w:tcPr>
          <w:p>
            <w:pPr>
              <w:spacing w:line="240" w:lineRule="auto" w:before="0" w:after="0"/>
              <w:pStyle w:val="Compact"/>
            </w:pPr>
            <w:r>
              <w:rPr>
                <w:sz w:val="20"/>
                <w:szCs w:val="20"/>
              </w:rPr>
              <w:t xml:space="preserve">15196</w:t>
            </w:r>
          </w:p>
        </w:tc>
        <w:tc>
          <w:tcPr>
            <w:tcW w:w="0" w:type="auto"/>
          </w:tcPr>
          <w:p>
            <w:pPr>
              <w:spacing w:line="240" w:lineRule="auto" w:before="0" w:after="0"/>
              <w:pStyle w:val="Compact"/>
            </w:pPr>
            <w:r>
              <w:rPr>
                <w:sz w:val="20"/>
                <w:szCs w:val="20"/>
              </w:rPr>
              <w:t xml:space="preserve">2852</w:t>
            </w:r>
          </w:p>
        </w:tc>
        <w:tc>
          <w:tcPr>
            <w:tcW w:w="0" w:type="auto"/>
          </w:tcPr>
          <w:p>
            <w:pPr>
              <w:spacing w:line="240" w:lineRule="auto" w:before="0" w:after="0"/>
              <w:pStyle w:val="Compact"/>
            </w:pPr>
            <w:r>
              <w:rPr>
                <w:sz w:val="20"/>
                <w:szCs w:val="20"/>
              </w:rPr>
              <w:t xml:space="preserve">21341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1986</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1373</w:t>
            </w:r>
          </w:p>
        </w:tc>
        <w:tc>
          <w:tcPr>
            <w:tcW w:w="0" w:type="auto"/>
          </w:tcPr>
          <w:p>
            <w:pPr>
              <w:spacing w:line="240" w:lineRule="auto" w:before="0" w:after="0"/>
              <w:pStyle w:val="Compact"/>
            </w:pPr>
            <w:r>
              <w:rPr>
                <w:sz w:val="20"/>
                <w:szCs w:val="20"/>
              </w:rPr>
              <w:t xml:space="preserve">136</w:t>
            </w:r>
          </w:p>
        </w:tc>
        <w:tc>
          <w:tcPr>
            <w:tcW w:w="0" w:type="auto"/>
          </w:tcPr>
          <w:p>
            <w:pPr>
              <w:spacing w:line="240" w:lineRule="auto" w:before="0" w:after="0"/>
              <w:pStyle w:val="Compact"/>
            </w:pPr>
            <w:r>
              <w:rPr>
                <w:sz w:val="20"/>
                <w:szCs w:val="20"/>
              </w:rPr>
              <w:t xml:space="preserve">1101</w:t>
            </w:r>
          </w:p>
        </w:tc>
        <w:tc>
          <w:tcPr>
            <w:tcW w:w="0" w:type="auto"/>
          </w:tcPr>
          <w:p>
            <w:pPr>
              <w:spacing w:line="240" w:lineRule="auto" w:before="0" w:after="0"/>
              <w:pStyle w:val="Compact"/>
            </w:pPr>
            <w:r>
              <w:rPr>
                <w:sz w:val="20"/>
                <w:szCs w:val="20"/>
              </w:rPr>
              <w:t xml:space="preserve">136</w:t>
            </w:r>
          </w:p>
        </w:tc>
        <w:tc>
          <w:tcPr>
            <w:tcW w:w="0" w:type="auto"/>
          </w:tcPr>
          <w:p>
            <w:pPr>
              <w:spacing w:line="240" w:lineRule="auto" w:before="0" w:after="0"/>
              <w:pStyle w:val="Compact"/>
            </w:pPr>
            <w:r>
              <w:rPr>
                <w:sz w:val="20"/>
                <w:szCs w:val="20"/>
              </w:rPr>
              <w:t xml:space="preserve">1199</w:t>
            </w:r>
          </w:p>
        </w:tc>
        <w:tc>
          <w:tcPr>
            <w:tcW w:w="0" w:type="auto"/>
          </w:tcPr>
          <w:p>
            <w:pPr>
              <w:spacing w:line="240" w:lineRule="auto" w:before="0" w:after="0"/>
              <w:pStyle w:val="Compact"/>
            </w:pPr>
            <w:r>
              <w:rPr>
                <w:sz w:val="20"/>
                <w:szCs w:val="20"/>
              </w:rPr>
              <w:t xml:space="preserve">22713</w:t>
            </w:r>
          </w:p>
        </w:tc>
        <w:tc>
          <w:tcPr>
            <w:tcW w:w="0" w:type="auto"/>
          </w:tcPr>
          <w:p>
            <w:pPr>
              <w:spacing w:line="240" w:lineRule="auto" w:before="0" w:after="0"/>
              <w:pStyle w:val="Compact"/>
            </w:pPr>
            <w:r>
              <w:rPr>
                <w:sz w:val="20"/>
                <w:szCs w:val="20"/>
              </w:rPr>
              <w:t xml:space="preserve">3428</w:t>
            </w:r>
          </w:p>
        </w:tc>
        <w:tc>
          <w:tcPr>
            <w:tcW w:w="0" w:type="auto"/>
          </w:tcPr>
          <w:p>
            <w:pPr>
              <w:spacing w:line="240" w:lineRule="auto" w:before="0" w:after="0"/>
              <w:pStyle w:val="Compact"/>
            </w:pPr>
            <w:r>
              <w:rPr>
                <w:sz w:val="20"/>
                <w:szCs w:val="20"/>
              </w:rPr>
              <w:t xml:space="preserve">16297</w:t>
            </w:r>
          </w:p>
        </w:tc>
        <w:tc>
          <w:tcPr>
            <w:tcW w:w="0" w:type="auto"/>
          </w:tcPr>
          <w:p>
            <w:pPr>
              <w:spacing w:line="240" w:lineRule="auto" w:before="0" w:after="0"/>
              <w:pStyle w:val="Compact"/>
            </w:pPr>
            <w:r>
              <w:rPr>
                <w:sz w:val="20"/>
                <w:szCs w:val="20"/>
              </w:rPr>
              <w:t xml:space="preserve">2988</w:t>
            </w:r>
          </w:p>
        </w:tc>
        <w:tc>
          <w:tcPr>
            <w:tcW w:w="0" w:type="auto"/>
          </w:tcPr>
          <w:p>
            <w:pPr>
              <w:spacing w:line="240" w:lineRule="auto" w:before="0" w:after="0"/>
              <w:pStyle w:val="Compact"/>
            </w:pPr>
            <w:r>
              <w:rPr>
                <w:sz w:val="20"/>
                <w:szCs w:val="20"/>
              </w:rPr>
              <w:t xml:space="preserve">22714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1987</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1166</w:t>
            </w:r>
          </w:p>
        </w:tc>
        <w:tc>
          <w:tcPr>
            <w:tcW w:w="0" w:type="auto"/>
          </w:tcPr>
          <w:p>
            <w:pPr>
              <w:spacing w:line="240" w:lineRule="auto" w:before="0" w:after="0"/>
              <w:pStyle w:val="Compact"/>
            </w:pPr>
            <w:r>
              <w:rPr>
                <w:sz w:val="20"/>
                <w:szCs w:val="20"/>
              </w:rPr>
              <w:t xml:space="preserve">139</w:t>
            </w:r>
          </w:p>
        </w:tc>
        <w:tc>
          <w:tcPr>
            <w:tcW w:w="0" w:type="auto"/>
          </w:tcPr>
          <w:p>
            <w:pPr>
              <w:spacing w:line="240" w:lineRule="auto" w:before="0" w:after="0"/>
              <w:pStyle w:val="Compact"/>
            </w:pPr>
            <w:r>
              <w:rPr>
                <w:sz w:val="20"/>
                <w:szCs w:val="20"/>
              </w:rPr>
              <w:t xml:space="preserve">881</w:t>
            </w:r>
          </w:p>
        </w:tc>
        <w:tc>
          <w:tcPr>
            <w:tcW w:w="0" w:type="auto"/>
          </w:tcPr>
          <w:p>
            <w:pPr>
              <w:spacing w:line="240" w:lineRule="auto" w:before="0" w:after="0"/>
              <w:pStyle w:val="Compact"/>
            </w:pPr>
            <w:r>
              <w:rPr>
                <w:sz w:val="20"/>
                <w:szCs w:val="20"/>
              </w:rPr>
              <w:t xml:space="preserve">145</w:t>
            </w:r>
          </w:p>
        </w:tc>
        <w:tc>
          <w:tcPr>
            <w:tcW w:w="0" w:type="auto"/>
          </w:tcPr>
          <w:p>
            <w:pPr>
              <w:spacing w:line="240" w:lineRule="auto" w:before="0" w:after="0"/>
              <w:pStyle w:val="Compact"/>
            </w:pPr>
            <w:r>
              <w:rPr>
                <w:sz w:val="20"/>
                <w:szCs w:val="20"/>
              </w:rPr>
              <w:t xml:space="preserve">791</w:t>
            </w:r>
          </w:p>
        </w:tc>
        <w:tc>
          <w:tcPr>
            <w:tcW w:w="0" w:type="auto"/>
          </w:tcPr>
          <w:p>
            <w:pPr>
              <w:spacing w:line="240" w:lineRule="auto" w:before="0" w:after="0"/>
              <w:pStyle w:val="Compact"/>
            </w:pPr>
            <w:r>
              <w:rPr>
                <w:sz w:val="20"/>
                <w:szCs w:val="20"/>
              </w:rPr>
              <w:t xml:space="preserve">23879</w:t>
            </w:r>
          </w:p>
        </w:tc>
        <w:tc>
          <w:tcPr>
            <w:tcW w:w="0" w:type="auto"/>
          </w:tcPr>
          <w:p>
            <w:pPr>
              <w:spacing w:line="240" w:lineRule="auto" w:before="0" w:after="0"/>
              <w:pStyle w:val="Compact"/>
            </w:pPr>
            <w:r>
              <w:rPr>
                <w:sz w:val="20"/>
                <w:szCs w:val="20"/>
              </w:rPr>
              <w:t xml:space="preserve">3567</w:t>
            </w:r>
          </w:p>
        </w:tc>
        <w:tc>
          <w:tcPr>
            <w:tcW w:w="0" w:type="auto"/>
          </w:tcPr>
          <w:p>
            <w:pPr>
              <w:spacing w:line="240" w:lineRule="auto" w:before="0" w:after="0"/>
              <w:pStyle w:val="Compact"/>
            </w:pPr>
            <w:r>
              <w:rPr>
                <w:sz w:val="20"/>
                <w:szCs w:val="20"/>
              </w:rPr>
              <w:t xml:space="preserve">17178</w:t>
            </w:r>
          </w:p>
        </w:tc>
        <w:tc>
          <w:tcPr>
            <w:tcW w:w="0" w:type="auto"/>
          </w:tcPr>
          <w:p>
            <w:pPr>
              <w:spacing w:line="240" w:lineRule="auto" w:before="0" w:after="0"/>
              <w:pStyle w:val="Compact"/>
            </w:pPr>
            <w:r>
              <w:rPr>
                <w:sz w:val="20"/>
                <w:szCs w:val="20"/>
              </w:rPr>
              <w:t xml:space="preserve">3133</w:t>
            </w:r>
          </w:p>
        </w:tc>
        <w:tc>
          <w:tcPr>
            <w:tcW w:w="0" w:type="auto"/>
          </w:tcPr>
          <w:p>
            <w:pPr>
              <w:spacing w:line="240" w:lineRule="auto" w:before="0" w:after="0"/>
              <w:pStyle w:val="Compact"/>
            </w:pPr>
            <w:r>
              <w:rPr>
                <w:sz w:val="20"/>
                <w:szCs w:val="20"/>
              </w:rPr>
              <w:t xml:space="preserve">23880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1988</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817</w:t>
            </w:r>
          </w:p>
        </w:tc>
        <w:tc>
          <w:tcPr>
            <w:tcW w:w="0" w:type="auto"/>
          </w:tcPr>
          <w:p>
            <w:pPr>
              <w:spacing w:line="240" w:lineRule="auto" w:before="0" w:after="0"/>
              <w:pStyle w:val="Compact"/>
            </w:pPr>
            <w:r>
              <w:rPr>
                <w:sz w:val="20"/>
                <w:szCs w:val="20"/>
              </w:rPr>
              <w:t xml:space="preserve">141</w:t>
            </w:r>
          </w:p>
        </w:tc>
        <w:tc>
          <w:tcPr>
            <w:tcW w:w="0" w:type="auto"/>
          </w:tcPr>
          <w:p>
            <w:pPr>
              <w:spacing w:line="240" w:lineRule="auto" w:before="0" w:after="0"/>
              <w:pStyle w:val="Compact"/>
            </w:pPr>
            <w:r>
              <w:rPr>
                <w:sz w:val="20"/>
                <w:szCs w:val="20"/>
              </w:rPr>
              <w:t xml:space="preserve">524</w:t>
            </w:r>
          </w:p>
        </w:tc>
        <w:tc>
          <w:tcPr>
            <w:tcW w:w="0" w:type="auto"/>
          </w:tcPr>
          <w:p>
            <w:pPr>
              <w:spacing w:line="240" w:lineRule="auto" w:before="0" w:after="0"/>
              <w:pStyle w:val="Compact"/>
            </w:pPr>
            <w:r>
              <w:rPr>
                <w:sz w:val="20"/>
                <w:szCs w:val="20"/>
              </w:rPr>
              <w:t xml:space="preserve">152</w:t>
            </w:r>
          </w:p>
        </w:tc>
        <w:tc>
          <w:tcPr>
            <w:tcW w:w="0" w:type="auto"/>
          </w:tcPr>
          <w:p>
            <w:pPr>
              <w:spacing w:line="240" w:lineRule="auto" w:before="0" w:after="0"/>
              <w:pStyle w:val="Compact"/>
            </w:pPr>
            <w:r>
              <w:rPr>
                <w:sz w:val="20"/>
                <w:szCs w:val="20"/>
              </w:rPr>
              <w:t xml:space="preserve">530</w:t>
            </w:r>
          </w:p>
        </w:tc>
        <w:tc>
          <w:tcPr>
            <w:tcW w:w="0" w:type="auto"/>
          </w:tcPr>
          <w:p>
            <w:pPr>
              <w:spacing w:line="240" w:lineRule="auto" w:before="0" w:after="0"/>
              <w:pStyle w:val="Compact"/>
            </w:pPr>
            <w:r>
              <w:rPr>
                <w:sz w:val="20"/>
                <w:szCs w:val="20"/>
              </w:rPr>
              <w:t xml:space="preserve">24696</w:t>
            </w:r>
          </w:p>
        </w:tc>
        <w:tc>
          <w:tcPr>
            <w:tcW w:w="0" w:type="auto"/>
          </w:tcPr>
          <w:p>
            <w:pPr>
              <w:spacing w:line="240" w:lineRule="auto" w:before="0" w:after="0"/>
              <w:pStyle w:val="Compact"/>
            </w:pPr>
            <w:r>
              <w:rPr>
                <w:sz w:val="20"/>
                <w:szCs w:val="20"/>
              </w:rPr>
              <w:t xml:space="preserve">3708</w:t>
            </w:r>
          </w:p>
        </w:tc>
        <w:tc>
          <w:tcPr>
            <w:tcW w:w="0" w:type="auto"/>
          </w:tcPr>
          <w:p>
            <w:pPr>
              <w:spacing w:line="240" w:lineRule="auto" w:before="0" w:after="0"/>
              <w:pStyle w:val="Compact"/>
            </w:pPr>
            <w:r>
              <w:rPr>
                <w:sz w:val="20"/>
                <w:szCs w:val="20"/>
              </w:rPr>
              <w:t xml:space="preserve">17702</w:t>
            </w:r>
          </w:p>
        </w:tc>
        <w:tc>
          <w:tcPr>
            <w:tcW w:w="0" w:type="auto"/>
          </w:tcPr>
          <w:p>
            <w:pPr>
              <w:spacing w:line="240" w:lineRule="auto" w:before="0" w:after="0"/>
              <w:pStyle w:val="Compact"/>
            </w:pPr>
            <w:r>
              <w:rPr>
                <w:sz w:val="20"/>
                <w:szCs w:val="20"/>
              </w:rPr>
              <w:t xml:space="preserve">3285</w:t>
            </w:r>
          </w:p>
        </w:tc>
        <w:tc>
          <w:tcPr>
            <w:tcW w:w="0" w:type="auto"/>
          </w:tcPr>
          <w:p>
            <w:pPr>
              <w:spacing w:line="240" w:lineRule="auto" w:before="0" w:after="0"/>
              <w:pStyle w:val="Compact"/>
            </w:pPr>
            <w:r>
              <w:rPr>
                <w:sz w:val="20"/>
                <w:szCs w:val="20"/>
              </w:rPr>
              <w:t xml:space="preserve">24697</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1989</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950</w:t>
            </w:r>
          </w:p>
        </w:tc>
        <w:tc>
          <w:tcPr>
            <w:tcW w:w="0" w:type="auto"/>
          </w:tcPr>
          <w:p>
            <w:pPr>
              <w:spacing w:line="240" w:lineRule="auto" w:before="0" w:after="0"/>
              <w:pStyle w:val="Compact"/>
            </w:pPr>
            <w:r>
              <w:rPr>
                <w:sz w:val="20"/>
                <w:szCs w:val="20"/>
              </w:rPr>
              <w:t xml:space="preserve">135</w:t>
            </w:r>
          </w:p>
        </w:tc>
        <w:tc>
          <w:tcPr>
            <w:tcW w:w="0" w:type="auto"/>
          </w:tcPr>
          <w:p>
            <w:pPr>
              <w:spacing w:line="240" w:lineRule="auto" w:before="0" w:after="0"/>
              <w:pStyle w:val="Compact"/>
            </w:pPr>
            <w:r>
              <w:rPr>
                <w:sz w:val="20"/>
                <w:szCs w:val="20"/>
              </w:rPr>
              <w:t xml:space="preserve">666</w:t>
            </w:r>
          </w:p>
        </w:tc>
        <w:tc>
          <w:tcPr>
            <w:tcW w:w="0" w:type="auto"/>
          </w:tcPr>
          <w:p>
            <w:pPr>
              <w:spacing w:line="240" w:lineRule="auto" w:before="0" w:after="0"/>
              <w:pStyle w:val="Compact"/>
            </w:pPr>
            <w:r>
              <w:rPr>
                <w:sz w:val="20"/>
                <w:szCs w:val="20"/>
              </w:rPr>
              <w:t xml:space="preserve">149</w:t>
            </w:r>
          </w:p>
        </w:tc>
        <w:tc>
          <w:tcPr>
            <w:tcW w:w="0" w:type="auto"/>
          </w:tcPr>
          <w:p>
            <w:pPr>
              <w:spacing w:line="240" w:lineRule="auto" w:before="0" w:after="0"/>
              <w:pStyle w:val="Compact"/>
            </w:pPr>
            <w:r>
              <w:rPr>
                <w:sz w:val="20"/>
                <w:szCs w:val="20"/>
              </w:rPr>
              <w:t xml:space="preserve">614</w:t>
            </w:r>
          </w:p>
        </w:tc>
        <w:tc>
          <w:tcPr>
            <w:tcW w:w="0" w:type="auto"/>
          </w:tcPr>
          <w:p>
            <w:pPr>
              <w:spacing w:line="240" w:lineRule="auto" w:before="0" w:after="0"/>
              <w:pStyle w:val="Compact"/>
            </w:pPr>
            <w:r>
              <w:rPr>
                <w:sz w:val="20"/>
                <w:szCs w:val="20"/>
              </w:rPr>
              <w:t xml:space="preserve">25646</w:t>
            </w:r>
          </w:p>
        </w:tc>
        <w:tc>
          <w:tcPr>
            <w:tcW w:w="0" w:type="auto"/>
          </w:tcPr>
          <w:p>
            <w:pPr>
              <w:spacing w:line="240" w:lineRule="auto" w:before="0" w:after="0"/>
              <w:pStyle w:val="Compact"/>
            </w:pPr>
            <w:r>
              <w:rPr>
                <w:sz w:val="20"/>
                <w:szCs w:val="20"/>
              </w:rPr>
              <w:t xml:space="preserve">3843</w:t>
            </w:r>
          </w:p>
        </w:tc>
        <w:tc>
          <w:tcPr>
            <w:tcW w:w="0" w:type="auto"/>
          </w:tcPr>
          <w:p>
            <w:pPr>
              <w:spacing w:line="240" w:lineRule="auto" w:before="0" w:after="0"/>
              <w:pStyle w:val="Compact"/>
            </w:pPr>
            <w:r>
              <w:rPr>
                <w:sz w:val="20"/>
                <w:szCs w:val="20"/>
              </w:rPr>
              <w:t xml:space="preserve">18368</w:t>
            </w:r>
          </w:p>
        </w:tc>
        <w:tc>
          <w:tcPr>
            <w:tcW w:w="0" w:type="auto"/>
          </w:tcPr>
          <w:p>
            <w:pPr>
              <w:spacing w:line="240" w:lineRule="auto" w:before="0" w:after="0"/>
              <w:pStyle w:val="Compact"/>
            </w:pPr>
            <w:r>
              <w:rPr>
                <w:sz w:val="20"/>
                <w:szCs w:val="20"/>
              </w:rPr>
              <w:t xml:space="preserve">3434</w:t>
            </w:r>
          </w:p>
        </w:tc>
        <w:tc>
          <w:tcPr>
            <w:tcW w:w="0" w:type="auto"/>
          </w:tcPr>
          <w:p>
            <w:pPr>
              <w:spacing w:line="240" w:lineRule="auto" w:before="0" w:after="0"/>
              <w:pStyle w:val="Compact"/>
            </w:pPr>
            <w:r>
              <w:rPr>
                <w:sz w:val="20"/>
                <w:szCs w:val="20"/>
              </w:rPr>
              <w:t xml:space="preserve">25647</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696</w:t>
            </w:r>
          </w:p>
        </w:tc>
        <w:tc>
          <w:tcPr>
            <w:tcW w:w="0" w:type="auto"/>
          </w:tcPr>
          <w:p>
            <w:pPr>
              <w:spacing w:line="240" w:lineRule="auto" w:before="0" w:after="0"/>
              <w:pStyle w:val="Compact"/>
            </w:pPr>
            <w:r>
              <w:rPr>
                <w:sz w:val="20"/>
                <w:szCs w:val="20"/>
              </w:rPr>
              <w:t xml:space="preserve">163</w:t>
            </w:r>
          </w:p>
        </w:tc>
        <w:tc>
          <w:tcPr>
            <w:tcW w:w="0" w:type="auto"/>
          </w:tcPr>
          <w:p>
            <w:pPr>
              <w:spacing w:line="240" w:lineRule="auto" w:before="0" w:after="0"/>
              <w:pStyle w:val="Compact"/>
            </w:pPr>
            <w:r>
              <w:rPr>
                <w:sz w:val="20"/>
                <w:szCs w:val="20"/>
              </w:rPr>
              <w:t xml:space="preserve">366</w:t>
            </w:r>
          </w:p>
        </w:tc>
        <w:tc>
          <w:tcPr>
            <w:tcW w:w="0" w:type="auto"/>
          </w:tcPr>
          <w:p>
            <w:pPr>
              <w:spacing w:line="240" w:lineRule="auto" w:before="0" w:after="0"/>
              <w:pStyle w:val="Compact"/>
            </w:pPr>
            <w:r>
              <w:rPr>
                <w:sz w:val="20"/>
                <w:szCs w:val="20"/>
              </w:rPr>
              <w:t xml:space="preserve">167</w:t>
            </w:r>
          </w:p>
        </w:tc>
        <w:tc>
          <w:tcPr>
            <w:tcW w:w="0" w:type="auto"/>
          </w:tcPr>
          <w:p>
            <w:pPr>
              <w:spacing w:line="240" w:lineRule="auto" w:before="0" w:after="0"/>
              <w:pStyle w:val="Compact"/>
            </w:pPr>
            <w:r>
              <w:rPr>
                <w:sz w:val="20"/>
                <w:szCs w:val="20"/>
              </w:rPr>
              <w:t xml:space="preserve">408</w:t>
            </w:r>
          </w:p>
        </w:tc>
        <w:tc>
          <w:tcPr>
            <w:tcW w:w="0" w:type="auto"/>
          </w:tcPr>
          <w:p>
            <w:pPr>
              <w:spacing w:line="240" w:lineRule="auto" w:before="0" w:after="0"/>
              <w:pStyle w:val="Compact"/>
            </w:pPr>
            <w:r>
              <w:rPr>
                <w:sz w:val="20"/>
                <w:szCs w:val="20"/>
              </w:rPr>
              <w:t xml:space="preserve">26342</w:t>
            </w:r>
          </w:p>
        </w:tc>
        <w:tc>
          <w:tcPr>
            <w:tcW w:w="0" w:type="auto"/>
          </w:tcPr>
          <w:p>
            <w:pPr>
              <w:spacing w:line="240" w:lineRule="auto" w:before="0" w:after="0"/>
              <w:pStyle w:val="Compact"/>
            </w:pPr>
            <w:r>
              <w:rPr>
                <w:sz w:val="20"/>
                <w:szCs w:val="20"/>
              </w:rPr>
              <w:t xml:space="preserve">4006</w:t>
            </w:r>
          </w:p>
        </w:tc>
        <w:tc>
          <w:tcPr>
            <w:tcW w:w="0" w:type="auto"/>
          </w:tcPr>
          <w:p>
            <w:pPr>
              <w:spacing w:line="240" w:lineRule="auto" w:before="0" w:after="0"/>
              <w:pStyle w:val="Compact"/>
            </w:pPr>
            <w:r>
              <w:rPr>
                <w:sz w:val="20"/>
                <w:szCs w:val="20"/>
              </w:rPr>
              <w:t xml:space="preserve">18734</w:t>
            </w:r>
          </w:p>
        </w:tc>
        <w:tc>
          <w:tcPr>
            <w:tcW w:w="0" w:type="auto"/>
          </w:tcPr>
          <w:p>
            <w:pPr>
              <w:spacing w:line="240" w:lineRule="auto" w:before="0" w:after="0"/>
              <w:pStyle w:val="Compact"/>
            </w:pPr>
            <w:r>
              <w:rPr>
                <w:sz w:val="20"/>
                <w:szCs w:val="20"/>
              </w:rPr>
              <w:t xml:space="preserve">3601</w:t>
            </w:r>
          </w:p>
        </w:tc>
        <w:tc>
          <w:tcPr>
            <w:tcW w:w="0" w:type="auto"/>
          </w:tcPr>
          <w:p>
            <w:pPr>
              <w:spacing w:line="240" w:lineRule="auto" w:before="0" w:after="0"/>
              <w:pStyle w:val="Compact"/>
            </w:pPr>
            <w:r>
              <w:rPr>
                <w:sz w:val="20"/>
                <w:szCs w:val="20"/>
              </w:rPr>
              <w:t xml:space="preserve">26343</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1991</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817</w:t>
            </w:r>
          </w:p>
        </w:tc>
        <w:tc>
          <w:tcPr>
            <w:tcW w:w="0" w:type="auto"/>
          </w:tcPr>
          <w:p>
            <w:pPr>
              <w:spacing w:line="240" w:lineRule="auto" w:before="0" w:after="0"/>
              <w:pStyle w:val="Compact"/>
            </w:pPr>
            <w:r>
              <w:rPr>
                <w:sz w:val="20"/>
                <w:szCs w:val="20"/>
              </w:rPr>
              <w:t xml:space="preserve">136</w:t>
            </w:r>
          </w:p>
        </w:tc>
        <w:tc>
          <w:tcPr>
            <w:tcW w:w="0" w:type="auto"/>
          </w:tcPr>
          <w:p>
            <w:pPr>
              <w:spacing w:line="240" w:lineRule="auto" w:before="0" w:after="0"/>
              <w:pStyle w:val="Compact"/>
            </w:pPr>
            <w:r>
              <w:rPr>
                <w:sz w:val="20"/>
                <w:szCs w:val="20"/>
              </w:rPr>
              <w:t xml:space="preserve">561</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320</w:t>
            </w:r>
          </w:p>
        </w:tc>
        <w:tc>
          <w:tcPr>
            <w:tcW w:w="0" w:type="auto"/>
          </w:tcPr>
          <w:p>
            <w:pPr>
              <w:spacing w:line="240" w:lineRule="auto" w:before="0" w:after="0"/>
              <w:pStyle w:val="Compact"/>
            </w:pPr>
            <w:r>
              <w:rPr>
                <w:sz w:val="20"/>
                <w:szCs w:val="20"/>
              </w:rPr>
              <w:t xml:space="preserve">27159</w:t>
            </w:r>
          </w:p>
        </w:tc>
        <w:tc>
          <w:tcPr>
            <w:tcW w:w="0" w:type="auto"/>
          </w:tcPr>
          <w:p>
            <w:pPr>
              <w:spacing w:line="240" w:lineRule="auto" w:before="0" w:after="0"/>
              <w:pStyle w:val="Compact"/>
            </w:pPr>
            <w:r>
              <w:rPr>
                <w:sz w:val="20"/>
                <w:szCs w:val="20"/>
              </w:rPr>
              <w:t xml:space="preserve">4142</w:t>
            </w:r>
          </w:p>
        </w:tc>
        <w:tc>
          <w:tcPr>
            <w:tcW w:w="0" w:type="auto"/>
          </w:tcPr>
          <w:p>
            <w:pPr>
              <w:spacing w:line="240" w:lineRule="auto" w:before="0" w:after="0"/>
              <w:pStyle w:val="Compact"/>
            </w:pPr>
            <w:r>
              <w:rPr>
                <w:sz w:val="20"/>
                <w:szCs w:val="20"/>
              </w:rPr>
              <w:t xml:space="preserve">19295</w:t>
            </w:r>
          </w:p>
        </w:tc>
        <w:tc>
          <w:tcPr>
            <w:tcW w:w="0" w:type="auto"/>
          </w:tcPr>
          <w:p>
            <w:pPr>
              <w:spacing w:line="240" w:lineRule="auto" w:before="0" w:after="0"/>
              <w:pStyle w:val="Compact"/>
            </w:pPr>
            <w:r>
              <w:rPr>
                <w:sz w:val="20"/>
                <w:szCs w:val="20"/>
              </w:rPr>
              <w:t xml:space="preserve">3721</w:t>
            </w:r>
          </w:p>
        </w:tc>
        <w:tc>
          <w:tcPr>
            <w:tcW w:w="0" w:type="auto"/>
          </w:tcPr>
          <w:p>
            <w:pPr>
              <w:spacing w:line="240" w:lineRule="auto" w:before="0" w:after="0"/>
              <w:pStyle w:val="Compact"/>
            </w:pPr>
            <w:r>
              <w:rPr>
                <w:sz w:val="20"/>
                <w:szCs w:val="20"/>
              </w:rPr>
              <w:t xml:space="preserve">27160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1992</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753</w:t>
            </w:r>
          </w:p>
        </w:tc>
        <w:tc>
          <w:tcPr>
            <w:tcW w:w="0" w:type="auto"/>
          </w:tcPr>
          <w:p>
            <w:pPr>
              <w:spacing w:line="240" w:lineRule="auto" w:before="0" w:after="0"/>
              <w:pStyle w:val="Compact"/>
            </w:pPr>
            <w:r>
              <w:rPr>
                <w:sz w:val="20"/>
                <w:szCs w:val="20"/>
              </w:rPr>
              <w:t xml:space="preserve">128</w:t>
            </w:r>
          </w:p>
        </w:tc>
        <w:tc>
          <w:tcPr>
            <w:tcW w:w="0" w:type="auto"/>
          </w:tcPr>
          <w:p>
            <w:pPr>
              <w:spacing w:line="240" w:lineRule="auto" w:before="0" w:after="0"/>
              <w:pStyle w:val="Compact"/>
            </w:pPr>
            <w:r>
              <w:rPr>
                <w:sz w:val="20"/>
                <w:szCs w:val="20"/>
              </w:rPr>
              <w:t xml:space="preserve">490</w:t>
            </w:r>
          </w:p>
        </w:tc>
        <w:tc>
          <w:tcPr>
            <w:tcW w:w="0" w:type="auto"/>
          </w:tcPr>
          <w:p>
            <w:pPr>
              <w:spacing w:line="240" w:lineRule="auto" w:before="0" w:after="0"/>
              <w:pStyle w:val="Compact"/>
            </w:pPr>
            <w:r>
              <w:rPr>
                <w:sz w:val="20"/>
                <w:szCs w:val="20"/>
              </w:rPr>
              <w:t xml:space="preserve">135</w:t>
            </w:r>
          </w:p>
        </w:tc>
        <w:tc>
          <w:tcPr>
            <w:tcW w:w="0" w:type="auto"/>
          </w:tcPr>
          <w:p>
            <w:pPr>
              <w:spacing w:line="240" w:lineRule="auto" w:before="0" w:after="0"/>
              <w:pStyle w:val="Compact"/>
            </w:pPr>
            <w:r>
              <w:rPr>
                <w:sz w:val="20"/>
                <w:szCs w:val="20"/>
              </w:rPr>
              <w:t xml:space="preserve">383</w:t>
            </w:r>
          </w:p>
        </w:tc>
        <w:tc>
          <w:tcPr>
            <w:tcW w:w="0" w:type="auto"/>
          </w:tcPr>
          <w:p>
            <w:pPr>
              <w:spacing w:line="240" w:lineRule="auto" w:before="0" w:after="0"/>
              <w:pStyle w:val="Compact"/>
            </w:pPr>
            <w:r>
              <w:rPr>
                <w:sz w:val="20"/>
                <w:szCs w:val="20"/>
              </w:rPr>
              <w:t xml:space="preserve">27912</w:t>
            </w:r>
          </w:p>
        </w:tc>
        <w:tc>
          <w:tcPr>
            <w:tcW w:w="0" w:type="auto"/>
          </w:tcPr>
          <w:p>
            <w:pPr>
              <w:spacing w:line="240" w:lineRule="auto" w:before="0" w:after="0"/>
              <w:pStyle w:val="Compact"/>
            </w:pPr>
            <w:r>
              <w:rPr>
                <w:sz w:val="20"/>
                <w:szCs w:val="20"/>
              </w:rPr>
              <w:t xml:space="preserve">4270</w:t>
            </w:r>
          </w:p>
        </w:tc>
        <w:tc>
          <w:tcPr>
            <w:tcW w:w="0" w:type="auto"/>
          </w:tcPr>
          <w:p>
            <w:pPr>
              <w:spacing w:line="240" w:lineRule="auto" w:before="0" w:after="0"/>
              <w:pStyle w:val="Compact"/>
            </w:pPr>
            <w:r>
              <w:rPr>
                <w:sz w:val="20"/>
                <w:szCs w:val="20"/>
              </w:rPr>
              <w:t xml:space="preserve">19785</w:t>
            </w:r>
          </w:p>
        </w:tc>
        <w:tc>
          <w:tcPr>
            <w:tcW w:w="0" w:type="auto"/>
          </w:tcPr>
          <w:p>
            <w:pPr>
              <w:spacing w:line="240" w:lineRule="auto" w:before="0" w:after="0"/>
              <w:pStyle w:val="Compact"/>
            </w:pPr>
            <w:r>
              <w:rPr>
                <w:sz w:val="20"/>
                <w:szCs w:val="20"/>
              </w:rPr>
              <w:t xml:space="preserve">3856</w:t>
            </w:r>
          </w:p>
        </w:tc>
        <w:tc>
          <w:tcPr>
            <w:tcW w:w="0" w:type="auto"/>
          </w:tcPr>
          <w:p>
            <w:pPr>
              <w:spacing w:line="240" w:lineRule="auto" w:before="0" w:after="0"/>
              <w:pStyle w:val="Compact"/>
            </w:pPr>
            <w:r>
              <w:rPr>
                <w:sz w:val="20"/>
                <w:szCs w:val="20"/>
              </w:rPr>
              <w:t xml:space="preserve">27913</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1993</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2180</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1965</w:t>
            </w:r>
          </w:p>
        </w:tc>
        <w:tc>
          <w:tcPr>
            <w:tcW w:w="0" w:type="auto"/>
          </w:tcPr>
          <w:p>
            <w:pPr>
              <w:spacing w:line="240" w:lineRule="auto" w:before="0" w:after="0"/>
              <w:pStyle w:val="Compact"/>
            </w:pPr>
            <w:r>
              <w:rPr>
                <w:sz w:val="20"/>
                <w:szCs w:val="20"/>
              </w:rPr>
              <w:t xml:space="preserve">106</w:t>
            </w:r>
          </w:p>
        </w:tc>
        <w:tc>
          <w:tcPr>
            <w:tcW w:w="0" w:type="auto"/>
          </w:tcPr>
          <w:p>
            <w:pPr>
              <w:spacing w:line="240" w:lineRule="auto" w:before="0" w:after="0"/>
              <w:pStyle w:val="Compact"/>
            </w:pPr>
            <w:r>
              <w:rPr>
                <w:sz w:val="20"/>
                <w:szCs w:val="20"/>
              </w:rPr>
              <w:t xml:space="preserve">1363</w:t>
            </w:r>
          </w:p>
        </w:tc>
        <w:tc>
          <w:tcPr>
            <w:tcW w:w="0" w:type="auto"/>
          </w:tcPr>
          <w:p>
            <w:pPr>
              <w:spacing w:line="240" w:lineRule="auto" w:before="0" w:after="0"/>
              <w:pStyle w:val="Compact"/>
            </w:pPr>
            <w:r>
              <w:rPr>
                <w:sz w:val="20"/>
                <w:szCs w:val="20"/>
              </w:rPr>
              <w:t xml:space="preserve">30092</w:t>
            </w:r>
          </w:p>
        </w:tc>
        <w:tc>
          <w:tcPr>
            <w:tcW w:w="0" w:type="auto"/>
          </w:tcPr>
          <w:p>
            <w:pPr>
              <w:spacing w:line="240" w:lineRule="auto" w:before="0" w:after="0"/>
              <w:pStyle w:val="Compact"/>
            </w:pPr>
            <w:r>
              <w:rPr>
                <w:sz w:val="20"/>
                <w:szCs w:val="20"/>
              </w:rPr>
              <w:t xml:space="preserve">4379</w:t>
            </w:r>
          </w:p>
        </w:tc>
        <w:tc>
          <w:tcPr>
            <w:tcW w:w="0" w:type="auto"/>
          </w:tcPr>
          <w:p>
            <w:pPr>
              <w:spacing w:line="240" w:lineRule="auto" w:before="0" w:after="0"/>
              <w:pStyle w:val="Compact"/>
            </w:pPr>
            <w:r>
              <w:rPr>
                <w:sz w:val="20"/>
                <w:szCs w:val="20"/>
              </w:rPr>
              <w:t xml:space="preserve">21750</w:t>
            </w:r>
          </w:p>
        </w:tc>
        <w:tc>
          <w:tcPr>
            <w:tcW w:w="0" w:type="auto"/>
          </w:tcPr>
          <w:p>
            <w:pPr>
              <w:spacing w:line="240" w:lineRule="auto" w:before="0" w:after="0"/>
              <w:pStyle w:val="Compact"/>
            </w:pPr>
            <w:r>
              <w:rPr>
                <w:sz w:val="20"/>
                <w:szCs w:val="20"/>
              </w:rPr>
              <w:t xml:space="preserve">3962</w:t>
            </w:r>
          </w:p>
        </w:tc>
        <w:tc>
          <w:tcPr>
            <w:tcW w:w="0" w:type="auto"/>
          </w:tcPr>
          <w:p>
            <w:pPr>
              <w:spacing w:line="240" w:lineRule="auto" w:before="0" w:after="0"/>
              <w:pStyle w:val="Compact"/>
            </w:pPr>
            <w:r>
              <w:rPr>
                <w:sz w:val="20"/>
                <w:szCs w:val="20"/>
              </w:rPr>
              <w:t xml:space="preserve">30093</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1994</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1310</w:t>
            </w:r>
          </w:p>
        </w:tc>
        <w:tc>
          <w:tcPr>
            <w:tcW w:w="0" w:type="auto"/>
          </w:tcPr>
          <w:p>
            <w:pPr>
              <w:spacing w:line="240" w:lineRule="auto" w:before="0" w:after="0"/>
              <w:pStyle w:val="Compact"/>
            </w:pPr>
            <w:r>
              <w:rPr>
                <w:sz w:val="20"/>
                <w:szCs w:val="20"/>
              </w:rPr>
              <w:t xml:space="preserve">121</w:t>
            </w:r>
          </w:p>
        </w:tc>
        <w:tc>
          <w:tcPr>
            <w:tcW w:w="0" w:type="auto"/>
          </w:tcPr>
          <w:p>
            <w:pPr>
              <w:spacing w:line="240" w:lineRule="auto" w:before="0" w:after="0"/>
              <w:pStyle w:val="Compact"/>
            </w:pPr>
            <w:r>
              <w:rPr>
                <w:sz w:val="20"/>
                <w:szCs w:val="20"/>
              </w:rPr>
              <w:t xml:space="preserve">1061</w:t>
            </w:r>
          </w:p>
        </w:tc>
        <w:tc>
          <w:tcPr>
            <w:tcW w:w="0" w:type="auto"/>
          </w:tcPr>
          <w:p>
            <w:pPr>
              <w:spacing w:line="240" w:lineRule="auto" w:before="0" w:after="0"/>
              <w:pStyle w:val="Compact"/>
            </w:pPr>
            <w:r>
              <w:rPr>
                <w:sz w:val="20"/>
                <w:szCs w:val="20"/>
              </w:rPr>
              <w:t xml:space="preserve">128</w:t>
            </w:r>
          </w:p>
        </w:tc>
        <w:tc>
          <w:tcPr>
            <w:tcW w:w="0" w:type="auto"/>
          </w:tcPr>
          <w:p>
            <w:pPr>
              <w:spacing w:line="240" w:lineRule="auto" w:before="0" w:after="0"/>
              <w:pStyle w:val="Compact"/>
            </w:pPr>
            <w:r>
              <w:rPr>
                <w:sz w:val="20"/>
                <w:szCs w:val="20"/>
              </w:rPr>
              <w:t xml:space="preserve">1070</w:t>
            </w:r>
          </w:p>
        </w:tc>
        <w:tc>
          <w:tcPr>
            <w:tcW w:w="0" w:type="auto"/>
          </w:tcPr>
          <w:p>
            <w:pPr>
              <w:spacing w:line="240" w:lineRule="auto" w:before="0" w:after="0"/>
              <w:pStyle w:val="Compact"/>
            </w:pPr>
            <w:r>
              <w:rPr>
                <w:sz w:val="20"/>
                <w:szCs w:val="20"/>
              </w:rPr>
              <w:t xml:space="preserve">31402</w:t>
            </w:r>
          </w:p>
        </w:tc>
        <w:tc>
          <w:tcPr>
            <w:tcW w:w="0" w:type="auto"/>
          </w:tcPr>
          <w:p>
            <w:pPr>
              <w:spacing w:line="240" w:lineRule="auto" w:before="0" w:after="0"/>
              <w:pStyle w:val="Compact"/>
            </w:pPr>
            <w:r>
              <w:rPr>
                <w:sz w:val="20"/>
                <w:szCs w:val="20"/>
              </w:rPr>
              <w:t xml:space="preserve">4500</w:t>
            </w:r>
          </w:p>
        </w:tc>
        <w:tc>
          <w:tcPr>
            <w:tcW w:w="0" w:type="auto"/>
          </w:tcPr>
          <w:p>
            <w:pPr>
              <w:spacing w:line="240" w:lineRule="auto" w:before="0" w:after="0"/>
              <w:pStyle w:val="Compact"/>
            </w:pPr>
            <w:r>
              <w:rPr>
                <w:sz w:val="20"/>
                <w:szCs w:val="20"/>
              </w:rPr>
              <w:t xml:space="preserve">22811</w:t>
            </w:r>
          </w:p>
        </w:tc>
        <w:tc>
          <w:tcPr>
            <w:tcW w:w="0" w:type="auto"/>
          </w:tcPr>
          <w:p>
            <w:pPr>
              <w:spacing w:line="240" w:lineRule="auto" w:before="0" w:after="0"/>
              <w:pStyle w:val="Compact"/>
            </w:pPr>
            <w:r>
              <w:rPr>
                <w:sz w:val="20"/>
                <w:szCs w:val="20"/>
              </w:rPr>
              <w:t xml:space="preserve">4090</w:t>
            </w:r>
          </w:p>
        </w:tc>
        <w:tc>
          <w:tcPr>
            <w:tcW w:w="0" w:type="auto"/>
          </w:tcPr>
          <w:p>
            <w:pPr>
              <w:spacing w:line="240" w:lineRule="auto" w:before="0" w:after="0"/>
              <w:pStyle w:val="Compact"/>
            </w:pPr>
            <w:r>
              <w:rPr>
                <w:sz w:val="20"/>
                <w:szCs w:val="20"/>
              </w:rPr>
              <w:t xml:space="preserve">31403</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1995</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535</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342</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296</w:t>
            </w:r>
          </w:p>
        </w:tc>
        <w:tc>
          <w:tcPr>
            <w:tcW w:w="0" w:type="auto"/>
          </w:tcPr>
          <w:p>
            <w:pPr>
              <w:spacing w:line="240" w:lineRule="auto" w:before="0" w:after="0"/>
              <w:pStyle w:val="Compact"/>
            </w:pPr>
            <w:r>
              <w:rPr>
                <w:sz w:val="20"/>
                <w:szCs w:val="20"/>
              </w:rPr>
              <w:t xml:space="preserve">31937</w:t>
            </w:r>
          </w:p>
        </w:tc>
        <w:tc>
          <w:tcPr>
            <w:tcW w:w="0" w:type="auto"/>
          </w:tcPr>
          <w:p>
            <w:pPr>
              <w:spacing w:line="240" w:lineRule="auto" w:before="0" w:after="0"/>
              <w:pStyle w:val="Compact"/>
            </w:pPr>
            <w:r>
              <w:rPr>
                <w:sz w:val="20"/>
                <w:szCs w:val="20"/>
              </w:rPr>
              <w:t xml:space="preserve">4600</w:t>
            </w:r>
          </w:p>
        </w:tc>
        <w:tc>
          <w:tcPr>
            <w:tcW w:w="0" w:type="auto"/>
          </w:tcPr>
          <w:p>
            <w:pPr>
              <w:spacing w:line="240" w:lineRule="auto" w:before="0" w:after="0"/>
              <w:pStyle w:val="Compact"/>
            </w:pPr>
            <w:r>
              <w:rPr>
                <w:sz w:val="20"/>
                <w:szCs w:val="20"/>
              </w:rPr>
              <w:t xml:space="preserve">23153</w:t>
            </w:r>
          </w:p>
        </w:tc>
        <w:tc>
          <w:tcPr>
            <w:tcW w:w="0" w:type="auto"/>
          </w:tcPr>
          <w:p>
            <w:pPr>
              <w:spacing w:line="240" w:lineRule="auto" w:before="0" w:after="0"/>
              <w:pStyle w:val="Compact"/>
            </w:pPr>
            <w:r>
              <w:rPr>
                <w:sz w:val="20"/>
                <w:szCs w:val="20"/>
              </w:rPr>
              <w:t xml:space="preserve">4183</w:t>
            </w:r>
          </w:p>
        </w:tc>
        <w:tc>
          <w:tcPr>
            <w:tcW w:w="0" w:type="auto"/>
          </w:tcPr>
          <w:p>
            <w:pPr>
              <w:spacing w:line="240" w:lineRule="auto" w:before="0" w:after="0"/>
              <w:pStyle w:val="Compact"/>
            </w:pPr>
            <w:r>
              <w:rPr>
                <w:sz w:val="20"/>
                <w:szCs w:val="20"/>
              </w:rPr>
              <w:t xml:space="preserve">31938</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243</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131</w:t>
            </w:r>
          </w:p>
        </w:tc>
        <w:tc>
          <w:tcPr>
            <w:tcW w:w="0" w:type="auto"/>
          </w:tcPr>
          <w:p>
            <w:pPr>
              <w:spacing w:line="240" w:lineRule="auto" w:before="0" w:after="0"/>
              <w:pStyle w:val="Compact"/>
            </w:pPr>
            <w:r>
              <w:rPr>
                <w:sz w:val="20"/>
                <w:szCs w:val="20"/>
              </w:rPr>
              <w:t xml:space="preserve">32180</w:t>
            </w:r>
          </w:p>
        </w:tc>
        <w:tc>
          <w:tcPr>
            <w:tcW w:w="0" w:type="auto"/>
          </w:tcPr>
          <w:p>
            <w:pPr>
              <w:spacing w:line="240" w:lineRule="auto" w:before="0" w:after="0"/>
              <w:pStyle w:val="Compact"/>
            </w:pPr>
            <w:r>
              <w:rPr>
                <w:sz w:val="20"/>
                <w:szCs w:val="20"/>
              </w:rPr>
              <w:t xml:space="preserve">4695</w:t>
            </w:r>
          </w:p>
        </w:tc>
        <w:tc>
          <w:tcPr>
            <w:tcW w:w="0" w:type="auto"/>
          </w:tcPr>
          <w:p>
            <w:pPr>
              <w:spacing w:line="240" w:lineRule="auto" w:before="0" w:after="0"/>
              <w:pStyle w:val="Compact"/>
            </w:pPr>
            <w:r>
              <w:rPr>
                <w:sz w:val="20"/>
                <w:szCs w:val="20"/>
              </w:rPr>
              <w:t xml:space="preserve">23214</w:t>
            </w:r>
          </w:p>
        </w:tc>
        <w:tc>
          <w:tcPr>
            <w:tcW w:w="0" w:type="auto"/>
          </w:tcPr>
          <w:p>
            <w:pPr>
              <w:spacing w:line="240" w:lineRule="auto" w:before="0" w:after="0"/>
              <w:pStyle w:val="Compact"/>
            </w:pPr>
            <w:r>
              <w:rPr>
                <w:sz w:val="20"/>
                <w:szCs w:val="20"/>
              </w:rPr>
              <w:t xml:space="preserve">4270</w:t>
            </w:r>
          </w:p>
        </w:tc>
        <w:tc>
          <w:tcPr>
            <w:tcW w:w="0" w:type="auto"/>
          </w:tcPr>
          <w:p>
            <w:pPr>
              <w:spacing w:line="240" w:lineRule="auto" w:before="0" w:after="0"/>
              <w:pStyle w:val="Compact"/>
            </w:pPr>
            <w:r>
              <w:rPr>
                <w:sz w:val="20"/>
                <w:szCs w:val="20"/>
              </w:rPr>
              <w:t xml:space="preserve">32181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1016</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769</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754</w:t>
            </w:r>
          </w:p>
        </w:tc>
        <w:tc>
          <w:tcPr>
            <w:tcW w:w="0" w:type="auto"/>
          </w:tcPr>
          <w:p>
            <w:pPr>
              <w:spacing w:line="240" w:lineRule="auto" w:before="0" w:after="0"/>
              <w:pStyle w:val="Compact"/>
            </w:pPr>
            <w:r>
              <w:rPr>
                <w:sz w:val="20"/>
                <w:szCs w:val="20"/>
              </w:rPr>
              <w:t xml:space="preserve">33196</w:t>
            </w:r>
          </w:p>
        </w:tc>
        <w:tc>
          <w:tcPr>
            <w:tcW w:w="0" w:type="auto"/>
          </w:tcPr>
          <w:p>
            <w:pPr>
              <w:spacing w:line="240" w:lineRule="auto" w:before="0" w:after="0"/>
              <w:pStyle w:val="Compact"/>
            </w:pPr>
            <w:r>
              <w:rPr>
                <w:sz w:val="20"/>
                <w:szCs w:val="20"/>
              </w:rPr>
              <w:t xml:space="preserve">4845</w:t>
            </w:r>
          </w:p>
        </w:tc>
        <w:tc>
          <w:tcPr>
            <w:tcW w:w="0" w:type="auto"/>
          </w:tcPr>
          <w:p>
            <w:pPr>
              <w:spacing w:line="240" w:lineRule="auto" w:before="0" w:after="0"/>
              <w:pStyle w:val="Compact"/>
            </w:pPr>
            <w:r>
              <w:rPr>
                <w:sz w:val="20"/>
                <w:szCs w:val="20"/>
              </w:rPr>
              <w:t xml:space="preserve">23983</w:t>
            </w:r>
          </w:p>
        </w:tc>
        <w:tc>
          <w:tcPr>
            <w:tcW w:w="0" w:type="auto"/>
          </w:tcPr>
          <w:p>
            <w:pPr>
              <w:spacing w:line="240" w:lineRule="auto" w:before="0" w:after="0"/>
              <w:pStyle w:val="Compact"/>
            </w:pPr>
            <w:r>
              <w:rPr>
                <w:sz w:val="20"/>
                <w:szCs w:val="20"/>
              </w:rPr>
              <w:t xml:space="preserve">4367</w:t>
            </w:r>
          </w:p>
        </w:tc>
        <w:tc>
          <w:tcPr>
            <w:tcW w:w="0" w:type="auto"/>
          </w:tcPr>
          <w:p>
            <w:pPr>
              <w:spacing w:line="240" w:lineRule="auto" w:before="0" w:after="0"/>
              <w:pStyle w:val="Compact"/>
            </w:pPr>
            <w:r>
              <w:rPr>
                <w:sz w:val="20"/>
                <w:szCs w:val="20"/>
              </w:rPr>
              <w:t xml:space="preserve">33197</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1998</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888</w:t>
            </w:r>
          </w:p>
        </w:tc>
        <w:tc>
          <w:tcPr>
            <w:tcW w:w="0" w:type="auto"/>
          </w:tcPr>
          <w:p>
            <w:pPr>
              <w:spacing w:line="240" w:lineRule="auto" w:before="0" w:after="0"/>
              <w:pStyle w:val="Compact"/>
            </w:pPr>
            <w:r>
              <w:rPr>
                <w:sz w:val="20"/>
                <w:szCs w:val="20"/>
              </w:rPr>
              <w:t xml:space="preserve">563</w:t>
            </w:r>
          </w:p>
        </w:tc>
        <w:tc>
          <w:tcPr>
            <w:tcW w:w="0" w:type="auto"/>
          </w:tcPr>
          <w:p>
            <w:pPr>
              <w:spacing w:line="240" w:lineRule="auto" w:before="0" w:after="0"/>
              <w:pStyle w:val="Compact"/>
            </w:pPr>
            <w:r>
              <w:rPr>
                <w:sz w:val="20"/>
                <w:szCs w:val="20"/>
              </w:rPr>
              <w:t xml:space="preserve">239</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740</w:t>
            </w:r>
          </w:p>
        </w:tc>
        <w:tc>
          <w:tcPr>
            <w:tcW w:w="0" w:type="auto"/>
          </w:tcPr>
          <w:p>
            <w:pPr>
              <w:spacing w:line="240" w:lineRule="auto" w:before="0" w:after="0"/>
              <w:pStyle w:val="Compact"/>
            </w:pPr>
            <w:r>
              <w:rPr>
                <w:sz w:val="20"/>
                <w:szCs w:val="20"/>
              </w:rPr>
              <w:t xml:space="preserve">34084</w:t>
            </w:r>
          </w:p>
        </w:tc>
        <w:tc>
          <w:tcPr>
            <w:tcW w:w="0" w:type="auto"/>
          </w:tcPr>
          <w:p>
            <w:pPr>
              <w:spacing w:line="240" w:lineRule="auto" w:before="0" w:after="0"/>
              <w:pStyle w:val="Compact"/>
            </w:pPr>
            <w:r>
              <w:rPr>
                <w:sz w:val="20"/>
                <w:szCs w:val="20"/>
              </w:rPr>
              <w:t xml:space="preserve">5408</w:t>
            </w:r>
          </w:p>
        </w:tc>
        <w:tc>
          <w:tcPr>
            <w:tcW w:w="0" w:type="auto"/>
          </w:tcPr>
          <w:p>
            <w:pPr>
              <w:spacing w:line="240" w:lineRule="auto" w:before="0" w:after="0"/>
              <w:pStyle w:val="Compact"/>
            </w:pPr>
            <w:r>
              <w:rPr>
                <w:sz w:val="20"/>
                <w:szCs w:val="20"/>
              </w:rPr>
              <w:t xml:space="preserve">24222</w:t>
            </w:r>
          </w:p>
        </w:tc>
        <w:tc>
          <w:tcPr>
            <w:tcW w:w="0" w:type="auto"/>
          </w:tcPr>
          <w:p>
            <w:pPr>
              <w:spacing w:line="240" w:lineRule="auto" w:before="0" w:after="0"/>
              <w:pStyle w:val="Compact"/>
            </w:pPr>
            <w:r>
              <w:rPr>
                <w:sz w:val="20"/>
                <w:szCs w:val="20"/>
              </w:rPr>
              <w:t xml:space="preserve">4453</w:t>
            </w:r>
          </w:p>
        </w:tc>
        <w:tc>
          <w:tcPr>
            <w:tcW w:w="0" w:type="auto"/>
          </w:tcPr>
          <w:p>
            <w:pPr>
              <w:spacing w:line="240" w:lineRule="auto" w:before="0" w:after="0"/>
              <w:pStyle w:val="Compact"/>
            </w:pPr>
            <w:r>
              <w:rPr>
                <w:sz w:val="20"/>
                <w:szCs w:val="20"/>
              </w:rPr>
              <w:t xml:space="preserve">34085</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4295</w:t>
            </w:r>
          </w:p>
        </w:tc>
        <w:tc>
          <w:tcPr>
            <w:tcW w:w="0" w:type="auto"/>
          </w:tcPr>
          <w:p>
            <w:pPr>
              <w:spacing w:line="240" w:lineRule="auto" w:before="0" w:after="0"/>
              <w:pStyle w:val="Compact"/>
            </w:pPr>
            <w:r>
              <w:rPr>
                <w:sz w:val="20"/>
                <w:szCs w:val="20"/>
              </w:rPr>
              <w:t xml:space="preserve">125</w:t>
            </w:r>
          </w:p>
        </w:tc>
        <w:tc>
          <w:tcPr>
            <w:tcW w:w="0" w:type="auto"/>
          </w:tcPr>
          <w:p>
            <w:pPr>
              <w:spacing w:line="240" w:lineRule="auto" w:before="0" w:after="0"/>
              <w:pStyle w:val="Compact"/>
            </w:pPr>
            <w:r>
              <w:rPr>
                <w:sz w:val="20"/>
                <w:szCs w:val="20"/>
              </w:rPr>
              <w:t xml:space="preserve">4076</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1677</w:t>
            </w:r>
          </w:p>
        </w:tc>
        <w:tc>
          <w:tcPr>
            <w:tcW w:w="0" w:type="auto"/>
          </w:tcPr>
          <w:p>
            <w:pPr>
              <w:spacing w:line="240" w:lineRule="auto" w:before="0" w:after="0"/>
              <w:pStyle w:val="Compact"/>
            </w:pPr>
            <w:r>
              <w:rPr>
                <w:sz w:val="20"/>
                <w:szCs w:val="20"/>
              </w:rPr>
              <w:t xml:space="preserve">38379</w:t>
            </w:r>
          </w:p>
        </w:tc>
        <w:tc>
          <w:tcPr>
            <w:tcW w:w="0" w:type="auto"/>
          </w:tcPr>
          <w:p>
            <w:pPr>
              <w:spacing w:line="240" w:lineRule="auto" w:before="0" w:after="0"/>
              <w:pStyle w:val="Compact"/>
            </w:pPr>
            <w:r>
              <w:rPr>
                <w:sz w:val="20"/>
                <w:szCs w:val="20"/>
              </w:rPr>
              <w:t xml:space="preserve">5533</w:t>
            </w:r>
          </w:p>
        </w:tc>
        <w:tc>
          <w:tcPr>
            <w:tcW w:w="0" w:type="auto"/>
          </w:tcPr>
          <w:p>
            <w:pPr>
              <w:spacing w:line="240" w:lineRule="auto" w:before="0" w:after="0"/>
              <w:pStyle w:val="Compact"/>
            </w:pPr>
            <w:r>
              <w:rPr>
                <w:sz w:val="20"/>
                <w:szCs w:val="20"/>
              </w:rPr>
              <w:t xml:space="preserve">28298</w:t>
            </w:r>
          </w:p>
        </w:tc>
        <w:tc>
          <w:tcPr>
            <w:tcW w:w="0" w:type="auto"/>
          </w:tcPr>
          <w:p>
            <w:pPr>
              <w:spacing w:line="240" w:lineRule="auto" w:before="0" w:after="0"/>
              <w:pStyle w:val="Compact"/>
            </w:pPr>
            <w:r>
              <w:rPr>
                <w:sz w:val="20"/>
                <w:szCs w:val="20"/>
              </w:rPr>
              <w:t xml:space="preserve">4547</w:t>
            </w:r>
          </w:p>
        </w:tc>
        <w:tc>
          <w:tcPr>
            <w:tcW w:w="0" w:type="auto"/>
          </w:tcPr>
          <w:p>
            <w:pPr>
              <w:spacing w:line="240" w:lineRule="auto" w:before="0" w:after="0"/>
              <w:pStyle w:val="Compact"/>
            </w:pPr>
            <w:r>
              <w:rPr>
                <w:sz w:val="20"/>
                <w:szCs w:val="20"/>
              </w:rPr>
              <w:t xml:space="preserve">38380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729</w:t>
            </w:r>
          </w:p>
        </w:tc>
        <w:tc>
          <w:tcPr>
            <w:tcW w:w="0" w:type="auto"/>
          </w:tcPr>
          <w:p>
            <w:pPr>
              <w:spacing w:line="240" w:lineRule="auto" w:before="0" w:after="0"/>
              <w:pStyle w:val="Compact"/>
            </w:pPr>
            <w:r>
              <w:rPr>
                <w:sz w:val="20"/>
                <w:szCs w:val="20"/>
              </w:rPr>
              <w:t xml:space="preserve">118</w:t>
            </w:r>
          </w:p>
        </w:tc>
        <w:tc>
          <w:tcPr>
            <w:tcW w:w="0" w:type="auto"/>
          </w:tcPr>
          <w:p>
            <w:pPr>
              <w:spacing w:line="240" w:lineRule="auto" w:before="0" w:after="0"/>
              <w:pStyle w:val="Compact"/>
            </w:pPr>
            <w:r>
              <w:rPr>
                <w:sz w:val="20"/>
                <w:szCs w:val="20"/>
              </w:rPr>
              <w:t xml:space="preserve">506</w:t>
            </w:r>
          </w:p>
        </w:tc>
        <w:tc>
          <w:tcPr>
            <w:tcW w:w="0" w:type="auto"/>
          </w:tcPr>
          <w:p>
            <w:pPr>
              <w:spacing w:line="240" w:lineRule="auto" w:before="0" w:after="0"/>
              <w:pStyle w:val="Compact"/>
            </w:pPr>
            <w:r>
              <w:rPr>
                <w:sz w:val="20"/>
                <w:szCs w:val="20"/>
              </w:rPr>
              <w:t xml:space="preserve">105</w:t>
            </w:r>
          </w:p>
        </w:tc>
        <w:tc>
          <w:tcPr>
            <w:tcW w:w="0" w:type="auto"/>
          </w:tcPr>
          <w:p>
            <w:pPr>
              <w:spacing w:line="240" w:lineRule="auto" w:before="0" w:after="0"/>
              <w:pStyle w:val="Compact"/>
            </w:pPr>
            <w:r>
              <w:rPr>
                <w:sz w:val="20"/>
                <w:szCs w:val="20"/>
              </w:rPr>
              <w:t xml:space="preserve">222</w:t>
            </w:r>
          </w:p>
        </w:tc>
        <w:tc>
          <w:tcPr>
            <w:tcW w:w="0" w:type="auto"/>
          </w:tcPr>
          <w:p>
            <w:pPr>
              <w:spacing w:line="240" w:lineRule="auto" w:before="0" w:after="0"/>
              <w:pStyle w:val="Compact"/>
            </w:pPr>
            <w:r>
              <w:rPr>
                <w:sz w:val="20"/>
                <w:szCs w:val="20"/>
              </w:rPr>
              <w:t xml:space="preserve">39108</w:t>
            </w:r>
          </w:p>
        </w:tc>
        <w:tc>
          <w:tcPr>
            <w:tcW w:w="0" w:type="auto"/>
          </w:tcPr>
          <w:p>
            <w:pPr>
              <w:spacing w:line="240" w:lineRule="auto" w:before="0" w:after="0"/>
              <w:pStyle w:val="Compact"/>
            </w:pPr>
            <w:r>
              <w:rPr>
                <w:sz w:val="20"/>
                <w:szCs w:val="20"/>
              </w:rPr>
              <w:t xml:space="preserve">5651</w:t>
            </w:r>
          </w:p>
        </w:tc>
        <w:tc>
          <w:tcPr>
            <w:tcW w:w="0" w:type="auto"/>
          </w:tcPr>
          <w:p>
            <w:pPr>
              <w:spacing w:line="240" w:lineRule="auto" w:before="0" w:after="0"/>
              <w:pStyle w:val="Compact"/>
            </w:pPr>
            <w:r>
              <w:rPr>
                <w:sz w:val="20"/>
                <w:szCs w:val="20"/>
              </w:rPr>
              <w:t xml:space="preserve">28804</w:t>
            </w:r>
          </w:p>
        </w:tc>
        <w:tc>
          <w:tcPr>
            <w:tcW w:w="0" w:type="auto"/>
          </w:tcPr>
          <w:p>
            <w:pPr>
              <w:spacing w:line="240" w:lineRule="auto" w:before="0" w:after="0"/>
              <w:pStyle w:val="Compact"/>
            </w:pPr>
            <w:r>
              <w:rPr>
                <w:sz w:val="20"/>
                <w:szCs w:val="20"/>
              </w:rPr>
              <w:t xml:space="preserve">4652</w:t>
            </w:r>
          </w:p>
        </w:tc>
        <w:tc>
          <w:tcPr>
            <w:tcW w:w="0" w:type="auto"/>
          </w:tcPr>
          <w:p>
            <w:pPr>
              <w:spacing w:line="240" w:lineRule="auto" w:before="0" w:after="0"/>
              <w:pStyle w:val="Compact"/>
            </w:pPr>
            <w:r>
              <w:rPr>
                <w:sz w:val="20"/>
                <w:szCs w:val="20"/>
              </w:rPr>
              <w:t xml:space="preserve">39109</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576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427</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458</w:t>
            </w:r>
          </w:p>
        </w:tc>
        <w:tc>
          <w:tcPr>
            <w:tcW w:w="0" w:type="auto"/>
          </w:tcPr>
          <w:p>
            <w:pPr>
              <w:spacing w:line="240" w:lineRule="auto" w:before="0" w:after="0"/>
              <w:pStyle w:val="Compact"/>
            </w:pPr>
            <w:r>
              <w:rPr>
                <w:sz w:val="20"/>
                <w:szCs w:val="20"/>
              </w:rPr>
              <w:t xml:space="preserve">39684</w:t>
            </w:r>
          </w:p>
        </w:tc>
        <w:tc>
          <w:tcPr>
            <w:tcW w:w="0" w:type="auto"/>
          </w:tcPr>
          <w:p>
            <w:pPr>
              <w:spacing w:line="240" w:lineRule="auto" w:before="0" w:after="0"/>
              <w:pStyle w:val="Compact"/>
            </w:pPr>
            <w:r>
              <w:rPr>
                <w:sz w:val="20"/>
                <w:szCs w:val="20"/>
              </w:rPr>
              <w:t xml:space="preserve">5731</w:t>
            </w:r>
          </w:p>
        </w:tc>
        <w:tc>
          <w:tcPr>
            <w:tcW w:w="0" w:type="auto"/>
          </w:tcPr>
          <w:p>
            <w:pPr>
              <w:spacing w:line="240" w:lineRule="auto" w:before="0" w:after="0"/>
              <w:pStyle w:val="Compact"/>
            </w:pPr>
            <w:r>
              <w:rPr>
                <w:sz w:val="20"/>
                <w:szCs w:val="20"/>
              </w:rPr>
              <w:t xml:space="preserve">29231</w:t>
            </w:r>
          </w:p>
        </w:tc>
        <w:tc>
          <w:tcPr>
            <w:tcW w:w="0" w:type="auto"/>
          </w:tcPr>
          <w:p>
            <w:pPr>
              <w:spacing w:line="240" w:lineRule="auto" w:before="0" w:after="0"/>
              <w:pStyle w:val="Compact"/>
            </w:pPr>
            <w:r>
              <w:rPr>
                <w:sz w:val="20"/>
                <w:szCs w:val="20"/>
              </w:rPr>
              <w:t xml:space="preserve">4721</w:t>
            </w:r>
          </w:p>
        </w:tc>
        <w:tc>
          <w:tcPr>
            <w:tcW w:w="0" w:type="auto"/>
          </w:tcPr>
          <w:p>
            <w:pPr>
              <w:spacing w:line="240" w:lineRule="auto" w:before="0" w:after="0"/>
              <w:pStyle w:val="Compact"/>
            </w:pPr>
            <w:r>
              <w:rPr>
                <w:sz w:val="20"/>
                <w:szCs w:val="20"/>
              </w:rPr>
              <w:t xml:space="preserve">39685</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394</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233</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233</w:t>
            </w:r>
          </w:p>
        </w:tc>
        <w:tc>
          <w:tcPr>
            <w:tcW w:w="0" w:type="auto"/>
          </w:tcPr>
          <w:p>
            <w:pPr>
              <w:spacing w:line="240" w:lineRule="auto" w:before="0" w:after="0"/>
              <w:pStyle w:val="Compact"/>
            </w:pPr>
            <w:r>
              <w:rPr>
                <w:sz w:val="20"/>
                <w:szCs w:val="20"/>
              </w:rPr>
              <w:t xml:space="preserve">40078</w:t>
            </w:r>
          </w:p>
        </w:tc>
        <w:tc>
          <w:tcPr>
            <w:tcW w:w="0" w:type="auto"/>
          </w:tcPr>
          <w:p>
            <w:pPr>
              <w:spacing w:line="240" w:lineRule="auto" w:before="0" w:after="0"/>
              <w:pStyle w:val="Compact"/>
            </w:pPr>
            <w:r>
              <w:rPr>
                <w:sz w:val="20"/>
                <w:szCs w:val="20"/>
              </w:rPr>
              <w:t xml:space="preserve">5824</w:t>
            </w:r>
          </w:p>
        </w:tc>
        <w:tc>
          <w:tcPr>
            <w:tcW w:w="0" w:type="auto"/>
          </w:tcPr>
          <w:p>
            <w:pPr>
              <w:spacing w:line="240" w:lineRule="auto" w:before="0" w:after="0"/>
              <w:pStyle w:val="Compact"/>
            </w:pPr>
            <w:r>
              <w:rPr>
                <w:sz w:val="20"/>
                <w:szCs w:val="20"/>
              </w:rPr>
              <w:t xml:space="preserve">29464</w:t>
            </w:r>
          </w:p>
        </w:tc>
        <w:tc>
          <w:tcPr>
            <w:tcW w:w="0" w:type="auto"/>
          </w:tcPr>
          <w:p>
            <w:pPr>
              <w:spacing w:line="240" w:lineRule="auto" w:before="0" w:after="0"/>
              <w:pStyle w:val="Compact"/>
            </w:pPr>
            <w:r>
              <w:rPr>
                <w:sz w:val="20"/>
                <w:szCs w:val="20"/>
              </w:rPr>
              <w:t xml:space="preserve">4789</w:t>
            </w:r>
          </w:p>
        </w:tc>
        <w:tc>
          <w:tcPr>
            <w:tcW w:w="0" w:type="auto"/>
          </w:tcPr>
          <w:p>
            <w:pPr>
              <w:spacing w:line="240" w:lineRule="auto" w:before="0" w:after="0"/>
              <w:pStyle w:val="Compact"/>
            </w:pPr>
            <w:r>
              <w:rPr>
                <w:sz w:val="20"/>
                <w:szCs w:val="20"/>
              </w:rPr>
              <w:t xml:space="preserve">40079</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233</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115</w:t>
            </w:r>
          </w:p>
        </w:tc>
        <w:tc>
          <w:tcPr>
            <w:tcW w:w="0" w:type="auto"/>
          </w:tcPr>
          <w:p>
            <w:pPr>
              <w:spacing w:line="240" w:lineRule="auto" w:before="0" w:after="0"/>
              <w:pStyle w:val="Compact"/>
            </w:pPr>
            <w:r>
              <w:rPr>
                <w:sz w:val="20"/>
                <w:szCs w:val="20"/>
              </w:rPr>
              <w:t xml:space="preserve">40311</w:t>
            </w:r>
          </w:p>
        </w:tc>
        <w:tc>
          <w:tcPr>
            <w:tcW w:w="0" w:type="auto"/>
          </w:tcPr>
          <w:p>
            <w:pPr>
              <w:spacing w:line="240" w:lineRule="auto" w:before="0" w:after="0"/>
              <w:pStyle w:val="Compact"/>
            </w:pPr>
            <w:r>
              <w:rPr>
                <w:sz w:val="20"/>
                <w:szCs w:val="20"/>
              </w:rPr>
              <w:t xml:space="preserve">5907</w:t>
            </w:r>
          </w:p>
        </w:tc>
        <w:tc>
          <w:tcPr>
            <w:tcW w:w="0" w:type="auto"/>
          </w:tcPr>
          <w:p>
            <w:pPr>
              <w:spacing w:line="240" w:lineRule="auto" w:before="0" w:after="0"/>
              <w:pStyle w:val="Compact"/>
            </w:pPr>
            <w:r>
              <w:rPr>
                <w:sz w:val="20"/>
                <w:szCs w:val="20"/>
              </w:rPr>
              <w:t xml:space="preserve">29544</w:t>
            </w:r>
          </w:p>
        </w:tc>
        <w:tc>
          <w:tcPr>
            <w:tcW w:w="0" w:type="auto"/>
          </w:tcPr>
          <w:p>
            <w:pPr>
              <w:spacing w:line="240" w:lineRule="auto" w:before="0" w:after="0"/>
              <w:pStyle w:val="Compact"/>
            </w:pPr>
            <w:r>
              <w:rPr>
                <w:sz w:val="20"/>
                <w:szCs w:val="20"/>
              </w:rPr>
              <w:t xml:space="preserve">4859</w:t>
            </w:r>
          </w:p>
        </w:tc>
        <w:tc>
          <w:tcPr>
            <w:tcW w:w="0" w:type="auto"/>
          </w:tcPr>
          <w:p>
            <w:pPr>
              <w:spacing w:line="240" w:lineRule="auto" w:before="0" w:after="0"/>
              <w:pStyle w:val="Compact"/>
            </w:pPr>
            <w:r>
              <w:rPr>
                <w:sz w:val="20"/>
                <w:szCs w:val="20"/>
              </w:rPr>
              <w:t xml:space="preserve">40312</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212</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106</w:t>
            </w:r>
          </w:p>
        </w:tc>
        <w:tc>
          <w:tcPr>
            <w:tcW w:w="0" w:type="auto"/>
          </w:tcPr>
          <w:p>
            <w:pPr>
              <w:spacing w:line="240" w:lineRule="auto" w:before="0" w:after="0"/>
              <w:pStyle w:val="Compact"/>
            </w:pPr>
            <w:r>
              <w:rPr>
                <w:sz w:val="20"/>
                <w:szCs w:val="20"/>
              </w:rPr>
              <w:t xml:space="preserve">40523</w:t>
            </w:r>
          </w:p>
        </w:tc>
        <w:tc>
          <w:tcPr>
            <w:tcW w:w="0" w:type="auto"/>
          </w:tcPr>
          <w:p>
            <w:pPr>
              <w:spacing w:line="240" w:lineRule="auto" w:before="0" w:after="0"/>
              <w:pStyle w:val="Compact"/>
            </w:pPr>
            <w:r>
              <w:rPr>
                <w:sz w:val="20"/>
                <w:szCs w:val="20"/>
              </w:rPr>
              <w:t xml:space="preserve">5977</w:t>
            </w:r>
          </w:p>
        </w:tc>
        <w:tc>
          <w:tcPr>
            <w:tcW w:w="0" w:type="auto"/>
          </w:tcPr>
          <w:p>
            <w:pPr>
              <w:spacing w:line="240" w:lineRule="auto" w:before="0" w:after="0"/>
              <w:pStyle w:val="Compact"/>
            </w:pPr>
            <w:r>
              <w:rPr>
                <w:sz w:val="20"/>
                <w:szCs w:val="20"/>
              </w:rPr>
              <w:t xml:space="preserve">29615</w:t>
            </w:r>
          </w:p>
        </w:tc>
        <w:tc>
          <w:tcPr>
            <w:tcW w:w="0" w:type="auto"/>
          </w:tcPr>
          <w:p>
            <w:pPr>
              <w:spacing w:line="240" w:lineRule="auto" w:before="0" w:after="0"/>
              <w:pStyle w:val="Compact"/>
            </w:pPr>
            <w:r>
              <w:rPr>
                <w:sz w:val="20"/>
                <w:szCs w:val="20"/>
              </w:rPr>
              <w:t xml:space="preserve">4930</w:t>
            </w:r>
          </w:p>
        </w:tc>
        <w:tc>
          <w:tcPr>
            <w:tcW w:w="0" w:type="auto"/>
          </w:tcPr>
          <w:p>
            <w:pPr>
              <w:spacing w:line="240" w:lineRule="auto" w:before="0" w:after="0"/>
              <w:pStyle w:val="Compact"/>
            </w:pPr>
            <w:r>
              <w:rPr>
                <w:sz w:val="20"/>
                <w:szCs w:val="20"/>
              </w:rPr>
              <w:t xml:space="preserve">40524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190</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40713</w:t>
            </w:r>
          </w:p>
        </w:tc>
        <w:tc>
          <w:tcPr>
            <w:tcW w:w="0" w:type="auto"/>
          </w:tcPr>
          <w:p>
            <w:pPr>
              <w:spacing w:line="240" w:lineRule="auto" w:before="0" w:after="0"/>
              <w:pStyle w:val="Compact"/>
            </w:pPr>
            <w:r>
              <w:rPr>
                <w:sz w:val="20"/>
                <w:szCs w:val="20"/>
              </w:rPr>
              <w:t xml:space="preserve">6047</w:t>
            </w:r>
          </w:p>
        </w:tc>
        <w:tc>
          <w:tcPr>
            <w:tcW w:w="0" w:type="auto"/>
          </w:tcPr>
          <w:p>
            <w:pPr>
              <w:spacing w:line="240" w:lineRule="auto" w:before="0" w:after="0"/>
              <w:pStyle w:val="Compact"/>
            </w:pPr>
            <w:r>
              <w:rPr>
                <w:sz w:val="20"/>
                <w:szCs w:val="20"/>
              </w:rPr>
              <w:t xml:space="preserve">29678</w:t>
            </w:r>
          </w:p>
        </w:tc>
        <w:tc>
          <w:tcPr>
            <w:tcW w:w="0" w:type="auto"/>
          </w:tcPr>
          <w:p>
            <w:pPr>
              <w:spacing w:line="240" w:lineRule="auto" w:before="0" w:after="0"/>
              <w:pStyle w:val="Compact"/>
            </w:pPr>
            <w:r>
              <w:rPr>
                <w:sz w:val="20"/>
                <w:szCs w:val="20"/>
              </w:rPr>
              <w:t xml:space="preserve">4987</w:t>
            </w:r>
          </w:p>
        </w:tc>
        <w:tc>
          <w:tcPr>
            <w:tcW w:w="0" w:type="auto"/>
          </w:tcPr>
          <w:p>
            <w:pPr>
              <w:spacing w:line="240" w:lineRule="auto" w:before="0" w:after="0"/>
              <w:pStyle w:val="Compact"/>
            </w:pPr>
            <w:r>
              <w:rPr>
                <w:sz w:val="20"/>
                <w:szCs w:val="20"/>
              </w:rPr>
              <w:t xml:space="preserve">40714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1163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1007</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949</w:t>
            </w:r>
          </w:p>
        </w:tc>
        <w:tc>
          <w:tcPr>
            <w:tcW w:w="0" w:type="auto"/>
          </w:tcPr>
          <w:p>
            <w:pPr>
              <w:spacing w:line="240" w:lineRule="auto" w:before="0" w:after="0"/>
              <w:pStyle w:val="Compact"/>
            </w:pPr>
            <w:r>
              <w:rPr>
                <w:sz w:val="20"/>
                <w:szCs w:val="20"/>
              </w:rPr>
              <w:t xml:space="preserve">41876</w:t>
            </w:r>
          </w:p>
        </w:tc>
        <w:tc>
          <w:tcPr>
            <w:tcW w:w="0" w:type="auto"/>
          </w:tcPr>
          <w:p>
            <w:pPr>
              <w:spacing w:line="240" w:lineRule="auto" w:before="0" w:after="0"/>
              <w:pStyle w:val="Compact"/>
            </w:pPr>
            <w:r>
              <w:rPr>
                <w:sz w:val="20"/>
                <w:szCs w:val="20"/>
              </w:rPr>
              <w:t xml:space="preserve">6135</w:t>
            </w:r>
          </w:p>
        </w:tc>
        <w:tc>
          <w:tcPr>
            <w:tcW w:w="0" w:type="auto"/>
          </w:tcPr>
          <w:p>
            <w:pPr>
              <w:spacing w:line="240" w:lineRule="auto" w:before="0" w:after="0"/>
              <w:pStyle w:val="Compact"/>
            </w:pPr>
            <w:r>
              <w:rPr>
                <w:sz w:val="20"/>
                <w:szCs w:val="20"/>
              </w:rPr>
              <w:t xml:space="preserve">30685</w:t>
            </w:r>
          </w:p>
        </w:tc>
        <w:tc>
          <w:tcPr>
            <w:tcW w:w="0" w:type="auto"/>
          </w:tcPr>
          <w:p>
            <w:pPr>
              <w:spacing w:line="240" w:lineRule="auto" w:before="0" w:after="0"/>
              <w:pStyle w:val="Compact"/>
            </w:pPr>
            <w:r>
              <w:rPr>
                <w:sz w:val="20"/>
                <w:szCs w:val="20"/>
              </w:rPr>
              <w:t xml:space="preserve">5055</w:t>
            </w:r>
          </w:p>
        </w:tc>
        <w:tc>
          <w:tcPr>
            <w:tcW w:w="0" w:type="auto"/>
          </w:tcPr>
          <w:p>
            <w:pPr>
              <w:spacing w:line="240" w:lineRule="auto" w:before="0" w:after="0"/>
              <w:pStyle w:val="Compact"/>
            </w:pPr>
            <w:r>
              <w:rPr>
                <w:sz w:val="20"/>
                <w:szCs w:val="20"/>
              </w:rPr>
              <w:t xml:space="preserve">41877</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349</w:t>
            </w:r>
          </w:p>
        </w:tc>
        <w:tc>
          <w:tcPr>
            <w:tcW w:w="0" w:type="auto"/>
          </w:tcPr>
          <w:p>
            <w:pPr>
              <w:spacing w:line="240" w:lineRule="auto" w:before="0" w:after="0"/>
              <w:pStyle w:val="Compact"/>
            </w:pPr>
            <w:r>
              <w:rPr>
                <w:sz w:val="20"/>
                <w:szCs w:val="20"/>
              </w:rPr>
              <w:t xml:space="preserve">101</w:t>
            </w:r>
          </w:p>
        </w:tc>
        <w:tc>
          <w:tcPr>
            <w:tcW w:w="0" w:type="auto"/>
          </w:tcPr>
          <w:p>
            <w:pPr>
              <w:spacing w:line="240" w:lineRule="auto" w:before="0" w:after="0"/>
              <w:pStyle w:val="Compact"/>
            </w:pPr>
            <w:r>
              <w:rPr>
                <w:sz w:val="20"/>
                <w:szCs w:val="20"/>
              </w:rPr>
              <w:t xml:space="preserve">178</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138</w:t>
            </w:r>
          </w:p>
        </w:tc>
        <w:tc>
          <w:tcPr>
            <w:tcW w:w="0" w:type="auto"/>
          </w:tcPr>
          <w:p>
            <w:pPr>
              <w:spacing w:line="240" w:lineRule="auto" w:before="0" w:after="0"/>
              <w:pStyle w:val="Compact"/>
            </w:pPr>
            <w:r>
              <w:rPr>
                <w:sz w:val="20"/>
                <w:szCs w:val="20"/>
              </w:rPr>
              <w:t xml:space="preserve">42225</w:t>
            </w:r>
          </w:p>
        </w:tc>
        <w:tc>
          <w:tcPr>
            <w:tcW w:w="0" w:type="auto"/>
          </w:tcPr>
          <w:p>
            <w:pPr>
              <w:spacing w:line="240" w:lineRule="auto" w:before="0" w:after="0"/>
              <w:pStyle w:val="Compact"/>
            </w:pPr>
            <w:r>
              <w:rPr>
                <w:sz w:val="20"/>
                <w:szCs w:val="20"/>
              </w:rPr>
              <w:t xml:space="preserve">6236</w:t>
            </w:r>
          </w:p>
        </w:tc>
        <w:tc>
          <w:tcPr>
            <w:tcW w:w="0" w:type="auto"/>
          </w:tcPr>
          <w:p>
            <w:pPr>
              <w:spacing w:line="240" w:lineRule="auto" w:before="0" w:after="0"/>
              <w:pStyle w:val="Compact"/>
            </w:pPr>
            <w:r>
              <w:rPr>
                <w:sz w:val="20"/>
                <w:szCs w:val="20"/>
              </w:rPr>
              <w:t xml:space="preserve">30863</w:t>
            </w:r>
          </w:p>
        </w:tc>
        <w:tc>
          <w:tcPr>
            <w:tcW w:w="0" w:type="auto"/>
          </w:tcPr>
          <w:p>
            <w:pPr>
              <w:spacing w:line="240" w:lineRule="auto" w:before="0" w:after="0"/>
              <w:pStyle w:val="Compact"/>
            </w:pPr>
            <w:r>
              <w:rPr>
                <w:sz w:val="20"/>
                <w:szCs w:val="20"/>
              </w:rPr>
              <w:t xml:space="preserve">5125</w:t>
            </w:r>
          </w:p>
        </w:tc>
        <w:tc>
          <w:tcPr>
            <w:tcW w:w="0" w:type="auto"/>
          </w:tcPr>
          <w:p>
            <w:pPr>
              <w:spacing w:line="240" w:lineRule="auto" w:before="0" w:after="0"/>
              <w:pStyle w:val="Compact"/>
            </w:pPr>
            <w:r>
              <w:rPr>
                <w:sz w:val="20"/>
                <w:szCs w:val="20"/>
              </w:rPr>
              <w:t xml:space="preserve">42226</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418</w:t>
            </w:r>
          </w:p>
        </w:tc>
        <w:tc>
          <w:tcPr>
            <w:tcW w:w="0" w:type="auto"/>
          </w:tcPr>
          <w:p>
            <w:pPr>
              <w:spacing w:line="240" w:lineRule="auto" w:before="0" w:after="0"/>
              <w:pStyle w:val="Compact"/>
            </w:pPr>
            <w:r>
              <w:rPr>
                <w:sz w:val="20"/>
                <w:szCs w:val="20"/>
              </w:rPr>
              <w:t xml:space="preserve">102</w:t>
            </w:r>
          </w:p>
        </w:tc>
        <w:tc>
          <w:tcPr>
            <w:tcW w:w="0" w:type="auto"/>
          </w:tcPr>
          <w:p>
            <w:pPr>
              <w:spacing w:line="240" w:lineRule="auto" w:before="0" w:after="0"/>
              <w:pStyle w:val="Compact"/>
            </w:pPr>
            <w:r>
              <w:rPr>
                <w:sz w:val="20"/>
                <w:szCs w:val="20"/>
              </w:rPr>
              <w:t xml:space="preserve">242</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124</w:t>
            </w:r>
          </w:p>
        </w:tc>
        <w:tc>
          <w:tcPr>
            <w:tcW w:w="0" w:type="auto"/>
          </w:tcPr>
          <w:p>
            <w:pPr>
              <w:spacing w:line="240" w:lineRule="auto" w:before="0" w:after="0"/>
              <w:pStyle w:val="Compact"/>
            </w:pPr>
            <w:r>
              <w:rPr>
                <w:sz w:val="20"/>
                <w:szCs w:val="20"/>
              </w:rPr>
              <w:t xml:space="preserve">42643</w:t>
            </w:r>
          </w:p>
        </w:tc>
        <w:tc>
          <w:tcPr>
            <w:tcW w:w="0" w:type="auto"/>
          </w:tcPr>
          <w:p>
            <w:pPr>
              <w:spacing w:line="240" w:lineRule="auto" w:before="0" w:after="0"/>
              <w:pStyle w:val="Compact"/>
            </w:pPr>
            <w:r>
              <w:rPr>
                <w:sz w:val="20"/>
                <w:szCs w:val="20"/>
              </w:rPr>
              <w:t xml:space="preserve">6338</w:t>
            </w:r>
          </w:p>
        </w:tc>
        <w:tc>
          <w:tcPr>
            <w:tcW w:w="0" w:type="auto"/>
          </w:tcPr>
          <w:p>
            <w:pPr>
              <w:spacing w:line="240" w:lineRule="auto" w:before="0" w:after="0"/>
              <w:pStyle w:val="Compact"/>
            </w:pPr>
            <w:r>
              <w:rPr>
                <w:sz w:val="20"/>
                <w:szCs w:val="20"/>
              </w:rPr>
              <w:t xml:space="preserve">31105</w:t>
            </w:r>
          </w:p>
        </w:tc>
        <w:tc>
          <w:tcPr>
            <w:tcW w:w="0" w:type="auto"/>
          </w:tcPr>
          <w:p>
            <w:pPr>
              <w:spacing w:line="240" w:lineRule="auto" w:before="0" w:after="0"/>
              <w:pStyle w:val="Compact"/>
            </w:pPr>
            <w:r>
              <w:rPr>
                <w:sz w:val="20"/>
                <w:szCs w:val="20"/>
              </w:rPr>
              <w:t xml:space="preserve">5199</w:t>
            </w:r>
          </w:p>
        </w:tc>
        <w:tc>
          <w:tcPr>
            <w:tcW w:w="0" w:type="auto"/>
          </w:tcPr>
          <w:p>
            <w:pPr>
              <w:spacing w:line="240" w:lineRule="auto" w:before="0" w:after="0"/>
              <w:pStyle w:val="Compact"/>
            </w:pPr>
            <w:r>
              <w:rPr>
                <w:sz w:val="20"/>
                <w:szCs w:val="20"/>
              </w:rPr>
              <w:t xml:space="preserve">42644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377</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187</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220</w:t>
            </w:r>
          </w:p>
        </w:tc>
        <w:tc>
          <w:tcPr>
            <w:tcW w:w="0" w:type="auto"/>
          </w:tcPr>
          <w:p>
            <w:pPr>
              <w:spacing w:line="240" w:lineRule="auto" w:before="0" w:after="0"/>
              <w:pStyle w:val="Compact"/>
            </w:pPr>
            <w:r>
              <w:rPr>
                <w:sz w:val="20"/>
                <w:szCs w:val="20"/>
              </w:rPr>
              <w:t xml:space="preserve">43020</w:t>
            </w:r>
          </w:p>
        </w:tc>
        <w:tc>
          <w:tcPr>
            <w:tcW w:w="0" w:type="auto"/>
          </w:tcPr>
          <w:p>
            <w:pPr>
              <w:spacing w:line="240" w:lineRule="auto" w:before="0" w:after="0"/>
              <w:pStyle w:val="Compact"/>
            </w:pPr>
            <w:r>
              <w:rPr>
                <w:sz w:val="20"/>
                <w:szCs w:val="20"/>
              </w:rPr>
              <w:t xml:space="preserve">6455</w:t>
            </w:r>
          </w:p>
        </w:tc>
        <w:tc>
          <w:tcPr>
            <w:tcW w:w="0" w:type="auto"/>
          </w:tcPr>
          <w:p>
            <w:pPr>
              <w:spacing w:line="240" w:lineRule="auto" w:before="0" w:after="0"/>
              <w:pStyle w:val="Compact"/>
            </w:pPr>
            <w:r>
              <w:rPr>
                <w:sz w:val="20"/>
                <w:szCs w:val="20"/>
              </w:rPr>
              <w:t xml:space="preserve">31292</w:t>
            </w:r>
          </w:p>
        </w:tc>
        <w:tc>
          <w:tcPr>
            <w:tcW w:w="0" w:type="auto"/>
          </w:tcPr>
          <w:p>
            <w:pPr>
              <w:spacing w:line="240" w:lineRule="auto" w:before="0" w:after="0"/>
              <w:pStyle w:val="Compact"/>
            </w:pPr>
            <w:r>
              <w:rPr>
                <w:sz w:val="20"/>
                <w:szCs w:val="20"/>
              </w:rPr>
              <w:t xml:space="preserve">5272</w:t>
            </w:r>
          </w:p>
        </w:tc>
        <w:tc>
          <w:tcPr>
            <w:tcW w:w="0" w:type="auto"/>
          </w:tcPr>
          <w:p>
            <w:pPr>
              <w:spacing w:line="240" w:lineRule="auto" w:before="0" w:after="0"/>
              <w:pStyle w:val="Compact"/>
            </w:pPr>
            <w:r>
              <w:rPr>
                <w:sz w:val="20"/>
                <w:szCs w:val="20"/>
              </w:rPr>
              <w:t xml:space="preserve">43021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406</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221</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106</w:t>
            </w:r>
          </w:p>
        </w:tc>
        <w:tc>
          <w:tcPr>
            <w:tcW w:w="0" w:type="auto"/>
          </w:tcPr>
          <w:p>
            <w:pPr>
              <w:spacing w:line="240" w:lineRule="auto" w:before="0" w:after="0"/>
              <w:pStyle w:val="Compact"/>
            </w:pPr>
            <w:r>
              <w:rPr>
                <w:sz w:val="20"/>
                <w:szCs w:val="20"/>
              </w:rPr>
              <w:t xml:space="preserve">43426</w:t>
            </w:r>
          </w:p>
        </w:tc>
        <w:tc>
          <w:tcPr>
            <w:tcW w:w="0" w:type="auto"/>
          </w:tcPr>
          <w:p>
            <w:pPr>
              <w:spacing w:line="240" w:lineRule="auto" w:before="0" w:after="0"/>
              <w:pStyle w:val="Compact"/>
            </w:pPr>
            <w:r>
              <w:rPr>
                <w:sz w:val="20"/>
                <w:szCs w:val="20"/>
              </w:rPr>
              <w:t xml:space="preserve">6572</w:t>
            </w:r>
          </w:p>
        </w:tc>
        <w:tc>
          <w:tcPr>
            <w:tcW w:w="0" w:type="auto"/>
          </w:tcPr>
          <w:p>
            <w:pPr>
              <w:spacing w:line="240" w:lineRule="auto" w:before="0" w:after="0"/>
              <w:pStyle w:val="Compact"/>
            </w:pPr>
            <w:r>
              <w:rPr>
                <w:sz w:val="20"/>
                <w:szCs w:val="20"/>
              </w:rPr>
              <w:t xml:space="preserve">31513</w:t>
            </w:r>
          </w:p>
        </w:tc>
        <w:tc>
          <w:tcPr>
            <w:tcW w:w="0" w:type="auto"/>
          </w:tcPr>
          <w:p>
            <w:pPr>
              <w:spacing w:line="240" w:lineRule="auto" w:before="0" w:after="0"/>
              <w:pStyle w:val="Compact"/>
            </w:pPr>
            <w:r>
              <w:rPr>
                <w:sz w:val="20"/>
                <w:szCs w:val="20"/>
              </w:rPr>
              <w:t xml:space="preserve">5340</w:t>
            </w:r>
          </w:p>
        </w:tc>
        <w:tc>
          <w:tcPr>
            <w:tcW w:w="0" w:type="auto"/>
          </w:tcPr>
          <w:p>
            <w:pPr>
              <w:spacing w:line="240" w:lineRule="auto" w:before="0" w:after="0"/>
              <w:pStyle w:val="Compact"/>
            </w:pPr>
            <w:r>
              <w:rPr>
                <w:sz w:val="20"/>
                <w:szCs w:val="20"/>
              </w:rPr>
              <w:t xml:space="preserve">43427</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658</w:t>
            </w:r>
          </w:p>
        </w:tc>
        <w:tc>
          <w:tcPr>
            <w:tcW w:w="0" w:type="auto"/>
          </w:tcPr>
          <w:p>
            <w:pPr>
              <w:spacing w:line="240" w:lineRule="auto" w:before="0" w:after="0"/>
              <w:pStyle w:val="Compact"/>
            </w:pPr>
            <w:r>
              <w:rPr>
                <w:sz w:val="20"/>
                <w:szCs w:val="20"/>
              </w:rPr>
              <w:t xml:space="preserve">123</w:t>
            </w:r>
          </w:p>
        </w:tc>
        <w:tc>
          <w:tcPr>
            <w:tcW w:w="0" w:type="auto"/>
          </w:tcPr>
          <w:p>
            <w:pPr>
              <w:spacing w:line="240" w:lineRule="auto" w:before="0" w:after="0"/>
              <w:pStyle w:val="Compact"/>
            </w:pPr>
            <w:r>
              <w:rPr>
                <w:sz w:val="20"/>
                <w:szCs w:val="20"/>
              </w:rPr>
              <w:t xml:space="preserve">466</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277</w:t>
            </w:r>
          </w:p>
        </w:tc>
        <w:tc>
          <w:tcPr>
            <w:tcW w:w="0" w:type="auto"/>
          </w:tcPr>
          <w:p>
            <w:pPr>
              <w:spacing w:line="240" w:lineRule="auto" w:before="0" w:after="0"/>
              <w:pStyle w:val="Compact"/>
            </w:pPr>
            <w:r>
              <w:rPr>
                <w:sz w:val="20"/>
                <w:szCs w:val="20"/>
              </w:rPr>
              <w:t xml:space="preserve">44084</w:t>
            </w:r>
          </w:p>
        </w:tc>
        <w:tc>
          <w:tcPr>
            <w:tcW w:w="0" w:type="auto"/>
          </w:tcPr>
          <w:p>
            <w:pPr>
              <w:spacing w:line="240" w:lineRule="auto" w:before="0" w:after="0"/>
              <w:pStyle w:val="Compact"/>
            </w:pPr>
            <w:r>
              <w:rPr>
                <w:sz w:val="20"/>
                <w:szCs w:val="20"/>
              </w:rPr>
              <w:t xml:space="preserve">6695</w:t>
            </w:r>
          </w:p>
        </w:tc>
        <w:tc>
          <w:tcPr>
            <w:tcW w:w="0" w:type="auto"/>
          </w:tcPr>
          <w:p>
            <w:pPr>
              <w:spacing w:line="240" w:lineRule="auto" w:before="0" w:after="0"/>
              <w:pStyle w:val="Compact"/>
            </w:pPr>
            <w:r>
              <w:rPr>
                <w:sz w:val="20"/>
                <w:szCs w:val="20"/>
              </w:rPr>
              <w:t xml:space="preserve">31979</w:t>
            </w:r>
          </w:p>
        </w:tc>
        <w:tc>
          <w:tcPr>
            <w:tcW w:w="0" w:type="auto"/>
          </w:tcPr>
          <w:p>
            <w:pPr>
              <w:spacing w:line="240" w:lineRule="auto" w:before="0" w:after="0"/>
              <w:pStyle w:val="Compact"/>
            </w:pPr>
            <w:r>
              <w:rPr>
                <w:sz w:val="20"/>
                <w:szCs w:val="20"/>
              </w:rPr>
              <w:t xml:space="preserve">5408</w:t>
            </w:r>
          </w:p>
        </w:tc>
        <w:tc>
          <w:tcPr>
            <w:tcW w:w="0" w:type="auto"/>
          </w:tcPr>
          <w:p>
            <w:pPr>
              <w:spacing w:line="240" w:lineRule="auto" w:before="0" w:after="0"/>
              <w:pStyle w:val="Compact"/>
            </w:pPr>
            <w:r>
              <w:rPr>
                <w:sz w:val="20"/>
                <w:szCs w:val="20"/>
              </w:rPr>
              <w:t xml:space="preserve">44085</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474</w:t>
            </w:r>
          </w:p>
        </w:tc>
        <w:tc>
          <w:tcPr>
            <w:tcW w:w="0" w:type="auto"/>
          </w:tcPr>
          <w:p>
            <w:pPr>
              <w:spacing w:line="240" w:lineRule="auto" w:before="0" w:after="0"/>
              <w:pStyle w:val="Compact"/>
            </w:pPr>
            <w:r>
              <w:rPr>
                <w:sz w:val="20"/>
                <w:szCs w:val="20"/>
              </w:rPr>
              <w:t xml:space="preserve">126</w:t>
            </w:r>
          </w:p>
        </w:tc>
        <w:tc>
          <w:tcPr>
            <w:tcW w:w="0" w:type="auto"/>
          </w:tcPr>
          <w:p>
            <w:pPr>
              <w:spacing w:line="240" w:lineRule="auto" w:before="0" w:after="0"/>
              <w:pStyle w:val="Compact"/>
            </w:pPr>
            <w:r>
              <w:rPr>
                <w:sz w:val="20"/>
                <w:szCs w:val="20"/>
              </w:rPr>
              <w:t xml:space="preserve">275</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277</w:t>
            </w:r>
          </w:p>
        </w:tc>
        <w:tc>
          <w:tcPr>
            <w:tcW w:w="0" w:type="auto"/>
          </w:tcPr>
          <w:p>
            <w:pPr>
              <w:spacing w:line="240" w:lineRule="auto" w:before="0" w:after="0"/>
              <w:pStyle w:val="Compact"/>
            </w:pPr>
            <w:r>
              <w:rPr>
                <w:sz w:val="20"/>
                <w:szCs w:val="20"/>
              </w:rPr>
              <w:t xml:space="preserve">44558</w:t>
            </w:r>
          </w:p>
        </w:tc>
        <w:tc>
          <w:tcPr>
            <w:tcW w:w="0" w:type="auto"/>
          </w:tcPr>
          <w:p>
            <w:pPr>
              <w:spacing w:line="240" w:lineRule="auto" w:before="0" w:after="0"/>
              <w:pStyle w:val="Compact"/>
            </w:pPr>
            <w:r>
              <w:rPr>
                <w:sz w:val="20"/>
                <w:szCs w:val="20"/>
              </w:rPr>
              <w:t xml:space="preserve">6821</w:t>
            </w:r>
          </w:p>
        </w:tc>
        <w:tc>
          <w:tcPr>
            <w:tcW w:w="0" w:type="auto"/>
          </w:tcPr>
          <w:p>
            <w:pPr>
              <w:spacing w:line="240" w:lineRule="auto" w:before="0" w:after="0"/>
              <w:pStyle w:val="Compact"/>
            </w:pPr>
            <w:r>
              <w:rPr>
                <w:sz w:val="20"/>
                <w:szCs w:val="20"/>
              </w:rPr>
              <w:t xml:space="preserve">32254</w:t>
            </w:r>
          </w:p>
        </w:tc>
        <w:tc>
          <w:tcPr>
            <w:tcW w:w="0" w:type="auto"/>
          </w:tcPr>
          <w:p>
            <w:pPr>
              <w:spacing w:line="240" w:lineRule="auto" w:before="0" w:after="0"/>
              <w:pStyle w:val="Compact"/>
            </w:pPr>
            <w:r>
              <w:rPr>
                <w:sz w:val="20"/>
                <w:szCs w:val="20"/>
              </w:rPr>
              <w:t xml:space="preserve">5481</w:t>
            </w:r>
          </w:p>
        </w:tc>
        <w:tc>
          <w:tcPr>
            <w:tcW w:w="0" w:type="auto"/>
          </w:tcPr>
          <w:p>
            <w:pPr>
              <w:spacing w:line="240" w:lineRule="auto" w:before="0" w:after="0"/>
              <w:pStyle w:val="Compact"/>
            </w:pPr>
            <w:r>
              <w:rPr>
                <w:sz w:val="20"/>
                <w:szCs w:val="20"/>
              </w:rPr>
              <w:t xml:space="preserve">44559</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425</w:t>
            </w:r>
          </w:p>
        </w:tc>
        <w:tc>
          <w:tcPr>
            <w:tcW w:w="0" w:type="auto"/>
          </w:tcPr>
          <w:p>
            <w:pPr>
              <w:spacing w:line="240" w:lineRule="auto" w:before="0" w:after="0"/>
              <w:pStyle w:val="Compact"/>
            </w:pPr>
            <w:r>
              <w:rPr>
                <w:sz w:val="20"/>
                <w:szCs w:val="20"/>
              </w:rPr>
              <w:t xml:space="preserve">199</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171</w:t>
            </w:r>
          </w:p>
        </w:tc>
        <w:tc>
          <w:tcPr>
            <w:tcW w:w="0" w:type="auto"/>
          </w:tcPr>
          <w:p>
            <w:pPr>
              <w:spacing w:line="240" w:lineRule="auto" w:before="0" w:after="0"/>
              <w:pStyle w:val="Compact"/>
            </w:pPr>
            <w:r>
              <w:rPr>
                <w:sz w:val="20"/>
                <w:szCs w:val="20"/>
              </w:rPr>
              <w:t xml:space="preserve">44983</w:t>
            </w:r>
          </w:p>
        </w:tc>
        <w:tc>
          <w:tcPr>
            <w:tcW w:w="0" w:type="auto"/>
          </w:tcPr>
          <w:p>
            <w:pPr>
              <w:spacing w:line="240" w:lineRule="auto" w:before="0" w:after="0"/>
              <w:pStyle w:val="Compact"/>
            </w:pPr>
            <w:r>
              <w:rPr>
                <w:sz w:val="20"/>
                <w:szCs w:val="20"/>
              </w:rPr>
              <w:t xml:space="preserve">7020</w:t>
            </w:r>
          </w:p>
        </w:tc>
        <w:tc>
          <w:tcPr>
            <w:tcW w:w="0" w:type="auto"/>
          </w:tcPr>
          <w:p>
            <w:pPr>
              <w:spacing w:line="240" w:lineRule="auto" w:before="0" w:after="0"/>
              <w:pStyle w:val="Compact"/>
            </w:pPr>
            <w:r>
              <w:rPr>
                <w:sz w:val="20"/>
                <w:szCs w:val="20"/>
              </w:rPr>
              <w:t xml:space="preserve">32412</w:t>
            </w:r>
          </w:p>
        </w:tc>
        <w:tc>
          <w:tcPr>
            <w:tcW w:w="0" w:type="auto"/>
          </w:tcPr>
          <w:p>
            <w:pPr>
              <w:spacing w:line="240" w:lineRule="auto" w:before="0" w:after="0"/>
              <w:pStyle w:val="Compact"/>
            </w:pPr>
            <w:r>
              <w:rPr>
                <w:sz w:val="20"/>
                <w:szCs w:val="20"/>
              </w:rPr>
              <w:t xml:space="preserve">5549</w:t>
            </w:r>
          </w:p>
        </w:tc>
        <w:tc>
          <w:tcPr>
            <w:tcW w:w="0" w:type="auto"/>
          </w:tcPr>
          <w:p>
            <w:pPr>
              <w:spacing w:line="240" w:lineRule="auto" w:before="0" w:after="0"/>
              <w:pStyle w:val="Compact"/>
            </w:pPr>
            <w:r>
              <w:rPr>
                <w:sz w:val="20"/>
                <w:szCs w:val="20"/>
              </w:rPr>
              <w:t xml:space="preserve">44984</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535</w:t>
            </w:r>
          </w:p>
        </w:tc>
        <w:tc>
          <w:tcPr>
            <w:tcW w:w="0" w:type="auto"/>
          </w:tcPr>
          <w:p>
            <w:pPr>
              <w:spacing w:line="240" w:lineRule="auto" w:before="0" w:after="0"/>
              <w:pStyle w:val="Compact"/>
            </w:pPr>
            <w:r>
              <w:rPr>
                <w:sz w:val="20"/>
                <w:szCs w:val="20"/>
              </w:rPr>
              <w:t xml:space="preserve">189</w:t>
            </w:r>
          </w:p>
        </w:tc>
        <w:tc>
          <w:tcPr>
            <w:tcW w:w="0" w:type="auto"/>
          </w:tcPr>
          <w:p>
            <w:pPr>
              <w:spacing w:line="240" w:lineRule="auto" w:before="0" w:after="0"/>
              <w:pStyle w:val="Compact"/>
            </w:pPr>
            <w:r>
              <w:rPr>
                <w:sz w:val="20"/>
                <w:szCs w:val="20"/>
              </w:rPr>
              <w:t xml:space="preserve">269</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136</w:t>
            </w:r>
          </w:p>
        </w:tc>
        <w:tc>
          <w:tcPr>
            <w:tcW w:w="0" w:type="auto"/>
          </w:tcPr>
          <w:p>
            <w:pPr>
              <w:spacing w:line="240" w:lineRule="auto" w:before="0" w:after="0"/>
              <w:pStyle w:val="Compact"/>
            </w:pPr>
            <w:r>
              <w:rPr>
                <w:sz w:val="20"/>
                <w:szCs w:val="20"/>
              </w:rPr>
              <w:t xml:space="preserve">45518</w:t>
            </w:r>
          </w:p>
        </w:tc>
        <w:tc>
          <w:tcPr>
            <w:tcW w:w="0" w:type="auto"/>
          </w:tcPr>
          <w:p>
            <w:pPr>
              <w:spacing w:line="240" w:lineRule="auto" w:before="0" w:after="0"/>
              <w:pStyle w:val="Compact"/>
            </w:pPr>
            <w:r>
              <w:rPr>
                <w:sz w:val="20"/>
                <w:szCs w:val="20"/>
              </w:rPr>
              <w:t xml:space="preserve">7209</w:t>
            </w:r>
          </w:p>
        </w:tc>
        <w:tc>
          <w:tcPr>
            <w:tcW w:w="0" w:type="auto"/>
          </w:tcPr>
          <w:p>
            <w:pPr>
              <w:spacing w:line="240" w:lineRule="auto" w:before="0" w:after="0"/>
              <w:pStyle w:val="Compact"/>
            </w:pPr>
            <w:r>
              <w:rPr>
                <w:sz w:val="20"/>
                <w:szCs w:val="20"/>
              </w:rPr>
              <w:t xml:space="preserve">32681</w:t>
            </w:r>
          </w:p>
        </w:tc>
        <w:tc>
          <w:tcPr>
            <w:tcW w:w="0" w:type="auto"/>
          </w:tcPr>
          <w:p>
            <w:pPr>
              <w:spacing w:line="240" w:lineRule="auto" w:before="0" w:after="0"/>
              <w:pStyle w:val="Compact"/>
            </w:pPr>
            <w:r>
              <w:rPr>
                <w:sz w:val="20"/>
                <w:szCs w:val="20"/>
              </w:rPr>
              <w:t xml:space="preserve">5626</w:t>
            </w:r>
          </w:p>
        </w:tc>
        <w:tc>
          <w:tcPr>
            <w:tcW w:w="0" w:type="auto"/>
          </w:tcPr>
          <w:p>
            <w:pPr>
              <w:spacing w:line="240" w:lineRule="auto" w:before="0" w:after="0"/>
              <w:pStyle w:val="Compact"/>
            </w:pPr>
            <w:r>
              <w:rPr>
                <w:sz w:val="20"/>
                <w:szCs w:val="20"/>
              </w:rPr>
              <w:t xml:space="preserve">45519</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59</w:t>
            </w:r>
          </w:p>
        </w:tc>
        <w:tc>
          <w:tcPr>
            <w:tcW w:w="0" w:type="auto"/>
          </w:tcPr>
          <w:p>
            <w:pPr>
              <w:spacing w:line="240" w:lineRule="auto" w:before="0" w:after="0"/>
              <w:pStyle w:val="Compact"/>
            </w:pPr>
            <w:r>
              <w:rPr>
                <w:sz w:val="20"/>
                <w:szCs w:val="20"/>
              </w:rPr>
              <w:t xml:space="preserve">336</w:t>
            </w:r>
          </w:p>
        </w:tc>
        <w:tc>
          <w:tcPr>
            <w:tcW w:w="0" w:type="auto"/>
          </w:tcPr>
          <w:p>
            <w:pPr>
              <w:spacing w:line="240" w:lineRule="auto" w:before="0" w:after="0"/>
              <w:pStyle w:val="Compact"/>
            </w:pPr>
            <w:r>
              <w:rPr>
                <w:sz w:val="20"/>
                <w:szCs w:val="20"/>
              </w:rPr>
              <w:t xml:space="preserve">172</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137</w:t>
            </w:r>
          </w:p>
        </w:tc>
        <w:tc>
          <w:tcPr>
            <w:tcW w:w="0" w:type="auto"/>
          </w:tcPr>
          <w:p>
            <w:pPr>
              <w:spacing w:line="240" w:lineRule="auto" w:before="0" w:after="0"/>
              <w:pStyle w:val="Compact"/>
            </w:pPr>
            <w:r>
              <w:rPr>
                <w:sz w:val="20"/>
                <w:szCs w:val="20"/>
              </w:rPr>
              <w:t xml:space="preserve">45854</w:t>
            </w:r>
          </w:p>
        </w:tc>
        <w:tc>
          <w:tcPr>
            <w:tcW w:w="0" w:type="auto"/>
          </w:tcPr>
          <w:p>
            <w:pPr>
              <w:spacing w:line="240" w:lineRule="auto" w:before="0" w:after="0"/>
              <w:pStyle w:val="Compact"/>
            </w:pPr>
            <w:r>
              <w:rPr>
                <w:sz w:val="20"/>
                <w:szCs w:val="20"/>
              </w:rPr>
              <w:t xml:space="preserve">7381</w:t>
            </w:r>
          </w:p>
        </w:tc>
        <w:tc>
          <w:tcPr>
            <w:tcW w:w="0" w:type="auto"/>
          </w:tcPr>
          <w:p>
            <w:pPr>
              <w:spacing w:line="240" w:lineRule="auto" w:before="0" w:after="0"/>
              <w:pStyle w:val="Compact"/>
            </w:pPr>
            <w:r>
              <w:rPr>
                <w:sz w:val="20"/>
                <w:szCs w:val="20"/>
              </w:rPr>
              <w:t xml:space="preserve">32765</w:t>
            </w:r>
          </w:p>
        </w:tc>
        <w:tc>
          <w:tcPr>
            <w:tcW w:w="0" w:type="auto"/>
          </w:tcPr>
          <w:p>
            <w:pPr>
              <w:spacing w:line="240" w:lineRule="auto" w:before="0" w:after="0"/>
              <w:pStyle w:val="Compact"/>
            </w:pPr>
            <w:r>
              <w:rPr>
                <w:sz w:val="20"/>
                <w:szCs w:val="20"/>
              </w:rPr>
              <w:t xml:space="preserve">5705</w:t>
            </w:r>
          </w:p>
        </w:tc>
        <w:tc>
          <w:tcPr>
            <w:tcW w:w="0" w:type="auto"/>
          </w:tcPr>
          <w:p>
            <w:pPr>
              <w:spacing w:line="240" w:lineRule="auto" w:before="0" w:after="0"/>
              <w:pStyle w:val="Compact"/>
            </w:pPr>
            <w:r>
              <w:rPr>
                <w:sz w:val="20"/>
                <w:szCs w:val="20"/>
              </w:rPr>
              <w:t xml:space="preserve">45855</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350</w:t>
            </w:r>
          </w:p>
        </w:tc>
        <w:tc>
          <w:tcPr>
            <w:tcW w:w="0" w:type="auto"/>
          </w:tcPr>
          <w:p>
            <w:pPr>
              <w:spacing w:line="240" w:lineRule="auto" w:before="0" w:after="0"/>
              <w:pStyle w:val="Compact"/>
            </w:pPr>
            <w:r>
              <w:rPr>
                <w:sz w:val="20"/>
                <w:szCs w:val="20"/>
              </w:rPr>
              <w:t xml:space="preserve">174</w:t>
            </w:r>
          </w:p>
        </w:tc>
        <w:tc>
          <w:tcPr>
            <w:tcW w:w="0" w:type="auto"/>
          </w:tcPr>
          <w:p>
            <w:pPr>
              <w:spacing w:line="240" w:lineRule="auto" w:before="0" w:after="0"/>
              <w:pStyle w:val="Compact"/>
            </w:pPr>
            <w:r>
              <w:rPr>
                <w:sz w:val="20"/>
                <w:szCs w:val="20"/>
              </w:rPr>
              <w:t xml:space="preserve">103</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46204</w:t>
            </w:r>
          </w:p>
        </w:tc>
        <w:tc>
          <w:tcPr>
            <w:tcW w:w="0" w:type="auto"/>
          </w:tcPr>
          <w:p>
            <w:pPr>
              <w:spacing w:line="240" w:lineRule="auto" w:before="0" w:after="0"/>
              <w:pStyle w:val="Compact"/>
            </w:pPr>
            <w:r>
              <w:rPr>
                <w:sz w:val="20"/>
                <w:szCs w:val="20"/>
              </w:rPr>
              <w:t xml:space="preserve">7555</w:t>
            </w:r>
          </w:p>
        </w:tc>
        <w:tc>
          <w:tcPr>
            <w:tcW w:w="0" w:type="auto"/>
          </w:tcPr>
          <w:p>
            <w:pPr>
              <w:spacing w:line="240" w:lineRule="auto" w:before="0" w:after="0"/>
              <w:pStyle w:val="Compact"/>
            </w:pPr>
            <w:r>
              <w:rPr>
                <w:sz w:val="20"/>
                <w:szCs w:val="20"/>
              </w:rPr>
              <w:t xml:space="preserve">32868</w:t>
            </w:r>
          </w:p>
        </w:tc>
        <w:tc>
          <w:tcPr>
            <w:tcW w:w="0" w:type="auto"/>
          </w:tcPr>
          <w:p>
            <w:pPr>
              <w:spacing w:line="240" w:lineRule="auto" w:before="0" w:after="0"/>
              <w:pStyle w:val="Compact"/>
            </w:pPr>
            <w:r>
              <w:rPr>
                <w:sz w:val="20"/>
                <w:szCs w:val="20"/>
              </w:rPr>
              <w:t xml:space="preserve">5777</w:t>
            </w:r>
          </w:p>
        </w:tc>
        <w:tc>
          <w:tcPr>
            <w:tcW w:w="0" w:type="auto"/>
          </w:tcPr>
          <w:p>
            <w:pPr>
              <w:spacing w:line="240" w:lineRule="auto" w:before="0" w:after="0"/>
              <w:pStyle w:val="Compact"/>
            </w:pPr>
            <w:r>
              <w:rPr>
                <w:sz w:val="20"/>
                <w:szCs w:val="20"/>
              </w:rPr>
              <w:t xml:space="preserve">46205</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524</w:t>
            </w:r>
          </w:p>
        </w:tc>
        <w:tc>
          <w:tcPr>
            <w:tcW w:w="0" w:type="auto"/>
          </w:tcPr>
          <w:p>
            <w:pPr>
              <w:spacing w:line="240" w:lineRule="auto" w:before="0" w:after="0"/>
              <w:pStyle w:val="Compact"/>
            </w:pPr>
            <w:r>
              <w:rPr>
                <w:sz w:val="20"/>
                <w:szCs w:val="20"/>
              </w:rPr>
              <w:t xml:space="preserve">390</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317</w:t>
            </w:r>
          </w:p>
        </w:tc>
        <w:tc>
          <w:tcPr>
            <w:tcW w:w="0" w:type="auto"/>
          </w:tcPr>
          <w:p>
            <w:pPr>
              <w:spacing w:line="240" w:lineRule="auto" w:before="0" w:after="0"/>
              <w:pStyle w:val="Compact"/>
            </w:pPr>
            <w:r>
              <w:rPr>
                <w:sz w:val="20"/>
                <w:szCs w:val="20"/>
              </w:rPr>
              <w:t xml:space="preserve">46728</w:t>
            </w:r>
          </w:p>
        </w:tc>
        <w:tc>
          <w:tcPr>
            <w:tcW w:w="0" w:type="auto"/>
          </w:tcPr>
          <w:p>
            <w:pPr>
              <w:spacing w:line="240" w:lineRule="auto" w:before="0" w:after="0"/>
              <w:pStyle w:val="Compact"/>
            </w:pPr>
            <w:r>
              <w:rPr>
                <w:sz w:val="20"/>
                <w:szCs w:val="20"/>
              </w:rPr>
              <w:t xml:space="preserve">7945</w:t>
            </w:r>
          </w:p>
        </w:tc>
        <w:tc>
          <w:tcPr>
            <w:tcW w:w="0" w:type="auto"/>
          </w:tcPr>
          <w:p>
            <w:pPr>
              <w:spacing w:line="240" w:lineRule="auto" w:before="0" w:after="0"/>
              <w:pStyle w:val="Compact"/>
            </w:pPr>
            <w:r>
              <w:rPr>
                <w:sz w:val="20"/>
                <w:szCs w:val="20"/>
              </w:rPr>
              <w:t xml:space="preserve">32933</w:t>
            </w:r>
          </w:p>
        </w:tc>
        <w:tc>
          <w:tcPr>
            <w:tcW w:w="0" w:type="auto"/>
          </w:tcPr>
          <w:p>
            <w:pPr>
              <w:spacing w:line="240" w:lineRule="auto" w:before="0" w:after="0"/>
              <w:pStyle w:val="Compact"/>
            </w:pPr>
            <w:r>
              <w:rPr>
                <w:sz w:val="20"/>
                <w:szCs w:val="20"/>
              </w:rPr>
              <w:t xml:space="preserve">5846</w:t>
            </w:r>
          </w:p>
        </w:tc>
        <w:tc>
          <w:tcPr>
            <w:tcW w:w="0" w:type="auto"/>
          </w:tcPr>
          <w:p>
            <w:pPr>
              <w:spacing w:line="240" w:lineRule="auto" w:before="0" w:after="0"/>
              <w:pStyle w:val="Compact"/>
            </w:pPr>
            <w:r>
              <w:rPr>
                <w:sz w:val="20"/>
                <w:szCs w:val="20"/>
              </w:rPr>
              <w:t xml:space="preserve">46729</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947</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432</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440</w:t>
            </w:r>
          </w:p>
        </w:tc>
        <w:tc>
          <w:tcPr>
            <w:tcW w:w="0" w:type="auto"/>
          </w:tcPr>
          <w:p>
            <w:pPr>
              <w:spacing w:line="240" w:lineRule="auto" w:before="0" w:after="0"/>
              <w:pStyle w:val="Compact"/>
            </w:pPr>
            <w:r>
              <w:rPr>
                <w:sz w:val="20"/>
                <w:szCs w:val="20"/>
              </w:rPr>
              <w:t xml:space="preserve">47675</w:t>
            </w:r>
          </w:p>
        </w:tc>
        <w:tc>
          <w:tcPr>
            <w:tcW w:w="0" w:type="auto"/>
          </w:tcPr>
          <w:p>
            <w:pPr>
              <w:spacing w:line="240" w:lineRule="auto" w:before="0" w:after="0"/>
              <w:pStyle w:val="Compact"/>
            </w:pPr>
            <w:r>
              <w:rPr>
                <w:sz w:val="20"/>
                <w:szCs w:val="20"/>
              </w:rPr>
              <w:t xml:space="preserve">8345</w:t>
            </w:r>
          </w:p>
        </w:tc>
        <w:tc>
          <w:tcPr>
            <w:tcW w:w="0" w:type="auto"/>
          </w:tcPr>
          <w:p>
            <w:pPr>
              <w:spacing w:line="240" w:lineRule="auto" w:before="0" w:after="0"/>
              <w:pStyle w:val="Compact"/>
            </w:pPr>
            <w:r>
              <w:rPr>
                <w:sz w:val="20"/>
                <w:szCs w:val="20"/>
              </w:rPr>
              <w:t xml:space="preserve">33365</w:t>
            </w:r>
          </w:p>
        </w:tc>
        <w:tc>
          <w:tcPr>
            <w:tcW w:w="0" w:type="auto"/>
          </w:tcPr>
          <w:p>
            <w:pPr>
              <w:spacing w:line="240" w:lineRule="auto" w:before="0" w:after="0"/>
              <w:pStyle w:val="Compact"/>
            </w:pPr>
            <w:r>
              <w:rPr>
                <w:sz w:val="20"/>
                <w:szCs w:val="20"/>
              </w:rPr>
              <w:t xml:space="preserve">5937</w:t>
            </w:r>
          </w:p>
        </w:tc>
        <w:tc>
          <w:tcPr>
            <w:tcW w:w="0" w:type="auto"/>
          </w:tcPr>
          <w:p>
            <w:pPr>
              <w:spacing w:line="240" w:lineRule="auto" w:before="0" w:after="0"/>
              <w:pStyle w:val="Compact"/>
            </w:pPr>
            <w:r>
              <w:rPr>
                <w:sz w:val="20"/>
                <w:szCs w:val="20"/>
              </w:rPr>
              <w:t xml:space="preserve">47676</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779</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239</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569</w:t>
            </w:r>
          </w:p>
        </w:tc>
        <w:tc>
          <w:tcPr>
            <w:tcW w:w="0" w:type="auto"/>
          </w:tcPr>
          <w:p>
            <w:pPr>
              <w:spacing w:line="240" w:lineRule="auto" w:before="0" w:after="0"/>
              <w:pStyle w:val="Compact"/>
            </w:pPr>
            <w:r>
              <w:rPr>
                <w:sz w:val="20"/>
                <w:szCs w:val="20"/>
              </w:rPr>
              <w:t xml:space="preserve">48454</w:t>
            </w:r>
          </w:p>
        </w:tc>
        <w:tc>
          <w:tcPr>
            <w:tcW w:w="0" w:type="auto"/>
          </w:tcPr>
          <w:p>
            <w:pPr>
              <w:spacing w:line="240" w:lineRule="auto" w:before="0" w:after="0"/>
              <w:pStyle w:val="Compact"/>
            </w:pPr>
            <w:r>
              <w:rPr>
                <w:sz w:val="20"/>
                <w:szCs w:val="20"/>
              </w:rPr>
              <w:t xml:space="preserve">8795</w:t>
            </w:r>
          </w:p>
        </w:tc>
        <w:tc>
          <w:tcPr>
            <w:tcW w:w="0" w:type="auto"/>
          </w:tcPr>
          <w:p>
            <w:pPr>
              <w:spacing w:line="240" w:lineRule="auto" w:before="0" w:after="0"/>
              <w:pStyle w:val="Compact"/>
            </w:pPr>
            <w:r>
              <w:rPr>
                <w:sz w:val="20"/>
                <w:szCs w:val="20"/>
              </w:rPr>
              <w:t xml:space="preserve">33604</w:t>
            </w:r>
          </w:p>
        </w:tc>
        <w:tc>
          <w:tcPr>
            <w:tcW w:w="0" w:type="auto"/>
          </w:tcPr>
          <w:p>
            <w:pPr>
              <w:spacing w:line="240" w:lineRule="auto" w:before="0" w:after="0"/>
              <w:pStyle w:val="Compact"/>
            </w:pPr>
            <w:r>
              <w:rPr>
                <w:sz w:val="20"/>
                <w:szCs w:val="20"/>
              </w:rPr>
              <w:t xml:space="preserve">6020</w:t>
            </w:r>
          </w:p>
        </w:tc>
        <w:tc>
          <w:tcPr>
            <w:tcW w:w="0" w:type="auto"/>
          </w:tcPr>
          <w:p>
            <w:pPr>
              <w:spacing w:line="240" w:lineRule="auto" w:before="0" w:after="0"/>
              <w:pStyle w:val="Compact"/>
            </w:pPr>
            <w:r>
              <w:rPr>
                <w:sz w:val="20"/>
                <w:szCs w:val="20"/>
              </w:rPr>
              <w:t xml:space="preserve">48455</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1426</w:t>
            </w:r>
          </w:p>
        </w:tc>
        <w:tc>
          <w:tcPr>
            <w:tcW w:w="0" w:type="auto"/>
          </w:tcPr>
          <w:p>
            <w:pPr>
              <w:spacing w:line="240" w:lineRule="auto" w:before="0" w:after="0"/>
              <w:pStyle w:val="Compact"/>
            </w:pPr>
            <w:r>
              <w:rPr>
                <w:sz w:val="20"/>
                <w:szCs w:val="20"/>
              </w:rPr>
              <w:t xml:space="preserve">1229</w:t>
            </w:r>
          </w:p>
        </w:tc>
        <w:tc>
          <w:tcPr>
            <w:tcW w:w="0" w:type="auto"/>
          </w:tcPr>
          <w:p>
            <w:pPr>
              <w:spacing w:line="240" w:lineRule="auto" w:before="0" w:after="0"/>
              <w:pStyle w:val="Compact"/>
            </w:pPr>
            <w:r>
              <w:rPr>
                <w:sz w:val="20"/>
                <w:szCs w:val="20"/>
              </w:rPr>
              <w:t xml:space="preserve">128</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928</w:t>
            </w:r>
          </w:p>
        </w:tc>
        <w:tc>
          <w:tcPr>
            <w:tcW w:w="0" w:type="auto"/>
          </w:tcPr>
          <w:p>
            <w:pPr>
              <w:spacing w:line="240" w:lineRule="auto" w:before="0" w:after="0"/>
              <w:pStyle w:val="Compact"/>
            </w:pPr>
            <w:r>
              <w:rPr>
                <w:sz w:val="20"/>
                <w:szCs w:val="20"/>
              </w:rPr>
              <w:t xml:space="preserve">49880</w:t>
            </w:r>
          </w:p>
        </w:tc>
        <w:tc>
          <w:tcPr>
            <w:tcW w:w="0" w:type="auto"/>
          </w:tcPr>
          <w:p>
            <w:pPr>
              <w:spacing w:line="240" w:lineRule="auto" w:before="0" w:after="0"/>
              <w:pStyle w:val="Compact"/>
            </w:pPr>
            <w:r>
              <w:rPr>
                <w:sz w:val="20"/>
                <w:szCs w:val="20"/>
              </w:rPr>
              <w:t xml:space="preserve">10024</w:t>
            </w:r>
          </w:p>
        </w:tc>
        <w:tc>
          <w:tcPr>
            <w:tcW w:w="0" w:type="auto"/>
          </w:tcPr>
          <w:p>
            <w:pPr>
              <w:spacing w:line="240" w:lineRule="auto" w:before="0" w:after="0"/>
              <w:pStyle w:val="Compact"/>
            </w:pPr>
            <w:r>
              <w:rPr>
                <w:sz w:val="20"/>
                <w:szCs w:val="20"/>
              </w:rPr>
              <w:t xml:space="preserve">33732</w:t>
            </w:r>
          </w:p>
        </w:tc>
        <w:tc>
          <w:tcPr>
            <w:tcW w:w="0" w:type="auto"/>
          </w:tcPr>
          <w:p>
            <w:pPr>
              <w:spacing w:line="240" w:lineRule="auto" w:before="0" w:after="0"/>
              <w:pStyle w:val="Compact"/>
            </w:pPr>
            <w:r>
              <w:rPr>
                <w:sz w:val="20"/>
                <w:szCs w:val="20"/>
              </w:rPr>
              <w:t xml:space="preserve">6087</w:t>
            </w:r>
          </w:p>
        </w:tc>
        <w:tc>
          <w:tcPr>
            <w:tcW w:w="0" w:type="auto"/>
          </w:tcPr>
          <w:p>
            <w:pPr>
              <w:spacing w:line="240" w:lineRule="auto" w:before="0" w:after="0"/>
              <w:pStyle w:val="Compact"/>
            </w:pPr>
            <w:r>
              <w:rPr>
                <w:sz w:val="20"/>
                <w:szCs w:val="20"/>
              </w:rPr>
              <w:t xml:space="preserve">49881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1764</w:t>
            </w:r>
          </w:p>
        </w:tc>
        <w:tc>
          <w:tcPr>
            <w:tcW w:w="0" w:type="auto"/>
          </w:tcPr>
          <w:p>
            <w:pPr>
              <w:spacing w:line="240" w:lineRule="auto" w:before="0" w:after="0"/>
              <w:pStyle w:val="Compact"/>
            </w:pPr>
            <w:r>
              <w:rPr>
                <w:sz w:val="20"/>
                <w:szCs w:val="20"/>
              </w:rPr>
              <w:t xml:space="preserve">111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883</w:t>
            </w:r>
          </w:p>
        </w:tc>
        <w:tc>
          <w:tcPr>
            <w:tcW w:w="0" w:type="auto"/>
          </w:tcPr>
          <w:p>
            <w:pPr>
              <w:spacing w:line="240" w:lineRule="auto" w:before="0" w:after="0"/>
              <w:pStyle w:val="Compact"/>
            </w:pPr>
            <w:r>
              <w:rPr>
                <w:sz w:val="20"/>
                <w:szCs w:val="20"/>
              </w:rPr>
              <w:t xml:space="preserve">51879</w:t>
            </w:r>
          </w:p>
        </w:tc>
        <w:tc>
          <w:tcPr>
            <w:tcW w:w="0" w:type="auto"/>
          </w:tcPr>
          <w:p>
            <w:pPr>
              <w:spacing w:line="240" w:lineRule="auto" w:before="0" w:after="0"/>
              <w:pStyle w:val="Compact"/>
            </w:pPr>
            <w:r>
              <w:rPr>
                <w:sz w:val="20"/>
                <w:szCs w:val="20"/>
              </w:rPr>
              <w:t xml:space="preserve">11788</w:t>
            </w:r>
          </w:p>
        </w:tc>
        <w:tc>
          <w:tcPr>
            <w:tcW w:w="0" w:type="auto"/>
          </w:tcPr>
          <w:p>
            <w:pPr>
              <w:spacing w:line="240" w:lineRule="auto" w:before="0" w:after="0"/>
              <w:pStyle w:val="Compact"/>
            </w:pPr>
            <w:r>
              <w:rPr>
                <w:sz w:val="20"/>
                <w:szCs w:val="20"/>
              </w:rPr>
              <w:t xml:space="preserve">33843</w:t>
            </w:r>
          </w:p>
        </w:tc>
        <w:tc>
          <w:tcPr>
            <w:tcW w:w="0" w:type="auto"/>
          </w:tcPr>
          <w:p>
            <w:pPr>
              <w:spacing w:line="240" w:lineRule="auto" w:before="0" w:after="0"/>
              <w:pStyle w:val="Compact"/>
            </w:pPr>
            <w:r>
              <w:rPr>
                <w:sz w:val="20"/>
                <w:szCs w:val="20"/>
              </w:rPr>
              <w:t xml:space="preserve">6173</w:t>
            </w:r>
          </w:p>
        </w:tc>
        <w:tc>
          <w:tcPr>
            <w:tcW w:w="0" w:type="auto"/>
          </w:tcPr>
          <w:p>
            <w:pPr>
              <w:spacing w:line="240" w:lineRule="auto" w:before="0" w:after="0"/>
              <w:pStyle w:val="Compact"/>
            </w:pPr>
            <w:r>
              <w:rPr>
                <w:sz w:val="20"/>
                <w:szCs w:val="20"/>
              </w:rPr>
              <w:t xml:space="preserve">51880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3522</w:t>
            </w:r>
          </w:p>
        </w:tc>
        <w:tc>
          <w:tcPr>
            <w:tcW w:w="0" w:type="auto"/>
          </w:tcPr>
          <w:p>
            <w:pPr>
              <w:spacing w:line="240" w:lineRule="auto" w:before="0" w:after="0"/>
              <w:pStyle w:val="Compact"/>
            </w:pPr>
            <w:r>
              <w:rPr>
                <w:sz w:val="20"/>
                <w:szCs w:val="20"/>
              </w:rPr>
              <w:t xml:space="preserve">2385</w:t>
            </w:r>
          </w:p>
        </w:tc>
        <w:tc>
          <w:tcPr>
            <w:tcW w:w="0" w:type="auto"/>
          </w:tcPr>
          <w:p>
            <w:pPr>
              <w:spacing w:line="240" w:lineRule="auto" w:before="0" w:after="0"/>
              <w:pStyle w:val="Compact"/>
            </w:pPr>
            <w:r>
              <w:rPr>
                <w:sz w:val="20"/>
                <w:szCs w:val="20"/>
              </w:rPr>
              <w:t xml:space="preserve">997</w:t>
            </w:r>
          </w:p>
        </w:tc>
        <w:tc>
          <w:tcPr>
            <w:tcW w:w="0" w:type="auto"/>
          </w:tcPr>
          <w:p>
            <w:pPr>
              <w:spacing w:line="240" w:lineRule="auto" w:before="0" w:after="0"/>
              <w:pStyle w:val="Compact"/>
            </w:pPr>
            <w:r>
              <w:rPr>
                <w:sz w:val="20"/>
                <w:szCs w:val="20"/>
              </w:rPr>
              <w:t xml:space="preserve">110</w:t>
            </w:r>
          </w:p>
        </w:tc>
        <w:tc>
          <w:tcPr>
            <w:tcW w:w="0" w:type="auto"/>
          </w:tcPr>
          <w:p>
            <w:pPr>
              <w:spacing w:line="240" w:lineRule="auto" w:before="0" w:after="0"/>
              <w:pStyle w:val="Compact"/>
            </w:pPr>
            <w:r>
              <w:rPr>
                <w:sz w:val="20"/>
                <w:szCs w:val="20"/>
              </w:rPr>
              <w:t xml:space="preserve">1033</w:t>
            </w:r>
          </w:p>
        </w:tc>
        <w:tc>
          <w:tcPr>
            <w:tcW w:w="0" w:type="auto"/>
          </w:tcPr>
          <w:p>
            <w:pPr>
              <w:spacing w:line="240" w:lineRule="auto" w:before="0" w:after="0"/>
              <w:pStyle w:val="Compact"/>
            </w:pPr>
            <w:r>
              <w:rPr>
                <w:sz w:val="20"/>
                <w:szCs w:val="20"/>
              </w:rPr>
              <w:t xml:space="preserve">55401</w:t>
            </w:r>
          </w:p>
        </w:tc>
        <w:tc>
          <w:tcPr>
            <w:tcW w:w="0" w:type="auto"/>
          </w:tcPr>
          <w:p>
            <w:pPr>
              <w:spacing w:line="240" w:lineRule="auto" w:before="0" w:after="0"/>
              <w:pStyle w:val="Compact"/>
            </w:pPr>
            <w:r>
              <w:rPr>
                <w:sz w:val="20"/>
                <w:szCs w:val="20"/>
              </w:rPr>
              <w:t xml:space="preserve">14173</w:t>
            </w:r>
          </w:p>
        </w:tc>
        <w:tc>
          <w:tcPr>
            <w:tcW w:w="0" w:type="auto"/>
          </w:tcPr>
          <w:p>
            <w:pPr>
              <w:spacing w:line="240" w:lineRule="auto" w:before="0" w:after="0"/>
              <w:pStyle w:val="Compact"/>
            </w:pPr>
            <w:r>
              <w:rPr>
                <w:sz w:val="20"/>
                <w:szCs w:val="20"/>
              </w:rPr>
              <w:t xml:space="preserve">34840</w:t>
            </w:r>
          </w:p>
        </w:tc>
        <w:tc>
          <w:tcPr>
            <w:tcW w:w="0" w:type="auto"/>
          </w:tcPr>
          <w:p>
            <w:pPr>
              <w:spacing w:line="240" w:lineRule="auto" w:before="0" w:after="0"/>
              <w:pStyle w:val="Compact"/>
            </w:pPr>
            <w:r>
              <w:rPr>
                <w:sz w:val="20"/>
                <w:szCs w:val="20"/>
              </w:rPr>
              <w:t xml:space="preserve">6283</w:t>
            </w:r>
          </w:p>
        </w:tc>
        <w:tc>
          <w:tcPr>
            <w:tcW w:w="0" w:type="auto"/>
          </w:tcPr>
          <w:p>
            <w:pPr>
              <w:spacing w:line="240" w:lineRule="auto" w:before="0" w:after="0"/>
              <w:pStyle w:val="Compact"/>
            </w:pPr>
            <w:r>
              <w:rPr>
                <w:sz w:val="20"/>
                <w:szCs w:val="20"/>
              </w:rPr>
              <w:t xml:space="preserve">55402</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3138</w:t>
            </w:r>
          </w:p>
        </w:tc>
        <w:tc>
          <w:tcPr>
            <w:tcW w:w="0" w:type="auto"/>
          </w:tcPr>
          <w:p>
            <w:pPr>
              <w:spacing w:line="240" w:lineRule="auto" w:before="0" w:after="0"/>
              <w:pStyle w:val="Compact"/>
            </w:pPr>
            <w:r>
              <w:rPr>
                <w:sz w:val="20"/>
                <w:szCs w:val="20"/>
              </w:rPr>
              <w:t xml:space="preserve">2859</w:t>
            </w:r>
          </w:p>
        </w:tc>
        <w:tc>
          <w:tcPr>
            <w:tcW w:w="0" w:type="auto"/>
          </w:tcPr>
          <w:p>
            <w:pPr>
              <w:spacing w:line="240" w:lineRule="auto" w:before="0" w:after="0"/>
              <w:pStyle w:val="Compact"/>
            </w:pPr>
            <w:r>
              <w:rPr>
                <w:sz w:val="20"/>
                <w:szCs w:val="20"/>
              </w:rPr>
              <w:t xml:space="preserve">138</w:t>
            </w:r>
          </w:p>
        </w:tc>
        <w:tc>
          <w:tcPr>
            <w:tcW w:w="0" w:type="auto"/>
          </w:tcPr>
          <w:p>
            <w:pPr>
              <w:spacing w:line="240" w:lineRule="auto" w:before="0" w:after="0"/>
              <w:pStyle w:val="Compact"/>
            </w:pPr>
            <w:r>
              <w:rPr>
                <w:sz w:val="20"/>
                <w:szCs w:val="20"/>
              </w:rPr>
              <w:t xml:space="preserve">116</w:t>
            </w:r>
          </w:p>
        </w:tc>
        <w:tc>
          <w:tcPr>
            <w:tcW w:w="0" w:type="auto"/>
          </w:tcPr>
          <w:p>
            <w:pPr>
              <w:spacing w:line="240" w:lineRule="auto" w:before="0" w:after="0"/>
              <w:pStyle w:val="Compact"/>
            </w:pPr>
            <w:r>
              <w:rPr>
                <w:sz w:val="20"/>
                <w:szCs w:val="20"/>
              </w:rPr>
              <w:t xml:space="preserve">754</w:t>
            </w:r>
          </w:p>
        </w:tc>
        <w:tc>
          <w:tcPr>
            <w:tcW w:w="0" w:type="auto"/>
          </w:tcPr>
          <w:p>
            <w:pPr>
              <w:spacing w:line="240" w:lineRule="auto" w:before="0" w:after="0"/>
              <w:pStyle w:val="Compact"/>
            </w:pPr>
            <w:r>
              <w:rPr>
                <w:sz w:val="20"/>
                <w:szCs w:val="20"/>
              </w:rPr>
              <w:t xml:space="preserve">58539</w:t>
            </w:r>
          </w:p>
        </w:tc>
        <w:tc>
          <w:tcPr>
            <w:tcW w:w="0" w:type="auto"/>
          </w:tcPr>
          <w:p>
            <w:pPr>
              <w:spacing w:line="240" w:lineRule="auto" w:before="0" w:after="0"/>
              <w:pStyle w:val="Compact"/>
            </w:pPr>
            <w:r>
              <w:rPr>
                <w:sz w:val="20"/>
                <w:szCs w:val="20"/>
              </w:rPr>
              <w:t xml:space="preserve">17032</w:t>
            </w:r>
          </w:p>
        </w:tc>
        <w:tc>
          <w:tcPr>
            <w:tcW w:w="0" w:type="auto"/>
          </w:tcPr>
          <w:p>
            <w:pPr>
              <w:spacing w:line="240" w:lineRule="auto" w:before="0" w:after="0"/>
              <w:pStyle w:val="Compact"/>
            </w:pPr>
            <w:r>
              <w:rPr>
                <w:sz w:val="20"/>
                <w:szCs w:val="20"/>
              </w:rPr>
              <w:t xml:space="preserve">34978</w:t>
            </w:r>
          </w:p>
        </w:tc>
        <w:tc>
          <w:tcPr>
            <w:tcW w:w="0" w:type="auto"/>
          </w:tcPr>
          <w:p>
            <w:pPr>
              <w:spacing w:line="240" w:lineRule="auto" w:before="0" w:after="0"/>
              <w:pStyle w:val="Compact"/>
            </w:pPr>
            <w:r>
              <w:rPr>
                <w:sz w:val="20"/>
                <w:szCs w:val="20"/>
              </w:rPr>
              <w:t xml:space="preserve">6399</w:t>
            </w:r>
          </w:p>
        </w:tc>
        <w:tc>
          <w:tcPr>
            <w:tcW w:w="0" w:type="auto"/>
          </w:tcPr>
          <w:p>
            <w:pPr>
              <w:spacing w:line="240" w:lineRule="auto" w:before="0" w:after="0"/>
              <w:pStyle w:val="Compact"/>
            </w:pPr>
            <w:r>
              <w:rPr>
                <w:sz w:val="20"/>
                <w:szCs w:val="20"/>
              </w:rPr>
              <w:t xml:space="preserve">58540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3660</w:t>
            </w:r>
          </w:p>
        </w:tc>
        <w:tc>
          <w:tcPr>
            <w:tcW w:w="0" w:type="auto"/>
          </w:tcPr>
          <w:p>
            <w:pPr>
              <w:spacing w:line="240" w:lineRule="auto" w:before="0" w:after="0"/>
              <w:pStyle w:val="Compact"/>
            </w:pPr>
            <w:r>
              <w:rPr>
                <w:sz w:val="20"/>
                <w:szCs w:val="20"/>
              </w:rPr>
              <w:t xml:space="preserve">2782</w:t>
            </w:r>
          </w:p>
        </w:tc>
        <w:tc>
          <w:tcPr>
            <w:tcW w:w="0" w:type="auto"/>
          </w:tcPr>
          <w:p>
            <w:pPr>
              <w:spacing w:line="240" w:lineRule="auto" w:before="0" w:after="0"/>
              <w:pStyle w:val="Compact"/>
            </w:pPr>
            <w:r>
              <w:rPr>
                <w:sz w:val="20"/>
                <w:szCs w:val="20"/>
              </w:rPr>
              <w:t xml:space="preserve">739</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429</w:t>
            </w:r>
          </w:p>
        </w:tc>
        <w:tc>
          <w:tcPr>
            <w:tcW w:w="0" w:type="auto"/>
          </w:tcPr>
          <w:p>
            <w:pPr>
              <w:spacing w:line="240" w:lineRule="auto" w:before="0" w:after="0"/>
              <w:pStyle w:val="Compact"/>
            </w:pPr>
            <w:r>
              <w:rPr>
                <w:sz w:val="20"/>
                <w:szCs w:val="20"/>
              </w:rPr>
              <w:t xml:space="preserve">62199</w:t>
            </w:r>
          </w:p>
        </w:tc>
        <w:tc>
          <w:tcPr>
            <w:tcW w:w="0" w:type="auto"/>
          </w:tcPr>
          <w:p>
            <w:pPr>
              <w:spacing w:line="240" w:lineRule="auto" w:before="0" w:after="0"/>
              <w:pStyle w:val="Compact"/>
            </w:pPr>
            <w:r>
              <w:rPr>
                <w:sz w:val="20"/>
                <w:szCs w:val="20"/>
              </w:rPr>
              <w:t xml:space="preserve">19814</w:t>
            </w:r>
          </w:p>
        </w:tc>
        <w:tc>
          <w:tcPr>
            <w:tcW w:w="0" w:type="auto"/>
          </w:tcPr>
          <w:p>
            <w:pPr>
              <w:spacing w:line="240" w:lineRule="auto" w:before="0" w:after="0"/>
              <w:pStyle w:val="Compact"/>
            </w:pPr>
            <w:r>
              <w:rPr>
                <w:sz w:val="20"/>
                <w:szCs w:val="20"/>
              </w:rPr>
              <w:t xml:space="preserve">35717</w:t>
            </w:r>
          </w:p>
        </w:tc>
        <w:tc>
          <w:tcPr>
            <w:tcW w:w="0" w:type="auto"/>
          </w:tcPr>
          <w:p>
            <w:pPr>
              <w:spacing w:line="240" w:lineRule="auto" w:before="0" w:after="0"/>
              <w:pStyle w:val="Compact"/>
            </w:pPr>
            <w:r>
              <w:rPr>
                <w:sz w:val="20"/>
                <w:szCs w:val="20"/>
              </w:rPr>
              <w:t xml:space="preserve">6519</w:t>
            </w:r>
          </w:p>
        </w:tc>
        <w:tc>
          <w:tcPr>
            <w:tcW w:w="0" w:type="auto"/>
          </w:tcPr>
          <w:p>
            <w:pPr>
              <w:spacing w:line="240" w:lineRule="auto" w:before="0" w:after="0"/>
              <w:pStyle w:val="Compact"/>
            </w:pPr>
            <w:r>
              <w:rPr>
                <w:sz w:val="20"/>
                <w:szCs w:val="20"/>
              </w:rPr>
              <w:t xml:space="preserve">62200</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4646</w:t>
            </w:r>
          </w:p>
        </w:tc>
        <w:tc>
          <w:tcPr>
            <w:tcW w:w="0" w:type="auto"/>
          </w:tcPr>
          <w:p>
            <w:pPr>
              <w:spacing w:line="240" w:lineRule="auto" w:before="0" w:after="0"/>
              <w:pStyle w:val="Compact"/>
            </w:pPr>
            <w:r>
              <w:rPr>
                <w:sz w:val="20"/>
                <w:szCs w:val="20"/>
              </w:rPr>
              <w:t xml:space="preserve">4477</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143</w:t>
            </w:r>
          </w:p>
        </w:tc>
        <w:tc>
          <w:tcPr>
            <w:tcW w:w="0" w:type="auto"/>
          </w:tcPr>
          <w:p>
            <w:pPr>
              <w:spacing w:line="240" w:lineRule="auto" w:before="0" w:after="0"/>
              <w:pStyle w:val="Compact"/>
            </w:pPr>
            <w:r>
              <w:rPr>
                <w:sz w:val="20"/>
                <w:szCs w:val="20"/>
              </w:rPr>
              <w:t xml:space="preserve">144</w:t>
            </w:r>
          </w:p>
        </w:tc>
        <w:tc>
          <w:tcPr>
            <w:tcW w:w="0" w:type="auto"/>
          </w:tcPr>
          <w:p>
            <w:pPr>
              <w:spacing w:line="240" w:lineRule="auto" w:before="0" w:after="0"/>
              <w:pStyle w:val="Compact"/>
            </w:pPr>
            <w:r>
              <w:rPr>
                <w:sz w:val="20"/>
                <w:szCs w:val="20"/>
              </w:rPr>
              <w:t xml:space="preserve">66845</w:t>
            </w:r>
          </w:p>
        </w:tc>
        <w:tc>
          <w:tcPr>
            <w:tcW w:w="0" w:type="auto"/>
          </w:tcPr>
          <w:p>
            <w:pPr>
              <w:spacing w:line="240" w:lineRule="auto" w:before="0" w:after="0"/>
              <w:pStyle w:val="Compact"/>
            </w:pPr>
            <w:r>
              <w:rPr>
                <w:sz w:val="20"/>
                <w:szCs w:val="20"/>
              </w:rPr>
              <w:t xml:space="preserve">24291</w:t>
            </w:r>
          </w:p>
        </w:tc>
        <w:tc>
          <w:tcPr>
            <w:tcW w:w="0" w:type="auto"/>
          </w:tcPr>
          <w:p>
            <w:pPr>
              <w:spacing w:line="240" w:lineRule="auto" w:before="0" w:after="0"/>
              <w:pStyle w:val="Compact"/>
            </w:pPr>
            <w:r>
              <w:rPr>
                <w:sz w:val="20"/>
                <w:szCs w:val="20"/>
              </w:rPr>
              <w:t xml:space="preserve">35736</w:t>
            </w:r>
          </w:p>
        </w:tc>
        <w:tc>
          <w:tcPr>
            <w:tcW w:w="0" w:type="auto"/>
          </w:tcPr>
          <w:p>
            <w:pPr>
              <w:spacing w:line="240" w:lineRule="auto" w:before="0" w:after="0"/>
              <w:pStyle w:val="Compact"/>
            </w:pPr>
            <w:r>
              <w:rPr>
                <w:sz w:val="20"/>
                <w:szCs w:val="20"/>
              </w:rPr>
              <w:t xml:space="preserve">6662</w:t>
            </w:r>
          </w:p>
        </w:tc>
        <w:tc>
          <w:tcPr>
            <w:tcW w:w="0" w:type="auto"/>
          </w:tcPr>
          <w:p>
            <w:pPr>
              <w:spacing w:line="240" w:lineRule="auto" w:before="0" w:after="0"/>
              <w:pStyle w:val="Compact"/>
            </w:pPr>
            <w:r>
              <w:rPr>
                <w:sz w:val="20"/>
                <w:szCs w:val="20"/>
              </w:rPr>
              <w:t xml:space="preserve">66846</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r>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2335</w:t>
            </w:r>
          </w:p>
        </w:tc>
        <w:tc>
          <w:tcPr>
            <w:tcW w:w="0" w:type="auto"/>
          </w:tcPr>
          <w:p>
            <w:pPr>
              <w:spacing w:line="240" w:lineRule="auto" w:before="0" w:after="0"/>
              <w:pStyle w:val="Compact"/>
            </w:pPr>
            <w:r>
              <w:rPr>
                <w:sz w:val="20"/>
                <w:szCs w:val="20"/>
              </w:rPr>
              <w:t xml:space="preserve">2252</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69180</w:t>
            </w:r>
          </w:p>
        </w:tc>
        <w:tc>
          <w:tcPr>
            <w:tcW w:w="0" w:type="auto"/>
          </w:tcPr>
          <w:p>
            <w:pPr>
              <w:spacing w:line="240" w:lineRule="auto" w:before="0" w:after="0"/>
              <w:pStyle w:val="Compact"/>
            </w:pPr>
            <w:r>
              <w:rPr>
                <w:sz w:val="20"/>
                <w:szCs w:val="20"/>
              </w:rPr>
              <w:t xml:space="preserve">26543</w:t>
            </w:r>
          </w:p>
        </w:tc>
        <w:tc>
          <w:tcPr>
            <w:tcW w:w="0" w:type="auto"/>
          </w:tcPr>
          <w:p>
            <w:pPr>
              <w:spacing w:line="240" w:lineRule="auto" w:before="0" w:after="0"/>
              <w:pStyle w:val="Compact"/>
            </w:pPr>
            <w:r>
              <w:rPr>
                <w:sz w:val="20"/>
                <w:szCs w:val="20"/>
              </w:rPr>
              <w:t xml:space="preserve">35757</w:t>
            </w:r>
          </w:p>
        </w:tc>
        <w:tc>
          <w:tcPr>
            <w:tcW w:w="0" w:type="auto"/>
          </w:tcPr>
          <w:p>
            <w:pPr>
              <w:spacing w:line="240" w:lineRule="auto" w:before="0" w:after="0"/>
              <w:pStyle w:val="Compact"/>
            </w:pPr>
            <w:r>
              <w:rPr>
                <w:sz w:val="20"/>
                <w:szCs w:val="20"/>
              </w:rPr>
              <w:t xml:space="preserve">6722</w:t>
            </w:r>
          </w:p>
        </w:tc>
        <w:tc>
          <w:tcPr>
            <w:tcW w:w="0" w:type="auto"/>
          </w:tcPr>
          <w:p>
            <w:pPr>
              <w:spacing w:line="240" w:lineRule="auto" w:before="0" w:after="0"/>
              <w:pStyle w:val="Compact"/>
            </w:pPr>
            <w:r>
              <w:rPr>
                <w:sz w:val="20"/>
                <w:szCs w:val="20"/>
              </w:rPr>
              <w:t xml:space="preserve">69181</w:t>
            </w:r>
          </w:p>
        </w:tc>
        <w:tc>
          <w:tcPr>
            <w:tcW w:w="0" w:type="auto"/>
          </w:tcPr>
          <w:p>
            <w:pPr>
              <w:spacing w:line="240" w:lineRule="auto" w:before="0" w:after="0"/>
              <w:pStyle w:val="Compact"/>
            </w:pPr>
            <w:r>
              <w:rPr>
                <w:sz w:val="20"/>
                <w:szCs w:val="20"/>
              </w:rPr>
              <w:t xml:space="preserve">CelesTrak SATCAT public CSV snapshot downloaded 2026-06-27 from https://celestrak.org/pub/satcat.csv; aggregate row derived from NORAD catalog records with source retained in final column</w:t>
            </w:r>
          </w:p>
        </w:tc>
      </w:tr>
    </w:tbl>
    <w:bookmarkEnd w:id="193"/>
    <w:bookmarkStart w:id="194"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cumulative_objects_plus_one</w:t>
            </w:r>
          </w:p>
        </w:tc>
        <w:tc>
          <w:tcPr>
            <w:tcW w:w="0" w:type="auto"/>
          </w:tcPr>
          <w:p>
            <w:pPr>
              <w:spacing w:line="240" w:lineRule="auto" w:before="0" w:after="0"/>
              <w:pStyle w:val="Compact"/>
            </w:pPr>
            <w:r>
              <w:rPr>
                <w:sz w:val="20"/>
                <w:szCs w:val="20"/>
              </w:rPr>
              <w:t xml:space="preserve">One plus cumulative Earth-orbit SATCAT objects launched through the year</w:t>
            </w:r>
          </w:p>
        </w:tc>
        <w:tc>
          <w:tcPr>
            <w:tcW w:w="0" w:type="auto"/>
          </w:tcPr>
          <w:p>
            <w:pPr>
              <w:spacing w:line="240" w:lineRule="auto" w:before="0" w:after="0"/>
              <w:pStyle w:val="Compact"/>
            </w:pPr>
            <w:r>
              <w:rPr>
                <w:sz w:val="20"/>
                <w:szCs w:val="20"/>
              </w:rPr>
              <w:t xml:space="preserve">Cumulative count of ORBIT_CENTER EA records by launch year from the public SATCAT snapshot</w:t>
            </w:r>
          </w:p>
        </w:tc>
      </w:tr>
      <w:tr>
        <w:tc>
          <w:tcPr>
            <w:tcW w:w="0" w:type="auto"/>
          </w:tcPr>
          <w:p>
            <w:pPr>
              <w:spacing w:line="240" w:lineRule="auto" w:before="0" w:after="0"/>
              <w:pStyle w:val="Compact"/>
            </w:pPr>
            <w:r>
              <w:rPr>
                <w:sz w:val="20"/>
                <w:szCs w:val="20"/>
              </w:rPr>
              <w:t xml:space="preserve">years_since_1957_plus_one</w:t>
            </w:r>
          </w:p>
        </w:tc>
        <w:tc>
          <w:tcPr>
            <w:tcW w:w="0" w:type="auto"/>
          </w:tcPr>
          <w:p>
            <w:pPr>
              <w:spacing w:line="240" w:lineRule="auto" w:before="0" w:after="0"/>
              <w:pStyle w:val="Compact"/>
            </w:pPr>
            <w:r>
              <w:rPr>
                <w:sz w:val="20"/>
                <w:szCs w:val="20"/>
              </w:rPr>
              <w:t xml:space="preserve">One plus elapsed years since 1957</w:t>
            </w:r>
          </w:p>
        </w:tc>
        <w:tc>
          <w:tcPr>
            <w:tcW w:w="0" w:type="auto"/>
          </w:tcPr>
          <w:p>
            <w:pPr>
              <w:spacing w:line="240" w:lineRule="auto" w:before="0" w:after="0"/>
              <w:pStyle w:val="Compact"/>
            </w:pPr>
            <w:r>
              <w:rPr>
                <w:sz w:val="20"/>
                <w:szCs w:val="20"/>
              </w:rPr>
              <w:t xml:space="preserve">launch_year minus 1957 plus one</w:t>
            </w:r>
          </w:p>
        </w:tc>
      </w:tr>
      <w:tr>
        <w:tc>
          <w:tcPr>
            <w:tcW w:w="0" w:type="auto"/>
          </w:tcPr>
          <w:p>
            <w:pPr>
              <w:spacing w:line="240" w:lineRule="auto" w:before="0" w:after="0"/>
              <w:pStyle w:val="Compact"/>
            </w:pPr>
            <w:r>
              <w:rPr>
                <w:sz w:val="20"/>
                <w:szCs w:val="20"/>
              </w:rPr>
              <w:t xml:space="preserve">annual_earth_orbit_objects</w:t>
            </w:r>
          </w:p>
        </w:tc>
        <w:tc>
          <w:tcPr>
            <w:tcW w:w="0" w:type="auto"/>
          </w:tcPr>
          <w:p>
            <w:pPr>
              <w:spacing w:line="240" w:lineRule="auto" w:before="0" w:after="0"/>
              <w:pStyle w:val="Compact"/>
            </w:pPr>
            <w:r>
              <w:rPr>
                <w:sz w:val="20"/>
                <w:szCs w:val="20"/>
              </w:rPr>
              <w:t xml:space="preserve">Annual count of Earth-orbit cataloged objects</w:t>
            </w:r>
          </w:p>
        </w:tc>
        <w:tc>
          <w:tcPr>
            <w:tcW w:w="0" w:type="auto"/>
          </w:tcPr>
          <w:p>
            <w:pPr>
              <w:spacing w:line="240" w:lineRule="auto" w:before="0" w:after="0"/>
              <w:pStyle w:val="Compact"/>
            </w:pPr>
            <w:r>
              <w:rPr>
                <w:sz w:val="20"/>
                <w:szCs w:val="20"/>
              </w:rPr>
              <w:t xml:space="preserve">Count of SATCAT rows by launch year</w:t>
            </w:r>
          </w:p>
        </w:tc>
      </w:tr>
      <w:tr>
        <w:tc>
          <w:tcPr>
            <w:tcW w:w="0" w:type="auto"/>
          </w:tcPr>
          <w:p>
            <w:pPr>
              <w:spacing w:line="240" w:lineRule="auto" w:before="0" w:after="0"/>
              <w:pStyle w:val="Compact"/>
            </w:pPr>
            <w:r>
              <w:rPr>
                <w:sz w:val="20"/>
                <w:szCs w:val="20"/>
              </w:rPr>
              <w:t xml:space="preserve">annual_payloads</w:t>
            </w:r>
          </w:p>
        </w:tc>
        <w:tc>
          <w:tcPr>
            <w:tcW w:w="0" w:type="auto"/>
          </w:tcPr>
          <w:p>
            <w:pPr>
              <w:spacing w:line="240" w:lineRule="auto" w:before="0" w:after="0"/>
              <w:pStyle w:val="Compact"/>
            </w:pPr>
            <w:r>
              <w:rPr>
                <w:sz w:val="20"/>
                <w:szCs w:val="20"/>
              </w:rPr>
              <w:t xml:space="preserve">Annual count of payload rows</w:t>
            </w:r>
          </w:p>
        </w:tc>
        <w:tc>
          <w:tcPr>
            <w:tcW w:w="0" w:type="auto"/>
          </w:tcPr>
          <w:p>
            <w:pPr>
              <w:spacing w:line="240" w:lineRule="auto" w:before="0" w:after="0"/>
              <w:pStyle w:val="Compact"/>
            </w:pPr>
            <w:r>
              <w:rPr>
                <w:sz w:val="20"/>
                <w:szCs w:val="20"/>
              </w:rPr>
              <w:t xml:space="preserve">OBJECT_TYPE PAY by launch year</w:t>
            </w:r>
          </w:p>
        </w:tc>
      </w:tr>
      <w:tr>
        <w:tc>
          <w:tcPr>
            <w:tcW w:w="0" w:type="auto"/>
          </w:tcPr>
          <w:p>
            <w:pPr>
              <w:spacing w:line="240" w:lineRule="auto" w:before="0" w:after="0"/>
              <w:pStyle w:val="Compact"/>
            </w:pPr>
            <w:r>
              <w:rPr>
                <w:sz w:val="20"/>
                <w:szCs w:val="20"/>
              </w:rPr>
              <w:t xml:space="preserve">annual_debris</w:t>
            </w:r>
          </w:p>
        </w:tc>
        <w:tc>
          <w:tcPr>
            <w:tcW w:w="0" w:type="auto"/>
          </w:tcPr>
          <w:p>
            <w:pPr>
              <w:spacing w:line="240" w:lineRule="auto" w:before="0" w:after="0"/>
              <w:pStyle w:val="Compact"/>
            </w:pPr>
            <w:r>
              <w:rPr>
                <w:sz w:val="20"/>
                <w:szCs w:val="20"/>
              </w:rPr>
              <w:t xml:space="preserve">Annual count of debris rows</w:t>
            </w:r>
          </w:p>
        </w:tc>
        <w:tc>
          <w:tcPr>
            <w:tcW w:w="0" w:type="auto"/>
          </w:tcPr>
          <w:p>
            <w:pPr>
              <w:spacing w:line="240" w:lineRule="auto" w:before="0" w:after="0"/>
              <w:pStyle w:val="Compact"/>
            </w:pPr>
            <w:r>
              <w:rPr>
                <w:sz w:val="20"/>
                <w:szCs w:val="20"/>
              </w:rPr>
              <w:t xml:space="preserve">OBJECT_TYPE DEB by launch year</w:t>
            </w:r>
          </w:p>
        </w:tc>
      </w:tr>
      <w:tr>
        <w:tc>
          <w:tcPr>
            <w:tcW w:w="0" w:type="auto"/>
          </w:tcPr>
          <w:p>
            <w:pPr>
              <w:spacing w:line="240" w:lineRule="auto" w:before="0" w:after="0"/>
              <w:pStyle w:val="Compact"/>
            </w:pPr>
            <w:r>
              <w:rPr>
                <w:sz w:val="20"/>
                <w:szCs w:val="20"/>
              </w:rPr>
              <w:t xml:space="preserve">annual_rocket_bodies</w:t>
            </w:r>
          </w:p>
        </w:tc>
        <w:tc>
          <w:tcPr>
            <w:tcW w:w="0" w:type="auto"/>
          </w:tcPr>
          <w:p>
            <w:pPr>
              <w:spacing w:line="240" w:lineRule="auto" w:before="0" w:after="0"/>
              <w:pStyle w:val="Compact"/>
            </w:pPr>
            <w:r>
              <w:rPr>
                <w:sz w:val="20"/>
                <w:szCs w:val="20"/>
              </w:rPr>
              <w:t xml:space="preserve">Annual count of rocket body rows</w:t>
            </w:r>
          </w:p>
        </w:tc>
        <w:tc>
          <w:tcPr>
            <w:tcW w:w="0" w:type="auto"/>
          </w:tcPr>
          <w:p>
            <w:pPr>
              <w:spacing w:line="240" w:lineRule="auto" w:before="0" w:after="0"/>
              <w:pStyle w:val="Compact"/>
            </w:pPr>
            <w:r>
              <w:rPr>
                <w:sz w:val="20"/>
                <w:szCs w:val="20"/>
              </w:rPr>
              <w:t xml:space="preserve">OBJECT_TYPE R/B by launch year</w:t>
            </w:r>
          </w:p>
        </w:tc>
      </w:tr>
    </w:tbl>
    <w:bookmarkEnd w:id="194"/>
    <w:bookmarkEnd w:id="195"/>
    <w:bookmarkEnd w:id="19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81" Type="http://schemas.openxmlformats.org/officeDocument/2006/relationships/image" Target="media/rId181.png"/><Relationship Id="rId189" Type="http://schemas.openxmlformats.org/officeDocument/2006/relationships/image" Target="media/rId189.png"/><Relationship Id="rId165" Type="http://schemas.openxmlformats.org/officeDocument/2006/relationships/hyperlink" Target="https://doi.org/10.1016/j.actaastro.2018.03.017" TargetMode="External"/><Relationship Id="rId143" Type="http://schemas.openxmlformats.org/officeDocument/2006/relationships/hyperlink" Target="https://doi.org/10.1016/j.actaastro.2021.03.030" TargetMode="External"/><Relationship Id="rId141" Type="http://schemas.openxmlformats.org/officeDocument/2006/relationships/hyperlink" Target="https://doi.org/10.1016/j.actaastro.2022.05.045" TargetMode="External"/><Relationship Id="rId174" Type="http://schemas.openxmlformats.org/officeDocument/2006/relationships/hyperlink" Target="https://doi.org/10.1016/j.actaastro.2024.03.006" TargetMode="External"/><Relationship Id="rId145" Type="http://schemas.openxmlformats.org/officeDocument/2006/relationships/hyperlink" Target="https://doi.org/10.1016/j.actaastro.2024.03.008" TargetMode="External"/><Relationship Id="rId176" Type="http://schemas.openxmlformats.org/officeDocument/2006/relationships/hyperlink" Target="https://doi.org/10.1016/j.actaastro.2025.02.013" TargetMode="External"/><Relationship Id="rId150" Type="http://schemas.openxmlformats.org/officeDocument/2006/relationships/hyperlink" Target="https://doi.org/10.1016/j.actaastro.2025.03.034" TargetMode="External"/><Relationship Id="rId167" Type="http://schemas.openxmlformats.org/officeDocument/2006/relationships/hyperlink" Target="https://doi.org/10.1016/j.actaastro.2025.05.036" TargetMode="External"/><Relationship Id="rId169" Type="http://schemas.openxmlformats.org/officeDocument/2006/relationships/hyperlink" Target="https://doi.org/10.1016/j.actaastro.2026.01.050" TargetMode="External"/><Relationship Id="rId172" Type="http://schemas.openxmlformats.org/officeDocument/2006/relationships/hyperlink" Target="https://doi.org/10.1016/j.actaastro.2026.05.061" TargetMode="External"/><Relationship Id="rId158" Type="http://schemas.openxmlformats.org/officeDocument/2006/relationships/hyperlink" Target="https://doi.org/10.64861/AVPH5589" TargetMode="External"/><Relationship Id="rId163" Type="http://schemas.openxmlformats.org/officeDocument/2006/relationships/hyperlink" Target="https://doi.org/10.64861/FKER7625" TargetMode="External"/><Relationship Id="rId156" Type="http://schemas.openxmlformats.org/officeDocument/2006/relationships/hyperlink" Target="https://doi.org/10.64861/HODQ3334" TargetMode="External"/><Relationship Id="rId161" Type="http://schemas.openxmlformats.org/officeDocument/2006/relationships/hyperlink" Target="https://doi.org/10.64861/PWBU1061" TargetMode="External"/><Relationship Id="rId152" Type="http://schemas.openxmlformats.org/officeDocument/2006/relationships/hyperlink" Target="https://doi.org/10.64861/SYQO6621" TargetMode="External"/><Relationship Id="rId148" Type="http://schemas.openxmlformats.org/officeDocument/2006/relationships/hyperlink" Target="https://doi.org/10.64861/XQKK7584" TargetMode="External"/></Relationships>
</file>

<file path=word/_rels/footnotes.xml.rels><?xml version='1.0' encoding='UTF-8' standalone='yes'?>
<Relationships xmlns="http://schemas.openxmlformats.org/package/2006/relationships"><Relationship Id="rId165" Type="http://schemas.openxmlformats.org/officeDocument/2006/relationships/hyperlink" Target="https://doi.org/10.1016/j.actaastro.2018.03.017" TargetMode="External"/><Relationship Id="rId143" Type="http://schemas.openxmlformats.org/officeDocument/2006/relationships/hyperlink" Target="https://doi.org/10.1016/j.actaastro.2021.03.030" TargetMode="External"/><Relationship Id="rId141" Type="http://schemas.openxmlformats.org/officeDocument/2006/relationships/hyperlink" Target="https://doi.org/10.1016/j.actaastro.2022.05.045" TargetMode="External"/><Relationship Id="rId174" Type="http://schemas.openxmlformats.org/officeDocument/2006/relationships/hyperlink" Target="https://doi.org/10.1016/j.actaastro.2024.03.006" TargetMode="External"/><Relationship Id="rId145" Type="http://schemas.openxmlformats.org/officeDocument/2006/relationships/hyperlink" Target="https://doi.org/10.1016/j.actaastro.2024.03.008" TargetMode="External"/><Relationship Id="rId176" Type="http://schemas.openxmlformats.org/officeDocument/2006/relationships/hyperlink" Target="https://doi.org/10.1016/j.actaastro.2025.02.013" TargetMode="External"/><Relationship Id="rId150" Type="http://schemas.openxmlformats.org/officeDocument/2006/relationships/hyperlink" Target="https://doi.org/10.1016/j.actaastro.2025.03.034" TargetMode="External"/><Relationship Id="rId167" Type="http://schemas.openxmlformats.org/officeDocument/2006/relationships/hyperlink" Target="https://doi.org/10.1016/j.actaastro.2025.05.036" TargetMode="External"/><Relationship Id="rId169" Type="http://schemas.openxmlformats.org/officeDocument/2006/relationships/hyperlink" Target="https://doi.org/10.1016/j.actaastro.2026.01.050" TargetMode="External"/><Relationship Id="rId172" Type="http://schemas.openxmlformats.org/officeDocument/2006/relationships/hyperlink" Target="https://doi.org/10.1016/j.actaastro.2026.05.061" TargetMode="External"/><Relationship Id="rId158" Type="http://schemas.openxmlformats.org/officeDocument/2006/relationships/hyperlink" Target="https://doi.org/10.64861/AVPH5589" TargetMode="External"/><Relationship Id="rId163" Type="http://schemas.openxmlformats.org/officeDocument/2006/relationships/hyperlink" Target="https://doi.org/10.64861/FKER7625" TargetMode="External"/><Relationship Id="rId156" Type="http://schemas.openxmlformats.org/officeDocument/2006/relationships/hyperlink" Target="https://doi.org/10.64861/HODQ3334" TargetMode="External"/><Relationship Id="rId161" Type="http://schemas.openxmlformats.org/officeDocument/2006/relationships/hyperlink" Target="https://doi.org/10.64861/PWBU1061" TargetMode="External"/><Relationship Id="rId152" Type="http://schemas.openxmlformats.org/officeDocument/2006/relationships/hyperlink" Target="https://doi.org/10.64861/SYQO6621" TargetMode="External"/><Relationship Id="rId148" Type="http://schemas.openxmlformats.org/officeDocument/2006/relationships/hyperlink" Target="https://doi.org/10.64861/XQKK758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Carrying Capacity Under Uncertainty: Reconciling NASA ORDEM and ESA MASTER Divergence Into a Decision-Relevant Capacity Envelope</dc:title>
  <dc:creator>Henry Ramos (1B-SDA-145)</dc:creator>
  <cp:keywords/>
  <dcterms:created xsi:type="dcterms:W3CDTF">2026-07-04T02:03:39Z</dcterms:created>
  <dcterms:modified xsi:type="dcterms:W3CDTF">2026-07-04T02:03:39Z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