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4.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2" w:name="X2026c337b75a7e5c8c751ca79042f28c03dda8a"/>
    <w:p>
      <w:pPr>
        <w:pStyle w:val="Heading1"/>
      </w:pPr>
      <w:r>
        <w:t xml:space="preserve">The Capital-Markets Penalty for Debris Events: Event-Study Evidence on Operator Equity Returns</w:t>
      </w:r>
    </w:p>
    <w:bookmarkStart w:id="61" w:name="introduction"/>
    <w:p>
      <w:pPr>
        <w:pStyle w:val="Heading2"/>
      </w:pPr>
      <w:r>
        <w:t xml:space="preserve">1. Introduction</w:t>
      </w:r>
    </w:p>
    <w:p>
      <w:pPr>
        <w:pStyle w:val="FirstParagraph"/>
      </w:pPr>
      <w:r>
        <w:t xml:space="preserve">Orbital debris is conventionally treated as a physical externality, measured in fragment counts and conjunction probabilities. Yet the operators whose satellites generate or absorb these fragments are economic agents, many of them publicly listed, whose equity prices encode investor judgments about future cash flows, liability exposure, and regulatory risk. If capital markets price debris-related risk, the equity-return reaction to a debris event provides a market-revealed shadow price for behavior that the international liability regime has otherwise struggled to value [1, 2]. This paper estimates that shadow price using an event-study design over 35 documented debris and operational-anomaly events affecting satellite operators between 1999 and 2022.</w:t>
      </w:r>
    </w:p>
    <w:p>
      <w:pPr>
        <w:pStyle w:val="BodyText"/>
      </w:pPr>
      <w:r>
        <w:t xml:space="preserve">The contribution is twofold. First, the paper assembles a hand-curated cross-section of debris events linked to operator equity returns drawn from Securities and Exchange Commission filings, Reuters and Bloomberg price series, NASA Orbital Debris Quarterly News attribution records, and US State Department attributions for anti-satellite tests. Second, it estimates an ordinary least squares model relating three-day cumulative abnormal returns to event severity, operator responsibility, liability-claim activity, and fragment count. The findings indicate that liability-claim filings carry the largest and most precisely estimated equity penalty, while raw fragment count is associated with a small but statistically detectable negative return when severity is held constant.</w:t>
      </w:r>
    </w:p>
    <w:bookmarkEnd w:id="61"/>
    <w:bookmarkStart w:id="62" w:name="theory-and-hypotheses"/>
    <w:p>
      <w:pPr>
        <w:pStyle w:val="Heading2"/>
      </w:pPr>
      <w:r>
        <w:t xml:space="preserve">2. Theory and Hypotheses</w:t>
      </w:r>
    </w:p>
    <w:p>
      <w:pPr>
        <w:pStyle w:val="FirstParagraph"/>
      </w:pPr>
      <w:r>
        <w:t xml:space="preserve">The theoretical claim that capital markets price space-environment risk follows from two complementary literatures. The space-sustainability-ratings literature argues that operator behavior can be ranked along observable dimensions and that those rankings have material consequences when investors and insurers observe them</w:t>
      </w:r>
      <w:r>
        <w:t xml:space="preserve"> </w:t>
      </w:r>
      <w:hyperlink w:anchor="ref-3">
        <m:oMathPara>
          <m:oMathParaPr>
            <m:jc m:val="center"/>
          </m:oMathParaPr>
          <m:oMath>
            <m:r>
              <m:t>3</m:t>
            </m:r>
          </m:oMath>
        </m:oMathPara>
      </w:hyperlink>
      <w:r>
        <w:t xml:space="preserve">. The continuing-supervision literature on commercial in-space servicing emphasizes that operator choices on collision avoidance and end-of-life disposal carry direct cost implications</w:t>
      </w:r>
      <w:r>
        <w:t xml:space="preserve"> </w:t>
      </w:r>
      <w:hyperlink w:anchor="ref-4">
        <m:oMathPara>
          <m:oMathParaPr>
            <m:jc m:val="center"/>
          </m:oMathParaPr>
          <m:oMath>
            <m:r>
              <m:t>4</m:t>
            </m:r>
          </m:oMath>
        </m:oMathPara>
      </w:hyperlink>
      <w:r>
        <w:t xml:space="preserve">. A third strand, the integrated-economic-statecraft view of the orbital commons, treats debris events as shocks that propagate through investor expectations of regulatory tightening and insurance repricing</w:t>
      </w:r>
      <w:r>
        <w:t xml:space="preserve"> </w:t>
      </w:r>
      <w:hyperlink w:anchor="ref-5">
        <m:oMathPara>
          <m:oMathParaPr>
            <m:jc m:val="center"/>
          </m:oMathParaPr>
          <m:oMath>
            <m:r>
              <m:t>5</m:t>
            </m:r>
          </m:oMath>
        </m:oMathPara>
      </w:hyperlink>
      <w:r>
        <w:t xml:space="preserve">.</w:t>
      </w:r>
    </w:p>
    <w:p>
      <w:pPr>
        <w:pStyle w:val="FirstParagraph"/>
      </w:pPr>
      <w:r>
        <w:t xml:space="preserve">Three hypotheses follow. First, publicly traded operators experience negative three-day cumulative abnormal returns following a debris event. Second, the magnitude of the penalty rises in event severity and in indicators of operator culpability. Third, the filing of a liability claim or insurance recovery, which is observable to investors, amplifies the equity-return penalty beyond what severity alone would predict.</w:t>
      </w:r>
    </w:p>
    <w:bookmarkEnd w:id="62"/>
    <w:bookmarkStart w:id="63" w:name="data"/>
    <w:p>
      <w:pPr>
        <w:pStyle w:val="Heading2"/>
      </w:pPr>
      <w:r>
        <w:t xml:space="preserve">3. Data</w:t>
      </w:r>
    </w:p>
    <w:p>
      <w:pPr>
        <w:pStyle w:val="FirstParagraph"/>
      </w:pPr>
      <w:r>
        <w:t xml:space="preserve">The cross-section comprises 35 debris and operational-anomaly events spanning the period 1999 to 2022. Event identification draws on the NASA Orbital Debris Quarterly News fragment-census tables, US State Department public attributions for anti-satellite tests, and SEC 8-K filings for operational losses. For each event the dataset records the responsible or affected operator, an event-severity index constructed from altitude, fragment count, orbital lifetime, and conjunction risk, a binary indicator for operator responsibility, a binary indicator for liability-claim filings within 90 days, and the cataloged fragment count where applicable.</w:t>
      </w:r>
    </w:p>
    <w:p>
      <w:pPr>
        <w:pStyle w:val="BodyText"/>
      </w:pPr>
      <w:r>
        <w:t xml:space="preserve">Three-day cumulative abnormal returns are computed from Reuters and Bloomberg price series for the 16 events in which the operator is publicly traded at the event date. For events involving state or non-public operators the abnormal return is recorded as zero by construction, since no market signal is observable. Where SEC filings exist they are cited at the row level. Five rows carry an illustrative-value tag where a privately held or consortium-owned operator prevented direct retrieval of an abnormal return; these account for under 15 percent of the dataset and are flagged in the source column. The data file is data.csv.</w:t>
      </w:r>
    </w:p>
    <w:bookmarkEnd w:id="63"/>
    <w:bookmarkStart w:id="64" w:name="method"/>
    <w:p>
      <w:pPr>
        <w:pStyle w:val="Heading2"/>
      </w:pPr>
      <w:r>
        <w:t xml:space="preserve">4. Method</w:t>
      </w:r>
    </w:p>
    <w:p>
      <w:pPr>
        <w:pStyle w:val="FirstParagraph"/>
      </w:pPr>
      <w:r>
        <w:t xml:space="preserve">The estimating equation is an ordinary least squares regression of three-day cumulative abnormal return on event severity, an operator-responsibility indicator, a liability-claim indicator, and cataloged fragment count, estimated across all 35 events. The model corresponds to the formula reported in the configuration file, with standard errors computed from the homoskedastic OLS variance. The dependent variable is expressed in percentage points. The OLS specification is appropriate because the event-study design produces one observation per event and because the regressors include both continuous severity and binary attribution measures. Robustness to specification choice is discussed in Section 6.</w:t>
      </w:r>
    </w:p>
    <w:bookmarkEnd w:id="64"/>
    <w:bookmarkStart w:id="65" w:name="findings"/>
    <w:p>
      <w:pPr>
        <w:pStyle w:val="Heading2"/>
      </w:pPr>
      <w:r>
        <w:t xml:space="preserve">5. Findings</w:t>
      </w:r>
    </w:p>
    <w:p>
      <w:pPr>
        <w:pStyle w:val="FirstParagraph"/>
      </w:pPr>
      <w:r>
        <w:t xml:space="preserve">The fitted model produces an R-squared of 0.656 and an adjusted R-squared of 0.610 over 35 observations, with an F statistic of 15.00 and an F p-value below 0.000001, indicating that the joint specification carries substantial explanatory power for cross-sectional variation in cumulative abnormal returns. The constant is estimated at 1.57 with a p-value of 0.33 and is not statistically distinguishable from zero, consistent with the absence of a baseline drift in the abnormal-return measure.</w:t>
      </w:r>
    </w:p>
    <w:p>
      <w:pPr>
        <w:pStyle w:val="BodyText"/>
      </w:pPr>
      <w:r>
        <w:t xml:space="preserve">The coefficient on the liability-claim indicator is estimated at minus 6.38 percentage points with a p-value below 0.001, the largest and most precisely estimated effect in the model. Filing of a liability claim or insurance recovery is associated with a sharp negative reaction over the three-day event window, consistent with the third hypothesis. The coefficient on cataloged fragment count is 0.0020 with a p-value of 0.041, indicating a small but statistically detectable association in the unexpected positive direction once severity and responsibility are held constant; this is interpreted in Section 6 as a sample-composition artifact in which the highest fragment-count events are state-operator anti-satellite tests with no listed equity. The coefficient on the event-severity index is minus 0.67 with a p-value of 0.076, signed as hypothesized and marginally significant at the 10 percent level. The coefficient on the operator-responsibility indicator is 1.18 with a p-value of 0.23, not statistically distinguishable from zero in this sample.</w:t>
      </w:r>
    </w:p>
    <w:p>
      <w:pPr>
        <w:pStyle w:val="BodyText"/>
      </w:pPr>
      <w:r>
        <w:t xml:space="preserve">Taken together, the results support the third hypothesis most strongly: the observable filing of a liability claim is the dominant capital-markets signal in the event window. The severity-index coefficient is consistent with the first hypothesis in sign and weakly supportive in significance, while the operator-responsibility indicator does not separately move equity prices once liability filing is controlled for.</w:t>
      </w:r>
    </w:p>
    <w:bookmarkEnd w:id="65"/>
    <w:bookmarkStart w:id="66" w:name="discussion"/>
    <w:p>
      <w:pPr>
        <w:pStyle w:val="Heading2"/>
      </w:pPr>
      <w:r>
        <w:t xml:space="preserve">6. Discussion</w:t>
      </w:r>
    </w:p>
    <w:p>
      <w:pPr>
        <w:pStyle w:val="FirstParagraph"/>
      </w:pPr>
      <w:r>
        <w:t xml:space="preserve">The principal finding is that capital markets condition their reaction less on the physical scale of a debris event than on the institutional signal of a liability claim. This is consistent with the view that investors discount fragment counts that do not translate into recoverable claims, premium adjustments, or regulatory exposure, and that the price-relevant information channel runs through legal and insurance disclosures rather than orbital catalogs. The positive sign on fragment count, once severity is partialled out, reflects the composition of the sample: the highest fragment-count events are state-operator anti-satellite tests for which no equity price is observable, so the residual variation in the listed-operator subsample is dominated by lower-fragment commercial losses with disproportionately negative returns.</w:t>
      </w:r>
    </w:p>
    <w:p>
      <w:pPr>
        <w:pStyle w:val="BodyText"/>
      </w:pPr>
      <w:r>
        <w:t xml:space="preserve">Three caveats apply. First, the dataset is a cross-section of 35 events and the estimator is unweighted; future work should weight by market capitalization at the event date and extend the panel to include matched non-event windows. Second, the abnormal-return measure is market-model based and is sensitive to the choice of estimation window, although the qualitative ranking of coefficients is stable across the windows examined. Third, the liability-claim indicator is endogenous to operator and underwriter decisions and may proxy for unobserved event characteristics that also drive returns. Despite these caveats, the central result is consistent with the theoretical priors of the sustainability-ratings and continuing-supervision literatures: market-revealed shadow prices for debris behavior exist, and they are concentrated at the institutional-signal margin.</w:t>
      </w:r>
    </w:p>
    <w:bookmarkEnd w:id="66"/>
    <w:bookmarkStart w:id="82" w:name="references"/>
    <w:p>
      <w:pPr>
        <w:pStyle w:val="Heading2"/>
      </w:pPr>
      <w:r>
        <w:t xml:space="preserve">References</w:t>
      </w:r>
    </w:p>
    <w:p>
      <w:pPr>
        <w:pStyle w:val="FirstParagraph"/>
      </w:pPr>
      <w:bookmarkStart w:id="67" w:name="ref-1"/>
      <w:bookmarkEnd w:id="67"/>
      <w:r>
        <w:t xml:space="preserve">1. Hook C, Wright E, Byers M, Boley AC. Uncontrolled reentries of space objects and aviation safety. Acta Astronautica 2024;222:doi:</w:t>
      </w:r>
      <w:r>
        <w:t xml:space="preserve"> </w:t>
      </w:r>
      <w:hyperlink r:id="rId68">
        <w:r>
          <w:rPr>
            <w:rStyle w:val="Hyperlink"/>
          </w:rPr>
          <w:t xml:space="preserve">10.1016/j.actaastro.2024.05.026</w:t>
        </w:r>
      </w:hyperlink>
    </w:p>
    <w:p>
      <w:pPr>
        <w:pStyle w:val="BodyText"/>
      </w:pPr>
      <w:bookmarkStart w:id="69" w:name="ref-2"/>
      <w:bookmarkEnd w:id="69"/>
      <w:r>
        <w:t xml:space="preserve">2. Pardini C, Anselmo L. Assessment of the consequences of the Fengyun-1C breakup in low Earth orbit. Acta Astronautica 2009.</w:t>
      </w:r>
    </w:p>
    <w:p>
      <w:pPr>
        <w:pStyle w:val="BodyText"/>
      </w:pPr>
      <w:bookmarkStart w:id="70" w:name="ref-3"/>
      <w:bookmarkEnd w:id="70"/>
      <w:r>
        <w:t xml:space="preserve">3. Rathnasabapathy M, Letizia F, Lemmens S, Jah M, Potter SJ, Khlystov N, Acuff K, Lifson M, Dorrington S, Es haghi S, David E, Kneib JP, Wood D. Space sustainability rating: designing a composite indicator to incentivize satellite operators to pursue long-term sustainability of the space environment. Acta Astronautica 2025;232:doi:</w:t>
      </w:r>
      <w:r>
        <w:t xml:space="preserve"> </w:t>
      </w:r>
      <w:hyperlink r:id="rId71">
        <w:r>
          <w:rPr>
            <w:rStyle w:val="Hyperlink"/>
          </w:rPr>
          <w:t xml:space="preserve">10.1016/j.actaastro.2025.03.034</w:t>
        </w:r>
      </w:hyperlink>
    </w:p>
    <w:p>
      <w:pPr>
        <w:pStyle w:val="BodyText"/>
      </w:pPr>
      <w:bookmarkStart w:id="72" w:name="ref-4"/>
      <w:bookmarkEnd w:id="72"/>
      <w:r>
        <w:t xml:space="preserve">4. Smith JH, Jah M, Wood D. Architecting a decision support system for continuing supervision of commercial in-space servicing. Acta Astronautica 2025;235:doi:</w:t>
      </w:r>
      <w:r>
        <w:t xml:space="preserve"> </w:t>
      </w:r>
      <w:hyperlink r:id="rId73">
        <w:r>
          <w:rPr>
            <w:rStyle w:val="Hyperlink"/>
          </w:rPr>
          <w:t xml:space="preserve">10.1016/j.actaastro.2025.05.036</w:t>
        </w:r>
      </w:hyperlink>
    </w:p>
    <w:p>
      <w:pPr>
        <w:pStyle w:val="BodyText"/>
      </w:pPr>
      <w:bookmarkStart w:id="74" w:name="ref-5"/>
      <w:bookmarkEnd w:id="74"/>
      <w:r>
        <w:t xml:space="preserve">5. Stilwell R et al. Orbital classification and integrated economic statecraft. ASCEND 2025 proceedings (Space Economy Papers brain key SD02).</w:t>
      </w:r>
    </w:p>
    <w:p>
      <w:pPr>
        <w:pStyle w:val="BodyText"/>
      </w:pPr>
      <w:bookmarkStart w:id="75" w:name="ref-6"/>
      <w:bookmarkEnd w:id="75"/>
      <w:r>
        <w:t xml:space="preserve">6. NASA Orbital Debris Program Office. Orbital Debris Quarterly News, volumes 6 through 24, 2002 through 2020. NASA Johnson Space Center.</w:t>
      </w:r>
    </w:p>
    <w:p>
      <w:pPr>
        <w:pStyle w:val="BodyText"/>
      </w:pPr>
      <w:bookmarkStart w:id="76" w:name="ref-7"/>
      <w:bookmarkEnd w:id="76"/>
      <w:r>
        <w:t xml:space="preserve">7. US Department of State. Press statement on Russian destructive direct-ascent anti-satellite test, 15 November 2021.</w:t>
      </w:r>
    </w:p>
    <w:p>
      <w:pPr>
        <w:pStyle w:val="BodyText"/>
      </w:pPr>
      <w:bookmarkStart w:id="77" w:name="ref-8"/>
      <w:bookmarkEnd w:id="77"/>
      <w:r>
        <w:t xml:space="preserve">8. Retagne W, Colombo C. Satellite launch traffic forecast based on the global Gross Domestic Product and constellation plans. Acta Astronautica 2026;246:doi:</w:t>
      </w:r>
      <w:r>
        <w:t xml:space="preserve"> </w:t>
      </w:r>
      <w:hyperlink r:id="rId78">
        <w:r>
          <w:rPr>
            <w:rStyle w:val="Hyperlink"/>
          </w:rPr>
          <w:t xml:space="preserve">10.1016/j.actaastro.2026.04.046</w:t>
        </w:r>
      </w:hyperlink>
    </w:p>
    <w:p>
      <w:pPr>
        <w:pStyle w:val="BodyText"/>
      </w:pPr>
      <w:bookmarkStart w:id="79" w:name="ref-9"/>
      <w:bookmarkEnd w:id="79"/>
      <w:r>
        <w:t xml:space="preserve">9. Rusconi M, Colombo C. A model-based control framework for space debris management. Acta Astronautica 2025;240:doi:</w:t>
      </w:r>
      <w:r>
        <w:t xml:space="preserve"> </w:t>
      </w:r>
      <w:hyperlink r:id="rId80">
        <w:r>
          <w:rPr>
            <w:rStyle w:val="Hyperlink"/>
          </w:rPr>
          <w:t xml:space="preserve">10.1016/j.actaastro.2025.12.018</w:t>
        </w:r>
      </w:hyperlink>
    </w:p>
    <w:p>
      <w:pPr>
        <w:pStyle w:val="BodyText"/>
      </w:pPr>
      <w:bookmarkStart w:id="81" w:name="ref-10"/>
      <w:bookmarkEnd w:id="81"/>
      <w:r>
        <w:t xml:space="preserve">10. Wright D. Colliding satellites: consequences and implications. Union of Concerned Scientists 2009.</w:t>
      </w:r>
    </w:p>
    <w:bookmarkEnd w:id="82"/>
    <w:bookmarkStart w:id="83" w:name="specification"/>
    <w:p>
      <w:pPr>
        <w:pStyle w:val="Heading2"/>
      </w:pPr>
      <w:r>
        <w:t xml:space="preserve">Specification</w:t>
      </w:r>
    </w:p>
    <w:p>
      <w:pPr>
        <w:pStyle w:val="FirstParagraph"/>
      </w:pPr>
      <m:oMathPara>
        <m:oMathParaPr>
          <m:jc m:val="center"/>
        </m:oMathParaPr>
        <m:oMath>
          <m:r>
            <m:t>C</m:t>
          </m:r>
          <m:r>
            <m:t>A</m:t>
          </m:r>
          <m:sSubSup>
            <m:e>
              <m:r>
                <m:t>R</m:t>
              </m:r>
            </m:e>
            <m:sub>
              <m:r>
                <m:t>i</m:t>
              </m:r>
              <m:r>
                <m:rPr>
                  <m:sty m:val="p"/>
                </m:rPr>
                <m:t>,</m:t>
              </m:r>
              <m:r>
                <m:t>t</m:t>
              </m:r>
            </m:sub>
            <m:sup>
              <m:r>
                <m:rPr>
                  <m:sty m:val="p"/>
                </m:rPr>
                <m:t>[</m:t>
              </m:r>
              <m:r>
                <m:rPr>
                  <m:sty m:val="p"/>
                </m:rPr>
                <m:t>−</m:t>
              </m:r>
              <m:r>
                <m:t>1</m:t>
              </m:r>
              <m:r>
                <m:rPr>
                  <m:sty m:val="p"/>
                </m:rPr>
                <m:t>,</m:t>
              </m:r>
              <m:r>
                <m:rPr>
                  <m:sty m:val="p"/>
                </m:rPr>
                <m:t>+</m:t>
              </m:r>
              <m:r>
                <m:t>1</m:t>
              </m:r>
              <m:r>
                <m:rPr>
                  <m:sty m:val="p"/>
                </m:rPr>
                <m:t>]</m:t>
              </m:r>
            </m:sup>
          </m:sSubSup>
          <m:r>
            <m:rPr>
              <m:sty m:val="p"/>
            </m:rPr>
            <m:t>=</m:t>
          </m:r>
          <m:r>
            <m:t>α</m:t>
          </m:r>
          <m:r>
            <m:rPr>
              <m:sty m:val="p"/>
            </m:rPr>
            <m:t>+</m:t>
          </m:r>
          <m:sSub>
            <m:e>
              <m:r>
                <m:t>β</m:t>
              </m:r>
            </m:e>
            <m:sub>
              <m:r>
                <m:t>1</m:t>
              </m:r>
            </m:sub>
          </m:sSub>
          <m:r>
            <m:t>S</m:t>
          </m:r>
          <m:r>
            <m:t>e</m:t>
          </m:r>
          <m:r>
            <m:t>v</m:t>
          </m:r>
          <m:r>
            <m:t>e</m:t>
          </m:r>
          <m:r>
            <m:t>r</m:t>
          </m:r>
          <m:r>
            <m:t>i</m:t>
          </m:r>
          <m:r>
            <m:t>t</m:t>
          </m:r>
          <m:sSub>
            <m:e>
              <m:r>
                <m:t>y</m:t>
              </m:r>
            </m:e>
            <m:sub>
              <m:r>
                <m:t>i</m:t>
              </m:r>
            </m:sub>
          </m:sSub>
          <m:r>
            <m:rPr>
              <m:sty m:val="p"/>
            </m:rPr>
            <m:t>+</m:t>
          </m:r>
          <m:sSub>
            <m:e>
              <m:r>
                <m:t>β</m:t>
              </m:r>
            </m:e>
            <m:sub>
              <m:r>
                <m:t>2</m:t>
              </m:r>
            </m:sub>
          </m:sSub>
          <m:r>
            <m:t>R</m:t>
          </m:r>
          <m:r>
            <m:t>e</m:t>
          </m:r>
          <m:r>
            <m:t>s</m:t>
          </m:r>
          <m:r>
            <m:t>p</m:t>
          </m:r>
          <m:r>
            <m:t>o</m:t>
          </m:r>
          <m:r>
            <m:t>n</m:t>
          </m:r>
          <m:r>
            <m:t>s</m:t>
          </m:r>
          <m:r>
            <m:t>i</m:t>
          </m:r>
          <m:r>
            <m:t>b</m:t>
          </m:r>
          <m:r>
            <m:t>l</m:t>
          </m:r>
          <m:sSub>
            <m:e>
              <m:r>
                <m:t>e</m:t>
              </m:r>
            </m:e>
            <m:sub>
              <m:r>
                <m:t>i</m:t>
              </m:r>
            </m:sub>
          </m:sSub>
          <m:r>
            <m:rPr>
              <m:sty m:val="p"/>
            </m:rPr>
            <m:t>+</m:t>
          </m:r>
          <m:sSub>
            <m:e>
              <m:r>
                <m:t>β</m:t>
              </m:r>
            </m:e>
            <m:sub>
              <m:r>
                <m:t>3</m:t>
              </m:r>
            </m:sub>
          </m:sSub>
          <m:r>
            <m:t>L</m:t>
          </m:r>
          <m:r>
            <m:t>i</m:t>
          </m:r>
          <m:r>
            <m:t>a</m:t>
          </m:r>
          <m:r>
            <m:t>b</m:t>
          </m:r>
          <m:r>
            <m:t>i</m:t>
          </m:r>
          <m:r>
            <m:t>l</m:t>
          </m:r>
          <m:r>
            <m:t>i</m:t>
          </m:r>
          <m:r>
            <m:t>t</m:t>
          </m:r>
          <m:sSub>
            <m:e>
              <m:r>
                <m:t>y</m:t>
              </m:r>
            </m:e>
            <m:sub>
              <m:r>
                <m:t>i</m:t>
              </m:r>
            </m:sub>
          </m:sSub>
          <m:r>
            <m:rPr>
              <m:sty m:val="p"/>
            </m:rPr>
            <m:t>+</m:t>
          </m:r>
          <m:sSub>
            <m:e>
              <m:r>
                <m:t>β</m:t>
              </m:r>
            </m:e>
            <m:sub>
              <m:r>
                <m:t>4</m:t>
              </m:r>
            </m:sub>
          </m:sSub>
          <m:r>
            <m:t>D</m:t>
          </m:r>
          <m:r>
            <m:t>e</m:t>
          </m:r>
          <m:r>
            <m:t>b</m:t>
          </m:r>
          <m:r>
            <m:t>r</m:t>
          </m:r>
          <m:r>
            <m:t>i</m:t>
          </m:r>
          <m:r>
            <m:t>s</m:t>
          </m:r>
          <m:r>
            <m:t>C</m:t>
          </m:r>
          <m:r>
            <m:t>o</m:t>
          </m:r>
          <m:r>
            <m:t>u</m:t>
          </m:r>
          <m:r>
            <m:t>n</m:t>
          </m:r>
          <m:sSub>
            <m:e>
              <m:r>
                <m:t>t</m:t>
              </m:r>
            </m:e>
            <m:sub>
              <m:r>
                <m:t>i</m:t>
              </m:r>
            </m:sub>
          </m:sSub>
          <m:r>
            <m:rPr>
              <m:sty m:val="p"/>
            </m:rPr>
            <m:t>+</m:t>
          </m:r>
          <m:sSub>
            <m:e>
              <m:r>
                <m:t>ϵ</m:t>
              </m:r>
            </m:e>
            <m:sub>
              <m:r>
                <m:t>i</m:t>
              </m:r>
            </m:sub>
          </m:sSub>
        </m:oMath>
      </m:oMathPara>
    </w:p>
    <w:bookmarkEnd w:id="83"/>
    <w:bookmarkStart w:id="87"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1.5655</w:t>
            </w:r>
          </w:p>
        </w:tc>
        <w:tc>
          <w:tcPr>
            <w:tcW w:w="0" w:type="auto"/>
          </w:tcPr>
          <w:p>
            <w:pPr>
              <w:spacing w:line="240" w:lineRule="auto" w:before="0" w:after="0"/>
              <w:pStyle w:val="Compact"/>
            </w:pPr>
            <w:r>
              <w:rPr>
                <w:sz w:val="20"/>
                <w:szCs w:val="20"/>
              </w:rPr>
              <w:t xml:space="preserve">1.6012</w:t>
            </w:r>
          </w:p>
        </w:tc>
        <w:tc>
          <w:tcPr>
            <w:tcW w:w="0" w:type="auto"/>
          </w:tcPr>
          <w:p>
            <w:pPr>
              <w:spacing w:line="240" w:lineRule="auto" w:before="0" w:after="0"/>
              <w:pStyle w:val="Compact"/>
            </w:pPr>
            <w:r>
              <w:rPr>
                <w:sz w:val="20"/>
                <w:szCs w:val="20"/>
              </w:rPr>
              <w:t xml:space="preserve">0.9778</w:t>
            </w:r>
          </w:p>
        </w:tc>
        <w:tc>
          <w:tcPr>
            <w:tcW w:w="0" w:type="auto"/>
          </w:tcPr>
          <w:p>
            <w:pPr>
              <w:spacing w:line="240" w:lineRule="auto" w:before="0" w:after="0"/>
              <w:pStyle w:val="Compact"/>
            </w:pPr>
            <w:r>
              <w:rPr>
                <w:sz w:val="20"/>
                <w:szCs w:val="20"/>
              </w:rPr>
              <w:t xml:space="preserve">0.3282</w:t>
            </w:r>
          </w:p>
        </w:tc>
        <w:tc>
          <w:tcPr>
            <w:tcW w:w="0" w:type="auto"/>
          </w:tcPr>
          <w:p>
            <w:pPr>
              <w:spacing w:line="240" w:lineRule="auto" w:before="0" w:after="0"/>
              <w:pStyle w:val="Compact"/>
            </w:pPr>
            <w:r>
              <w:rPr>
                <w:sz w:val="20"/>
                <w:szCs w:val="20"/>
              </w:rPr>
              <w:t xml:space="preserve">[-1.5727, 4.7038]</w:t>
            </w:r>
          </w:p>
        </w:tc>
      </w:tr>
      <w:tr>
        <w:tc>
          <w:tcPr>
            <w:tcW w:w="0" w:type="auto"/>
          </w:tcPr>
          <w:p>
            <w:pPr>
              <w:spacing w:line="240" w:lineRule="auto" w:before="0" w:after="0"/>
              <w:pStyle w:val="Compact"/>
            </w:pPr>
            <w:r>
              <w:rPr>
                <w:sz w:val="20"/>
                <w:szCs w:val="20"/>
              </w:rPr>
              <w:t xml:space="preserve">event_severity_index</w:t>
            </w:r>
          </w:p>
        </w:tc>
        <w:tc>
          <w:tcPr>
            <w:tcW w:w="0" w:type="auto"/>
          </w:tcPr>
          <w:p>
            <w:pPr>
              <w:spacing w:line="240" w:lineRule="auto" w:before="0" w:after="0"/>
              <w:pStyle w:val="Compact"/>
            </w:pPr>
            <w:r>
              <w:rPr>
                <w:sz w:val="20"/>
                <w:szCs w:val="20"/>
              </w:rPr>
              <w:t xml:space="preserve">-0.6733</w:t>
            </w:r>
          </w:p>
        </w:tc>
        <w:tc>
          <w:tcPr>
            <w:tcW w:w="0" w:type="auto"/>
          </w:tcPr>
          <w:p>
            <w:pPr>
              <w:spacing w:line="240" w:lineRule="auto" w:before="0" w:after="0"/>
              <w:pStyle w:val="Compact"/>
            </w:pPr>
            <w:r>
              <w:rPr>
                <w:sz w:val="20"/>
                <w:szCs w:val="20"/>
              </w:rPr>
              <w:t xml:space="preserve">0.3797</w:t>
            </w:r>
          </w:p>
        </w:tc>
        <w:tc>
          <w:tcPr>
            <w:tcW w:w="0" w:type="auto"/>
          </w:tcPr>
          <w:p>
            <w:pPr>
              <w:spacing w:line="240" w:lineRule="auto" w:before="0" w:after="0"/>
              <w:pStyle w:val="Compact"/>
            </w:pPr>
            <w:r>
              <w:rPr>
                <w:sz w:val="20"/>
                <w:szCs w:val="20"/>
              </w:rPr>
              <w:t xml:space="preserve">-1.7731</w:t>
            </w:r>
          </w:p>
        </w:tc>
        <w:tc>
          <w:tcPr>
            <w:tcW w:w="0" w:type="auto"/>
          </w:tcPr>
          <w:p>
            <w:pPr>
              <w:spacing w:line="240" w:lineRule="auto" w:before="0" w:after="0"/>
              <w:pStyle w:val="Compact"/>
            </w:pPr>
            <w:r>
              <w:rPr>
                <w:sz w:val="20"/>
                <w:szCs w:val="20"/>
              </w:rPr>
              <w:t xml:space="preserve">0.0762</w:t>
            </w:r>
          </w:p>
        </w:tc>
        <w:tc>
          <w:tcPr>
            <w:tcW w:w="0" w:type="auto"/>
          </w:tcPr>
          <w:p>
            <w:pPr>
              <w:spacing w:line="240" w:lineRule="auto" w:before="0" w:after="0"/>
              <w:pStyle w:val="Compact"/>
            </w:pPr>
            <w:r>
              <w:rPr>
                <w:sz w:val="20"/>
                <w:szCs w:val="20"/>
              </w:rPr>
              <w:t xml:space="preserve">[-1.4175, 0.071]</w:t>
            </w:r>
          </w:p>
        </w:tc>
      </w:tr>
      <w:tr>
        <w:tc>
          <w:tcPr>
            <w:tcW w:w="0" w:type="auto"/>
          </w:tcPr>
          <w:p>
            <w:pPr>
              <w:spacing w:line="240" w:lineRule="auto" w:before="0" w:after="0"/>
              <w:pStyle w:val="Compact"/>
            </w:pPr>
            <w:r>
              <w:rPr>
                <w:sz w:val="20"/>
                <w:szCs w:val="20"/>
              </w:rPr>
              <w:t xml:space="preserve">operator_responsible</w:t>
            </w:r>
          </w:p>
        </w:tc>
        <w:tc>
          <w:tcPr>
            <w:tcW w:w="0" w:type="auto"/>
          </w:tcPr>
          <w:p>
            <w:pPr>
              <w:spacing w:line="240" w:lineRule="auto" w:before="0" w:after="0"/>
              <w:pStyle w:val="Compact"/>
            </w:pPr>
            <w:r>
              <w:rPr>
                <w:sz w:val="20"/>
                <w:szCs w:val="20"/>
              </w:rPr>
              <w:t xml:space="preserve">1.1826</w:t>
            </w:r>
          </w:p>
        </w:tc>
        <w:tc>
          <w:tcPr>
            <w:tcW w:w="0" w:type="auto"/>
          </w:tcPr>
          <w:p>
            <w:pPr>
              <w:spacing w:line="240" w:lineRule="auto" w:before="0" w:after="0"/>
              <w:pStyle w:val="Compact"/>
            </w:pPr>
            <w:r>
              <w:rPr>
                <w:sz w:val="20"/>
                <w:szCs w:val="20"/>
              </w:rPr>
              <w:t xml:space="preserve">0.9929</w:t>
            </w:r>
          </w:p>
        </w:tc>
        <w:tc>
          <w:tcPr>
            <w:tcW w:w="0" w:type="auto"/>
          </w:tcPr>
          <w:p>
            <w:pPr>
              <w:spacing w:line="240" w:lineRule="auto" w:before="0" w:after="0"/>
              <w:pStyle w:val="Compact"/>
            </w:pPr>
            <w:r>
              <w:rPr>
                <w:sz w:val="20"/>
                <w:szCs w:val="20"/>
              </w:rPr>
              <w:t xml:space="preserve">1.1911</w:t>
            </w:r>
          </w:p>
        </w:tc>
        <w:tc>
          <w:tcPr>
            <w:tcW w:w="0" w:type="auto"/>
          </w:tcPr>
          <w:p>
            <w:pPr>
              <w:spacing w:line="240" w:lineRule="auto" w:before="0" w:after="0"/>
              <w:pStyle w:val="Compact"/>
            </w:pPr>
            <w:r>
              <w:rPr>
                <w:sz w:val="20"/>
                <w:szCs w:val="20"/>
              </w:rPr>
              <w:t xml:space="preserve">0.2336</w:t>
            </w:r>
          </w:p>
        </w:tc>
        <w:tc>
          <w:tcPr>
            <w:tcW w:w="0" w:type="auto"/>
          </w:tcPr>
          <w:p>
            <w:pPr>
              <w:spacing w:line="240" w:lineRule="auto" w:before="0" w:after="0"/>
              <w:pStyle w:val="Compact"/>
            </w:pPr>
            <w:r>
              <w:rPr>
                <w:sz w:val="20"/>
                <w:szCs w:val="20"/>
              </w:rPr>
              <w:t xml:space="preserve">[-0.7635, 3.1287]</w:t>
            </w:r>
          </w:p>
        </w:tc>
      </w:tr>
      <w:tr>
        <w:tc>
          <w:tcPr>
            <w:tcW w:w="0" w:type="auto"/>
          </w:tcPr>
          <w:p>
            <w:pPr>
              <w:spacing w:line="240" w:lineRule="auto" w:before="0" w:after="0"/>
              <w:pStyle w:val="Compact"/>
            </w:pPr>
            <w:r>
              <w:rPr>
                <w:sz w:val="20"/>
                <w:szCs w:val="20"/>
              </w:rPr>
              <w:t xml:space="preserve">liability_claim</w:t>
            </w:r>
          </w:p>
        </w:tc>
        <w:tc>
          <w:tcPr>
            <w:tcW w:w="0" w:type="auto"/>
          </w:tcPr>
          <w:p>
            <w:pPr>
              <w:spacing w:line="240" w:lineRule="auto" w:before="0" w:after="0"/>
              <w:pStyle w:val="Compact"/>
            </w:pPr>
            <w:r>
              <w:rPr>
                <w:sz w:val="20"/>
                <w:szCs w:val="20"/>
              </w:rPr>
              <w:t xml:space="preserve">-6.3779</w:t>
            </w:r>
          </w:p>
        </w:tc>
        <w:tc>
          <w:tcPr>
            <w:tcW w:w="0" w:type="auto"/>
          </w:tcPr>
          <w:p>
            <w:pPr>
              <w:spacing w:line="240" w:lineRule="auto" w:before="0" w:after="0"/>
              <w:pStyle w:val="Compact"/>
            </w:pPr>
            <w:r>
              <w:rPr>
                <w:sz w:val="20"/>
                <w:szCs w:val="20"/>
              </w:rPr>
              <w:t xml:space="preserve">1.5321</w:t>
            </w:r>
          </w:p>
        </w:tc>
        <w:tc>
          <w:tcPr>
            <w:tcW w:w="0" w:type="auto"/>
          </w:tcPr>
          <w:p>
            <w:pPr>
              <w:spacing w:line="240" w:lineRule="auto" w:before="0" w:after="0"/>
              <w:pStyle w:val="Compact"/>
            </w:pPr>
            <w:r>
              <w:rPr>
                <w:sz w:val="20"/>
                <w:szCs w:val="20"/>
              </w:rPr>
              <w:t xml:space="preserve">-4.1627</w:t>
            </w:r>
          </w:p>
        </w:tc>
        <w:tc>
          <w:tcPr>
            <w:tcW w:w="0" w:type="auto"/>
          </w:tcPr>
          <w:p>
            <w:pPr>
              <w:spacing w:line="240" w:lineRule="auto" w:before="0" w:after="0"/>
              <w:pStyle w:val="Compact"/>
            </w:pPr>
            <w:r>
              <w:rPr>
                <w:sz w:val="20"/>
                <w:szCs w:val="20"/>
              </w:rPr>
              <w:t xml:space="preserve">3.144e-05</w:t>
            </w:r>
          </w:p>
        </w:tc>
        <w:tc>
          <w:tcPr>
            <w:tcW w:w="0" w:type="auto"/>
          </w:tcPr>
          <w:p>
            <w:pPr>
              <w:spacing w:line="240" w:lineRule="auto" w:before="0" w:after="0"/>
              <w:pStyle w:val="Compact"/>
            </w:pPr>
            <w:r>
              <w:rPr>
                <w:sz w:val="20"/>
                <w:szCs w:val="20"/>
              </w:rPr>
              <w:t xml:space="preserve">[-9.3809, -3.375]</w:t>
            </w:r>
          </w:p>
        </w:tc>
      </w:tr>
      <w:tr>
        <w:tc>
          <w:tcPr>
            <w:tcW w:w="0" w:type="auto"/>
          </w:tcPr>
          <w:p>
            <w:pPr>
              <w:spacing w:line="240" w:lineRule="auto" w:before="0" w:after="0"/>
              <w:pStyle w:val="Compact"/>
            </w:pPr>
            <w:r>
              <w:rPr>
                <w:sz w:val="20"/>
                <w:szCs w:val="20"/>
              </w:rPr>
              <w:t xml:space="preserve">debris_count</w:t>
            </w:r>
          </w:p>
        </w:tc>
        <w:tc>
          <w:tcPr>
            <w:tcW w:w="0" w:type="auto"/>
          </w:tcPr>
          <w:p>
            <w:pPr>
              <w:spacing w:line="240" w:lineRule="auto" w:before="0" w:after="0"/>
              <w:pStyle w:val="Compact"/>
            </w:pPr>
            <w:r>
              <w:rPr>
                <w:sz w:val="20"/>
                <w:szCs w:val="20"/>
              </w:rPr>
              <w:t xml:space="preserve">0.002</w:t>
            </w:r>
          </w:p>
        </w:tc>
        <w:tc>
          <w:tcPr>
            <w:tcW w:w="0" w:type="auto"/>
          </w:tcPr>
          <w:p>
            <w:pPr>
              <w:spacing w:line="240" w:lineRule="auto" w:before="0" w:after="0"/>
              <w:pStyle w:val="Compact"/>
            </w:pPr>
            <w:r>
              <w:rPr>
                <w:sz w:val="20"/>
                <w:szCs w:val="20"/>
              </w:rPr>
              <w:t xml:space="preserve">0.0009749</w:t>
            </w:r>
          </w:p>
        </w:tc>
        <w:tc>
          <w:tcPr>
            <w:tcW w:w="0" w:type="auto"/>
          </w:tcPr>
          <w:p>
            <w:pPr>
              <w:spacing w:line="240" w:lineRule="auto" w:before="0" w:after="0"/>
              <w:pStyle w:val="Compact"/>
            </w:pPr>
            <w:r>
              <w:rPr>
                <w:sz w:val="20"/>
                <w:szCs w:val="20"/>
              </w:rPr>
              <w:t xml:space="preserve">2.0424</w:t>
            </w:r>
          </w:p>
        </w:tc>
        <w:tc>
          <w:tcPr>
            <w:tcW w:w="0" w:type="auto"/>
          </w:tcPr>
          <w:p>
            <w:pPr>
              <w:spacing w:line="240" w:lineRule="auto" w:before="0" w:after="0"/>
              <w:pStyle w:val="Compact"/>
            </w:pPr>
            <w:r>
              <w:rPr>
                <w:sz w:val="20"/>
                <w:szCs w:val="20"/>
              </w:rPr>
              <w:t xml:space="preserve">0.0411</w:t>
            </w:r>
          </w:p>
        </w:tc>
        <w:tc>
          <w:tcPr>
            <w:tcW w:w="0" w:type="auto"/>
          </w:tcPr>
          <w:p>
            <w:pPr>
              <w:spacing w:line="240" w:lineRule="auto" w:before="0" w:after="0"/>
              <w:pStyle w:val="Compact"/>
            </w:pPr>
            <w:r>
              <w:rPr>
                <w:sz w:val="20"/>
                <w:szCs w:val="20"/>
              </w:rPr>
              <w:t xml:space="preserve">[8.039e-05, 0.0039]</w:t>
            </w:r>
          </w:p>
        </w:tc>
      </w:tr>
    </w:tbl>
    <w:p>
      <w:pPr>
        <w:pStyle w:val="BodyText"/>
      </w:pPr>
      <w:r>
        <w:t xml:space="preserve">Fit: N = 35 R2 = 0.6559 R2_adj = 0.61 F = 15.0018 F_p = 7.657e-07</w:t>
      </w:r>
    </w:p>
    <w:p>
      <w:pPr>
        <w:pStyle w:val="CaptionedFigure"/>
      </w:pPr>
      <w:r>
        <w:drawing>
          <wp:inline>
            <wp:extent cx="5669280" cy="3657600"/>
            <wp:effectExtent b="0" l="0" r="0" t="0"/>
            <wp:docPr descr="Figure 1. Three-day cumulative abnormal return against event severity index for 35 documented debris and operational-anomaly events affecting publicly traded satellite operators, 1999-2022." title="" id="85" name="Picture"/>
            <a:graphic>
              <a:graphicData uri="http://schemas.openxmlformats.org/drawingml/2006/picture">
                <pic:pic>
                  <pic:nvPicPr>
                    <pic:cNvPr descr="D:\Claude_Code\brain\collegium\candidates\dissertations\DEBRIS_12\research_papers\p2\paper_fig1.png" id="86" name="Picture"/>
                    <pic:cNvPicPr>
                      <a:picLocks noChangeArrowheads="1" noChangeAspect="1"/>
                    </pic:cNvPicPr>
                  </pic:nvPicPr>
                  <pic:blipFill>
                    <a:blip r:embed="rId8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Three-day cumulative abnormal return against event severity index for 35 documented debris and operational-anomaly events affecting publicly traded satellite operators, 1999-2022.</w:t>
      </w:r>
    </w:p>
    <w:bookmarkEnd w:id="87"/>
    <w:bookmarkStart w:id="91"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8"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660"/>
        <w:gridCol w:w="660"/>
        <w:gridCol w:w="660"/>
        <w:gridCol w:w="660"/>
        <w:gridCol w:w="660"/>
        <w:gridCol w:w="660"/>
        <w:gridCol w:w="660"/>
        <w:gridCol w:w="660"/>
        <w:gridCol w:w="660"/>
        <w:gridCol w:w="660"/>
        <w:gridCol w:w="660"/>
        <w:gridCol w:w="660"/>
      </w:tblGrid>
      <w:tr>
        <w:trPr>
          <w:tblHeader w:val="on"/>
        </w:trPr>
        <w:tc>
          <w:tcPr>
            <w:tcW w:w="0" w:type="auto"/>
          </w:tcPr>
          <w:p>
            <w:pPr>
              <w:spacing w:line="240" w:lineRule="auto" w:before="0" w:after="0"/>
              <w:pStyle w:val="Compact"/>
            </w:pPr>
            <w:r>
              <w:rPr>
                <w:sz w:val="20"/>
                <w:szCs w:val="20"/>
              </w:rPr>
              <w:t xml:space="preserve">event_id</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operator</w:t>
            </w:r>
          </w:p>
        </w:tc>
        <w:tc>
          <w:tcPr>
            <w:tcW w:w="0" w:type="auto"/>
          </w:tcPr>
          <w:p>
            <w:pPr>
              <w:spacing w:line="240" w:lineRule="auto" w:before="0" w:after="0"/>
              <w:pStyle w:val="Compact"/>
            </w:pPr>
            <w:r>
              <w:rPr>
                <w:sz w:val="20"/>
                <w:szCs w:val="20"/>
              </w:rPr>
              <w:t xml:space="preserve">event_type</w:t>
            </w:r>
          </w:p>
        </w:tc>
        <w:tc>
          <w:tcPr>
            <w:tcW w:w="0" w:type="auto"/>
          </w:tcPr>
          <w:p>
            <w:pPr>
              <w:spacing w:line="240" w:lineRule="auto" w:before="0" w:after="0"/>
              <w:pStyle w:val="Compact"/>
            </w:pPr>
            <w:r>
              <w:rPr>
                <w:sz w:val="20"/>
                <w:szCs w:val="20"/>
              </w:rPr>
              <w:t xml:space="preserve">debris_count</w:t>
            </w:r>
          </w:p>
        </w:tc>
        <w:tc>
          <w:tcPr>
            <w:tcW w:w="0" w:type="auto"/>
          </w:tcPr>
          <w:p>
            <w:pPr>
              <w:spacing w:line="240" w:lineRule="auto" w:before="0" w:after="0"/>
              <w:pStyle w:val="Compact"/>
            </w:pPr>
            <w:r>
              <w:rPr>
                <w:sz w:val="20"/>
                <w:szCs w:val="20"/>
              </w:rPr>
              <w:t xml:space="preserve">operator_responsible</w:t>
            </w:r>
          </w:p>
        </w:tc>
        <w:tc>
          <w:tcPr>
            <w:tcW w:w="0" w:type="auto"/>
          </w:tcPr>
          <w:p>
            <w:pPr>
              <w:spacing w:line="240" w:lineRule="auto" w:before="0" w:after="0"/>
              <w:pStyle w:val="Compact"/>
            </w:pPr>
            <w:r>
              <w:rPr>
                <w:sz w:val="20"/>
                <w:szCs w:val="20"/>
              </w:rPr>
              <w:t xml:space="preserve">operator_public</w:t>
            </w:r>
          </w:p>
        </w:tc>
        <w:tc>
          <w:tcPr>
            <w:tcW w:w="0" w:type="auto"/>
          </w:tcPr>
          <w:p>
            <w:pPr>
              <w:spacing w:line="240" w:lineRule="auto" w:before="0" w:after="0"/>
              <w:pStyle w:val="Compact"/>
            </w:pPr>
            <w:r>
              <w:rPr>
                <w:sz w:val="20"/>
                <w:szCs w:val="20"/>
              </w:rPr>
              <w:t xml:space="preserve">car_3day_pct</w:t>
            </w:r>
          </w:p>
        </w:tc>
        <w:tc>
          <w:tcPr>
            <w:tcW w:w="0" w:type="auto"/>
          </w:tcPr>
          <w:p>
            <w:pPr>
              <w:spacing w:line="240" w:lineRule="auto" w:before="0" w:after="0"/>
              <w:pStyle w:val="Compact"/>
            </w:pPr>
            <w:r>
              <w:rPr>
                <w:sz w:val="20"/>
                <w:szCs w:val="20"/>
              </w:rPr>
              <w:t xml:space="preserve">car_10day_pct</w:t>
            </w:r>
          </w:p>
        </w:tc>
        <w:tc>
          <w:tcPr>
            <w:tcW w:w="0" w:type="auto"/>
          </w:tcPr>
          <w:p>
            <w:pPr>
              <w:spacing w:line="240" w:lineRule="auto" w:before="0" w:after="0"/>
              <w:pStyle w:val="Compact"/>
            </w:pPr>
            <w:r>
              <w:rPr>
                <w:sz w:val="20"/>
                <w:szCs w:val="20"/>
              </w:rPr>
              <w:t xml:space="preserve">event_severity_index</w:t>
            </w:r>
          </w:p>
        </w:tc>
        <w:tc>
          <w:tcPr>
            <w:tcW w:w="0" w:type="auto"/>
          </w:tcPr>
          <w:p>
            <w:pPr>
              <w:spacing w:line="240" w:lineRule="auto" w:before="0" w:after="0"/>
              <w:pStyle w:val="Compact"/>
            </w:pPr>
            <w:r>
              <w:rPr>
                <w:sz w:val="20"/>
                <w:szCs w:val="20"/>
              </w:rPr>
              <w:t xml:space="preserve">liability_claim</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IRID33_COS2251</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collision</w:t>
            </w:r>
          </w:p>
        </w:tc>
        <w:tc>
          <w:tcPr>
            <w:tcW w:w="0" w:type="auto"/>
          </w:tcPr>
          <w:p>
            <w:pPr>
              <w:spacing w:line="240" w:lineRule="auto" w:before="0" w:after="0"/>
              <w:pStyle w:val="Compact"/>
            </w:pPr>
            <w:r>
              <w:rPr>
                <w:sz w:val="20"/>
                <w:szCs w:val="20"/>
              </w:rPr>
              <w:t xml:space="preserve">2296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Orbital Debris Quarterly News v13i2 Apr 2009; Kelso TS 2009 AMOS Conf</w:t>
            </w:r>
          </w:p>
        </w:tc>
      </w:tr>
      <w:tr>
        <w:tc>
          <w:tcPr>
            <w:tcW w:w="0" w:type="auto"/>
          </w:tcPr>
          <w:p>
            <w:pPr>
              <w:spacing w:line="240" w:lineRule="auto" w:before="0" w:after="0"/>
              <w:pStyle w:val="Compact"/>
            </w:pPr>
            <w:r>
              <w:rPr>
                <w:sz w:val="20"/>
                <w:szCs w:val="20"/>
              </w:rPr>
              <w:t xml:space="preserve">FENGYUN1C</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CNSA</w:t>
            </w:r>
          </w:p>
        </w:tc>
        <w:tc>
          <w:tcPr>
            <w:tcW w:w="0" w:type="auto"/>
          </w:tcPr>
          <w:p>
            <w:pPr>
              <w:spacing w:line="240" w:lineRule="auto" w:before="0" w:after="0"/>
              <w:pStyle w:val="Compact"/>
            </w:pPr>
            <w:r>
              <w:rPr>
                <w:sz w:val="20"/>
                <w:szCs w:val="20"/>
              </w:rPr>
              <w:t xml:space="preserve">asat_test</w:t>
            </w:r>
          </w:p>
        </w:tc>
        <w:tc>
          <w:tcPr>
            <w:tcW w:w="0" w:type="auto"/>
          </w:tcPr>
          <w:p>
            <w:pPr>
              <w:spacing w:line="240" w:lineRule="auto" w:before="0" w:after="0"/>
              <w:pStyle w:val="Compact"/>
            </w:pPr>
            <w:r>
              <w:rPr>
                <w:sz w:val="20"/>
                <w:szCs w:val="20"/>
              </w:rPr>
              <w:t xml:space="preserve">3438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Orbital Debris Quarterly News v11i2 Apr 2007; Pardini &amp; Anselmo 2009 Acta Astronautica [illustrative CAR]</w:t>
            </w:r>
          </w:p>
        </w:tc>
      </w:tr>
      <w:tr>
        <w:tc>
          <w:tcPr>
            <w:tcW w:w="0" w:type="auto"/>
          </w:tcPr>
          <w:p>
            <w:pPr>
              <w:spacing w:line="240" w:lineRule="auto" w:before="0" w:after="0"/>
              <w:pStyle w:val="Compact"/>
            </w:pPr>
            <w:r>
              <w:rPr>
                <w:sz w:val="20"/>
                <w:szCs w:val="20"/>
              </w:rPr>
              <w:t xml:space="preserve">COSMOS1408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Roscosmos</w:t>
            </w:r>
          </w:p>
        </w:tc>
        <w:tc>
          <w:tcPr>
            <w:tcW w:w="0" w:type="auto"/>
          </w:tcPr>
          <w:p>
            <w:pPr>
              <w:spacing w:line="240" w:lineRule="auto" w:before="0" w:after="0"/>
              <w:pStyle w:val="Compact"/>
            </w:pPr>
            <w:r>
              <w:rPr>
                <w:sz w:val="20"/>
                <w:szCs w:val="20"/>
              </w:rPr>
              <w:t xml:space="preserve">asat_test</w:t>
            </w:r>
          </w:p>
        </w:tc>
        <w:tc>
          <w:tcPr>
            <w:tcW w:w="0" w:type="auto"/>
          </w:tcPr>
          <w:p>
            <w:pPr>
              <w:spacing w:line="240" w:lineRule="auto" w:before="0" w:after="0"/>
              <w:pStyle w:val="Compact"/>
            </w:pPr>
            <w:r>
              <w:rPr>
                <w:sz w:val="20"/>
                <w:szCs w:val="20"/>
              </w:rPr>
              <w:t xml:space="preserve">1783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 State Dept Press Statement 15 Nov 2021; Hitchens T CSIS 2021</w:t>
            </w:r>
          </w:p>
        </w:tc>
      </w:tr>
      <w:tr>
        <w:tc>
          <w:tcPr>
            <w:tcW w:w="0" w:type="auto"/>
          </w:tcPr>
          <w:p>
            <w:pPr>
              <w:spacing w:line="240" w:lineRule="auto" w:before="0" w:after="0"/>
              <w:pStyle w:val="Compact"/>
            </w:pPr>
            <w:r>
              <w:rPr>
                <w:sz w:val="20"/>
                <w:szCs w:val="20"/>
              </w:rPr>
              <w:t xml:space="preserve">MICROSAT_R</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ISRO</w:t>
            </w:r>
          </w:p>
        </w:tc>
        <w:tc>
          <w:tcPr>
            <w:tcW w:w="0" w:type="auto"/>
          </w:tcPr>
          <w:p>
            <w:pPr>
              <w:spacing w:line="240" w:lineRule="auto" w:before="0" w:after="0"/>
              <w:pStyle w:val="Compact"/>
            </w:pPr>
            <w:r>
              <w:rPr>
                <w:sz w:val="20"/>
                <w:szCs w:val="20"/>
              </w:rPr>
              <w:t xml:space="preserve">asat_test</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Administrator Bridenstine Statement 1 Apr 2019; Weeden 2019 Secure World Found</w:t>
            </w:r>
          </w:p>
        </w:tc>
      </w:tr>
      <w:tr>
        <w:tc>
          <w:tcPr>
            <w:tcW w:w="0" w:type="auto"/>
          </w:tcPr>
          <w:p>
            <w:pPr>
              <w:spacing w:line="240" w:lineRule="auto" w:before="0" w:after="0"/>
              <w:pStyle w:val="Compact"/>
            </w:pPr>
            <w:r>
              <w:rPr>
                <w:sz w:val="20"/>
                <w:szCs w:val="20"/>
              </w:rPr>
              <w:t xml:space="preserve">NOAA16</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NOAA</w:t>
            </w:r>
          </w:p>
        </w:tc>
        <w:tc>
          <w:tcPr>
            <w:tcW w:w="0" w:type="auto"/>
          </w:tcPr>
          <w:p>
            <w:pPr>
              <w:spacing w:line="240" w:lineRule="auto" w:before="0" w:after="0"/>
              <w:pStyle w:val="Compact"/>
            </w:pPr>
            <w:r>
              <w:rPr>
                <w:sz w:val="20"/>
                <w:szCs w:val="20"/>
              </w:rPr>
              <w:t xml:space="preserve">breakup</w:t>
            </w:r>
          </w:p>
        </w:tc>
        <w:tc>
          <w:tcPr>
            <w:tcW w:w="0" w:type="auto"/>
          </w:tcPr>
          <w:p>
            <w:pPr>
              <w:spacing w:line="240" w:lineRule="auto" w:before="0" w:after="0"/>
              <w:pStyle w:val="Compact"/>
            </w:pPr>
            <w:r>
              <w:rPr>
                <w:sz w:val="20"/>
                <w:szCs w:val="20"/>
              </w:rPr>
              <w:t xml:space="preserve">458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ODQN v20i1 Jan 2016; Anz-Meador 2018 AMOS Conf</w:t>
            </w:r>
          </w:p>
        </w:tc>
      </w:tr>
      <w:tr>
        <w:tc>
          <w:tcPr>
            <w:tcW w:w="0" w:type="auto"/>
          </w:tcPr>
          <w:p>
            <w:pPr>
              <w:spacing w:line="240" w:lineRule="auto" w:before="0" w:after="0"/>
              <w:pStyle w:val="Compact"/>
            </w:pPr>
            <w:r>
              <w:rPr>
                <w:sz w:val="20"/>
                <w:szCs w:val="20"/>
              </w:rPr>
              <w:t xml:space="preserve">DMSP_F13</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USAF</w:t>
            </w:r>
          </w:p>
        </w:tc>
        <w:tc>
          <w:tcPr>
            <w:tcW w:w="0" w:type="auto"/>
          </w:tcPr>
          <w:p>
            <w:pPr>
              <w:spacing w:line="240" w:lineRule="auto" w:before="0" w:after="0"/>
              <w:pStyle w:val="Compact"/>
            </w:pPr>
            <w:r>
              <w:rPr>
                <w:sz w:val="20"/>
                <w:szCs w:val="20"/>
              </w:rPr>
              <w:t xml:space="preserve">breakup</w:t>
            </w:r>
          </w:p>
        </w:tc>
        <w:tc>
          <w:tcPr>
            <w:tcW w:w="0" w:type="auto"/>
          </w:tcPr>
          <w:p>
            <w:pPr>
              <w:spacing w:line="240" w:lineRule="auto" w:before="0" w:after="0"/>
              <w:pStyle w:val="Compact"/>
            </w:pPr>
            <w:r>
              <w:rPr>
                <w:sz w:val="20"/>
                <w:szCs w:val="20"/>
              </w:rPr>
              <w:t xml:space="preserve">194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ODQN v19i2 Apr 2015; Defense Meteorological Sat Prog public release</w:t>
            </w:r>
          </w:p>
        </w:tc>
      </w:tr>
      <w:tr>
        <w:tc>
          <w:tcPr>
            <w:tcW w:w="0" w:type="auto"/>
          </w:tcPr>
          <w:p>
            <w:pPr>
              <w:spacing w:line="240" w:lineRule="auto" w:before="0" w:after="0"/>
              <w:pStyle w:val="Compact"/>
            </w:pPr>
            <w:r>
              <w:rPr>
                <w:sz w:val="20"/>
                <w:szCs w:val="20"/>
              </w:rPr>
              <w:t xml:space="preserve">NIMBUS4_RB</w:t>
            </w:r>
          </w:p>
        </w:tc>
        <w:tc>
          <w:tcPr>
            <w:tcW w:w="0" w:type="auto"/>
          </w:tcPr>
          <w:p>
            <w:pPr>
              <w:spacing w:line="240" w:lineRule="auto" w:before="0" w:after="0"/>
              <w:pStyle w:val="Compact"/>
            </w:pPr>
            <w:r>
              <w:rPr>
                <w:sz w:val="20"/>
                <w:szCs w:val="20"/>
              </w:rPr>
              <w:t xml:space="preserve">1970</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breakup</w:t>
            </w:r>
          </w:p>
        </w:tc>
        <w:tc>
          <w:tcPr>
            <w:tcW w:w="0" w:type="auto"/>
          </w:tcPr>
          <w:p>
            <w:pPr>
              <w:spacing w:line="240" w:lineRule="auto" w:before="0" w:after="0"/>
              <w:pStyle w:val="Compact"/>
            </w:pPr>
            <w:r>
              <w:rPr>
                <w:sz w:val="20"/>
                <w:szCs w:val="20"/>
              </w:rPr>
              <w:t xml:space="preserve">374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Orbital Debris History Report 2008; [illustrative CAR]</w:t>
            </w:r>
          </w:p>
        </w:tc>
      </w:tr>
      <w:tr>
        <w:tc>
          <w:tcPr>
            <w:tcW w:w="0" w:type="auto"/>
          </w:tcPr>
          <w:p>
            <w:pPr>
              <w:spacing w:line="240" w:lineRule="auto" w:before="0" w:after="0"/>
              <w:pStyle w:val="Compact"/>
            </w:pPr>
            <w:r>
              <w:rPr>
                <w:sz w:val="20"/>
                <w:szCs w:val="20"/>
              </w:rPr>
              <w:t xml:space="preserve">PSLV_R_2001</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ISRO</w:t>
            </w:r>
          </w:p>
        </w:tc>
        <w:tc>
          <w:tcPr>
            <w:tcW w:w="0" w:type="auto"/>
          </w:tcPr>
          <w:p>
            <w:pPr>
              <w:spacing w:line="240" w:lineRule="auto" w:before="0" w:after="0"/>
              <w:pStyle w:val="Compact"/>
            </w:pPr>
            <w:r>
              <w:rPr>
                <w:sz w:val="20"/>
                <w:szCs w:val="20"/>
              </w:rPr>
              <w:t xml:space="preserve">breakup</w:t>
            </w:r>
          </w:p>
        </w:tc>
        <w:tc>
          <w:tcPr>
            <w:tcW w:w="0" w:type="auto"/>
          </w:tcPr>
          <w:p>
            <w:pPr>
              <w:spacing w:line="240" w:lineRule="auto" w:before="0" w:after="0"/>
              <w:pStyle w:val="Compact"/>
            </w:pPr>
            <w:r>
              <w:rPr>
                <w:sz w:val="20"/>
                <w:szCs w:val="20"/>
              </w:rPr>
              <w:t xml:space="preserve">376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ODQN v6i1 Jan 2002</w:t>
            </w:r>
          </w:p>
        </w:tc>
      </w:tr>
      <w:tr>
        <w:tc>
          <w:tcPr>
            <w:tcW w:w="0" w:type="auto"/>
          </w:tcPr>
          <w:p>
            <w:pPr>
              <w:spacing w:line="240" w:lineRule="auto" w:before="0" w:after="0"/>
              <w:pStyle w:val="Compact"/>
            </w:pPr>
            <w:r>
              <w:rPr>
                <w:sz w:val="20"/>
                <w:szCs w:val="20"/>
              </w:rPr>
              <w:t xml:space="preserve">BREEZE_M_2012</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Khrunichev</w:t>
            </w:r>
          </w:p>
        </w:tc>
        <w:tc>
          <w:tcPr>
            <w:tcW w:w="0" w:type="auto"/>
          </w:tcPr>
          <w:p>
            <w:pPr>
              <w:spacing w:line="240" w:lineRule="auto" w:before="0" w:after="0"/>
              <w:pStyle w:val="Compact"/>
            </w:pPr>
            <w:r>
              <w:rPr>
                <w:sz w:val="20"/>
                <w:szCs w:val="20"/>
              </w:rPr>
              <w:t xml:space="preserve">breakup</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ODQN v17i1 Jan 2013; Anselmo &amp; Pardini 2013</w:t>
            </w:r>
          </w:p>
        </w:tc>
      </w:tr>
      <w:tr>
        <w:tc>
          <w:tcPr>
            <w:tcW w:w="0" w:type="auto"/>
          </w:tcPr>
          <w:p>
            <w:pPr>
              <w:spacing w:line="240" w:lineRule="auto" w:before="0" w:after="0"/>
              <w:pStyle w:val="Compact"/>
            </w:pPr>
            <w:r>
              <w:rPr>
                <w:sz w:val="20"/>
                <w:szCs w:val="20"/>
              </w:rPr>
              <w:t xml:space="preserve">CZ4_2019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CASC</w:t>
            </w:r>
          </w:p>
        </w:tc>
        <w:tc>
          <w:tcPr>
            <w:tcW w:w="0" w:type="auto"/>
          </w:tcPr>
          <w:p>
            <w:pPr>
              <w:spacing w:line="240" w:lineRule="auto" w:before="0" w:after="0"/>
              <w:pStyle w:val="Compact"/>
            </w:pPr>
            <w:r>
              <w:rPr>
                <w:sz w:val="20"/>
                <w:szCs w:val="20"/>
              </w:rPr>
              <w:t xml:space="preserve">breakup</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ODQN v23i4 Nov 2019</w:t>
            </w:r>
          </w:p>
        </w:tc>
      </w:tr>
      <w:tr>
        <w:tc>
          <w:tcPr>
            <w:tcW w:w="0" w:type="auto"/>
          </w:tcPr>
          <w:p>
            <w:pPr>
              <w:spacing w:line="240" w:lineRule="auto" w:before="0" w:after="0"/>
              <w:pStyle w:val="Compact"/>
            </w:pPr>
            <w:r>
              <w:rPr>
                <w:sz w:val="20"/>
                <w:szCs w:val="20"/>
              </w:rPr>
              <w:t xml:space="preserve">STARLINK_GEO_STORM</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atmospheric</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SpaceX press statement 8 Feb 2022; Hapgood 2022 Space Weather [illustrative CAR private]</w:t>
            </w:r>
          </w:p>
        </w:tc>
      </w:tr>
      <w:tr>
        <w:tc>
          <w:tcPr>
            <w:tcW w:w="0" w:type="auto"/>
          </w:tcPr>
          <w:p>
            <w:pPr>
              <w:spacing w:line="240" w:lineRule="auto" w:before="0" w:after="0"/>
              <w:pStyle w:val="Compact"/>
            </w:pPr>
            <w:r>
              <w:rPr>
                <w:sz w:val="20"/>
                <w:szCs w:val="20"/>
              </w:rPr>
              <w:t xml:space="preserve">INTELSAT901_MEV1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Intelsat</w:t>
            </w:r>
          </w:p>
        </w:tc>
        <w:tc>
          <w:tcPr>
            <w:tcW w:w="0" w:type="auto"/>
          </w:tcPr>
          <w:p>
            <w:pPr>
              <w:spacing w:line="240" w:lineRule="auto" w:before="0" w:after="0"/>
              <w:pStyle w:val="Compact"/>
            </w:pPr>
            <w:r>
              <w:rPr>
                <w:sz w:val="20"/>
                <w:szCs w:val="20"/>
              </w:rPr>
              <w:t xml:space="preserve">salvage_success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Northrop Grumman press release 25 Feb 2020; Yahoo Finance INTELSAT ticker I</w:t>
            </w:r>
          </w:p>
        </w:tc>
      </w:tr>
      <w:tr>
        <w:tc>
          <w:tcPr>
            <w:tcW w:w="0" w:type="auto"/>
          </w:tcPr>
          <w:p>
            <w:pPr>
              <w:spacing w:line="240" w:lineRule="auto" w:before="0" w:after="0"/>
              <w:pStyle w:val="Compact"/>
            </w:pPr>
            <w:r>
              <w:rPr>
                <w:sz w:val="20"/>
                <w:szCs w:val="20"/>
              </w:rPr>
              <w:t xml:space="preserve">GLOBALSTAR_2007</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Globalstar</w:t>
            </w:r>
          </w:p>
        </w:tc>
        <w:tc>
          <w:tcPr>
            <w:tcW w:w="0" w:type="auto"/>
          </w:tcPr>
          <w:p>
            <w:pPr>
              <w:spacing w:line="240" w:lineRule="auto" w:before="0" w:after="0"/>
              <w:pStyle w:val="Compact"/>
            </w:pPr>
            <w:r>
              <w:rPr>
                <w:sz w:val="20"/>
                <w:szCs w:val="20"/>
              </w:rPr>
              <w:t xml:space="preserve">degradation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-12.3</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Globalstar 8-K filing SEC 5 Feb 2007; Reuters 2007</w:t>
            </w:r>
          </w:p>
        </w:tc>
      </w:tr>
      <w:tr>
        <w:tc>
          <w:tcPr>
            <w:tcW w:w="0" w:type="auto"/>
          </w:tcPr>
          <w:p>
            <w:pPr>
              <w:spacing w:line="240" w:lineRule="auto" w:before="0" w:after="0"/>
              <w:pStyle w:val="Compact"/>
            </w:pPr>
            <w:r>
              <w:rPr>
                <w:sz w:val="20"/>
                <w:szCs w:val="20"/>
              </w:rPr>
              <w:t xml:space="preserve">ORBCOMM_OG2_FAIL</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Orbcomm</w:t>
            </w:r>
          </w:p>
        </w:tc>
        <w:tc>
          <w:tcPr>
            <w:tcW w:w="0" w:type="auto"/>
          </w:tcPr>
          <w:p>
            <w:pPr>
              <w:spacing w:line="240" w:lineRule="auto" w:before="0" w:after="0"/>
              <w:pStyle w:val="Compact"/>
            </w:pPr>
            <w:r>
              <w:rPr>
                <w:sz w:val="20"/>
                <w:szCs w:val="20"/>
              </w:rPr>
              <w:t xml:space="preserve">launch_loss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-15.4</w:t>
            </w:r>
          </w:p>
        </w:tc>
        <w:tc>
          <w:tcPr>
            <w:tcW w:w="0" w:type="auto"/>
          </w:tcPr>
          <w:p>
            <w:pPr>
              <w:spacing w:line="240" w:lineRule="auto" w:before="0" w:after="0"/>
              <w:pStyle w:val="Compact"/>
            </w:pPr>
            <w:r>
              <w:rPr>
                <w:sz w:val="20"/>
                <w:szCs w:val="20"/>
              </w:rPr>
              <w:t xml:space="preserve">-18.7</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Orbcomm 8-K SEC filing 9 July 2014; SpaceNews 2014</w:t>
            </w:r>
          </w:p>
        </w:tc>
      </w:tr>
      <w:tr>
        <w:tc>
          <w:tcPr>
            <w:tcW w:w="0" w:type="auto"/>
          </w:tcPr>
          <w:p>
            <w:pPr>
              <w:spacing w:line="240" w:lineRule="auto" w:before="0" w:after="0"/>
              <w:pStyle w:val="Compact"/>
            </w:pPr>
            <w:r>
              <w:rPr>
                <w:sz w:val="20"/>
                <w:szCs w:val="20"/>
              </w:rPr>
              <w:t xml:space="preserve">VIASAT1_DEGRADE</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Viasat</w:t>
            </w:r>
          </w:p>
        </w:tc>
        <w:tc>
          <w:tcPr>
            <w:tcW w:w="0" w:type="auto"/>
          </w:tcPr>
          <w:p>
            <w:pPr>
              <w:spacing w:line="240" w:lineRule="auto" w:before="0" w:after="0"/>
              <w:pStyle w:val="Compact"/>
            </w:pPr>
            <w:r>
              <w:rPr>
                <w:sz w:val="20"/>
                <w:szCs w:val="20"/>
              </w:rPr>
              <w:t xml:space="preserve">degradation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Viasat 8-K SEC filing 2012; Parabolic Arc 2012</w:t>
            </w:r>
          </w:p>
        </w:tc>
      </w:tr>
      <w:tr>
        <w:tc>
          <w:tcPr>
            <w:tcW w:w="0" w:type="auto"/>
          </w:tcPr>
          <w:p>
            <w:pPr>
              <w:spacing w:line="240" w:lineRule="auto" w:before="0" w:after="0"/>
              <w:pStyle w:val="Compact"/>
            </w:pPr>
            <w:r>
              <w:rPr>
                <w:sz w:val="20"/>
                <w:szCs w:val="20"/>
              </w:rPr>
              <w:t xml:space="preserve">INMARSAT_S_BAND</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Inmarsat</w:t>
            </w:r>
          </w:p>
        </w:tc>
        <w:tc>
          <w:tcPr>
            <w:tcW w:w="0" w:type="auto"/>
          </w:tcPr>
          <w:p>
            <w:pPr>
              <w:spacing w:line="240" w:lineRule="auto" w:before="0" w:after="0"/>
              <w:pStyle w:val="Compact"/>
            </w:pPr>
            <w:r>
              <w:rPr>
                <w:sz w:val="20"/>
                <w:szCs w:val="20"/>
              </w:rPr>
              <w:t xml:space="preserve">collision_avoid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Inmarsat annual report 2017; SpaceNews 2017</w:t>
            </w:r>
          </w:p>
        </w:tc>
      </w:tr>
      <w:tr>
        <w:tc>
          <w:tcPr>
            <w:tcW w:w="0" w:type="auto"/>
          </w:tcPr>
          <w:p>
            <w:pPr>
              <w:spacing w:line="240" w:lineRule="auto" w:before="0" w:after="0"/>
              <w:pStyle w:val="Compact"/>
            </w:pPr>
            <w:r>
              <w:rPr>
                <w:sz w:val="20"/>
                <w:szCs w:val="20"/>
              </w:rPr>
              <w:t xml:space="preserve">SES8_DRIFT</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SES</w:t>
            </w:r>
          </w:p>
        </w:tc>
        <w:tc>
          <w:tcPr>
            <w:tcW w:w="0" w:type="auto"/>
          </w:tcPr>
          <w:p>
            <w:pPr>
              <w:spacing w:line="240" w:lineRule="auto" w:before="0" w:after="0"/>
              <w:pStyle w:val="Compact"/>
            </w:pPr>
            <w:r>
              <w:rPr>
                <w:sz w:val="20"/>
                <w:szCs w:val="20"/>
              </w:rPr>
              <w:t xml:space="preserve">degradation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SES press release 2018; Reuters SES ticker SESG [illustrative CAR partial]</w:t>
            </w:r>
          </w:p>
        </w:tc>
      </w:tr>
      <w:tr>
        <w:tc>
          <w:tcPr>
            <w:tcW w:w="0" w:type="auto"/>
          </w:tcPr>
          <w:p>
            <w:pPr>
              <w:spacing w:line="240" w:lineRule="auto" w:before="0" w:after="0"/>
              <w:pStyle w:val="Compact"/>
            </w:pPr>
            <w:r>
              <w:rPr>
                <w:sz w:val="20"/>
                <w:szCs w:val="20"/>
              </w:rPr>
              <w:t xml:space="preserve">LORAL1380_ECHOSTAR4</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EchoStar</w:t>
            </w:r>
          </w:p>
        </w:tc>
        <w:tc>
          <w:tcPr>
            <w:tcW w:w="0" w:type="auto"/>
          </w:tcPr>
          <w:p>
            <w:pPr>
              <w:spacing w:line="240" w:lineRule="auto" w:before="0" w:after="0"/>
              <w:pStyle w:val="Compact"/>
            </w:pPr>
            <w:r>
              <w:rPr>
                <w:sz w:val="20"/>
                <w:szCs w:val="20"/>
              </w:rPr>
              <w:t xml:space="preserve">total_loss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-12.1</w:t>
            </w:r>
          </w:p>
        </w:tc>
        <w:tc>
          <w:tcPr>
            <w:tcW w:w="0" w:type="auto"/>
          </w:tcPr>
          <w:p>
            <w:pPr>
              <w:spacing w:line="240" w:lineRule="auto" w:before="0" w:after="0"/>
              <w:pStyle w:val="Compact"/>
            </w:pPr>
            <w:r>
              <w:rPr>
                <w:sz w:val="20"/>
                <w:szCs w:val="20"/>
              </w:rPr>
              <w:t xml:space="preserve">-14.8</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EchoStar 10-K SEC filing 2010; SpaceNews 2010</w:t>
            </w:r>
          </w:p>
        </w:tc>
      </w:tr>
      <w:tr>
        <w:tc>
          <w:tcPr>
            <w:tcW w:w="0" w:type="auto"/>
          </w:tcPr>
          <w:p>
            <w:pPr>
              <w:spacing w:line="240" w:lineRule="auto" w:before="0" w:after="0"/>
              <w:pStyle w:val="Compact"/>
            </w:pPr>
            <w:r>
              <w:rPr>
                <w:sz w:val="20"/>
                <w:szCs w:val="20"/>
              </w:rPr>
              <w:t xml:space="preserve">DIRECTV11_ANOMALY</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DirecTV</w:t>
            </w:r>
          </w:p>
        </w:tc>
        <w:tc>
          <w:tcPr>
            <w:tcW w:w="0" w:type="auto"/>
          </w:tcPr>
          <w:p>
            <w:pPr>
              <w:spacing w:line="240" w:lineRule="auto" w:before="0" w:after="0"/>
              <w:pStyle w:val="Compact"/>
            </w:pPr>
            <w:r>
              <w:rPr>
                <w:sz w:val="20"/>
                <w:szCs w:val="20"/>
              </w:rPr>
              <w:t xml:space="preserve">degradation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DirecTV 8-K filing 2013; Bloomberg DTV [illustrative]</w:t>
            </w:r>
          </w:p>
        </w:tc>
      </w:tr>
      <w:tr>
        <w:tc>
          <w:tcPr>
            <w:tcW w:w="0" w:type="auto"/>
          </w:tcPr>
          <w:p>
            <w:pPr>
              <w:spacing w:line="240" w:lineRule="auto" w:before="0" w:after="0"/>
              <w:pStyle w:val="Compact"/>
            </w:pPr>
            <w:r>
              <w:rPr>
                <w:sz w:val="20"/>
                <w:szCs w:val="20"/>
              </w:rPr>
              <w:t xml:space="preserve">SKY_PERFECT_JCSAT</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SKY</w:t>
            </w:r>
          </w:p>
        </w:tc>
        <w:tc>
          <w:tcPr>
            <w:tcW w:w="0" w:type="auto"/>
          </w:tcPr>
          <w:p>
            <w:pPr>
              <w:spacing w:line="240" w:lineRule="auto" w:before="0" w:after="0"/>
              <w:pStyle w:val="Compact"/>
            </w:pPr>
            <w:r>
              <w:rPr>
                <w:sz w:val="20"/>
                <w:szCs w:val="20"/>
              </w:rPr>
              <w:t xml:space="preserve">collision_avoid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SKY Perfect JSAT press 2016; Nikkei 2016 [illustrative CAR]</w:t>
            </w:r>
          </w:p>
        </w:tc>
      </w:tr>
      <w:tr>
        <w:tc>
          <w:tcPr>
            <w:tcW w:w="0" w:type="auto"/>
          </w:tcPr>
          <w:p>
            <w:pPr>
              <w:spacing w:line="240" w:lineRule="auto" w:before="0" w:after="0"/>
              <w:pStyle w:val="Compact"/>
            </w:pPr>
            <w:r>
              <w:rPr>
                <w:sz w:val="20"/>
                <w:szCs w:val="20"/>
              </w:rPr>
              <w:t xml:space="preserve">TELESAT_ANIK_F1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Telesat</w:t>
            </w:r>
          </w:p>
        </w:tc>
        <w:tc>
          <w:tcPr>
            <w:tcW w:w="0" w:type="auto"/>
          </w:tcPr>
          <w:p>
            <w:pPr>
              <w:spacing w:line="240" w:lineRule="auto" w:before="0" w:after="0"/>
              <w:pStyle w:val="Compact"/>
            </w:pPr>
            <w:r>
              <w:rPr>
                <w:sz w:val="20"/>
                <w:szCs w:val="20"/>
              </w:rPr>
              <w:t xml:space="preserve">degradation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Telesat S-1 filing 2015 retrospective; SpaceNews 2011</w:t>
            </w:r>
          </w:p>
        </w:tc>
      </w:tr>
      <w:tr>
        <w:tc>
          <w:tcPr>
            <w:tcW w:w="0" w:type="auto"/>
          </w:tcPr>
          <w:p>
            <w:pPr>
              <w:spacing w:line="240" w:lineRule="auto" w:before="0" w:after="0"/>
              <w:pStyle w:val="Compact"/>
            </w:pPr>
            <w:r>
              <w:rPr>
                <w:sz w:val="20"/>
                <w:szCs w:val="20"/>
              </w:rPr>
              <w:t xml:space="preserve">ASIASAT3_LOSS</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AsiaSat</w:t>
            </w:r>
          </w:p>
        </w:tc>
        <w:tc>
          <w:tcPr>
            <w:tcW w:w="0" w:type="auto"/>
          </w:tcPr>
          <w:p>
            <w:pPr>
              <w:spacing w:line="240" w:lineRule="auto" w:before="0" w:after="0"/>
              <w:pStyle w:val="Compact"/>
            </w:pPr>
            <w:r>
              <w:rPr>
                <w:sz w:val="20"/>
                <w:szCs w:val="20"/>
              </w:rPr>
              <w:t xml:space="preserve">total_loss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-11.6</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AsiaSat HK Exchange filing 2008; Reuters 2008</w:t>
            </w:r>
          </w:p>
        </w:tc>
      </w:tr>
      <w:tr>
        <w:tc>
          <w:tcPr>
            <w:tcW w:w="0" w:type="auto"/>
          </w:tcPr>
          <w:p>
            <w:pPr>
              <w:spacing w:line="240" w:lineRule="auto" w:before="0" w:after="0"/>
              <w:pStyle w:val="Compact"/>
            </w:pPr>
            <w:r>
              <w:rPr>
                <w:sz w:val="20"/>
                <w:szCs w:val="20"/>
              </w:rPr>
              <w:t xml:space="preserve">EUTELSAT_W3B_2010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Eutelsat</w:t>
            </w:r>
          </w:p>
        </w:tc>
        <w:tc>
          <w:tcPr>
            <w:tcW w:w="0" w:type="auto"/>
          </w:tcPr>
          <w:p>
            <w:pPr>
              <w:spacing w:line="240" w:lineRule="auto" w:before="0" w:after="0"/>
              <w:pStyle w:val="Compact"/>
            </w:pPr>
            <w:r>
              <w:rPr>
                <w:sz w:val="20"/>
                <w:szCs w:val="20"/>
              </w:rPr>
              <w:t xml:space="preserve">total_loss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Eutelsat press release Oct 2010; Reuters ETL ticker</w:t>
            </w:r>
          </w:p>
        </w:tc>
      </w:tr>
      <w:tr>
        <w:tc>
          <w:tcPr>
            <w:tcW w:w="0" w:type="auto"/>
          </w:tcPr>
          <w:p>
            <w:pPr>
              <w:spacing w:line="240" w:lineRule="auto" w:before="0" w:after="0"/>
              <w:pStyle w:val="Compact"/>
            </w:pPr>
            <w:r>
              <w:rPr>
                <w:sz w:val="20"/>
                <w:szCs w:val="20"/>
              </w:rPr>
              <w:t xml:space="preserve">ARIANE5_GALAXY11</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PanAmSat</w:t>
            </w:r>
          </w:p>
        </w:tc>
        <w:tc>
          <w:tcPr>
            <w:tcW w:w="0" w:type="auto"/>
          </w:tcPr>
          <w:p>
            <w:pPr>
              <w:spacing w:line="240" w:lineRule="auto" w:before="0" w:after="0"/>
              <w:pStyle w:val="Compact"/>
            </w:pPr>
            <w:r>
              <w:rPr>
                <w:sz w:val="20"/>
                <w:szCs w:val="20"/>
              </w:rPr>
              <w:t xml:space="preserve">launch_loss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PanAmSat 10-K 1999 SEC filing</w:t>
            </w:r>
          </w:p>
        </w:tc>
      </w:tr>
      <w:tr>
        <w:tc>
          <w:tcPr>
            <w:tcW w:w="0" w:type="auto"/>
          </w:tcPr>
          <w:p>
            <w:pPr>
              <w:spacing w:line="240" w:lineRule="auto" w:before="0" w:after="0"/>
              <w:pStyle w:val="Compact"/>
            </w:pPr>
            <w:r>
              <w:rPr>
                <w:sz w:val="20"/>
                <w:szCs w:val="20"/>
              </w:rPr>
              <w:t xml:space="preserve">SPACEWAY3_BOEING</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Hughes</w:t>
            </w:r>
          </w:p>
        </w:tc>
        <w:tc>
          <w:tcPr>
            <w:tcW w:w="0" w:type="auto"/>
          </w:tcPr>
          <w:p>
            <w:pPr>
              <w:spacing w:line="240" w:lineRule="auto" w:before="0" w:after="0"/>
              <w:pStyle w:val="Compact"/>
            </w:pPr>
            <w:r>
              <w:rPr>
                <w:sz w:val="20"/>
                <w:szCs w:val="20"/>
              </w:rPr>
              <w:t xml:space="preserve">launch_success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Hughes Network Systems press 2007; SEC HUGH ticker</w:t>
            </w:r>
          </w:p>
        </w:tc>
      </w:tr>
      <w:tr>
        <w:tc>
          <w:tcPr>
            <w:tcW w:w="0" w:type="auto"/>
          </w:tcPr>
          <w:p>
            <w:pPr>
              <w:spacing w:line="240" w:lineRule="auto" w:before="0" w:after="0"/>
              <w:pStyle w:val="Compact"/>
            </w:pPr>
            <w:r>
              <w:rPr>
                <w:sz w:val="20"/>
                <w:szCs w:val="20"/>
              </w:rPr>
              <w:t xml:space="preserve">ATLAS5_NROL49</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USAF</w:t>
            </w:r>
          </w:p>
        </w:tc>
        <w:tc>
          <w:tcPr>
            <w:tcW w:w="0" w:type="auto"/>
          </w:tcPr>
          <w:p>
            <w:pPr>
              <w:spacing w:line="240" w:lineRule="auto" w:before="0" w:after="0"/>
              <w:pStyle w:val="Compact"/>
            </w:pPr>
            <w:r>
              <w:rPr>
                <w:sz w:val="20"/>
                <w:szCs w:val="20"/>
              </w:rPr>
              <w:t xml:space="preserve">launch_anomaly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NRO press release 2011; SpaceNews 2011</w:t>
            </w:r>
          </w:p>
        </w:tc>
      </w:tr>
      <w:tr>
        <w:tc>
          <w:tcPr>
            <w:tcW w:w="0" w:type="auto"/>
          </w:tcPr>
          <w:p>
            <w:pPr>
              <w:spacing w:line="240" w:lineRule="auto" w:before="0" w:after="0"/>
              <w:pStyle w:val="Compact"/>
            </w:pPr>
            <w:r>
              <w:rPr>
                <w:sz w:val="20"/>
                <w:szCs w:val="20"/>
              </w:rPr>
              <w:t xml:space="preserve">H2A_F14_2007</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JAXA</w:t>
            </w:r>
          </w:p>
        </w:tc>
        <w:tc>
          <w:tcPr>
            <w:tcW w:w="0" w:type="auto"/>
          </w:tcPr>
          <w:p>
            <w:pPr>
              <w:spacing w:line="240" w:lineRule="auto" w:before="0" w:after="0"/>
              <w:pStyle w:val="Compact"/>
            </w:pPr>
            <w:r>
              <w:rPr>
                <w:sz w:val="20"/>
                <w:szCs w:val="20"/>
              </w:rPr>
              <w:t xml:space="preserve">debris_release</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ODQN v12i2 Apr 2008</w:t>
            </w:r>
          </w:p>
        </w:tc>
      </w:tr>
      <w:tr>
        <w:tc>
          <w:tcPr>
            <w:tcW w:w="0" w:type="auto"/>
          </w:tcPr>
          <w:p>
            <w:pPr>
              <w:spacing w:line="240" w:lineRule="auto" w:before="0" w:after="0"/>
              <w:pStyle w:val="Compact"/>
            </w:pPr>
            <w:r>
              <w:rPr>
                <w:sz w:val="20"/>
                <w:szCs w:val="20"/>
              </w:rPr>
              <w:t xml:space="preserve">LONG_MARCH_3B_2019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CASC</w:t>
            </w:r>
          </w:p>
        </w:tc>
        <w:tc>
          <w:tcPr>
            <w:tcW w:w="0" w:type="auto"/>
          </w:tcPr>
          <w:p>
            <w:pPr>
              <w:spacing w:line="240" w:lineRule="auto" w:before="0" w:after="0"/>
              <w:pStyle w:val="Compact"/>
            </w:pPr>
            <w:r>
              <w:rPr>
                <w:sz w:val="20"/>
                <w:szCs w:val="20"/>
              </w:rPr>
              <w:t xml:space="preserve">breakup_upper</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ODQN v24i1 Feb 2020</w:t>
            </w:r>
          </w:p>
        </w:tc>
      </w:tr>
      <w:tr>
        <w:tc>
          <w:tcPr>
            <w:tcW w:w="0" w:type="auto"/>
          </w:tcPr>
          <w:p>
            <w:pPr>
              <w:spacing w:line="240" w:lineRule="auto" w:before="0" w:after="0"/>
              <w:pStyle w:val="Compact"/>
            </w:pPr>
            <w:r>
              <w:rPr>
                <w:sz w:val="20"/>
                <w:szCs w:val="20"/>
              </w:rPr>
              <w:t xml:space="preserve">DELTA4_RB_2018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breakup_upper</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ODQN v23i2 May 2019</w:t>
            </w:r>
          </w:p>
        </w:tc>
      </w:tr>
      <w:tr>
        <w:tc>
          <w:tcPr>
            <w:tcW w:w="0" w:type="auto"/>
          </w:tcPr>
          <w:p>
            <w:pPr>
              <w:spacing w:line="240" w:lineRule="auto" w:before="0" w:after="0"/>
              <w:pStyle w:val="Compact"/>
            </w:pPr>
            <w:r>
              <w:rPr>
                <w:sz w:val="20"/>
                <w:szCs w:val="20"/>
              </w:rPr>
              <w:t xml:space="preserve">FALCON9_AMOS6</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pad_anomaly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5.9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Spacecom Israel TASE filing 2016; Reuters 2016</w:t>
            </w:r>
          </w:p>
        </w:tc>
      </w:tr>
      <w:tr>
        <w:tc>
          <w:tcPr>
            <w:tcW w:w="0" w:type="auto"/>
          </w:tcPr>
          <w:p>
            <w:pPr>
              <w:spacing w:line="240" w:lineRule="auto" w:before="0" w:after="0"/>
              <w:pStyle w:val="Compact"/>
            </w:pPr>
            <w:r>
              <w:rPr>
                <w:sz w:val="20"/>
                <w:szCs w:val="20"/>
              </w:rPr>
              <w:t xml:space="preserve">ZENIT3SL_NSS8</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SeaLaunch</w:t>
            </w:r>
          </w:p>
        </w:tc>
        <w:tc>
          <w:tcPr>
            <w:tcW w:w="0" w:type="auto"/>
          </w:tcPr>
          <w:p>
            <w:pPr>
              <w:spacing w:line="240" w:lineRule="auto" w:before="0" w:after="0"/>
              <w:pStyle w:val="Compact"/>
            </w:pPr>
            <w:r>
              <w:rPr>
                <w:sz w:val="20"/>
                <w:szCs w:val="20"/>
              </w:rPr>
              <w:t xml:space="preserve">launch_loss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-10.4</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Boeing 10-K 2007; SpaceNews 2007 [illustrative CAR consortium]</w:t>
            </w:r>
          </w:p>
        </w:tc>
      </w:tr>
      <w:tr>
        <w:tc>
          <w:tcPr>
            <w:tcW w:w="0" w:type="auto"/>
          </w:tcPr>
          <w:p>
            <w:pPr>
              <w:spacing w:line="240" w:lineRule="auto" w:before="0" w:after="0"/>
              <w:pStyle w:val="Compact"/>
            </w:pPr>
            <w:r>
              <w:rPr>
                <w:sz w:val="20"/>
                <w:szCs w:val="20"/>
              </w:rPr>
              <w:t xml:space="preserve">PROTON_M_2013</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ILS</w:t>
            </w:r>
          </w:p>
        </w:tc>
        <w:tc>
          <w:tcPr>
            <w:tcW w:w="0" w:type="auto"/>
          </w:tcPr>
          <w:p>
            <w:pPr>
              <w:spacing w:line="240" w:lineRule="auto" w:before="0" w:after="0"/>
              <w:pStyle w:val="Compact"/>
            </w:pPr>
            <w:r>
              <w:rPr>
                <w:sz w:val="20"/>
                <w:szCs w:val="20"/>
              </w:rPr>
              <w:t xml:space="preserve">launch_loss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ODQN v17i3 Jul 2013; ILS press release 2013</w:t>
            </w:r>
          </w:p>
        </w:tc>
      </w:tr>
      <w:tr>
        <w:tc>
          <w:tcPr>
            <w:tcW w:w="0" w:type="auto"/>
          </w:tcPr>
          <w:p>
            <w:pPr>
              <w:spacing w:line="240" w:lineRule="auto" w:before="0" w:after="0"/>
              <w:pStyle w:val="Compact"/>
            </w:pPr>
            <w:r>
              <w:rPr>
                <w:sz w:val="20"/>
                <w:szCs w:val="20"/>
              </w:rPr>
              <w:t xml:space="preserve">GAOFEN10_2016</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CNSA</w:t>
            </w:r>
          </w:p>
        </w:tc>
        <w:tc>
          <w:tcPr>
            <w:tcW w:w="0" w:type="auto"/>
          </w:tcPr>
          <w:p>
            <w:pPr>
              <w:spacing w:line="240" w:lineRule="auto" w:before="0" w:after="0"/>
              <w:pStyle w:val="Compact"/>
            </w:pPr>
            <w:r>
              <w:rPr>
                <w:sz w:val="20"/>
                <w:szCs w:val="20"/>
              </w:rPr>
              <w:t xml:space="preserve">launch_loss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ODQN v20i4 Oct 2016</w:t>
            </w:r>
          </w:p>
        </w:tc>
      </w:tr>
      <w:tr>
        <w:tc>
          <w:tcPr>
            <w:tcW w:w="0" w:type="auto"/>
          </w:tcPr>
          <w:p>
            <w:pPr>
              <w:spacing w:line="240" w:lineRule="auto" w:before="0" w:after="0"/>
              <w:pStyle w:val="Compact"/>
            </w:pPr>
            <w:r>
              <w:rPr>
                <w:sz w:val="20"/>
                <w:szCs w:val="20"/>
              </w:rPr>
              <w:t xml:space="preserve">NRO_USA193</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NRO</w:t>
            </w:r>
          </w:p>
        </w:tc>
        <w:tc>
          <w:tcPr>
            <w:tcW w:w="0" w:type="auto"/>
          </w:tcPr>
          <w:p>
            <w:pPr>
              <w:spacing w:line="240" w:lineRule="auto" w:before="0" w:after="0"/>
              <w:pStyle w:val="Compact"/>
            </w:pPr>
            <w:r>
              <w:rPr>
                <w:sz w:val="20"/>
                <w:szCs w:val="20"/>
              </w:rPr>
              <w:t xml:space="preserve">deliberate_destruction</w:t>
            </w:r>
          </w:p>
        </w:tc>
        <w:tc>
          <w:tcPr>
            <w:tcW w:w="0" w:type="auto"/>
          </w:tcPr>
          <w:p>
            <w:pPr>
              <w:spacing w:line="240" w:lineRule="auto" w:before="0" w:after="0"/>
              <w:pStyle w:val="Compact"/>
            </w:pPr>
            <w:r>
              <w:rPr>
                <w:sz w:val="20"/>
                <w:szCs w:val="20"/>
              </w:rPr>
              <w:t xml:space="preserve">174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ODQN v12i2 Apr 2008; Wright D 2008 Phys Soc</w:t>
            </w:r>
          </w:p>
        </w:tc>
      </w:tr>
      <w:tr>
        <w:tc>
          <w:tcPr>
            <w:tcW w:w="0" w:type="auto"/>
          </w:tcPr>
          <w:p>
            <w:pPr>
              <w:spacing w:line="240" w:lineRule="auto" w:before="0" w:after="0"/>
              <w:pStyle w:val="Compact"/>
            </w:pPr>
            <w:r>
              <w:rPr>
                <w:sz w:val="20"/>
                <w:szCs w:val="20"/>
              </w:rPr>
              <w:t xml:space="preserve">ENVISAT_2012</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ESA</w:t>
            </w:r>
          </w:p>
        </w:tc>
        <w:tc>
          <w:tcPr>
            <w:tcW w:w="0" w:type="auto"/>
          </w:tcPr>
          <w:p>
            <w:pPr>
              <w:spacing w:line="240" w:lineRule="auto" w:before="0" w:after="0"/>
              <w:pStyle w:val="Compact"/>
            </w:pPr>
            <w:r>
              <w:rPr>
                <w:sz w:val="20"/>
                <w:szCs w:val="20"/>
              </w:rPr>
              <w:t xml:space="preserve">end_of_life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press release 12 Apr 2012; Bonnal 2013 Acta Astronautica</w:t>
            </w:r>
          </w:p>
        </w:tc>
      </w:tr>
    </w:tbl>
    <w:bookmarkEnd w:id="88"/>
    <w:bookmarkStart w:id="89"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car_3day_pct</w:t>
            </w:r>
          </w:p>
        </w:tc>
        <w:tc>
          <w:tcPr>
            <w:tcW w:w="0" w:type="auto"/>
          </w:tcPr>
          <w:p>
            <w:pPr>
              <w:spacing w:line="240" w:lineRule="auto" w:before="0" w:after="0"/>
              <w:pStyle w:val="Compact"/>
            </w:pPr>
            <w:r>
              <w:rPr>
                <w:sz w:val="20"/>
                <w:szCs w:val="20"/>
              </w:rPr>
              <w:t xml:space="preserve">Three-day cumulative abnormal return around event (percent), computed via market-model residuals over [-1,+1] window</w:t>
            </w:r>
          </w:p>
        </w:tc>
        <w:tc>
          <w:tcPr>
            <w:tcW w:w="0" w:type="auto"/>
          </w:tcPr>
          <w:p>
            <w:pPr>
              <w:spacing w:line="240" w:lineRule="auto" w:before="0" w:after="0"/>
              <w:pStyle w:val="Compact"/>
            </w:pPr>
            <w:r>
              <w:rPr>
                <w:sz w:val="20"/>
                <w:szCs w:val="20"/>
              </w:rPr>
              <w:t xml:space="preserve">SEC 8-K filings and Reuters/Bloomberg price series for the listed operator</w:t>
            </w:r>
          </w:p>
        </w:tc>
      </w:tr>
      <w:tr>
        <w:tc>
          <w:tcPr>
            <w:tcW w:w="0" w:type="auto"/>
          </w:tcPr>
          <w:p>
            <w:pPr>
              <w:spacing w:line="240" w:lineRule="auto" w:before="0" w:after="0"/>
              <w:pStyle w:val="Compact"/>
            </w:pPr>
            <w:r>
              <w:rPr>
                <w:sz w:val="20"/>
                <w:szCs w:val="20"/>
              </w:rPr>
              <w:t xml:space="preserve">event_severity_index</w:t>
            </w:r>
          </w:p>
        </w:tc>
        <w:tc>
          <w:tcPr>
            <w:tcW w:w="0" w:type="auto"/>
          </w:tcPr>
          <w:p>
            <w:pPr>
              <w:spacing w:line="240" w:lineRule="auto" w:before="0" w:after="0"/>
              <w:pStyle w:val="Compact"/>
            </w:pPr>
            <w:r>
              <w:rPr>
                <w:sz w:val="20"/>
                <w:szCs w:val="20"/>
              </w:rPr>
              <w:t xml:space="preserve">Composite 0-10 severity score combining altitude, fragment count, orbital lifetime, and conjunction risk</w:t>
            </w:r>
          </w:p>
        </w:tc>
        <w:tc>
          <w:tcPr>
            <w:tcW w:w="0" w:type="auto"/>
          </w:tcPr>
          <w:p>
            <w:pPr>
              <w:spacing w:line="240" w:lineRule="auto" w:before="0" w:after="0"/>
              <w:pStyle w:val="Compact"/>
            </w:pPr>
            <w:r>
              <w:rPr>
                <w:sz w:val="20"/>
                <w:szCs w:val="20"/>
              </w:rPr>
              <w:t xml:space="preserve">NASA Orbital Debris Quarterly News severity reporting and AMOS conference proceedings</w:t>
            </w:r>
          </w:p>
        </w:tc>
      </w:tr>
      <w:tr>
        <w:tc>
          <w:tcPr>
            <w:tcW w:w="0" w:type="auto"/>
          </w:tcPr>
          <w:p>
            <w:pPr>
              <w:spacing w:line="240" w:lineRule="auto" w:before="0" w:after="0"/>
              <w:pStyle w:val="Compact"/>
            </w:pPr>
            <w:r>
              <w:rPr>
                <w:sz w:val="20"/>
                <w:szCs w:val="20"/>
              </w:rPr>
              <w:t xml:space="preserve">operator_responsible</w:t>
            </w:r>
          </w:p>
        </w:tc>
        <w:tc>
          <w:tcPr>
            <w:tcW w:w="0" w:type="auto"/>
          </w:tcPr>
          <w:p>
            <w:pPr>
              <w:spacing w:line="240" w:lineRule="auto" w:before="0" w:after="0"/>
              <w:pStyle w:val="Compact"/>
            </w:pPr>
            <w:r>
              <w:rPr>
                <w:sz w:val="20"/>
                <w:szCs w:val="20"/>
              </w:rPr>
              <w:t xml:space="preserve">Binary indicator: 1 if the named operator is the proximate cause of the debris event, 0 if collateral</w:t>
            </w:r>
          </w:p>
        </w:tc>
        <w:tc>
          <w:tcPr>
            <w:tcW w:w="0" w:type="auto"/>
          </w:tcPr>
          <w:p>
            <w:pPr>
              <w:spacing w:line="240" w:lineRule="auto" w:before="0" w:after="0"/>
              <w:pStyle w:val="Compact"/>
            </w:pPr>
            <w:r>
              <w:rPr>
                <w:sz w:val="20"/>
                <w:szCs w:val="20"/>
              </w:rPr>
              <w:t xml:space="preserve">NASA ODQN attribution; US State Department statements for ASAT events</w:t>
            </w:r>
          </w:p>
        </w:tc>
      </w:tr>
      <w:tr>
        <w:tc>
          <w:tcPr>
            <w:tcW w:w="0" w:type="auto"/>
          </w:tcPr>
          <w:p>
            <w:pPr>
              <w:spacing w:line="240" w:lineRule="auto" w:before="0" w:after="0"/>
              <w:pStyle w:val="Compact"/>
            </w:pPr>
            <w:r>
              <w:rPr>
                <w:sz w:val="20"/>
                <w:szCs w:val="20"/>
              </w:rPr>
              <w:t xml:space="preserve">liability_claim</w:t>
            </w:r>
          </w:p>
        </w:tc>
        <w:tc>
          <w:tcPr>
            <w:tcW w:w="0" w:type="auto"/>
          </w:tcPr>
          <w:p>
            <w:pPr>
              <w:spacing w:line="240" w:lineRule="auto" w:before="0" w:after="0"/>
              <w:pStyle w:val="Compact"/>
            </w:pPr>
            <w:r>
              <w:rPr>
                <w:sz w:val="20"/>
                <w:szCs w:val="20"/>
              </w:rPr>
              <w:t xml:space="preserve">Binary indicator: 1 if a liability claim, insurance recovery, or formal complaint was filed within 90 days</w:t>
            </w:r>
          </w:p>
        </w:tc>
        <w:tc>
          <w:tcPr>
            <w:tcW w:w="0" w:type="auto"/>
          </w:tcPr>
          <w:p>
            <w:pPr>
              <w:spacing w:line="240" w:lineRule="auto" w:before="0" w:after="0"/>
              <w:pStyle w:val="Compact"/>
            </w:pPr>
            <w:r>
              <w:rPr>
                <w:sz w:val="20"/>
                <w:szCs w:val="20"/>
              </w:rPr>
              <w:t xml:space="preserve">SEC 8-K filings; press releases of insurance underwriters</w:t>
            </w:r>
          </w:p>
        </w:tc>
      </w:tr>
      <w:tr>
        <w:tc>
          <w:tcPr>
            <w:tcW w:w="0" w:type="auto"/>
          </w:tcPr>
          <w:p>
            <w:pPr>
              <w:spacing w:line="240" w:lineRule="auto" w:before="0" w:after="0"/>
              <w:pStyle w:val="Compact"/>
            </w:pPr>
            <w:r>
              <w:rPr>
                <w:sz w:val="20"/>
                <w:szCs w:val="20"/>
              </w:rPr>
              <w:t xml:space="preserve">debris_count</w:t>
            </w:r>
          </w:p>
        </w:tc>
        <w:tc>
          <w:tcPr>
            <w:tcW w:w="0" w:type="auto"/>
          </w:tcPr>
          <w:p>
            <w:pPr>
              <w:spacing w:line="240" w:lineRule="auto" w:before="0" w:after="0"/>
              <w:pStyle w:val="Compact"/>
            </w:pPr>
            <w:r>
              <w:rPr>
                <w:sz w:val="20"/>
                <w:szCs w:val="20"/>
              </w:rPr>
              <w:t xml:space="preserve">Number of cataloged trackable fragments attributed to the event by Space-Track / 18th SDS</w:t>
            </w:r>
          </w:p>
        </w:tc>
        <w:tc>
          <w:tcPr>
            <w:tcW w:w="0" w:type="auto"/>
          </w:tcPr>
          <w:p>
            <w:pPr>
              <w:spacing w:line="240" w:lineRule="auto" w:before="0" w:after="0"/>
              <w:pStyle w:val="Compact"/>
            </w:pPr>
            <w:r>
              <w:rPr>
                <w:sz w:val="20"/>
                <w:szCs w:val="20"/>
              </w:rPr>
              <w:t xml:space="preserve">NASA Orbital Debris Quarterly News fragment census tables</w:t>
            </w:r>
          </w:p>
        </w:tc>
      </w:tr>
      <w:tr>
        <w:tc>
          <w:tcPr>
            <w:tcW w:w="0" w:type="auto"/>
          </w:tcPr>
          <w:p>
            <w:pPr>
              <w:spacing w:line="240" w:lineRule="auto" w:before="0" w:after="0"/>
              <w:pStyle w:val="Compact"/>
            </w:pPr>
            <w:r>
              <w:rPr>
                <w:sz w:val="20"/>
                <w:szCs w:val="20"/>
              </w:rPr>
              <w:t xml:space="preserve">operator_public</w:t>
            </w:r>
          </w:p>
        </w:tc>
        <w:tc>
          <w:tcPr>
            <w:tcW w:w="0" w:type="auto"/>
          </w:tcPr>
          <w:p>
            <w:pPr>
              <w:spacing w:line="240" w:lineRule="auto" w:before="0" w:after="0"/>
              <w:pStyle w:val="Compact"/>
            </w:pPr>
            <w:r>
              <w:rPr>
                <w:sz w:val="20"/>
                <w:szCs w:val="20"/>
              </w:rPr>
              <w:t xml:space="preserve">Binary indicator: 1 if equity is publicly traded at event date</w:t>
            </w:r>
          </w:p>
        </w:tc>
        <w:tc>
          <w:tcPr>
            <w:tcW w:w="0" w:type="auto"/>
          </w:tcPr>
          <w:p>
            <w:pPr>
              <w:spacing w:line="240" w:lineRule="auto" w:before="0" w:after="0"/>
              <w:pStyle w:val="Compact"/>
            </w:pPr>
            <w:r>
              <w:rPr>
                <w:sz w:val="20"/>
                <w:szCs w:val="20"/>
              </w:rPr>
              <w:t xml:space="preserve">SEC EDGAR filings; HK Exchange and TASE filings</w:t>
            </w:r>
          </w:p>
        </w:tc>
      </w:tr>
    </w:tbl>
    <w:bookmarkEnd w:id="89"/>
    <w:bookmarkStart w:id="90"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1.5655</w:t>
            </w:r>
          </w:p>
        </w:tc>
        <w:tc>
          <w:tcPr>
            <w:tcW w:w="0" w:type="auto"/>
          </w:tcPr>
          <w:p>
            <w:pPr>
              <w:spacing w:line="240" w:lineRule="auto" w:before="0" w:after="0"/>
              <w:pStyle w:val="Compact"/>
            </w:pPr>
            <w:r>
              <w:rPr>
                <w:sz w:val="20"/>
                <w:szCs w:val="20"/>
              </w:rPr>
              <w:t xml:space="preserve">1.6012</w:t>
            </w:r>
          </w:p>
        </w:tc>
        <w:tc>
          <w:tcPr>
            <w:tcW w:w="0" w:type="auto"/>
          </w:tcPr>
          <w:p>
            <w:pPr>
              <w:spacing w:line="240" w:lineRule="auto" w:before="0" w:after="0"/>
              <w:pStyle w:val="Compact"/>
            </w:pPr>
            <w:r>
              <w:rPr>
                <w:sz w:val="20"/>
                <w:szCs w:val="20"/>
              </w:rPr>
              <w:t xml:space="preserve">0.9778</w:t>
            </w:r>
          </w:p>
        </w:tc>
        <w:tc>
          <w:tcPr>
            <w:tcW w:w="0" w:type="auto"/>
          </w:tcPr>
          <w:p>
            <w:pPr>
              <w:spacing w:line="240" w:lineRule="auto" w:before="0" w:after="0"/>
              <w:pStyle w:val="Compact"/>
            </w:pPr>
            <w:r>
              <w:rPr>
                <w:sz w:val="20"/>
                <w:szCs w:val="20"/>
              </w:rPr>
              <w:t xml:space="preserve">0.3282</w:t>
            </w:r>
          </w:p>
        </w:tc>
        <w:tc>
          <w:tcPr>
            <w:tcW w:w="0" w:type="auto"/>
          </w:tcPr>
          <w:p>
            <w:pPr>
              <w:spacing w:line="240" w:lineRule="auto" w:before="0" w:after="0"/>
              <w:pStyle w:val="Compact"/>
            </w:pPr>
            <w:r>
              <w:rPr>
                <w:sz w:val="20"/>
                <w:szCs w:val="20"/>
              </w:rPr>
              <w:t xml:space="preserve">[-1.5727, 4.7038]</w:t>
            </w:r>
          </w:p>
        </w:tc>
      </w:tr>
      <w:tr>
        <w:tc>
          <w:tcPr>
            <w:tcW w:w="0" w:type="auto"/>
          </w:tcPr>
          <w:p>
            <w:pPr>
              <w:spacing w:line="240" w:lineRule="auto" w:before="0" w:after="0"/>
              <w:pStyle w:val="Compact"/>
            </w:pPr>
            <w:r>
              <w:rPr>
                <w:sz w:val="20"/>
                <w:szCs w:val="20"/>
              </w:rPr>
              <w:t xml:space="preserve">event_severity_index</w:t>
            </w:r>
          </w:p>
        </w:tc>
        <w:tc>
          <w:tcPr>
            <w:tcW w:w="0" w:type="auto"/>
          </w:tcPr>
          <w:p>
            <w:pPr>
              <w:spacing w:line="240" w:lineRule="auto" w:before="0" w:after="0"/>
              <w:pStyle w:val="Compact"/>
            </w:pPr>
            <w:r>
              <w:rPr>
                <w:sz w:val="20"/>
                <w:szCs w:val="20"/>
              </w:rPr>
              <w:t xml:space="preserve">-0.6733</w:t>
            </w:r>
          </w:p>
        </w:tc>
        <w:tc>
          <w:tcPr>
            <w:tcW w:w="0" w:type="auto"/>
          </w:tcPr>
          <w:p>
            <w:pPr>
              <w:spacing w:line="240" w:lineRule="auto" w:before="0" w:after="0"/>
              <w:pStyle w:val="Compact"/>
            </w:pPr>
            <w:r>
              <w:rPr>
                <w:sz w:val="20"/>
                <w:szCs w:val="20"/>
              </w:rPr>
              <w:t xml:space="preserve">0.3797</w:t>
            </w:r>
          </w:p>
        </w:tc>
        <w:tc>
          <w:tcPr>
            <w:tcW w:w="0" w:type="auto"/>
          </w:tcPr>
          <w:p>
            <w:pPr>
              <w:spacing w:line="240" w:lineRule="auto" w:before="0" w:after="0"/>
              <w:pStyle w:val="Compact"/>
            </w:pPr>
            <w:r>
              <w:rPr>
                <w:sz w:val="20"/>
                <w:szCs w:val="20"/>
              </w:rPr>
              <w:t xml:space="preserve">-1.7731</w:t>
            </w:r>
          </w:p>
        </w:tc>
        <w:tc>
          <w:tcPr>
            <w:tcW w:w="0" w:type="auto"/>
          </w:tcPr>
          <w:p>
            <w:pPr>
              <w:spacing w:line="240" w:lineRule="auto" w:before="0" w:after="0"/>
              <w:pStyle w:val="Compact"/>
            </w:pPr>
            <w:r>
              <w:rPr>
                <w:sz w:val="20"/>
                <w:szCs w:val="20"/>
              </w:rPr>
              <w:t xml:space="preserve">0.0762</w:t>
            </w:r>
          </w:p>
        </w:tc>
        <w:tc>
          <w:tcPr>
            <w:tcW w:w="0" w:type="auto"/>
          </w:tcPr>
          <w:p>
            <w:pPr>
              <w:spacing w:line="240" w:lineRule="auto" w:before="0" w:after="0"/>
              <w:pStyle w:val="Compact"/>
            </w:pPr>
            <w:r>
              <w:rPr>
                <w:sz w:val="20"/>
                <w:szCs w:val="20"/>
              </w:rPr>
              <w:t xml:space="preserve">[-1.4175, 0.071]</w:t>
            </w:r>
          </w:p>
        </w:tc>
      </w:tr>
      <w:tr>
        <w:tc>
          <w:tcPr>
            <w:tcW w:w="0" w:type="auto"/>
          </w:tcPr>
          <w:p>
            <w:pPr>
              <w:spacing w:line="240" w:lineRule="auto" w:before="0" w:after="0"/>
              <w:pStyle w:val="Compact"/>
            </w:pPr>
            <w:r>
              <w:rPr>
                <w:sz w:val="20"/>
                <w:szCs w:val="20"/>
              </w:rPr>
              <w:t xml:space="preserve">operator_responsible</w:t>
            </w:r>
          </w:p>
        </w:tc>
        <w:tc>
          <w:tcPr>
            <w:tcW w:w="0" w:type="auto"/>
          </w:tcPr>
          <w:p>
            <w:pPr>
              <w:spacing w:line="240" w:lineRule="auto" w:before="0" w:after="0"/>
              <w:pStyle w:val="Compact"/>
            </w:pPr>
            <w:r>
              <w:rPr>
                <w:sz w:val="20"/>
                <w:szCs w:val="20"/>
              </w:rPr>
              <w:t xml:space="preserve">1.1826</w:t>
            </w:r>
          </w:p>
        </w:tc>
        <w:tc>
          <w:tcPr>
            <w:tcW w:w="0" w:type="auto"/>
          </w:tcPr>
          <w:p>
            <w:pPr>
              <w:spacing w:line="240" w:lineRule="auto" w:before="0" w:after="0"/>
              <w:pStyle w:val="Compact"/>
            </w:pPr>
            <w:r>
              <w:rPr>
                <w:sz w:val="20"/>
                <w:szCs w:val="20"/>
              </w:rPr>
              <w:t xml:space="preserve">0.9929</w:t>
            </w:r>
          </w:p>
        </w:tc>
        <w:tc>
          <w:tcPr>
            <w:tcW w:w="0" w:type="auto"/>
          </w:tcPr>
          <w:p>
            <w:pPr>
              <w:spacing w:line="240" w:lineRule="auto" w:before="0" w:after="0"/>
              <w:pStyle w:val="Compact"/>
            </w:pPr>
            <w:r>
              <w:rPr>
                <w:sz w:val="20"/>
                <w:szCs w:val="20"/>
              </w:rPr>
              <w:t xml:space="preserve">1.1911</w:t>
            </w:r>
          </w:p>
        </w:tc>
        <w:tc>
          <w:tcPr>
            <w:tcW w:w="0" w:type="auto"/>
          </w:tcPr>
          <w:p>
            <w:pPr>
              <w:spacing w:line="240" w:lineRule="auto" w:before="0" w:after="0"/>
              <w:pStyle w:val="Compact"/>
            </w:pPr>
            <w:r>
              <w:rPr>
                <w:sz w:val="20"/>
                <w:szCs w:val="20"/>
              </w:rPr>
              <w:t xml:space="preserve">0.2336</w:t>
            </w:r>
          </w:p>
        </w:tc>
        <w:tc>
          <w:tcPr>
            <w:tcW w:w="0" w:type="auto"/>
          </w:tcPr>
          <w:p>
            <w:pPr>
              <w:spacing w:line="240" w:lineRule="auto" w:before="0" w:after="0"/>
              <w:pStyle w:val="Compact"/>
            </w:pPr>
            <w:r>
              <w:rPr>
                <w:sz w:val="20"/>
                <w:szCs w:val="20"/>
              </w:rPr>
              <w:t xml:space="preserve">[-0.7635, 3.1287]</w:t>
            </w:r>
          </w:p>
        </w:tc>
      </w:tr>
      <w:tr>
        <w:tc>
          <w:tcPr>
            <w:tcW w:w="0" w:type="auto"/>
          </w:tcPr>
          <w:p>
            <w:pPr>
              <w:spacing w:line="240" w:lineRule="auto" w:before="0" w:after="0"/>
              <w:pStyle w:val="Compact"/>
            </w:pPr>
            <w:r>
              <w:rPr>
                <w:sz w:val="20"/>
                <w:szCs w:val="20"/>
              </w:rPr>
              <w:t xml:space="preserve">liability_claim</w:t>
            </w:r>
          </w:p>
        </w:tc>
        <w:tc>
          <w:tcPr>
            <w:tcW w:w="0" w:type="auto"/>
          </w:tcPr>
          <w:p>
            <w:pPr>
              <w:spacing w:line="240" w:lineRule="auto" w:before="0" w:after="0"/>
              <w:pStyle w:val="Compact"/>
            </w:pPr>
            <w:r>
              <w:rPr>
                <w:sz w:val="20"/>
                <w:szCs w:val="20"/>
              </w:rPr>
              <w:t xml:space="preserve">-6.3779</w:t>
            </w:r>
          </w:p>
        </w:tc>
        <w:tc>
          <w:tcPr>
            <w:tcW w:w="0" w:type="auto"/>
          </w:tcPr>
          <w:p>
            <w:pPr>
              <w:spacing w:line="240" w:lineRule="auto" w:before="0" w:after="0"/>
              <w:pStyle w:val="Compact"/>
            </w:pPr>
            <w:r>
              <w:rPr>
                <w:sz w:val="20"/>
                <w:szCs w:val="20"/>
              </w:rPr>
              <w:t xml:space="preserve">1.5321</w:t>
            </w:r>
          </w:p>
        </w:tc>
        <w:tc>
          <w:tcPr>
            <w:tcW w:w="0" w:type="auto"/>
          </w:tcPr>
          <w:p>
            <w:pPr>
              <w:spacing w:line="240" w:lineRule="auto" w:before="0" w:after="0"/>
              <w:pStyle w:val="Compact"/>
            </w:pPr>
            <w:r>
              <w:rPr>
                <w:sz w:val="20"/>
                <w:szCs w:val="20"/>
              </w:rPr>
              <w:t xml:space="preserve">-4.1627</w:t>
            </w:r>
          </w:p>
        </w:tc>
        <w:tc>
          <w:tcPr>
            <w:tcW w:w="0" w:type="auto"/>
          </w:tcPr>
          <w:p>
            <w:pPr>
              <w:spacing w:line="240" w:lineRule="auto" w:before="0" w:after="0"/>
              <w:pStyle w:val="Compact"/>
            </w:pPr>
            <w:r>
              <w:rPr>
                <w:sz w:val="20"/>
                <w:szCs w:val="20"/>
              </w:rPr>
              <w:t xml:space="preserve">3.144e-05</w:t>
            </w:r>
          </w:p>
        </w:tc>
        <w:tc>
          <w:tcPr>
            <w:tcW w:w="0" w:type="auto"/>
          </w:tcPr>
          <w:p>
            <w:pPr>
              <w:spacing w:line="240" w:lineRule="auto" w:before="0" w:after="0"/>
              <w:pStyle w:val="Compact"/>
            </w:pPr>
            <w:r>
              <w:rPr>
                <w:sz w:val="20"/>
                <w:szCs w:val="20"/>
              </w:rPr>
              <w:t xml:space="preserve">[-9.3809, -3.375]</w:t>
            </w:r>
          </w:p>
        </w:tc>
      </w:tr>
      <w:tr>
        <w:tc>
          <w:tcPr>
            <w:tcW w:w="0" w:type="auto"/>
          </w:tcPr>
          <w:p>
            <w:pPr>
              <w:spacing w:line="240" w:lineRule="auto" w:before="0" w:after="0"/>
              <w:pStyle w:val="Compact"/>
            </w:pPr>
            <w:r>
              <w:rPr>
                <w:sz w:val="20"/>
                <w:szCs w:val="20"/>
              </w:rPr>
              <w:t xml:space="preserve">debris_count</w:t>
            </w:r>
          </w:p>
        </w:tc>
        <w:tc>
          <w:tcPr>
            <w:tcW w:w="0" w:type="auto"/>
          </w:tcPr>
          <w:p>
            <w:pPr>
              <w:spacing w:line="240" w:lineRule="auto" w:before="0" w:after="0"/>
              <w:pStyle w:val="Compact"/>
            </w:pPr>
            <w:r>
              <w:rPr>
                <w:sz w:val="20"/>
                <w:szCs w:val="20"/>
              </w:rPr>
              <w:t xml:space="preserve">0.002</w:t>
            </w:r>
          </w:p>
        </w:tc>
        <w:tc>
          <w:tcPr>
            <w:tcW w:w="0" w:type="auto"/>
          </w:tcPr>
          <w:p>
            <w:pPr>
              <w:spacing w:line="240" w:lineRule="auto" w:before="0" w:after="0"/>
              <w:pStyle w:val="Compact"/>
            </w:pPr>
            <w:r>
              <w:rPr>
                <w:sz w:val="20"/>
                <w:szCs w:val="20"/>
              </w:rPr>
              <w:t xml:space="preserve">0.0009749</w:t>
            </w:r>
          </w:p>
        </w:tc>
        <w:tc>
          <w:tcPr>
            <w:tcW w:w="0" w:type="auto"/>
          </w:tcPr>
          <w:p>
            <w:pPr>
              <w:spacing w:line="240" w:lineRule="auto" w:before="0" w:after="0"/>
              <w:pStyle w:val="Compact"/>
            </w:pPr>
            <w:r>
              <w:rPr>
                <w:sz w:val="20"/>
                <w:szCs w:val="20"/>
              </w:rPr>
              <w:t xml:space="preserve">2.0424</w:t>
            </w:r>
          </w:p>
        </w:tc>
        <w:tc>
          <w:tcPr>
            <w:tcW w:w="0" w:type="auto"/>
          </w:tcPr>
          <w:p>
            <w:pPr>
              <w:spacing w:line="240" w:lineRule="auto" w:before="0" w:after="0"/>
              <w:pStyle w:val="Compact"/>
            </w:pPr>
            <w:r>
              <w:rPr>
                <w:sz w:val="20"/>
                <w:szCs w:val="20"/>
              </w:rPr>
              <w:t xml:space="preserve">0.0411</w:t>
            </w:r>
          </w:p>
        </w:tc>
        <w:tc>
          <w:tcPr>
            <w:tcW w:w="0" w:type="auto"/>
          </w:tcPr>
          <w:p>
            <w:pPr>
              <w:spacing w:line="240" w:lineRule="auto" w:before="0" w:after="0"/>
              <w:pStyle w:val="Compact"/>
            </w:pPr>
            <w:r>
              <w:rPr>
                <w:sz w:val="20"/>
                <w:szCs w:val="20"/>
              </w:rPr>
              <w:t xml:space="preserve">[8.039e-05, 0.0039]</w:t>
            </w:r>
          </w:p>
        </w:tc>
      </w:tr>
    </w:tbl>
    <w:p>
      <w:pPr>
        <w:pStyle w:val="BodyText"/>
      </w:pPr>
      <w:r>
        <w:t xml:space="preserve">Fit: N = 35 R2 = 0.6559 R2_adj = 0.61 F = 15.0018 F_p = 7.657e-07</w:t>
      </w:r>
    </w:p>
    <w:bookmarkEnd w:id="90"/>
    <w:bookmarkEnd w:id="91"/>
    <w:bookmarkEnd w:id="92"/>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4" Target="media/rId84.png" /><Relationship Type="http://schemas.openxmlformats.org/officeDocument/2006/relationships/hyperlink" Id="rId68" Target="https://doi.org/10.1016/j.actaastro.2024.05.026" TargetMode="External" /><Relationship Type="http://schemas.openxmlformats.org/officeDocument/2006/relationships/hyperlink" Id="rId71" Target="https://doi.org/10.1016/j.actaastro.2025.03.034" TargetMode="External" /><Relationship Type="http://schemas.openxmlformats.org/officeDocument/2006/relationships/hyperlink" Id="rId73" Target="https://doi.org/10.1016/j.actaastro.2025.05.036" TargetMode="External" /><Relationship Type="http://schemas.openxmlformats.org/officeDocument/2006/relationships/hyperlink" Id="rId80" Target="https://doi.org/10.1016/j.actaastro.2025.12.018" TargetMode="External" /><Relationship Type="http://schemas.openxmlformats.org/officeDocument/2006/relationships/hyperlink" Id="rId78" Target="https://doi.org/10.1016/j.actaastro.2026.04.046" TargetMode="External" /></Relationships>
</file>

<file path=word/_rels/footnotes.xml.rels><?xml version="1.0" encoding="UTF-8"?><Relationships xmlns="http://schemas.openxmlformats.org/package/2006/relationships"><Relationship Type="http://schemas.openxmlformats.org/officeDocument/2006/relationships/hyperlink" Id="rId68" Target="https://doi.org/10.1016/j.actaastro.2024.05.026" TargetMode="External" /><Relationship Type="http://schemas.openxmlformats.org/officeDocument/2006/relationships/hyperlink" Id="rId71" Target="https://doi.org/10.1016/j.actaastro.2025.03.034" TargetMode="External" /><Relationship Type="http://schemas.openxmlformats.org/officeDocument/2006/relationships/hyperlink" Id="rId73" Target="https://doi.org/10.1016/j.actaastro.2025.05.036" TargetMode="External" /><Relationship Type="http://schemas.openxmlformats.org/officeDocument/2006/relationships/hyperlink" Id="rId80" Target="https://doi.org/10.1016/j.actaastro.2025.12.018" TargetMode="External" /><Relationship Type="http://schemas.openxmlformats.org/officeDocument/2006/relationships/hyperlink" Id="rId78" Target="https://doi.org/10.1016/j.actaastro.2026.04.04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2026-06-27T13:10:06Z</dcterms:created>
  <dcterms:modified xsi:type="dcterms:W3CDTF">2026-06-27T13:10:06Z</dcterms:modified>
</cp:coreProperties>
</file>

<file path=docProps/custom.xml><?xml version="1.0" encoding="utf-8"?>
<Properties xmlns="http://schemas.openxmlformats.org/officeDocument/2006/custom-properties" xmlns:vt="http://schemas.openxmlformats.org/officeDocument/2006/docPropsVTypes"/>
</file>