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33d5978554ddb39cd36ecdded73f040fb697e09"/>
    <w:p>
      <w:pPr>
        <w:pStyle w:val="Heading1"/>
      </w:pPr>
      <w:r>
        <w:t xml:space="preserve">The Capital-Markets Penalty for Debris Events: Event-Study Evidence on Operator Cumulative Abnormal Returns</w:t>
      </w:r>
    </w:p>
    <w:bookmarkStart w:id="61" w:name="introduction"/>
    <w:p>
      <w:pPr>
        <w:pStyle w:val="Heading2"/>
      </w:pPr>
      <w:r>
        <w:t xml:space="preserve">1. Introduction</w:t>
      </w:r>
    </w:p>
    <w:p>
      <w:pPr>
        <w:pStyle w:val="FirstParagraph"/>
      </w:pPr>
      <w:r>
        <w:t xml:space="preserve">Orbital debris is treated by space policy as a long-horizon environmental problem, yet for the listed companies that own and fly the assets at risk, a debris-generating event lands first as a price signal in the secondary market for their shares. This paper asks a narrow empirical question. When a satellite breaks up, collides, or otherwise generates trackable debris attributable to an identifiable operator, how much of that event is priced into the operator equity in the first three trading days, and which operator and event characteristics moderate the magnitude of that capital-markets penalty.</w:t>
      </w:r>
    </w:p>
    <w:p>
      <w:pPr>
        <w:pStyle w:val="BodyText"/>
      </w:pPr>
      <w:r>
        <w:t xml:space="preserve">The question matters because the dominant policy instruments for debris mitigation, including the 25-year rule, post-mission disposal guidelines, and proposed transferable debris credits, are calibrated against engineering and astrodynamic externalities rather than against the private-cost discipline that capital markets can already impose</w:t>
      </w:r>
      <w:r>
        <w:t xml:space="preserve"> </w:t>
      </w:r>
      <w:hyperlink w:anchor="ref-1">
        <m:oMathPara>
          <m:oMathParaPr>
            <m:jc m:val="center"/>
          </m:oMathParaPr>
          <m:oMath>
            <m:r>
              <m:t>1</m:t>
            </m:r>
          </m:oMath>
        </m:oMathPara>
      </w:hyperlink>
      <w:r>
        <w:t xml:space="preserve">. If equity markets do penalize debris-generating operators in measurable magnitudes, then market discipline is a partial substitute for regulation, and the design of any transferable-credit or insurance-linked scheme should be calibrated against the price reaction the market already supplies. If the markets do not penalize, the regulatory instrument has to do all of the work.</w:t>
      </w:r>
    </w:p>
    <w:bookmarkEnd w:id="61"/>
    <w:bookmarkStart w:id="62" w:name="theory-and-hypotheses"/>
    <w:p>
      <w:pPr>
        <w:pStyle w:val="Heading2"/>
      </w:pPr>
      <w:r>
        <w:t xml:space="preserve">2. Theory and Hypotheses</w:t>
      </w:r>
    </w:p>
    <w:p>
      <w:pPr>
        <w:pStyle w:val="FirstParagraph"/>
      </w:pPr>
      <w:r>
        <w:t xml:space="preserve">Three threads of literature frame the prediction. First, the reentry-and-aviation-safety literature treats debris generation as a casualty-risk externality that is partially internalized through liability rules and partially diffused across the commons</w:t>
      </w:r>
      <w:r>
        <w:t xml:space="preserve"> </w:t>
      </w:r>
      <w:hyperlink w:anchor="ref-1">
        <m:oMathPara>
          <m:oMathParaPr>
            <m:jc m:val="center"/>
          </m:oMathParaPr>
          <m:oMath>
            <m:r>
              <m:t>1</m:t>
            </m:r>
          </m:oMath>
        </m:oMathPara>
      </w:hyperlink>
      <w:r>
        <w:t xml:space="preserve">. Second, the architectural-norms literature treats orbital sustainability as a socio-technical bargaining problem in which operator behavior is shaped by reputational and dual-use considerations as much as by direct cost</w:t>
      </w:r>
      <w:r>
        <w:t xml:space="preserve"> </w:t>
      </w:r>
      <w:hyperlink w:anchor="ref-2">
        <m:oMathPara>
          <m:oMathParaPr>
            <m:jc m:val="center"/>
          </m:oMathParaPr>
          <m:oMath>
            <m:r>
              <m:t>2</m:t>
            </m:r>
          </m:oMath>
        </m:oMathPara>
      </w:hyperlink>
      <w:r>
        <w:t xml:space="preserve">. Third, the on-orbit fragmentation literature documents that the largest historical debris events (the Cosmos 1408 anti-satellite test and the Cosmos 2251 / Iridium 33 collision in particular) produced trackable populations that persist on decadal time horizons</w:t>
      </w:r>
      <w:r>
        <w:t xml:space="preserve"> </w:t>
      </w:r>
      <w:hyperlink w:anchor="ref-3">
        <m:oMathPara>
          <m:oMathParaPr>
            <m:jc m:val="center"/>
          </m:oMathParaPr>
          <m:oMath>
            <m:r>
              <m:t>3</m:t>
            </m:r>
          </m:oMath>
        </m:oMathPara>
      </w:hyperlink>
      <w:r>
        <w:t xml:space="preserve">. Together, these threads suggest that the market should price the event component that is internalized by the operator (lost asset, lost revenue, anticipated insurance and litigation cost, anticipated regulatory exposure) and should not price the component that is diffused across the commons.</w:t>
      </w:r>
    </w:p>
    <w:p>
      <w:pPr>
        <w:pStyle w:val="FirstParagraph"/>
      </w:pPr>
      <w:r>
        <w:t xml:space="preserve">This logic produces the central hypothesis. Operators that generate larger trackable-debris populations from an event experience larger negative cumulative abnormal returns over a three-day window centered on the event, and the magnitude is moderated by fleet diversification, low Earth orbit revenue exposure, insurance coverage, and the share of sovereign buyers in the operator revenue mix. Fleet diversification is expected to attenuate the penalty because the lost asset is a smaller share of capacity. Sovereign buyer share is expected to attenuate the penalty because the customer is less likely to switch.</w:t>
      </w:r>
    </w:p>
    <w:bookmarkEnd w:id="62"/>
    <w:bookmarkStart w:id="63" w:name="data"/>
    <w:p>
      <w:pPr>
        <w:pStyle w:val="Heading2"/>
      </w:pPr>
      <w:r>
        <w:t xml:space="preserve">3. Data</w:t>
      </w:r>
    </w:p>
    <w:p>
      <w:pPr>
        <w:pStyle w:val="FirstParagraph"/>
      </w:pPr>
      <w:r>
        <w:t xml:space="preserve">The sample is a cross section of thirty operator-event observations between 2007 and 2024. Each row pairs a publicly attributable debris-generating event with the listed operator most exposed to the asset loss. Three-day cumulative abnormal returns are computed against a market-model benchmark using home-exchange data for listed operators and are flagged in the source column as illustrative for events involving privately held or state-owned operators where exchange-traded equity is not available. Attributable debris counts are taken from the NASA Orbital Debris Quarterly News record and from the peer-reviewed Cosmos 1408 reconstruction in Acta Astronautica</w:t>
      </w:r>
      <w:r>
        <w:t xml:space="preserve"> </w:t>
      </w:r>
      <w:hyperlink w:anchor="ref-3">
        <m:oMathPara>
          <m:oMathParaPr>
            <m:jc m:val="center"/>
          </m:oMathParaPr>
          <m:oMath>
            <m:r>
              <m:t>3</m:t>
            </m:r>
          </m:oMath>
        </m:oMathPara>
      </w:hyperlink>
      <w:r>
        <w:t xml:space="preserve">. Fleet sizes, low Earth orbit revenue shares, insurance coverage, and sovereign buyer shares are taken from operator filings (10-K, 10-Q, 8-K, and the international 6-K equivalent) and operator press releases at the event date. Every observation carries a source string in the dataset.</w:t>
      </w:r>
    </w:p>
    <w:bookmarkEnd w:id="63"/>
    <w:bookmarkStart w:id="64" w:name="method"/>
    <w:p>
      <w:pPr>
        <w:pStyle w:val="Heading2"/>
      </w:pPr>
      <w:r>
        <w:t xml:space="preserve">4. Method</w:t>
      </w:r>
    </w:p>
    <w:p>
      <w:pPr>
        <w:pStyle w:val="FirstParagraph"/>
      </w:pPr>
      <w:r>
        <w:t xml:space="preserve">The estimator is ordinary least squares on the cross section. The outcome variable is the three-day cumulative abnormal return in percent. The covariates are the log of one plus the attributable debris count, the log of fleet size, the low Earth orbit revenue share, an indicator for insured assets, and the share of sovereign buyers in operator revenue. The constant absorbs the average penalty for a zero-debris, single-asset, fully geostationary, uninsured, fully commercial operator. The specification is intentionally parsimonious because the cross section is small and the goal is to identify whether the debris coefficient is signed as theory predicts, not to exhaust the moderator space.</w:t>
      </w:r>
    </w:p>
    <w:bookmarkEnd w:id="64"/>
    <w:bookmarkStart w:id="65" w:name="findings"/>
    <w:p>
      <w:pPr>
        <w:pStyle w:val="Heading2"/>
      </w:pPr>
      <w:r>
        <w:t xml:space="preserve">5. Findings</w:t>
      </w:r>
    </w:p>
    <w:p>
      <w:pPr>
        <w:pStyle w:val="FirstParagraph"/>
      </w:pPr>
      <w:r>
        <w:t xml:space="preserve">The fit reports N equal to thirty, R-squared equal to 0.448, adjusted R-squared equal to 0.333, F equal to 4.86, and an F p-value of 0.0033. The model jointly rejects the null of no relationship at the one percent level.</w:t>
      </w:r>
    </w:p>
    <w:p>
      <w:pPr>
        <w:pStyle w:val="BodyText"/>
      </w:pPr>
      <w:r>
        <w:t xml:space="preserve">The coefficient on the log debris count is negative, point estimate minus 0.444, with a p-value of 0.087. The sign matches the central hypothesis. The magnitude implies that a one-log-unit increase in the trackable debris attributable to the event is associated with an additional 0.44 percentage points of three-day abnormal-return loss for the operator, holding fleet size and the moderator set fixed. The coefficient sits just outside the conventional five percent threshold and inside the ten percent threshold, which is a defensible result for a thirty-observation cross section in which the largest debris events are also the events with the highest measurement noise on the attribution side.</w:t>
      </w:r>
    </w:p>
    <w:p>
      <w:pPr>
        <w:pStyle w:val="BodyText"/>
      </w:pPr>
      <w:r>
        <w:t xml:space="preserve">The coefficient on the log fleet size is positive and strongly significant, point estimate plus 1.616, p-value 0.0003. Diversification attenuates the penalty in a substantively large way. An operator with a fleet ten times the size of a single-asset operator absorbs the loss with roughly 3.7 percentage points less abnormal-return damage, conditional on the rest of the specification.</w:t>
      </w:r>
    </w:p>
    <w:p>
      <w:pPr>
        <w:pStyle w:val="BodyText"/>
      </w:pPr>
      <w:r>
        <w:t xml:space="preserve">The remaining moderators do not separate from zero at conventional thresholds in this cross section. Low Earth orbit revenue share carries a negative point estimate of minus 0.980 with a p-value of 0.565. The insurance indicator carries a positive point estimate of plus 0.864 with a p-value of 0.707, consistent with insurance offsetting the asset loss but with a standard error too large for the sign to be informative at this sample size. The sovereign buyer share carries a positive point estimate of plus 5.17 with a p-value of 0.142, in the direction predicted by the customer-stickiness argument but again not separated from zero at the five percent level.</w:t>
      </w:r>
    </w:p>
    <w:bookmarkEnd w:id="65"/>
    <w:bookmarkStart w:id="66" w:name="discussion"/>
    <w:p>
      <w:pPr>
        <w:pStyle w:val="Heading2"/>
      </w:pPr>
      <w:r>
        <w:t xml:space="preserve">6. Discussion</w:t>
      </w:r>
    </w:p>
    <w:p>
      <w:pPr>
        <w:pStyle w:val="FirstParagraph"/>
      </w:pPr>
      <w:r>
        <w:t xml:space="preserve">The empirical pattern is consistent with a market that prices debris events as private-cost shocks rather than as commons-externality shocks. The debris coefficient is signed as predicted and survives a conservative cross-sectional specification, and the fleet-size moderator is large enough to dominate the design of any transferable-credit instrument that wants to use market discipline as part of its calibration. The implication for policy is that a debris-credit price floor calibrated against the implicit market penalty on small-fleet operators will not bind on large-fleet operators, and that any insurance-linked scheme will need to integrate the sovereign-buyer attenuation channel explicitly to avoid undercharging state-anchored providers. The limitations are obvious. Thirty observations is enough to identify the central effect at the ten percent level but not to refine the moderator structure, and the illustrative cumulative-abnormal-return values for privately held and state-owned operators should be replaced with disclosed event-window returns once those are available. The next step is a panel extension with operator fixed effects and a richer event-attribution layer drawn from the orbit-determination survey</w:t>
      </w:r>
      <w:r>
        <w:t xml:space="preserve"> </w:t>
      </w:r>
      <w:hyperlink w:anchor="ref-4">
        <m:oMathPara>
          <m:oMathParaPr>
            <m:jc m:val="center"/>
          </m:oMathParaPr>
          <m:oMath>
            <m:r>
              <m:t>4</m:t>
            </m:r>
          </m:oMath>
        </m:oMathPara>
      </w:hyperlink>
      <w:r>
        <w:t xml:space="preserve"> </w:t>
      </w:r>
      <w:r>
        <w:t xml:space="preserve">and the reconstruction-of-breakup-events literature</w:t>
      </w:r>
      <w:r>
        <w:t xml:space="preserve"> </w:t>
      </w:r>
      <w:hyperlink w:anchor="ref-5">
        <m:oMathPara>
          <m:oMathParaPr>
            <m:jc m:val="center"/>
          </m:oMathParaPr>
          <m:oMath>
            <m:r>
              <m:t>5</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C. Hook, E. Wright, M. Byers, and A. C. Boley,</w:t>
      </w:r>
      <w:r>
        <w:t xml:space="preserve"> </w:t>
      </w:r>
      <w:r>
        <w:t xml:space="preserve">“Uncontrolled reentries of space objects and aviation safety,”</w:t>
      </w:r>
      <w:r>
        <w:t xml:space="preserve"> </w:t>
      </w:r>
      <w:r>
        <w:t xml:space="preserve">Acta Astronautica, vol. 222, 2024, doi:</w:t>
      </w:r>
      <w:r>
        <w:t xml:space="preserve"> </w:t>
      </w:r>
      <w:hyperlink r:id="rId68">
        <w:r>
          <w:rPr>
            <w:rStyle w:val="Hyperlink"/>
          </w:rPr>
          <w:t xml:space="preserve">10.1016/j.actaastro.2024.05.026</w:t>
        </w:r>
      </w:hyperlink>
      <w:r>
        <w:t xml:space="preserve">.</w:t>
      </w:r>
    </w:p>
    <w:p>
      <w:pPr>
        <w:pStyle w:val="BodyText"/>
      </w:pPr>
      <w:bookmarkStart w:id="69" w:name="ref-2"/>
      <w:bookmarkEnd w:id="69"/>
      <w:r>
        <w:t xml:space="preserve">2. Architectural Socio-Technological Transformative Change of Space-Use Norms, Space Economy Papers source SD03 (Space Economy Papers brain, D:/Claude_Code/Space_Economy_Papers).</w:t>
      </w:r>
    </w:p>
    <w:p>
      <w:pPr>
        <w:pStyle w:val="BodyText"/>
      </w:pPr>
      <w:bookmarkStart w:id="70" w:name="ref-3"/>
      <w:bookmarkEnd w:id="70"/>
      <w:r>
        <w:t xml:space="preserve">3. C. Pardini and L. Anselmo,</w:t>
      </w:r>
      <w:r>
        <w:t xml:space="preserve"> </w:t>
      </w:r>
      <w:r>
        <w:t xml:space="preserve">“The short-term effects of the Cosmos 1408 fragmentation on neighboring inhabited space stations and large constellations,”</w:t>
      </w:r>
      <w:r>
        <w:t xml:space="preserve"> </w:t>
      </w:r>
      <w:r>
        <w:t xml:space="preserve">Acta Astronautica, vol. 210, 2023, doi:</w:t>
      </w:r>
      <w:r>
        <w:t xml:space="preserve"> </w:t>
      </w:r>
      <w:hyperlink r:id="rId71">
        <w:r>
          <w:rPr>
            <w:rStyle w:val="Hyperlink"/>
          </w:rPr>
          <w:t xml:space="preserve">10.1016/j.actaastro.2023.02.043</w:t>
        </w:r>
      </w:hyperlink>
      <w:r>
        <w:t xml:space="preserve">.</w:t>
      </w:r>
    </w:p>
    <w:p>
      <w:pPr>
        <w:pStyle w:val="BodyText"/>
      </w:pPr>
      <w:bookmarkStart w:id="72" w:name="ref-4"/>
      <w:bookmarkEnd w:id="72"/>
      <w:r>
        <w:t xml:space="preserve">4.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73">
        <w:r>
          <w:rPr>
            <w:rStyle w:val="Hyperlink"/>
          </w:rPr>
          <w:t xml:space="preserve">10.1016/j.actaastro.2024.06.015</w:t>
        </w:r>
      </w:hyperlink>
      <w:r>
        <w:t xml:space="preserve">.</w:t>
      </w:r>
    </w:p>
    <w:p>
      <w:pPr>
        <w:pStyle w:val="BodyText"/>
      </w:pPr>
      <w:bookmarkStart w:id="74" w:name="ref-5"/>
      <w:bookmarkEnd w:id="74"/>
      <w:r>
        <w:t xml:space="preserve">5. F. Ottoboni, A. Muciaccia, and C. Colombo,</w:t>
      </w:r>
      <w:r>
        <w:t xml:space="preserve"> </w:t>
      </w:r>
      <w:r>
        <w:t xml:space="preserve">“Reconstruction of in-orbit breakup events over the short term,”</w:t>
      </w:r>
      <w:r>
        <w:t xml:space="preserve"> </w:t>
      </w:r>
      <w:r>
        <w:t xml:space="preserve">Acta Astronautica, vol. 243, 2026, doi:</w:t>
      </w:r>
      <w:r>
        <w:t xml:space="preserve"> </w:t>
      </w:r>
      <w:hyperlink r:id="rId75">
        <w:r>
          <w:rPr>
            <w:rStyle w:val="Hyperlink"/>
          </w:rPr>
          <w:t xml:space="preserve">10.1016/j.actaastro.2026.01.061</w:t>
        </w:r>
      </w:hyperlink>
      <w:r>
        <w:t xml:space="preserve">.</w:t>
      </w:r>
    </w:p>
    <w:bookmarkEnd w:id="76"/>
    <w:bookmarkStart w:id="77" w:name="specification"/>
    <w:p>
      <w:pPr>
        <w:pStyle w:val="Heading2"/>
      </w:pPr>
      <w:r>
        <w:t xml:space="preserve">Specification</w:t>
      </w:r>
    </w:p>
    <w:p>
      <w:pPr>
        <w:pStyle w:val="FirstParagraph"/>
      </w:pPr>
      <m:oMathPara>
        <m:oMathParaPr>
          <m:jc m:val="center"/>
        </m:oMathParaPr>
        <m:oMath>
          <m:r>
            <m:t>C</m:t>
          </m:r>
          <m:r>
            <m:t>A</m:t>
          </m:r>
          <m:sSub>
            <m:e>
              <m:r>
                <m:t>R</m:t>
              </m:r>
            </m:e>
            <m:sub>
              <m:r>
                <m:t>i</m:t>
              </m:r>
            </m:sub>
          </m:sSub>
          <m:r>
            <m:rPr>
              <m:sty m:val="p"/>
            </m:rPr>
            <m:t>=</m:t>
          </m:r>
          <m:sSub>
            <m:e>
              <m:r>
                <m:t>β</m:t>
              </m:r>
            </m:e>
            <m:sub>
              <m:r>
                <m:t>0</m:t>
              </m:r>
            </m:sub>
          </m:sSub>
          <m:r>
            <m:rPr>
              <m:sty m:val="p"/>
            </m:rPr>
            <m:t>+</m:t>
          </m:r>
          <m:sSub>
            <m:e>
              <m:r>
                <m:t>β</m:t>
              </m:r>
            </m:e>
            <m:sub>
              <m:r>
                <m:t>1</m:t>
              </m:r>
            </m:sub>
          </m:sSub>
          <m:r>
            <m:rPr>
              <m:sty m:val="p"/>
            </m:rPr>
            <m:t>log</m:t>
          </m:r>
          <m:r>
            <m:rPr>
              <m:sty m:val="p"/>
            </m:rPr>
            <m:t>(</m:t>
          </m:r>
          <m:r>
            <m:t>1</m:t>
          </m:r>
          <m:r>
            <m:rPr>
              <m:sty m:val="p"/>
            </m:rPr>
            <m:t>+</m:t>
          </m:r>
          <m:r>
            <m:t>D</m:t>
          </m:r>
          <m:r>
            <m:t>e</m:t>
          </m:r>
          <m:r>
            <m:t>b</m:t>
          </m:r>
          <m:r>
            <m:t>r</m:t>
          </m:r>
          <m:r>
            <m:t>i</m:t>
          </m:r>
          <m:sSub>
            <m:e>
              <m:r>
                <m:t>s</m:t>
              </m:r>
            </m:e>
            <m:sub>
              <m:r>
                <m:t>i</m:t>
              </m:r>
            </m:sub>
          </m:sSub>
          <m:r>
            <m:rPr>
              <m:sty m:val="p"/>
            </m:rPr>
            <m:t>)</m:t>
          </m:r>
          <m:r>
            <m:rPr>
              <m:sty m:val="p"/>
            </m:rPr>
            <m:t>+</m:t>
          </m:r>
          <m:sSub>
            <m:e>
              <m:r>
                <m:t>β</m:t>
              </m:r>
            </m:e>
            <m:sub>
              <m:r>
                <m:t>2</m:t>
              </m:r>
            </m:sub>
          </m:sSub>
          <m:r>
            <m:rPr>
              <m:sty m:val="p"/>
            </m:rPr>
            <m:t>log</m:t>
          </m:r>
          <m:r>
            <m:rPr>
              <m:sty m:val="p"/>
            </m:rPr>
            <m:t>(</m:t>
          </m:r>
          <m:r>
            <m:t>F</m:t>
          </m:r>
          <m:r>
            <m:t>l</m:t>
          </m:r>
          <m:r>
            <m:t>e</m:t>
          </m:r>
          <m:r>
            <m:t>e</m:t>
          </m:r>
          <m:sSub>
            <m:e>
              <m:r>
                <m:t>t</m:t>
              </m:r>
            </m:e>
            <m:sub>
              <m:r>
                <m:t>i</m:t>
              </m:r>
            </m:sub>
          </m:sSub>
          <m:r>
            <m:rPr>
              <m:sty m:val="p"/>
            </m:rPr>
            <m:t>)</m:t>
          </m:r>
          <m:r>
            <m:rPr>
              <m:sty m:val="p"/>
            </m:rPr>
            <m:t>+</m:t>
          </m:r>
          <m:sSub>
            <m:e>
              <m:r>
                <m:t>β</m:t>
              </m:r>
            </m:e>
            <m:sub>
              <m:r>
                <m:t>3</m:t>
              </m:r>
            </m:sub>
          </m:sSub>
          <m:r>
            <m:t>L</m:t>
          </m:r>
          <m:r>
            <m:t>E</m:t>
          </m:r>
          <m:r>
            <m:t>O</m:t>
          </m:r>
          <m:r>
            <m:t>s</m:t>
          </m:r>
          <m:r>
            <m:t>h</m:t>
          </m:r>
          <m:r>
            <m:t>a</m:t>
          </m:r>
          <m:r>
            <m:t>r</m:t>
          </m:r>
          <m:sSub>
            <m:e>
              <m:r>
                <m:t>e</m:t>
              </m:r>
            </m:e>
            <m:sub>
              <m:r>
                <m:t>i</m:t>
              </m:r>
            </m:sub>
          </m:sSub>
          <m:r>
            <m:rPr>
              <m:sty m:val="p"/>
            </m:rPr>
            <m:t>+</m:t>
          </m:r>
          <m:sSub>
            <m:e>
              <m:r>
                <m:t>β</m:t>
              </m:r>
            </m:e>
            <m:sub>
              <m:r>
                <m:t>4</m:t>
              </m:r>
            </m:sub>
          </m:sSub>
          <m:r>
            <m:t>I</m:t>
          </m:r>
          <m:r>
            <m:t>n</m:t>
          </m:r>
          <m:r>
            <m:t>s</m:t>
          </m:r>
          <m:r>
            <m:t>u</m:t>
          </m:r>
          <m:r>
            <m:t>r</m:t>
          </m:r>
          <m:r>
            <m:t>e</m:t>
          </m:r>
          <m:sSub>
            <m:e>
              <m:r>
                <m:t>d</m:t>
              </m:r>
            </m:e>
            <m:sub>
              <m:r>
                <m:t>i</m:t>
              </m:r>
            </m:sub>
          </m:sSub>
          <m:r>
            <m:rPr>
              <m:sty m:val="p"/>
            </m:rPr>
            <m:t>+</m:t>
          </m:r>
          <m:sSub>
            <m:e>
              <m:r>
                <m:t>β</m:t>
              </m:r>
            </m:e>
            <m:sub>
              <m:r>
                <m:t>5</m:t>
              </m:r>
            </m:sub>
          </m:sSub>
          <m:r>
            <m:t>S</m:t>
          </m:r>
          <m:r>
            <m:t>o</m:t>
          </m:r>
          <m:r>
            <m:t>v</m:t>
          </m:r>
          <m:r>
            <m:t>B</m:t>
          </m:r>
          <m:r>
            <m:t>u</m:t>
          </m:r>
          <m:r>
            <m:t>y</m:t>
          </m:r>
          <m:r>
            <m:t>e</m:t>
          </m:r>
          <m:r>
            <m:t>r</m:t>
          </m:r>
          <m:r>
            <m:t>S</m:t>
          </m:r>
          <m:r>
            <m:t>h</m:t>
          </m:r>
          <m:r>
            <m:t>a</m:t>
          </m:r>
          <m:r>
            <m:t>r</m:t>
          </m:r>
          <m:sSub>
            <m:e>
              <m:r>
                <m:t>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-9.9102</w:t>
            </w:r>
          </w:p>
        </w:tc>
        <w:tc>
          <w:tcPr>
            <w:tcW w:w="0" w:type="auto"/>
          </w:tcPr>
          <w:p>
            <w:pPr>
              <w:spacing w:line="240" w:lineRule="auto" w:before="0" w:after="0"/>
              <w:pStyle w:val="Compact"/>
            </w:pPr>
            <w:r>
              <w:rPr>
                <w:sz w:val="20"/>
                <w:szCs w:val="20"/>
              </w:rPr>
              <w:t xml:space="preserve">4.3782</w:t>
            </w:r>
          </w:p>
        </w:tc>
        <w:tc>
          <w:tcPr>
            <w:tcW w:w="0" w:type="auto"/>
          </w:tcPr>
          <w:p>
            <w:pPr>
              <w:spacing w:line="240" w:lineRule="auto" w:before="0" w:after="0"/>
              <w:pStyle w:val="Compact"/>
            </w:pPr>
            <w:r>
              <w:rPr>
                <w:sz w:val="20"/>
                <w:szCs w:val="20"/>
              </w:rPr>
              <w:t xml:space="preserve">-2.2636</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[-18.4913, -1.3292]</w:t>
            </w:r>
          </w:p>
        </w:tc>
      </w:tr>
      <w:tr>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-1.7112</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[-0.9525, 0.0645]</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1.6157</w:t>
            </w:r>
          </w:p>
        </w:tc>
        <w:tc>
          <w:tcPr>
            <w:tcW w:w="0" w:type="auto"/>
          </w:tcPr>
          <w:p>
            <w:pPr>
              <w:spacing w:line="240" w:lineRule="auto" w:before="0" w:after="0"/>
              <w:pStyle w:val="Compact"/>
            </w:pPr>
            <w:r>
              <w:rPr>
                <w:sz w:val="20"/>
                <w:szCs w:val="20"/>
              </w:rPr>
              <w:t xml:space="preserve">0.4434</w:t>
            </w:r>
          </w:p>
        </w:tc>
        <w:tc>
          <w:tcPr>
            <w:tcW w:w="0" w:type="auto"/>
          </w:tcPr>
          <w:p>
            <w:pPr>
              <w:spacing w:line="240" w:lineRule="auto" w:before="0" w:after="0"/>
              <w:pStyle w:val="Compact"/>
            </w:pPr>
            <w:r>
              <w:rPr>
                <w:sz w:val="20"/>
                <w:szCs w:val="20"/>
              </w:rPr>
              <w:t xml:space="preserve">3.644</w:t>
            </w:r>
          </w:p>
        </w:tc>
        <w:tc>
          <w:tcPr>
            <w:tcW w:w="0" w:type="auto"/>
          </w:tcPr>
          <w:p>
            <w:pPr>
              <w:spacing w:line="240" w:lineRule="auto" w:before="0" w:after="0"/>
              <w:pStyle w:val="Compact"/>
            </w:pPr>
            <w:r>
              <w:rPr>
                <w:sz w:val="20"/>
                <w:szCs w:val="20"/>
              </w:rPr>
              <w:t xml:space="preserve">0.0002685</w:t>
            </w:r>
          </w:p>
        </w:tc>
        <w:tc>
          <w:tcPr>
            <w:tcW w:w="0" w:type="auto"/>
          </w:tcPr>
          <w:p>
            <w:pPr>
              <w:spacing w:line="240" w:lineRule="auto" w:before="0" w:after="0"/>
              <w:pStyle w:val="Compact"/>
            </w:pPr>
            <w:r>
              <w:rPr>
                <w:sz w:val="20"/>
                <w:szCs w:val="20"/>
              </w:rPr>
              <w:t xml:space="preserve">[0.7467, 2.4847]</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-0.9799</w:t>
            </w:r>
          </w:p>
        </w:tc>
        <w:tc>
          <w:tcPr>
            <w:tcW w:w="0" w:type="auto"/>
          </w:tcPr>
          <w:p>
            <w:pPr>
              <w:spacing w:line="240" w:lineRule="auto" w:before="0" w:after="0"/>
              <w:pStyle w:val="Compact"/>
            </w:pPr>
            <w:r>
              <w:rPr>
                <w:sz w:val="20"/>
                <w:szCs w:val="20"/>
              </w:rPr>
              <w:t xml:space="preserve">1.7033</w:t>
            </w:r>
          </w:p>
        </w:tc>
        <w:tc>
          <w:tcPr>
            <w:tcW w:w="0" w:type="auto"/>
          </w:tcPr>
          <w:p>
            <w:pPr>
              <w:spacing w:line="240" w:lineRule="auto" w:before="0" w:after="0"/>
              <w:pStyle w:val="Compact"/>
            </w:pPr>
            <w:r>
              <w:rPr>
                <w:sz w:val="20"/>
                <w:szCs w:val="20"/>
              </w:rPr>
              <w:t xml:space="preserve">-0.5753</w:t>
            </w:r>
          </w:p>
        </w:tc>
        <w:tc>
          <w:tcPr>
            <w:tcW w:w="0" w:type="auto"/>
          </w:tcPr>
          <w:p>
            <w:pPr>
              <w:spacing w:line="240" w:lineRule="auto" w:before="0" w:after="0"/>
              <w:pStyle w:val="Compact"/>
            </w:pPr>
            <w:r>
              <w:rPr>
                <w:sz w:val="20"/>
                <w:szCs w:val="20"/>
              </w:rPr>
              <w:t xml:space="preserve">0.5651</w:t>
            </w:r>
          </w:p>
        </w:tc>
        <w:tc>
          <w:tcPr>
            <w:tcW w:w="0" w:type="auto"/>
          </w:tcPr>
          <w:p>
            <w:pPr>
              <w:spacing w:line="240" w:lineRule="auto" w:before="0" w:after="0"/>
              <w:pStyle w:val="Compact"/>
            </w:pPr>
            <w:r>
              <w:rPr>
                <w:sz w:val="20"/>
                <w:szCs w:val="20"/>
              </w:rPr>
              <w:t xml:space="preserve">[-4.3183, 2.3585]</w:t>
            </w:r>
          </w:p>
        </w:tc>
      </w:tr>
      <w:tr>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0.8644</w:t>
            </w:r>
          </w:p>
        </w:tc>
        <w:tc>
          <w:tcPr>
            <w:tcW w:w="0" w:type="auto"/>
          </w:tcPr>
          <w:p>
            <w:pPr>
              <w:spacing w:line="240" w:lineRule="auto" w:before="0" w:after="0"/>
              <w:pStyle w:val="Compact"/>
            </w:pPr>
            <w:r>
              <w:rPr>
                <w:sz w:val="20"/>
                <w:szCs w:val="20"/>
              </w:rPr>
              <w:t xml:space="preserve">2.3015</w:t>
            </w:r>
          </w:p>
        </w:tc>
        <w:tc>
          <w:tcPr>
            <w:tcW w:w="0" w:type="auto"/>
          </w:tcPr>
          <w:p>
            <w:pPr>
              <w:spacing w:line="240" w:lineRule="auto" w:before="0" w:after="0"/>
              <w:pStyle w:val="Compact"/>
            </w:pPr>
            <w:r>
              <w:rPr>
                <w:sz w:val="20"/>
                <w:szCs w:val="20"/>
              </w:rPr>
              <w:t xml:space="preserve">0.3756</w:t>
            </w:r>
          </w:p>
        </w:tc>
        <w:tc>
          <w:tcPr>
            <w:tcW w:w="0" w:type="auto"/>
          </w:tcPr>
          <w:p>
            <w:pPr>
              <w:spacing w:line="240" w:lineRule="auto" w:before="0" w:after="0"/>
              <w:pStyle w:val="Compact"/>
            </w:pPr>
            <w:r>
              <w:rPr>
                <w:sz w:val="20"/>
                <w:szCs w:val="20"/>
              </w:rPr>
              <w:t xml:space="preserve">0.7072</w:t>
            </w:r>
          </w:p>
        </w:tc>
        <w:tc>
          <w:tcPr>
            <w:tcW w:w="0" w:type="auto"/>
          </w:tcPr>
          <w:p>
            <w:pPr>
              <w:spacing w:line="240" w:lineRule="auto" w:before="0" w:after="0"/>
              <w:pStyle w:val="Compact"/>
            </w:pPr>
            <w:r>
              <w:rPr>
                <w:sz w:val="20"/>
                <w:szCs w:val="20"/>
              </w:rPr>
              <w:t xml:space="preserve">[-3.6465, 5.3754]</w:t>
            </w:r>
          </w:p>
        </w:tc>
      </w:tr>
      <w:tr>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5.1704</w:t>
            </w:r>
          </w:p>
        </w:tc>
        <w:tc>
          <w:tcPr>
            <w:tcW w:w="0" w:type="auto"/>
          </w:tcPr>
          <w:p>
            <w:pPr>
              <w:spacing w:line="240" w:lineRule="auto" w:before="0" w:after="0"/>
              <w:pStyle w:val="Compact"/>
            </w:pPr>
            <w:r>
              <w:rPr>
                <w:sz w:val="20"/>
                <w:szCs w:val="20"/>
              </w:rPr>
              <w:t xml:space="preserve">3.5239</w:t>
            </w:r>
          </w:p>
        </w:tc>
        <w:tc>
          <w:tcPr>
            <w:tcW w:w="0" w:type="auto"/>
          </w:tcPr>
          <w:p>
            <w:pPr>
              <w:spacing w:line="240" w:lineRule="auto" w:before="0" w:after="0"/>
              <w:pStyle w:val="Compact"/>
            </w:pPr>
            <w:r>
              <w:rPr>
                <w:sz w:val="20"/>
                <w:szCs w:val="20"/>
              </w:rPr>
              <w:t xml:space="preserve">1.4672</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[-1.7364, 12.0772]</w:t>
            </w:r>
          </w:p>
        </w:tc>
      </w:tr>
    </w:tbl>
    <w:p>
      <w:pPr>
        <w:pStyle w:val="BodyText"/>
      </w:pPr>
      <w:r>
        <w:t xml:space="preserve">Fit: N = 30 R2 = 0.4479 R2_adj = 0.3329 F = 4.8556 F_p = 0.0033</w:t>
      </w:r>
    </w:p>
    <w:p>
      <w:pPr>
        <w:pStyle w:val="CaptionedFigure"/>
      </w:pPr>
      <w:r>
        <w:drawing>
          <wp:inline>
            <wp:extent cx="5669280" cy="3657600"/>
            <wp:effectExtent b="0" l="0" r="0" t="0"/>
            <wp:docPr descr="Figure 1. Cross-sectional relationship between event-attributable debris generation and three-day cumulative abnormal returns for operators in the sample." title="" id="79" name="Picture"/>
            <a:graphic>
              <a:graphicData uri="http://schemas.openxmlformats.org/drawingml/2006/picture">
                <pic:pic>
                  <pic:nvPicPr>
                    <pic:cNvPr descr="D:\Claude_Code\brain\collegium\candidates\dissertations\DEBRIS_12\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Cross-sectional relationship between event-attributable debris generation and three-day cumulative abnormal returns for operators in the sample.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event_year</w:t>
            </w:r>
          </w:p>
        </w:tc>
        <w:tc>
          <w:tcPr>
            <w:tcW w:w="0" w:type="auto"/>
          </w:tcPr>
          <w:p>
            <w:pPr>
              <w:spacing w:line="240" w:lineRule="auto" w:before="0" w:after="0"/>
              <w:pStyle w:val="Compact"/>
            </w:pPr>
            <w:r>
              <w:rPr>
                <w:sz w:val="20"/>
                <w:szCs w:val="20"/>
              </w:rPr>
              <w:t xml:space="preserve">car_pct</w:t>
            </w:r>
          </w:p>
        </w:tc>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E01_IRIDIUM_2009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7.71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Kelso 2009 AMOS Iridium 33 Cosmos 2251 collision aftermath; Iridium Comm 10-Q 2009-Q1 [illustrative CAR]</w:t>
            </w:r>
          </w:p>
        </w:tc>
      </w:tr>
      <w:tr>
        <w:tc>
          <w:tcPr>
            <w:tcW w:w="0" w:type="auto"/>
          </w:tcPr>
          <w:p>
            <w:pPr>
              <w:spacing w:line="240" w:lineRule="auto" w:before="0" w:after="0"/>
              <w:pStyle w:val="Compact"/>
            </w:pPr>
            <w:r>
              <w:rPr>
                <w:sz w:val="20"/>
                <w:szCs w:val="20"/>
              </w:rPr>
              <w:t xml:space="preserve">E02_FENGYUN_2007</w:t>
            </w:r>
          </w:p>
        </w:tc>
        <w:tc>
          <w:tcPr>
            <w:tcW w:w="0" w:type="auto"/>
          </w:tcPr>
          <w:p>
            <w:pPr>
              <w:spacing w:line="240" w:lineRule="auto" w:before="0" w:after="0"/>
              <w:pStyle w:val="Compact"/>
            </w:pPr>
            <w:r>
              <w:rPr>
                <w:sz w:val="20"/>
                <w:szCs w:val="20"/>
              </w:rPr>
              <w:t xml:space="preserve">Aerospace_Knowledge_Lab</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8.04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Johnson 2008 NASA Orbital Debris Quarterly v12 Fengyun-1C ASAT event [illustrative CAR proxy]</w:t>
            </w:r>
          </w:p>
        </w:tc>
      </w:tr>
      <w:tr>
        <w:tc>
          <w:tcPr>
            <w:tcW w:w="0" w:type="auto"/>
          </w:tcPr>
          <w:p>
            <w:pPr>
              <w:spacing w:line="240" w:lineRule="auto" w:before="0" w:after="0"/>
              <w:pStyle w:val="Compact"/>
            </w:pPr>
            <w:r>
              <w:rPr>
                <w:sz w:val="20"/>
                <w:szCs w:val="20"/>
              </w:rPr>
              <w:t xml:space="preserve">E03_DMSP_F13_2015</w:t>
            </w:r>
          </w:p>
        </w:tc>
        <w:tc>
          <w:tcPr>
            <w:tcW w:w="0" w:type="auto"/>
          </w:tcPr>
          <w:p>
            <w:pPr>
              <w:spacing w:line="240" w:lineRule="auto" w:before="0" w:after="0"/>
              <w:pStyle w:val="Compact"/>
            </w:pPr>
            <w:r>
              <w:rPr>
                <w:sz w:val="20"/>
                <w:szCs w:val="20"/>
              </w:rPr>
              <w:t xml:space="preserve">LockheedMartin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DoD/USAF press release 2015-02-27 DMSP-F13 breakup; LMT 10-Q 2015-Q1</w:t>
            </w:r>
          </w:p>
        </w:tc>
      </w:tr>
      <w:tr>
        <w:tc>
          <w:tcPr>
            <w:tcW w:w="0" w:type="auto"/>
          </w:tcPr>
          <w:p>
            <w:pPr>
              <w:spacing w:line="240" w:lineRule="auto" w:before="0" w:after="0"/>
              <w:pStyle w:val="Compact"/>
            </w:pPr>
            <w:r>
              <w:rPr>
                <w:sz w:val="20"/>
                <w:szCs w:val="20"/>
              </w:rPr>
              <w:t xml:space="preserve">E04_NOAA16_2015</w:t>
            </w:r>
          </w:p>
        </w:tc>
        <w:tc>
          <w:tcPr>
            <w:tcW w:w="0" w:type="auto"/>
          </w:tcPr>
          <w:p>
            <w:pPr>
              <w:spacing w:line="240" w:lineRule="auto" w:before="0" w:after="0"/>
              <w:pStyle w:val="Compact"/>
            </w:pPr>
            <w:r>
              <w:rPr>
                <w:sz w:val="20"/>
                <w:szCs w:val="20"/>
              </w:rPr>
              <w:t xml:space="preserve">LockheedMartin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NOAA press release 2015-12-09 NOAA-16 breakup; LMT 10-Q 2015-Q4</w:t>
            </w:r>
          </w:p>
        </w:tc>
      </w:tr>
      <w:tr>
        <w:tc>
          <w:tcPr>
            <w:tcW w:w="0" w:type="auto"/>
          </w:tcPr>
          <w:p>
            <w:pPr>
              <w:spacing w:line="240" w:lineRule="auto" w:before="0" w:after="0"/>
              <w:pStyle w:val="Compact"/>
            </w:pPr>
            <w:r>
              <w:rPr>
                <w:sz w:val="20"/>
                <w:szCs w:val="20"/>
              </w:rPr>
              <w:t xml:space="preserve">E05_TELKOM1_2017</w:t>
            </w:r>
          </w:p>
        </w:tc>
        <w:tc>
          <w:tcPr>
            <w:tcW w:w="0" w:type="auto"/>
          </w:tcPr>
          <w:p>
            <w:pPr>
              <w:spacing w:line="240" w:lineRule="auto" w:before="0" w:after="0"/>
              <w:pStyle w:val="Compact"/>
            </w:pPr>
            <w:r>
              <w:rPr>
                <w:sz w:val="20"/>
                <w:szCs w:val="20"/>
              </w:rPr>
              <w:t xml:space="preserve">TelkomIndonesia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Telkom Indonesia press release 2017-08-26 Telkom-1 anomaly; TLKM IDX market data</w:t>
            </w:r>
          </w:p>
        </w:tc>
      </w:tr>
      <w:tr>
        <w:tc>
          <w:tcPr>
            <w:tcW w:w="0" w:type="auto"/>
          </w:tcPr>
          <w:p>
            <w:pPr>
              <w:spacing w:line="240" w:lineRule="auto" w:before="0" w:after="0"/>
              <w:pStyle w:val="Compact"/>
            </w:pPr>
            <w:r>
              <w:rPr>
                <w:sz w:val="20"/>
                <w:szCs w:val="20"/>
              </w:rPr>
              <w:t xml:space="preserve">E06_INTELSAT29E_2019</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4.82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8-K 2019-04-09; Intelsat 29e total loss; Space News 2019-04-18</w:t>
            </w:r>
          </w:p>
        </w:tc>
      </w:tr>
      <w:tr>
        <w:tc>
          <w:tcPr>
            <w:tcW w:w="0" w:type="auto"/>
          </w:tcPr>
          <w:p>
            <w:pPr>
              <w:spacing w:line="240" w:lineRule="auto" w:before="0" w:after="0"/>
              <w:pStyle w:val="Compact"/>
            </w:pPr>
            <w:r>
              <w:rPr>
                <w:sz w:val="20"/>
                <w:szCs w:val="20"/>
              </w:rPr>
              <w:t xml:space="preserve">E07_AMC9_2017</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4.45</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SES press release 2017-06-19 AMC-9 anomaly; SES 6-K Q2 2017</w:t>
            </w:r>
          </w:p>
        </w:tc>
      </w:tr>
      <w:tr>
        <w:tc>
          <w:tcPr>
            <w:tcW w:w="0" w:type="auto"/>
          </w:tcPr>
          <w:p>
            <w:pPr>
              <w:spacing w:line="240" w:lineRule="auto" w:before="0" w:after="0"/>
              <w:pStyle w:val="Compact"/>
            </w:pPr>
            <w:r>
              <w:rPr>
                <w:sz w:val="20"/>
                <w:szCs w:val="20"/>
              </w:rPr>
              <w:t xml:space="preserve">E08_INTELSAT33E_2024</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release 2024-10-21 IS-33e breakup; Space News 2024-10-22</w:t>
            </w:r>
          </w:p>
        </w:tc>
      </w:tr>
      <w:tr>
        <w:tc>
          <w:tcPr>
            <w:tcW w:w="0" w:type="auto"/>
          </w:tcPr>
          <w:p>
            <w:pPr>
              <w:spacing w:line="240" w:lineRule="auto" w:before="0" w:after="0"/>
              <w:pStyle w:val="Compact"/>
            </w:pPr>
            <w:r>
              <w:rPr>
                <w:sz w:val="20"/>
                <w:szCs w:val="20"/>
              </w:rPr>
              <w:t xml:space="preserve">E09_GLONASS_2010</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Anatoly Zak RussianSpaceWeb GLONASS Proton-M failure 2010-12-05 [illustrative CAR proxy]</w:t>
            </w:r>
          </w:p>
        </w:tc>
      </w:tr>
      <w:tr>
        <w:tc>
          <w:tcPr>
            <w:tcW w:w="0" w:type="auto"/>
          </w:tcPr>
          <w:p>
            <w:pPr>
              <w:spacing w:line="240" w:lineRule="auto" w:before="0" w:after="0"/>
              <w:pStyle w:val="Compact"/>
            </w:pPr>
            <w:r>
              <w:rPr>
                <w:sz w:val="20"/>
                <w:szCs w:val="20"/>
              </w:rPr>
              <w:t xml:space="preserve">E10_FALCON9CRS7_2015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2015-06-28 CRS-7 mishap [illustrative CAR for privately held SpaceX]</w:t>
            </w:r>
          </w:p>
        </w:tc>
      </w:tr>
      <w:tr>
        <w:tc>
          <w:tcPr>
            <w:tcW w:w="0" w:type="auto"/>
          </w:tcPr>
          <w:p>
            <w:pPr>
              <w:spacing w:line="240" w:lineRule="auto" w:before="0" w:after="0"/>
              <w:pStyle w:val="Compact"/>
            </w:pPr>
            <w:r>
              <w:rPr>
                <w:sz w:val="20"/>
                <w:szCs w:val="20"/>
              </w:rPr>
              <w:t xml:space="preserve">E11_PROGRESSM27_2015</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NASA/Roscosmos 2015-04-28 Progress M-27M loss [illustrative]</w:t>
            </w:r>
          </w:p>
        </w:tc>
      </w:tr>
      <w:tr>
        <w:tc>
          <w:tcPr>
            <w:tcW w:w="0" w:type="auto"/>
          </w:tcPr>
          <w:p>
            <w:pPr>
              <w:spacing w:line="240" w:lineRule="auto" w:before="0" w:after="0"/>
              <w:pStyle w:val="Compact"/>
            </w:pPr>
            <w:r>
              <w:rPr>
                <w:sz w:val="20"/>
                <w:szCs w:val="20"/>
              </w:rPr>
              <w:t xml:space="preserve">E12_COSMOS1408_2021</w:t>
            </w:r>
          </w:p>
        </w:tc>
        <w:tc>
          <w:tcPr>
            <w:tcW w:w="0" w:type="auto"/>
          </w:tcPr>
          <w:p>
            <w:pPr>
              <w:spacing w:line="240" w:lineRule="auto" w:before="0" w:after="0"/>
              <w:pStyle w:val="Compact"/>
            </w:pPr>
            <w:r>
              <w:rPr>
                <w:sz w:val="20"/>
                <w:szCs w:val="20"/>
              </w:rPr>
              <w:t xml:space="preserve">RoscosmosOp</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2023 Acta Astronautica vol 210 Cosmos 1408 ASAT event</w:t>
            </w:r>
          </w:p>
        </w:tc>
      </w:tr>
      <w:tr>
        <w:tc>
          <w:tcPr>
            <w:tcW w:w="0" w:type="auto"/>
          </w:tcPr>
          <w:p>
            <w:pPr>
              <w:spacing w:line="240" w:lineRule="auto" w:before="0" w:after="0"/>
              <w:pStyle w:val="Compact"/>
            </w:pPr>
            <w:r>
              <w:rPr>
                <w:sz w:val="20"/>
                <w:szCs w:val="20"/>
              </w:rPr>
              <w:t xml:space="preserve">E13_BEIDOUS3_2020</w:t>
            </w:r>
          </w:p>
        </w:tc>
        <w:tc>
          <w:tcPr>
            <w:tcW w:w="0" w:type="auto"/>
          </w:tcPr>
          <w:p>
            <w:pPr>
              <w:spacing w:line="240" w:lineRule="auto" w:before="0" w:after="0"/>
              <w:pStyle w:val="Compact"/>
            </w:pPr>
            <w:r>
              <w:rPr>
                <w:sz w:val="20"/>
                <w:szCs w:val="20"/>
              </w:rPr>
              <w:t xml:space="preserve">CASIC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Andrew Jones SpaceNews 2020-04-09 Long March 3B failure [illustrative]</w:t>
            </w:r>
          </w:p>
        </w:tc>
      </w:tr>
      <w:tr>
        <w:tc>
          <w:tcPr>
            <w:tcW w:w="0" w:type="auto"/>
          </w:tcPr>
          <w:p>
            <w:pPr>
              <w:spacing w:line="240" w:lineRule="auto" w:before="0" w:after="0"/>
              <w:pStyle w:val="Compact"/>
            </w:pPr>
            <w:r>
              <w:rPr>
                <w:sz w:val="20"/>
                <w:szCs w:val="20"/>
              </w:rPr>
              <w:t xml:space="preserve">E14_VEGA_2019</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Arianespace press release 2019-07-11 Vega VV15 failure FalconEye-1 loss</w:t>
            </w:r>
          </w:p>
        </w:tc>
      </w:tr>
      <w:tr>
        <w:tc>
          <w:tcPr>
            <w:tcW w:w="0" w:type="auto"/>
          </w:tcPr>
          <w:p>
            <w:pPr>
              <w:spacing w:line="240" w:lineRule="auto" w:before="0" w:after="0"/>
              <w:pStyle w:val="Compact"/>
            </w:pPr>
            <w:r>
              <w:rPr>
                <w:sz w:val="20"/>
                <w:szCs w:val="20"/>
              </w:rPr>
              <w:t xml:space="preserve">E15_VEGA_2020</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Arianespace press release 2020-11-17 Vega VV17 failure SEOSAT-Ingenio loss</w:t>
            </w:r>
          </w:p>
        </w:tc>
      </w:tr>
      <w:tr>
        <w:tc>
          <w:tcPr>
            <w:tcW w:w="0" w:type="auto"/>
          </w:tcPr>
          <w:p>
            <w:pPr>
              <w:spacing w:line="240" w:lineRule="auto" w:before="0" w:after="0"/>
              <w:pStyle w:val="Compact"/>
            </w:pPr>
            <w:r>
              <w:rPr>
                <w:sz w:val="20"/>
                <w:szCs w:val="20"/>
              </w:rPr>
              <w:t xml:space="preserve">E16_NEWSHEPARD_2022</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FAA 2022-09-12 NS-23 mishap report [illustrative CAR for privately held]</w:t>
            </w:r>
          </w:p>
        </w:tc>
      </w:tr>
      <w:tr>
        <w:tc>
          <w:tcPr>
            <w:tcW w:w="0" w:type="auto"/>
          </w:tcPr>
          <w:p>
            <w:pPr>
              <w:spacing w:line="240" w:lineRule="auto" w:before="0" w:after="0"/>
              <w:pStyle w:val="Compact"/>
            </w:pPr>
            <w:r>
              <w:rPr>
                <w:sz w:val="20"/>
                <w:szCs w:val="20"/>
              </w:rPr>
              <w:t xml:space="preserve">E17_ASTRAROCKET_2022</w:t>
            </w:r>
          </w:p>
        </w:tc>
        <w:tc>
          <w:tcPr>
            <w:tcW w:w="0" w:type="auto"/>
          </w:tcPr>
          <w:p>
            <w:pPr>
              <w:spacing w:line="240" w:lineRule="auto" w:before="0" w:after="0"/>
              <w:pStyle w:val="Compact"/>
            </w:pPr>
            <w:r>
              <w:rPr>
                <w:sz w:val="20"/>
                <w:szCs w:val="20"/>
              </w:rPr>
              <w:t xml:space="preserve">AstraSpace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Astra Space 8-K 2022-06-12 TROPICS-1 mission failure; ASTR NASDAQ market data</w:t>
            </w:r>
          </w:p>
        </w:tc>
      </w:tr>
      <w:tr>
        <w:tc>
          <w:tcPr>
            <w:tcW w:w="0" w:type="auto"/>
          </w:tcPr>
          <w:p>
            <w:pPr>
              <w:spacing w:line="240" w:lineRule="auto" w:before="0" w:after="0"/>
              <w:pStyle w:val="Compact"/>
            </w:pPr>
            <w:r>
              <w:rPr>
                <w:sz w:val="20"/>
                <w:szCs w:val="20"/>
              </w:rPr>
              <w:t xml:space="preserve">E18_LONGMARCH5B_2020</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8.62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2022 Acta Astronautica CZ-5B reentry; CASC state owned [illustrative]</w:t>
            </w:r>
          </w:p>
        </w:tc>
      </w:tr>
      <w:tr>
        <w:tc>
          <w:tcPr>
            <w:tcW w:w="0" w:type="auto"/>
          </w:tcPr>
          <w:p>
            <w:pPr>
              <w:spacing w:line="240" w:lineRule="auto" w:before="0" w:after="0"/>
              <w:pStyle w:val="Compact"/>
            </w:pPr>
            <w:r>
              <w:rPr>
                <w:sz w:val="20"/>
                <w:szCs w:val="20"/>
              </w:rPr>
              <w:t xml:space="preserve">E19_LONGMARCH5B_2021</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8.59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2021-05-08 CZ-5B reentry statement [illustrative]</w:t>
            </w:r>
          </w:p>
        </w:tc>
      </w:tr>
      <w:tr>
        <w:tc>
          <w:tcPr>
            <w:tcW w:w="0" w:type="auto"/>
          </w:tcPr>
          <w:p>
            <w:pPr>
              <w:spacing w:line="240" w:lineRule="auto" w:before="0" w:after="0"/>
              <w:pStyle w:val="Compact"/>
            </w:pPr>
            <w:r>
              <w:rPr>
                <w:sz w:val="20"/>
                <w:szCs w:val="20"/>
              </w:rPr>
              <w:t xml:space="preserve">E20_MEV1_DOCKING_2020</w:t>
            </w:r>
          </w:p>
        </w:tc>
        <w:tc>
          <w:tcPr>
            <w:tcW w:w="0" w:type="auto"/>
          </w:tcPr>
          <w:p>
            <w:pPr>
              <w:spacing w:line="240" w:lineRule="auto" w:before="0" w:after="0"/>
              <w:pStyle w:val="Compact"/>
            </w:pPr>
            <w:r>
              <w:rPr>
                <w:sz w:val="20"/>
                <w:szCs w:val="20"/>
              </w:rPr>
              <w:t xml:space="preserve">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Northrop Grumman press 2020-02-26 MEV-1 successful docking control event NOC 10-Q 2020-Q1</w:t>
            </w:r>
          </w:p>
        </w:tc>
      </w:tr>
      <w:tr>
        <w:tc>
          <w:tcPr>
            <w:tcW w:w="0" w:type="auto"/>
          </w:tcPr>
          <w:p>
            <w:pPr>
              <w:spacing w:line="240" w:lineRule="auto" w:before="0" w:after="0"/>
              <w:pStyle w:val="Compact"/>
            </w:pPr>
            <w:r>
              <w:rPr>
                <w:sz w:val="20"/>
                <w:szCs w:val="20"/>
              </w:rPr>
              <w:t xml:space="preserve">E21_ORBVIEW3_2007</w:t>
            </w:r>
          </w:p>
        </w:tc>
        <w:tc>
          <w:tcPr>
            <w:tcW w:w="0" w:type="auto"/>
          </w:tcPr>
          <w:p>
            <w:pPr>
              <w:spacing w:line="240" w:lineRule="auto" w:before="0" w:after="0"/>
              <w:pStyle w:val="Compact"/>
            </w:pPr>
            <w:r>
              <w:rPr>
                <w:sz w:val="20"/>
                <w:szCs w:val="20"/>
              </w:rPr>
              <w:t xml:space="preserve">GeoEye</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GeoEye 10-K 2007 ORBV-3 loss [illustrative CAR]</w:t>
            </w:r>
          </w:p>
        </w:tc>
      </w:tr>
      <w:tr>
        <w:tc>
          <w:tcPr>
            <w:tcW w:w="0" w:type="auto"/>
          </w:tcPr>
          <w:p>
            <w:pPr>
              <w:spacing w:line="240" w:lineRule="auto" w:before="0" w:after="0"/>
              <w:pStyle w:val="Compact"/>
            </w:pPr>
            <w:r>
              <w:rPr>
                <w:sz w:val="20"/>
                <w:szCs w:val="20"/>
              </w:rPr>
              <w:t xml:space="preserve">E22_GALAXY15_2010</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release 2010-04-08 Galaxy 15 zombie anomaly</w:t>
            </w:r>
          </w:p>
        </w:tc>
      </w:tr>
      <w:tr>
        <w:tc>
          <w:tcPr>
            <w:tcW w:w="0" w:type="auto"/>
          </w:tcPr>
          <w:p>
            <w:pPr>
              <w:spacing w:line="240" w:lineRule="auto" w:before="0" w:after="0"/>
              <w:pStyle w:val="Compact"/>
            </w:pPr>
            <w:r>
              <w:rPr>
                <w:sz w:val="20"/>
                <w:szCs w:val="20"/>
              </w:rPr>
              <w:t xml:space="preserve">E23_SES1_2010</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SES press 2010-04-24 SES-1 nominal launch control event [illustrative]</w:t>
            </w:r>
          </w:p>
        </w:tc>
      </w:tr>
      <w:tr>
        <w:tc>
          <w:tcPr>
            <w:tcW w:w="0" w:type="auto"/>
          </w:tcPr>
          <w:p>
            <w:pPr>
              <w:spacing w:line="240" w:lineRule="auto" w:before="0" w:after="0"/>
              <w:pStyle w:val="Compact"/>
            </w:pPr>
            <w:r>
              <w:rPr>
                <w:sz w:val="20"/>
                <w:szCs w:val="20"/>
              </w:rPr>
              <w:t xml:space="preserve">E24_LM3B_2009</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Anatoly Zak 2009 LM-3B Palapa-D underperformance [illustrative]</w:t>
            </w:r>
          </w:p>
        </w:tc>
      </w:tr>
      <w:tr>
        <w:tc>
          <w:tcPr>
            <w:tcW w:w="0" w:type="auto"/>
          </w:tcPr>
          <w:p>
            <w:pPr>
              <w:spacing w:line="240" w:lineRule="auto" w:before="0" w:after="0"/>
              <w:pStyle w:val="Compact"/>
            </w:pPr>
            <w:r>
              <w:rPr>
                <w:sz w:val="20"/>
                <w:szCs w:val="20"/>
              </w:rPr>
              <w:t xml:space="preserve">E25_PROTONM_2013</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Spaceflight 2013-07-02 Proton-M GLONASS triple loss [illustrative]</w:t>
            </w:r>
          </w:p>
        </w:tc>
      </w:tr>
      <w:tr>
        <w:tc>
          <w:tcPr>
            <w:tcW w:w="0" w:type="auto"/>
          </w:tcPr>
          <w:p>
            <w:pPr>
              <w:spacing w:line="240" w:lineRule="auto" w:before="0" w:after="0"/>
              <w:pStyle w:val="Compact"/>
            </w:pPr>
            <w:r>
              <w:rPr>
                <w:sz w:val="20"/>
                <w:szCs w:val="20"/>
              </w:rPr>
              <w:t xml:space="preserve">E26_BREEZE_M_2012</w:t>
            </w:r>
          </w:p>
        </w:tc>
        <w:tc>
          <w:tcPr>
            <w:tcW w:w="0" w:type="auto"/>
          </w:tcPr>
          <w:p>
            <w:pPr>
              <w:spacing w:line="240" w:lineRule="auto" w:before="0" w:after="0"/>
              <w:pStyle w:val="Compact"/>
            </w:pPr>
            <w:r>
              <w:rPr>
                <w:sz w:val="20"/>
                <w:szCs w:val="20"/>
              </w:rPr>
              <w:t xml:space="preserve">Khrunichev</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Krebs Gunters Space Page 2012-08-06 Breeze-M Telkom-3 Express MD2 anomaly [illustrative]</w:t>
            </w:r>
          </w:p>
        </w:tc>
      </w:tr>
      <w:tr>
        <w:tc>
          <w:tcPr>
            <w:tcW w:w="0" w:type="auto"/>
          </w:tcPr>
          <w:p>
            <w:pPr>
              <w:spacing w:line="240" w:lineRule="auto" w:before="0" w:after="0"/>
              <w:pStyle w:val="Compact"/>
            </w:pPr>
            <w:r>
              <w:rPr>
                <w:sz w:val="20"/>
                <w:szCs w:val="20"/>
              </w:rPr>
              <w:t xml:space="preserve">E27_PSLV_C39_2017</w:t>
            </w:r>
          </w:p>
        </w:tc>
        <w:tc>
          <w:tcPr>
            <w:tcW w:w="0" w:type="auto"/>
          </w:tcPr>
          <w:p>
            <w:pPr>
              <w:spacing w:line="240" w:lineRule="auto" w:before="0" w:after="0"/>
              <w:pStyle w:val="Compact"/>
            </w:pPr>
            <w:r>
              <w:rPr>
                <w:sz w:val="20"/>
                <w:szCs w:val="20"/>
              </w:rPr>
              <w:t xml:space="preserve">Antrix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press 2017-08-31 PSLV-C39 IRNSS-1H heat shield failure [illustrative]</w:t>
            </w:r>
          </w:p>
        </w:tc>
      </w:tr>
      <w:tr>
        <w:tc>
          <w:tcPr>
            <w:tcW w:w="0" w:type="auto"/>
          </w:tcPr>
          <w:p>
            <w:pPr>
              <w:spacing w:line="240" w:lineRule="auto" w:before="0" w:after="0"/>
              <w:pStyle w:val="Compact"/>
            </w:pPr>
            <w:r>
              <w:rPr>
                <w:sz w:val="20"/>
                <w:szCs w:val="20"/>
              </w:rPr>
              <w:t xml:space="preserve">E28_HITOMI_2016</w:t>
            </w:r>
          </w:p>
        </w:tc>
        <w:tc>
          <w:tcPr>
            <w:tcW w:w="0" w:type="auto"/>
          </w:tcPr>
          <w:p>
            <w:pPr>
              <w:spacing w:line="240" w:lineRule="auto" w:before="0" w:after="0"/>
              <w:pStyle w:val="Compact"/>
            </w:pPr>
            <w:r>
              <w:rPr>
                <w:sz w:val="20"/>
                <w:szCs w:val="20"/>
              </w:rPr>
              <w:t xml:space="preserve">MitsubishiHI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JAXA press 2016-04-28 Hitomi/ASTRO-H breakup</w:t>
            </w:r>
          </w:p>
        </w:tc>
      </w:tr>
      <w:tr>
        <w:tc>
          <w:tcPr>
            <w:tcW w:w="0" w:type="auto"/>
          </w:tcPr>
          <w:p>
            <w:pPr>
              <w:spacing w:line="240" w:lineRule="auto" w:before="0" w:after="0"/>
              <w:pStyle w:val="Compact"/>
            </w:pPr>
            <w:r>
              <w:rPr>
                <w:sz w:val="20"/>
                <w:szCs w:val="20"/>
              </w:rPr>
              <w:t xml:space="preserve">E29_INTELSAT801_2019</w:t>
            </w:r>
          </w:p>
        </w:tc>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Intelsat press 2019-12 Intelsat-801 anomaly [illustrative]</w:t>
            </w:r>
          </w:p>
        </w:tc>
      </w:tr>
      <w:tr>
        <w:tc>
          <w:tcPr>
            <w:tcW w:w="0" w:type="auto"/>
          </w:tcPr>
          <w:p>
            <w:pPr>
              <w:spacing w:line="240" w:lineRule="auto" w:before="0" w:after="0"/>
              <w:pStyle w:val="Compact"/>
            </w:pPr>
            <w:r>
              <w:rPr>
                <w:sz w:val="20"/>
                <w:szCs w:val="20"/>
              </w:rPr>
              <w:t xml:space="preserve">E30_O3B_2021</w:t>
            </w:r>
          </w:p>
        </w:tc>
        <w:tc>
          <w:tcPr>
            <w:tcW w:w="0" w:type="auto"/>
          </w:tcPr>
          <w:p>
            <w:pPr>
              <w:spacing w:line="240" w:lineRule="auto" w:before="0" w:after="0"/>
              <w:pStyle w:val="Compact"/>
            </w:pPr>
            <w:r>
              <w:rPr>
                <w:sz w:val="20"/>
                <w:szCs w:val="20"/>
              </w:rPr>
              <w:t xml:space="preserve">SESsa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SES press 2021-12-22 O3b mPower delay anomaly [illustrative]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car_pct</w:t>
            </w:r>
          </w:p>
        </w:tc>
        <w:tc>
          <w:tcPr>
            <w:tcW w:w="0" w:type="auto"/>
          </w:tcPr>
          <w:p>
            <w:pPr>
              <w:spacing w:line="240" w:lineRule="auto" w:before="0" w:after="0"/>
              <w:pStyle w:val="Compact"/>
            </w:pPr>
            <w:r>
              <w:rPr>
                <w:sz w:val="20"/>
                <w:szCs w:val="20"/>
              </w:rPr>
              <w:t xml:space="preserve">Three-day cumulative abnormal return around the event window (t-1, t+1), in percent, against a market-model benchmark</w:t>
            </w:r>
          </w:p>
        </w:tc>
        <w:tc>
          <w:tcPr>
            <w:tcW w:w="0" w:type="auto"/>
          </w:tcPr>
          <w:p>
            <w:pPr>
              <w:spacing w:line="240" w:lineRule="auto" w:before="0" w:after="0"/>
              <w:pStyle w:val="Compact"/>
            </w:pPr>
            <w:r>
              <w:rPr>
                <w:sz w:val="20"/>
                <w:szCs w:val="20"/>
              </w:rPr>
              <w:t xml:space="preserve">Operator 10-Q/8-K/6-K filings and home-exchange market data; illustrative values flagged in source column</w:t>
            </w:r>
          </w:p>
        </w:tc>
      </w:tr>
      <w:tr>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Natural log of one plus the trackable debris count attributable to the event</w:t>
            </w:r>
          </w:p>
        </w:tc>
        <w:tc>
          <w:tcPr>
            <w:tcW w:w="0" w:type="auto"/>
          </w:tcPr>
          <w:p>
            <w:pPr>
              <w:spacing w:line="240" w:lineRule="auto" w:before="0" w:after="0"/>
              <w:pStyle w:val="Compact"/>
            </w:pPr>
            <w:r>
              <w:rPr>
                <w:sz w:val="20"/>
                <w:szCs w:val="20"/>
              </w:rPr>
              <w:t xml:space="preserve">NASA Orbital Debris Quarterly News; Pardini and Anselmo 2023 Acta Astronautica vol 210; Kelso 2009 AMOS</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Natural log of the operator active in-orbit fleet at the event date</w:t>
            </w:r>
          </w:p>
        </w:tc>
        <w:tc>
          <w:tcPr>
            <w:tcW w:w="0" w:type="auto"/>
          </w:tcPr>
          <w:p>
            <w:pPr>
              <w:spacing w:line="240" w:lineRule="auto" w:before="0" w:after="0"/>
              <w:pStyle w:val="Compact"/>
            </w:pPr>
            <w:r>
              <w:rPr>
                <w:sz w:val="20"/>
                <w:szCs w:val="20"/>
              </w:rPr>
              <w:t xml:space="preserve">Operator press releases and annual reports</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Share of operator revenue exposed to low Earth orbit assets at the event date</w:t>
            </w:r>
          </w:p>
        </w:tc>
        <w:tc>
          <w:tcPr>
            <w:tcW w:w="0" w:type="auto"/>
          </w:tcPr>
          <w:p>
            <w:pPr>
              <w:spacing w:line="240" w:lineRule="auto" w:before="0" w:after="0"/>
              <w:pStyle w:val="Compact"/>
            </w:pPr>
            <w:r>
              <w:rPr>
                <w:sz w:val="20"/>
                <w:szCs w:val="20"/>
              </w:rPr>
              <w:t xml:space="preserve">Operator 10-K segment disclosures</w:t>
            </w:r>
          </w:p>
        </w:tc>
      </w:tr>
      <w:tr>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Indicator equal to one if the affected asset carried space-insurance coverage at the event date</w:t>
            </w:r>
          </w:p>
        </w:tc>
        <w:tc>
          <w:tcPr>
            <w:tcW w:w="0" w:type="auto"/>
          </w:tcPr>
          <w:p>
            <w:pPr>
              <w:spacing w:line="240" w:lineRule="auto" w:before="0" w:after="0"/>
              <w:pStyle w:val="Compact"/>
            </w:pPr>
            <w:r>
              <w:rPr>
                <w:sz w:val="20"/>
                <w:szCs w:val="20"/>
              </w:rPr>
              <w:t xml:space="preserve">Space Intelligence Report and operator filings</w:t>
            </w:r>
          </w:p>
        </w:tc>
      </w:tr>
      <w:tr>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Share of operator revenue from sovereign (government or defense) buyers</w:t>
            </w:r>
          </w:p>
        </w:tc>
        <w:tc>
          <w:tcPr>
            <w:tcW w:w="0" w:type="auto"/>
          </w:tcPr>
          <w:p>
            <w:pPr>
              <w:spacing w:line="240" w:lineRule="auto" w:before="0" w:after="0"/>
              <w:pStyle w:val="Compact"/>
            </w:pPr>
            <w:r>
              <w:rPr>
                <w:sz w:val="20"/>
                <w:szCs w:val="20"/>
              </w:rPr>
              <w:t xml:space="preserve">Operator 10-K customer-concentration disclosures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-9.9102</w:t>
            </w:r>
          </w:p>
        </w:tc>
        <w:tc>
          <w:tcPr>
            <w:tcW w:w="0" w:type="auto"/>
          </w:tcPr>
          <w:p>
            <w:pPr>
              <w:spacing w:line="240" w:lineRule="auto" w:before="0" w:after="0"/>
              <w:pStyle w:val="Compact"/>
            </w:pPr>
            <w:r>
              <w:rPr>
                <w:sz w:val="20"/>
                <w:szCs w:val="20"/>
              </w:rPr>
              <w:t xml:space="preserve">4.3782</w:t>
            </w:r>
          </w:p>
        </w:tc>
        <w:tc>
          <w:tcPr>
            <w:tcW w:w="0" w:type="auto"/>
          </w:tcPr>
          <w:p>
            <w:pPr>
              <w:spacing w:line="240" w:lineRule="auto" w:before="0" w:after="0"/>
              <w:pStyle w:val="Compact"/>
            </w:pPr>
            <w:r>
              <w:rPr>
                <w:sz w:val="20"/>
                <w:szCs w:val="20"/>
              </w:rPr>
              <w:t xml:space="preserve">-2.2636</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[-18.4913, -1.3292]</w:t>
            </w:r>
          </w:p>
        </w:tc>
      </w:tr>
      <w:tr>
        <w:tc>
          <w:tcPr>
            <w:tcW w:w="0" w:type="auto"/>
          </w:tcPr>
          <w:p>
            <w:pPr>
              <w:spacing w:line="240" w:lineRule="auto" w:before="0" w:after="0"/>
              <w:pStyle w:val="Compact"/>
            </w:pPr>
            <w:r>
              <w:rPr>
                <w:sz w:val="20"/>
                <w:szCs w:val="20"/>
              </w:rPr>
              <w:t xml:space="preserve">debris_count_log</w:t>
            </w:r>
          </w:p>
        </w:tc>
        <w:tc>
          <w:tcPr>
            <w:tcW w:w="0" w:type="auto"/>
          </w:tcPr>
          <w:p>
            <w:pPr>
              <w:spacing w:line="240" w:lineRule="auto" w:before="0" w:after="0"/>
              <w:pStyle w:val="Compact"/>
            </w:pPr>
            <w:r>
              <w:rPr>
                <w:sz w:val="20"/>
                <w:szCs w:val="20"/>
              </w:rPr>
              <w:t xml:space="preserve">-0.444</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-1.7112</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[-0.9525, 0.0645]</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1.6157</w:t>
            </w:r>
          </w:p>
        </w:tc>
        <w:tc>
          <w:tcPr>
            <w:tcW w:w="0" w:type="auto"/>
          </w:tcPr>
          <w:p>
            <w:pPr>
              <w:spacing w:line="240" w:lineRule="auto" w:before="0" w:after="0"/>
              <w:pStyle w:val="Compact"/>
            </w:pPr>
            <w:r>
              <w:rPr>
                <w:sz w:val="20"/>
                <w:szCs w:val="20"/>
              </w:rPr>
              <w:t xml:space="preserve">0.4434</w:t>
            </w:r>
          </w:p>
        </w:tc>
        <w:tc>
          <w:tcPr>
            <w:tcW w:w="0" w:type="auto"/>
          </w:tcPr>
          <w:p>
            <w:pPr>
              <w:spacing w:line="240" w:lineRule="auto" w:before="0" w:after="0"/>
              <w:pStyle w:val="Compact"/>
            </w:pPr>
            <w:r>
              <w:rPr>
                <w:sz w:val="20"/>
                <w:szCs w:val="20"/>
              </w:rPr>
              <w:t xml:space="preserve">3.644</w:t>
            </w:r>
          </w:p>
        </w:tc>
        <w:tc>
          <w:tcPr>
            <w:tcW w:w="0" w:type="auto"/>
          </w:tcPr>
          <w:p>
            <w:pPr>
              <w:spacing w:line="240" w:lineRule="auto" w:before="0" w:after="0"/>
              <w:pStyle w:val="Compact"/>
            </w:pPr>
            <w:r>
              <w:rPr>
                <w:sz w:val="20"/>
                <w:szCs w:val="20"/>
              </w:rPr>
              <w:t xml:space="preserve">0.0002685</w:t>
            </w:r>
          </w:p>
        </w:tc>
        <w:tc>
          <w:tcPr>
            <w:tcW w:w="0" w:type="auto"/>
          </w:tcPr>
          <w:p>
            <w:pPr>
              <w:spacing w:line="240" w:lineRule="auto" w:before="0" w:after="0"/>
              <w:pStyle w:val="Compact"/>
            </w:pPr>
            <w:r>
              <w:rPr>
                <w:sz w:val="20"/>
                <w:szCs w:val="20"/>
              </w:rPr>
              <w:t xml:space="preserve">[0.7467, 2.4847]</w:t>
            </w:r>
          </w:p>
        </w:tc>
      </w:tr>
      <w:tr>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-0.9799</w:t>
            </w:r>
          </w:p>
        </w:tc>
        <w:tc>
          <w:tcPr>
            <w:tcW w:w="0" w:type="auto"/>
          </w:tcPr>
          <w:p>
            <w:pPr>
              <w:spacing w:line="240" w:lineRule="auto" w:before="0" w:after="0"/>
              <w:pStyle w:val="Compact"/>
            </w:pPr>
            <w:r>
              <w:rPr>
                <w:sz w:val="20"/>
                <w:szCs w:val="20"/>
              </w:rPr>
              <w:t xml:space="preserve">1.7033</w:t>
            </w:r>
          </w:p>
        </w:tc>
        <w:tc>
          <w:tcPr>
            <w:tcW w:w="0" w:type="auto"/>
          </w:tcPr>
          <w:p>
            <w:pPr>
              <w:spacing w:line="240" w:lineRule="auto" w:before="0" w:after="0"/>
              <w:pStyle w:val="Compact"/>
            </w:pPr>
            <w:r>
              <w:rPr>
                <w:sz w:val="20"/>
                <w:szCs w:val="20"/>
              </w:rPr>
              <w:t xml:space="preserve">-0.5753</w:t>
            </w:r>
          </w:p>
        </w:tc>
        <w:tc>
          <w:tcPr>
            <w:tcW w:w="0" w:type="auto"/>
          </w:tcPr>
          <w:p>
            <w:pPr>
              <w:spacing w:line="240" w:lineRule="auto" w:before="0" w:after="0"/>
              <w:pStyle w:val="Compact"/>
            </w:pPr>
            <w:r>
              <w:rPr>
                <w:sz w:val="20"/>
                <w:szCs w:val="20"/>
              </w:rPr>
              <w:t xml:space="preserve">0.5651</w:t>
            </w:r>
          </w:p>
        </w:tc>
        <w:tc>
          <w:tcPr>
            <w:tcW w:w="0" w:type="auto"/>
          </w:tcPr>
          <w:p>
            <w:pPr>
              <w:spacing w:line="240" w:lineRule="auto" w:before="0" w:after="0"/>
              <w:pStyle w:val="Compact"/>
            </w:pPr>
            <w:r>
              <w:rPr>
                <w:sz w:val="20"/>
                <w:szCs w:val="20"/>
              </w:rPr>
              <w:t xml:space="preserve">[-4.3183, 2.3585]</w:t>
            </w:r>
          </w:p>
        </w:tc>
      </w:tr>
      <w:tr>
        <w:tc>
          <w:tcPr>
            <w:tcW w:w="0" w:type="auto"/>
          </w:tcPr>
          <w:p>
            <w:pPr>
              <w:spacing w:line="240" w:lineRule="auto" w:before="0" w:after="0"/>
              <w:pStyle w:val="Compact"/>
            </w:pPr>
            <w:r>
              <w:rPr>
                <w:sz w:val="20"/>
                <w:szCs w:val="20"/>
              </w:rPr>
              <w:t xml:space="preserve">insured</w:t>
            </w:r>
          </w:p>
        </w:tc>
        <w:tc>
          <w:tcPr>
            <w:tcW w:w="0" w:type="auto"/>
          </w:tcPr>
          <w:p>
            <w:pPr>
              <w:spacing w:line="240" w:lineRule="auto" w:before="0" w:after="0"/>
              <w:pStyle w:val="Compact"/>
            </w:pPr>
            <w:r>
              <w:rPr>
                <w:sz w:val="20"/>
                <w:szCs w:val="20"/>
              </w:rPr>
              <w:t xml:space="preserve">0.8644</w:t>
            </w:r>
          </w:p>
        </w:tc>
        <w:tc>
          <w:tcPr>
            <w:tcW w:w="0" w:type="auto"/>
          </w:tcPr>
          <w:p>
            <w:pPr>
              <w:spacing w:line="240" w:lineRule="auto" w:before="0" w:after="0"/>
              <w:pStyle w:val="Compact"/>
            </w:pPr>
            <w:r>
              <w:rPr>
                <w:sz w:val="20"/>
                <w:szCs w:val="20"/>
              </w:rPr>
              <w:t xml:space="preserve">2.3015</w:t>
            </w:r>
          </w:p>
        </w:tc>
        <w:tc>
          <w:tcPr>
            <w:tcW w:w="0" w:type="auto"/>
          </w:tcPr>
          <w:p>
            <w:pPr>
              <w:spacing w:line="240" w:lineRule="auto" w:before="0" w:after="0"/>
              <w:pStyle w:val="Compact"/>
            </w:pPr>
            <w:r>
              <w:rPr>
                <w:sz w:val="20"/>
                <w:szCs w:val="20"/>
              </w:rPr>
              <w:t xml:space="preserve">0.3756</w:t>
            </w:r>
          </w:p>
        </w:tc>
        <w:tc>
          <w:tcPr>
            <w:tcW w:w="0" w:type="auto"/>
          </w:tcPr>
          <w:p>
            <w:pPr>
              <w:spacing w:line="240" w:lineRule="auto" w:before="0" w:after="0"/>
              <w:pStyle w:val="Compact"/>
            </w:pPr>
            <w:r>
              <w:rPr>
                <w:sz w:val="20"/>
                <w:szCs w:val="20"/>
              </w:rPr>
              <w:t xml:space="preserve">0.7072</w:t>
            </w:r>
          </w:p>
        </w:tc>
        <w:tc>
          <w:tcPr>
            <w:tcW w:w="0" w:type="auto"/>
          </w:tcPr>
          <w:p>
            <w:pPr>
              <w:spacing w:line="240" w:lineRule="auto" w:before="0" w:after="0"/>
              <w:pStyle w:val="Compact"/>
            </w:pPr>
            <w:r>
              <w:rPr>
                <w:sz w:val="20"/>
                <w:szCs w:val="20"/>
              </w:rPr>
              <w:t xml:space="preserve">[-3.6465, 5.3754]</w:t>
            </w:r>
          </w:p>
        </w:tc>
      </w:tr>
      <w:tr>
        <w:tc>
          <w:tcPr>
            <w:tcW w:w="0" w:type="auto"/>
          </w:tcPr>
          <w:p>
            <w:pPr>
              <w:spacing w:line="240" w:lineRule="auto" w:before="0" w:after="0"/>
              <w:pStyle w:val="Compact"/>
            </w:pPr>
            <w:r>
              <w:rPr>
                <w:sz w:val="20"/>
                <w:szCs w:val="20"/>
              </w:rPr>
              <w:t xml:space="preserve">sov_buyer_share</w:t>
            </w:r>
          </w:p>
        </w:tc>
        <w:tc>
          <w:tcPr>
            <w:tcW w:w="0" w:type="auto"/>
          </w:tcPr>
          <w:p>
            <w:pPr>
              <w:spacing w:line="240" w:lineRule="auto" w:before="0" w:after="0"/>
              <w:pStyle w:val="Compact"/>
            </w:pPr>
            <w:r>
              <w:rPr>
                <w:sz w:val="20"/>
                <w:szCs w:val="20"/>
              </w:rPr>
              <w:t xml:space="preserve">5.1704</w:t>
            </w:r>
          </w:p>
        </w:tc>
        <w:tc>
          <w:tcPr>
            <w:tcW w:w="0" w:type="auto"/>
          </w:tcPr>
          <w:p>
            <w:pPr>
              <w:spacing w:line="240" w:lineRule="auto" w:before="0" w:after="0"/>
              <w:pStyle w:val="Compact"/>
            </w:pPr>
            <w:r>
              <w:rPr>
                <w:sz w:val="20"/>
                <w:szCs w:val="20"/>
              </w:rPr>
              <w:t xml:space="preserve">3.5239</w:t>
            </w:r>
          </w:p>
        </w:tc>
        <w:tc>
          <w:tcPr>
            <w:tcW w:w="0" w:type="auto"/>
          </w:tcPr>
          <w:p>
            <w:pPr>
              <w:spacing w:line="240" w:lineRule="auto" w:before="0" w:after="0"/>
              <w:pStyle w:val="Compact"/>
            </w:pPr>
            <w:r>
              <w:rPr>
                <w:sz w:val="20"/>
                <w:szCs w:val="20"/>
              </w:rPr>
              <w:t xml:space="preserve">1.4672</w:t>
            </w:r>
          </w:p>
        </w:tc>
        <w:tc>
          <w:tcPr>
            <w:tcW w:w="0" w:type="auto"/>
          </w:tcPr>
          <w:p>
            <w:pPr>
              <w:spacing w:line="240" w:lineRule="auto" w:before="0" w:after="0"/>
              <w:pStyle w:val="Compact"/>
            </w:pPr>
            <w:r>
              <w:rPr>
                <w:sz w:val="20"/>
                <w:szCs w:val="20"/>
              </w:rPr>
              <w:t xml:space="preserve">0.1423</w:t>
            </w:r>
          </w:p>
        </w:tc>
        <w:tc>
          <w:tcPr>
            <w:tcW w:w="0" w:type="auto"/>
          </w:tcPr>
          <w:p>
            <w:pPr>
              <w:spacing w:line="240" w:lineRule="auto" w:before="0" w:after="0"/>
              <w:pStyle w:val="Compact"/>
            </w:pPr>
            <w:r>
              <w:rPr>
                <w:sz w:val="20"/>
                <w:szCs w:val="20"/>
              </w:rPr>
              <w:t xml:space="preserve">[-1.7364, 12.0772]</w:t>
            </w:r>
          </w:p>
        </w:tc>
      </w:tr>
    </w:tbl>
    <w:p>
      <w:pPr>
        <w:pStyle w:val="BodyText"/>
      </w:pPr>
      <w:r>
        <w:t xml:space="preserve">Fit: N = 30 R2 = 0.4479 R2_adj = 0.3329 F = 4.8556 F_p = 0.0033</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1" Target="https://doi.org/10.1016/j.actaastro.2023.02.043" TargetMode="External" /><Relationship Type="http://schemas.openxmlformats.org/officeDocument/2006/relationships/hyperlink" Id="rId68" Target="https://doi.org/10.1016/j.actaastro.2024.05.026" TargetMode="External" /><Relationship Type="http://schemas.openxmlformats.org/officeDocument/2006/relationships/hyperlink" Id="rId73" Target="https://doi.org/10.1016/j.actaastro.2024.06.015" TargetMode="External" /><Relationship Type="http://schemas.openxmlformats.org/officeDocument/2006/relationships/hyperlink" Id="rId75" Target="https://doi.org/10.1016/j.actaastro.2026.01.061"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3.02.043" TargetMode="External" /><Relationship Type="http://schemas.openxmlformats.org/officeDocument/2006/relationships/hyperlink" Id="rId68" Target="https://doi.org/10.1016/j.actaastro.2024.05.026" TargetMode="External" /><Relationship Type="http://schemas.openxmlformats.org/officeDocument/2006/relationships/hyperlink" Id="rId73" Target="https://doi.org/10.1016/j.actaastro.2024.06.015" TargetMode="External" /><Relationship Type="http://schemas.openxmlformats.org/officeDocument/2006/relationships/hyperlink" Id="rId75" Target="https://doi.org/10.1016/j.actaastro.2026.01.06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2026-06-27T13:10:05Z</dcterms:created>
  <dcterms:modified xsi:type="dcterms:W3CDTF">2026-06-27T13:10:05Z</dcterms:modified>
</cp:coreProperties>
</file>

<file path=docProps/custom.xml><?xml version="1.0" encoding="utf-8"?>
<Properties xmlns="http://schemas.openxmlformats.org/officeDocument/2006/custom-properties" xmlns:vt="http://schemas.openxmlformats.org/officeDocument/2006/docPropsVTypes"/>
</file>