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THE CAPITAL-MARKETS PENALTY FOR DEBRIS EVENTS: EVENT-STUDY EVIDENCE ON OPERATOR</w:t>
      </w:r>
    </w:p>
    <w:p>
      <w:pPr>
        <w:jc w:val="center"/>
      </w:pPr>
    </w:p>
    <w:p>
      <w:pPr>
        <w:jc w:val="center"/>
      </w:pPr>
      <w:r>
        <w:rPr>
          <w:rFonts w:ascii="Times New Roman" w:hAnsi="Times New Roman"/>
          <w:sz w:val="24"/>
        </w:rPr>
        <w:t>by</w:t>
      </w:r>
    </w:p>
    <w:p>
      <w:pPr>
        <w:jc w:val="center"/>
      </w:pPr>
      <w:r>
        <w:rPr>
          <w:rFonts w:ascii="Times New Roman" w:hAnsi="Times New Roman"/>
          <w:b/>
          <w:sz w:val="28"/>
        </w:rPr>
        <w:t>Sofia Marsh</w:t>
      </w:r>
    </w:p>
    <w:p>
      <w:pPr>
        <w:jc w:val="center"/>
      </w:pPr>
      <w:r>
        <w:rPr>
          <w:rFonts w:ascii="Times New Roman" w:hAnsi="Times New Roman"/>
          <w:sz w:val="24"/>
        </w:rPr>
        <w:t>1B-SDA-116</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5" w:name="chapter-1.-introduction"/>
    <w:p>
      <w:pPr>
        <w:pStyle w:val="Heading1"/>
        <w:spacing w:line="480" w:lineRule="auto"/>
      </w:pPr>
      <w:r>
        <w:t xml:space="preserve">Chapter 1. Introduction</w:t>
      </w:r>
    </w:p>
    <w:bookmarkStart w:id="61" w:name="the-problem-and-its-stakes"/>
    <w:p>
      <w:pPr>
        <w:pStyle w:val="Heading2"/>
        <w:spacing w:line="480" w:lineRule="auto"/>
      </w:pPr>
      <w:r>
        <w:t xml:space="preserve">1.1 The Problem and Its Stakes</w:t>
      </w:r>
    </w:p>
    <w:p>
      <w:pPr>
        <w:pStyle w:val="FirstParagraph"/>
        <w:spacing w:line="480" w:lineRule="auto"/>
      </w:pPr>
      <w:r>
        <w:t xml:space="preserve">By a comfortable margin, orbital debris is the dominant collision hazard in low Earth orbit, and the residual hazard concentrates overwhelmingly in inactive objects rather than in the maneuverable operational satellites whose owners can be reached by a phone call and a maneuver plan</w:t>
      </w:r>
      <w:r>
        <w:t xml:space="preserve"> </w:t>
      </w:r>
      <w:hyperlink w:anchor="ref-2">
        <w:r>
          <w:rPr>
            <w:rStyle w:val="Hyperlink"/>
          </w:rPr>
          <w:t xml:space="preserve">[2]</w:t>
        </w:r>
      </w:hyperlink>
      <w:r>
        <w:t xml:space="preserve">. That hazard is no longer a matter of projection. Three events made the population concrete: the 2007 Chinese anti-satellite test against Fengyun-1C, the 2009 hypervelocity collision between Cosmos 2251 and Iridium 33, and the 2021 Russian destructive direct-ascent anti-satellite test against Cosmos 1408 [11, 7, 16, 26]. Each injected long-lived fragment clouds into densely used orbital shells, and each durably raised the conjunction workload that every subsequent operator has had to carry. Cosmos 1408 did this most visibly, reshaping the near-term conjunction environment of the International Space Station and of the large commercial constellations whose mission profiles were never designed around an additional persistent fragment cloud at that altitude</w:t>
      </w:r>
      <w:r>
        <w:t xml:space="preserve"> </w:t>
      </w:r>
      <w:hyperlink w:anchor="ref-7">
        <w:r>
          <w:rPr>
            <w:rStyle w:val="Hyperlink"/>
          </w:rPr>
          <w:t xml:space="preserve">[7]</w:t>
        </w:r>
      </w:hyperlink>
      <w:r>
        <w:t xml:space="preserve">. When analysts reconstruct more recent in-orbit breakups, including those whose origin is operational rather than adversarial, they find no slackening in the empirical tempo of fragmentation [9, 32, 28]. A parallel finding runs through the aviation-safety literature: uncontrolled reentries of large stages and decommissioned spacecraft are no longer rare, and their casualty-risk and airspace-disruption consequences can now be quantified</w:t>
      </w:r>
      <w:r>
        <w:t xml:space="preserve"> </w:t>
      </w:r>
      <w:hyperlink w:anchor="ref-10">
        <w:r>
          <w:rPr>
            <w:rStyle w:val="Hyperlink"/>
          </w:rPr>
          <w:t xml:space="preserve">[10]</w:t>
        </w:r>
      </w:hyperlink>
      <w:r>
        <w:t xml:space="preserve">.</w:t>
      </w:r>
    </w:p>
    <w:p>
      <w:pPr>
        <w:pStyle w:val="BodyText"/>
        <w:spacing w:line="480" w:lineRule="auto"/>
        <w:ind w:firstLine="720"/>
      </w:pPr>
      <w:r>
        <w:t xml:space="preserve">For NASA and for the Jet Propulsion Laboratory, this environment is doctrinal as much as operational. Through the Orbital Debris Program Office at Johnson Space Center, NASA carries institutional responsibility for the canonical fragment catalog and for the engineering models that translate that catalog into mission risk</w:t>
      </w:r>
      <w:r>
        <w:t xml:space="preserve"> </w:t>
      </w:r>
      <w:hyperlink w:anchor="ref-15">
        <w:r>
          <w:rPr>
            <w:rStyle w:val="Hyperlink"/>
          </w:rPr>
          <w:t xml:space="preserve">[15]</w:t>
        </w:r>
      </w:hyperlink>
      <w:r>
        <w:t xml:space="preserve">. A parallel responsibility falls to the Jet Propulsion Laboratory, which on its deep-space and Earth-observing missions must turn a tracked population into actionable collision-avoidance decisions through its orbit-determination products and ground-segment architectures [8, 21]. Both organizations are now being asked to convert their physical understanding of debris into instruments that change operator behavior. One such instrument comes from the Space Sustainability Rating consortium, which has proposed an operator-facing composite indicator meant to be observable to investors, insurers, and customers, and to discipline operator choices through those channels [4, 12]. Decision-support architectures for continuing supervision of commercial in-space servicing have begun to formalize the operator decisions that a sustainability-conscious regulator would prefer to see</w:t>
      </w:r>
      <w:r>
        <w:t xml:space="preserve"> </w:t>
      </w:r>
      <w:hyperlink w:anchor="ref-13">
        <w:r>
          <w:rPr>
            <w:rStyle w:val="Hyperlink"/>
          </w:rPr>
          <w:t xml:space="preserve">[13]</w:t>
        </w:r>
      </w:hyperlink>
      <w:r>
        <w:t xml:space="preserve">. Meanwhile, forecasts of launch traffic anchored to global gross domestic product imply that the operator population any such instrument must reach will grow faster than the cadence at which the international liability regime can be amended</w:t>
      </w:r>
      <w:r>
        <w:t xml:space="preserve"> </w:t>
      </w:r>
      <w:hyperlink w:anchor="ref-17">
        <w:r>
          <w:rPr>
            <w:rStyle w:val="Hyperlink"/>
          </w:rPr>
          <w:t xml:space="preserve">[17]</w:t>
        </w:r>
      </w:hyperlink>
      <w:r>
        <w:t xml:space="preserve">. Grow with it, too, will the cost of getting the calibration wrong in either direction.</w:t>
      </w:r>
    </w:p>
    <w:p>
      <w:pPr>
        <w:pStyle w:val="BodyText"/>
        <w:spacing w:line="480" w:lineRule="auto"/>
        <w:ind w:firstLine="720"/>
      </w:pPr>
      <w:r>
        <w:t xml:space="preserve">So the stakes are neither purely scholarly nor purely commercial. Suppose equity markets already impose a measurable penalty on operators implicated in debris events. Then a substantial fraction of the policy work attributed to the sustainability rating, to transferable debris credits, and to insurance-linked schemes is already being performed by the secondary market for operator shares, and the design of those instruments should be calibrated against the price reaction the market already supplies [3, 27, 29]. Suppose instead that equity markets impose no such penalty. Then the regulatory instrument is doing all of the work, and its calibration cannot be borrowed from a market signal that does not exist. NASA and the Jet Propulsion Laboratory have an institutional interest in knowing which of these two worlds they inhabit before they recommend that any rating, credit, or insurance-linked instrument be relied upon to discipline operator behavior on missions that share orbital shells with their own assets.</w:t>
      </w:r>
    </w:p>
    <w:bookmarkEnd w:id="61"/>
    <w:bookmarkStart w:id="62" w:name="Xf30008fd28f360eb8a859a1c12858bf7c60a4b4"/>
    <w:p>
      <w:pPr>
        <w:pStyle w:val="Heading2"/>
        <w:spacing w:line="480" w:lineRule="auto"/>
      </w:pPr>
      <w:r>
        <w:t xml:space="preserve">1.2 The Gap Between the Domain Literature and the Econometric Method Literature</w:t>
      </w:r>
    </w:p>
    <w:p>
      <w:pPr>
        <w:pStyle w:val="FirstParagraph"/>
        <w:spacing w:line="480" w:lineRule="auto"/>
      </w:pPr>
      <w:r>
        <w:t xml:space="preserve">Work bearing on this question is unusually bimodal. On the domain side, a substantial body of scholarship in Acta Astronautica, in the AMOS conference proceedings, and in adjacent venues has documented the physical, operational, and architectural consequences of debris events with increasing precision. Source-sink physical-economic models treat debris as a stock variable whose marginal social cost can in principle be inferred from operator-level responses, and recent multi-shell formulations have made that inference structurally explicit</w:t>
      </w:r>
      <w:r>
        <w:t xml:space="preserve"> </w:t>
      </w:r>
      <w:hyperlink w:anchor="ref-1">
        <w:r>
          <w:rPr>
            <w:rStyle w:val="Hyperlink"/>
          </w:rPr>
          <w:t xml:space="preserve">[1]</w:t>
        </w:r>
      </w:hyperlink>
      <w:r>
        <w:t xml:space="preserve">. Reconstruction studies of in-orbit breakups, both short-term and long-term, have sharpened the attribution layer on which any economic study must rest [9, 32, 28]. Orbit-determination surveys catalog the sensor and algorithmic infrastructure on which event timing and event severity ultimately depend</w:t>
      </w:r>
      <w:r>
        <w:t xml:space="preserve"> </w:t>
      </w:r>
      <w:hyperlink w:anchor="ref-8">
        <w:r>
          <w:rPr>
            <w:rStyle w:val="Hyperlink"/>
          </w:rPr>
          <w:t xml:space="preserve">[8]</w:t>
        </w:r>
      </w:hyperlink>
      <w:r>
        <w:t xml:space="preserve">. Studies of operational collision-risk management have characterized the maneuver burden that a debris event imposes on neighboring operators</w:t>
      </w:r>
      <w:r>
        <w:t xml:space="preserve"> </w:t>
      </w:r>
      <w:hyperlink w:anchor="ref-22">
        <w:r>
          <w:rPr>
            <w:rStyle w:val="Hyperlink"/>
          </w:rPr>
          <w:t xml:space="preserve">[22]</w:t>
        </w:r>
      </w:hyperlink>
      <w:r>
        <w:t xml:space="preserve">. Adaptive stress testing of space-domain-awareness systems has begun to probe the brittleness of the very catalogs from which events are identified</w:t>
      </w:r>
      <w:r>
        <w:t xml:space="preserve"> </w:t>
      </w:r>
      <w:hyperlink w:anchor="ref-24">
        <w:r>
          <w:rPr>
            <w:rStyle w:val="Hyperlink"/>
          </w:rPr>
          <w:t xml:space="preserve">[24]</w:t>
        </w:r>
      </w:hyperlink>
      <w:r>
        <w:t xml:space="preserve">. Framing orbital sustainability as a socio-technical bargaining problem, the architectural-norms literature shows operator behavior shaped by reputational and dual-use considerations alongside direct cost [6, 14]. Coordinated commodity-market formulations of space-domain awareness have made the institutional architecture of that bargaining problem more legible</w:t>
      </w:r>
      <w:r>
        <w:t xml:space="preserve"> </w:t>
      </w:r>
      <w:hyperlink w:anchor="ref-25">
        <w:r>
          <w:rPr>
            <w:rStyle w:val="Hyperlink"/>
          </w:rPr>
          <w:t xml:space="preserve">[25]</w:t>
        </w:r>
      </w:hyperlink>
      <w:r>
        <w:t xml:space="preserve">, and international-collaboration architectures such as the DRAGON Army Sync Service have lent credibility to the data-sharing pipelines on which any cross-operator analysis depends</w:t>
      </w:r>
      <w:r>
        <w:t xml:space="preserve"> </w:t>
      </w:r>
      <w:hyperlink w:anchor="ref-23">
        <w:r>
          <w:rPr>
            <w:rStyle w:val="Hyperlink"/>
          </w:rPr>
          <w:t xml:space="preserve">[23]</w:t>
        </w:r>
      </w:hyperlink>
      <w:r>
        <w:t xml:space="preserve">. Model-based control frameworks for debris management close the loop between fragment population and engineering policy</w:t>
      </w:r>
      <w:r>
        <w:t xml:space="preserve"> </w:t>
      </w:r>
      <w:hyperlink w:anchor="ref-18">
        <w:r>
          <w:rPr>
            <w:rStyle w:val="Hyperlink"/>
          </w:rPr>
          <w:t xml:space="preserve">[18]</w:t>
        </w:r>
      </w:hyperlink>
      <w:r>
        <w:t xml:space="preserve">. Yet across all of this work the operator appears in only three guises: a physical entity contributing mass and area to a population, an institutional entity rankable along a sustainability ordinal, or a node in a data-sharing architecture. What the operator never becomes is an economic agent whose claim on future cash flows investors reprice when a debris event occurs.</w:t>
      </w:r>
    </w:p>
    <w:p>
      <w:pPr>
        <w:pStyle w:val="BodyText"/>
        <w:spacing w:line="480" w:lineRule="auto"/>
        <w:ind w:firstLine="720"/>
      </w:pPr>
      <w:r>
        <w:t xml:space="preserve">The method side tells the opposite story. Over four decades the econometric literature on short-window event studies has produced a mature and well-understood toolkit. Expected returns are estimated from a market-model or multifactor benchmark over a pre-event estimation window; abnormal returns are aggregated over a short event window into a cumulative abnormal return; cross-sectional inference proceeds through standardized tests that accommodate event-induced variance and clustering. How these estimators behave under thin trading, under event clustering, under partial anticipation, and under contamination by confounding news is by now documented. This is the standard instrument by which finance, environmental economics, and industrial organization estimate the capital-markets consequences of regulatory shocks, accidents, and disclosures. None of it, in the published literature retrieved for this dissertation, has been applied to debris-generating events affecting publicly traded satellite operators with the methodological care the domain warrants. Two pilot cross-sections motivated the present work, the thirty-event specification reported in the candidate’s first research paper and the thirty-five-event specification reported in the second. They established that the sign of the debris coefficient is consistent with theory and that a liability-claim indicator absorbs a disproportionate share of the abnormal-return variance, but neither was designed to deliver an identified causal estimate.</w:t>
      </w:r>
    </w:p>
    <w:p>
      <w:pPr>
        <w:pStyle w:val="BodyText"/>
        <w:spacing w:line="480" w:lineRule="auto"/>
        <w:ind w:firstLine="720"/>
      </w:pPr>
      <w:r>
        <w:t xml:space="preserve">Stated precisely, the gap is this. On one side sit the events, the attribution, and the physical taxonomy. On the other sit the estimator, the inference machinery, and the standards of identification. No published work has joined them to yield a falsifiable point estimate of the capital-markets penalty for a debris event, and none has tested whether that penalty varies with the operator’s ex ante sustainability posture, the variation that would validate or falsify the central premise of the Space Sustainability Rating program. One gap is a measurement gap. The other is an instrument-design gap. Both bear directly on the decisions NASA and the Jet Propulsion Laboratory are now being asked to support.</w:t>
      </w:r>
    </w:p>
    <w:bookmarkEnd w:id="62"/>
    <w:bookmarkStart w:id="63" w:name="the-single-falsifiable-contribution"/>
    <w:p>
      <w:pPr>
        <w:pStyle w:val="Heading2"/>
        <w:spacing w:line="480" w:lineRule="auto"/>
      </w:pPr>
      <w:r>
        <w:t xml:space="preserve">1.3 The Single Falsifiable Contribution</w:t>
      </w:r>
    </w:p>
    <w:p>
      <w:pPr>
        <w:pStyle w:val="FirstParagraph"/>
        <w:spacing w:line="480" w:lineRule="auto"/>
      </w:pPr>
      <w:r>
        <w:t xml:space="preserve">One hypothesis is tested here, stated with the precision doctoral practice requires.</w:t>
      </w:r>
    </w:p>
    <w:p>
      <w:pPr>
        <w:pStyle w:val="BodyText"/>
        <w:spacing w:line="480" w:lineRule="auto"/>
        <w:ind w:firstLine="720"/>
      </w:pPr>
      <w:r>
        <w:t xml:space="preserve">Under the null, the mean cumulative abnormal return for publicly traded satellite operators is statistically indistinguishable from zero. The window runs from one day before to three days after a confirmed debris-generating event affecting their fleet, or a confirmed conjunction warning at or below one kilometer miss distance involving one of their active satellites. Expected returns come from a Fama-French three-factor benchmark fit on a two-hundred-fifty to thirty trading-day pre-event estimation window, and cross-sectional inference runs through the Patell standardized test, with the Boehmer-Musumeci-Poulsen test reported as a robustness check.</w:t>
      </w:r>
    </w:p>
    <w:p>
      <w:pPr>
        <w:pStyle w:val="BodyText"/>
        <w:spacing w:line="480" w:lineRule="auto"/>
        <w:ind w:firstLine="720"/>
      </w:pPr>
      <w:r>
        <w:t xml:space="preserve">Under the alternative, that mean cumulative abnormal return is negative and statistically distinguishable from zero, and the magnitude of the penalty decreases monotonically in the operator’s ex ante Space Sustainability Rating tier as published prior to the event [4, 12].</w:t>
      </w:r>
    </w:p>
    <w:p>
      <w:pPr>
        <w:pStyle w:val="BodyText"/>
        <w:spacing w:line="480" w:lineRule="auto"/>
        <w:ind w:firstLine="720"/>
      </w:pPr>
      <w:r>
        <w:t xml:space="preserve">Reject the null in favor of the alternative and you establish, for the first time in the published literature, that a capital-markets penalty for debris events exists and in which direction it runs, and you identify whether the operator’s ex ante sustainability posture moderates it strongly enough to justify reliance on the rating as a market-disciplining instrument. Fail to reject and you falsify the central premise underwriting market-based sustainability incentives, forcing the policy conversation back onto the regulatory instrument. Either outcome informs. The design leaves no room for a neutral result. What the dissertation contributes is therefore a single falsifiable point estimate, identified from cumulative abnormal returns around hand-coded event windows, with operator-level controls for orbital regime, insured value, and ex ante sustainability rating tier. Identification is defended by an event taxonomy that distinguishes anticipated from unanticipated reentries</w:t>
      </w:r>
      <w:r>
        <w:t xml:space="preserve"> </w:t>
      </w:r>
      <w:hyperlink w:anchor="ref-10">
        <w:r>
          <w:rPr>
            <w:rStyle w:val="Hyperlink"/>
          </w:rPr>
          <w:t xml:space="preserve">[10]</w:t>
        </w:r>
      </w:hyperlink>
      <w:r>
        <w:t xml:space="preserve">, by the use of disclosure timestamps rather than conjunction epochs for conjunction-warning events, and by the use of ex ante rather than ex post sustainability tier assignments [4, 12].</w:t>
      </w:r>
    </w:p>
    <w:p>
      <w:pPr>
        <w:pStyle w:val="BodyText"/>
        <w:spacing w:line="480" w:lineRule="auto"/>
        <w:ind w:firstLine="720"/>
      </w:pPr>
      <w:r>
        <w:t xml:space="preserve">That contribution is bounded honestly. It does not claim to identify the welfare consequences of debris events, the social cost of the marginal fragment, or the optimal stringency of any future debris-credit instrument. Nor does it claim to identify operator behavior, only the capital-markets response to events whose timing the operator does not control. From the estimated penalty to a market-disciplining instrument, the chain of inference is left to the policy chapter, which is explicit about the assumptions on which it rests. What is claimed is a clean, falsifiable, replicable point estimate of one quantity the literature has asserted but never measured.</w:t>
      </w:r>
    </w:p>
    <w:bookmarkEnd w:id="63"/>
    <w:bookmarkStart w:id="64" w:name="roadmap"/>
    <w:p>
      <w:pPr>
        <w:pStyle w:val="Heading2"/>
        <w:spacing w:line="480" w:lineRule="auto"/>
      </w:pPr>
      <w:r>
        <w:t xml:space="preserve">1.4 Roadmap</w:t>
      </w:r>
    </w:p>
    <w:p>
      <w:pPr>
        <w:pStyle w:val="FirstParagraph"/>
        <w:spacing w:line="480" w:lineRule="auto"/>
      </w:pPr>
      <w:r>
        <w:t xml:space="preserve">The remainder of the dissertation is organized as follows.</w:t>
      </w:r>
    </w:p>
    <w:p>
      <w:pPr>
        <w:pStyle w:val="BodyText"/>
        <w:spacing w:line="480" w:lineRule="auto"/>
        <w:ind w:firstLine="720"/>
      </w:pPr>
      <w:r>
        <w:t xml:space="preserve">Chapter 2 reviews the three literatures on which the argument rests. It works through the source-sink physical-economic literature on debris valuation</w:t>
      </w:r>
      <w:r>
        <w:t xml:space="preserve"> </w:t>
      </w:r>
      <w:hyperlink w:anchor="ref-1">
        <w:r>
          <w:rPr>
            <w:rStyle w:val="Hyperlink"/>
          </w:rPr>
          <w:t xml:space="preserve">[1]</w:t>
        </w:r>
      </w:hyperlink>
      <w:r>
        <w:t xml:space="preserve">, the orbital-sustainability and rating literature [4, 12], the reentry and aviation-safety literature</w:t>
      </w:r>
      <w:r>
        <w:t xml:space="preserve"> </w:t>
      </w:r>
      <w:hyperlink w:anchor="ref-10">
        <w:r>
          <w:rPr>
            <w:rStyle w:val="Hyperlink"/>
          </w:rPr>
          <w:t xml:space="preserve">[10]</w:t>
        </w:r>
      </w:hyperlink>
      <w:r>
        <w:t xml:space="preserve">, the in-orbit fragmentation reconstruction literature [9, 32, 28], the orbit-determination and space-domain-awareness literature [8, 21, 24, 25], and the architectural-norms and economic-statecraft literature on the orbital commons [6, 14, 27], closing on the gap the dissertation occupies, in the terms used in Section 1.2 above.</w:t>
      </w:r>
    </w:p>
    <w:p>
      <w:pPr>
        <w:pStyle w:val="BodyText"/>
        <w:spacing w:line="480" w:lineRule="auto"/>
        <w:ind w:firstLine="720"/>
      </w:pPr>
      <w:r>
        <w:t xml:space="preserve">Chapter 3 develops the theoretical framework, articulating the channels through which a debris event is priced into operator equity: the asset-loss channel, the revenue-continuity channel, the liability-and-insurance channel, the regulatory-anticipation channel, and the reputational channel. From those channels it derives the prediction that the magnitude of the penalty is moderated by fleet diversification, by orbital regime exposure, by sovereign-buyer share, and by ex ante sustainability tier [4, 12, 13, 18, 29].</w:t>
      </w:r>
    </w:p>
    <w:p>
      <w:pPr>
        <w:pStyle w:val="BodyText"/>
        <w:spacing w:line="480" w:lineRule="auto"/>
        <w:ind w:firstLine="720"/>
      </w:pPr>
      <w:r>
        <w:t xml:space="preserve">Chapter 4 specifies the empirical strategy: the event taxonomy, the event window, the estimation window, the expected-return benchmark, the test statistics, the heterogeneity cuts, and the robustness checks. It documents the news-contamination filter applied via SEC 8-K filings and via Factiva, and the survivorship-bias controls applied through the Center for Research in Security Prices extraction.</w:t>
      </w:r>
    </w:p>
    <w:p>
      <w:pPr>
        <w:pStyle w:val="BodyText"/>
        <w:spacing w:line="480" w:lineRule="auto"/>
        <w:ind w:firstLine="720"/>
      </w:pPr>
      <w:r>
        <w:t xml:space="preserve">Chapter 5 describes the data. Its sources are the capital-markets panel drawn from the Center for Research in Security Prices US Stock Database accessed through Wharton Research Data Services, the factor returns from the Kenneth R. French Data Library, the debris-event catalogue hand-constructed from 18th Space Defense Squadron and Space-Track disclosures and from the NASA Orbital Debris Quarterly News [15, 26], the reentry catalogue drawn from the aviation-safety literature</w:t>
      </w:r>
      <w:r>
        <w:t xml:space="preserve"> </w:t>
      </w:r>
      <w:hyperlink w:anchor="ref-10">
        <w:r>
          <w:rPr>
            <w:rStyle w:val="Hyperlink"/>
          </w:rPr>
          <w:t xml:space="preserve">[10]</w:t>
        </w:r>
      </w:hyperlink>
      <w:r>
        <w:t xml:space="preserve">, and the sustainability-tier assignments from the Space Sustainability Rating consortium [4, 12].</w:t>
      </w:r>
    </w:p>
    <w:p>
      <w:pPr>
        <w:pStyle w:val="BodyText"/>
        <w:spacing w:line="480" w:lineRule="auto"/>
        <w:ind w:firstLine="720"/>
      </w:pPr>
      <w:r>
        <w:t xml:space="preserve">Chapter 6 reports the main event-study results, giving the mean cumulative abnormal return and its standardized test statistics for the full sample, for the debris-source subsample, for the bystander subsample, and for the uncontrolled-reentry subsample, along with the sustainability-tier interaction.</w:t>
      </w:r>
    </w:p>
    <w:p>
      <w:pPr>
        <w:pStyle w:val="BodyText"/>
        <w:spacing w:line="480" w:lineRule="auto"/>
        <w:ind w:firstLine="720"/>
      </w:pPr>
      <w:r>
        <w:t xml:space="preserve">Chapter 7 reports the cross-sectional regression of cumulative abnormal returns on operator and event characteristics. It builds on, and is meant to supersede, the pilot specifications reported in the candidate’s prior research papers, replacing the illustrative abnormal-return rows those pilots used with directly retrieved Center for Research in Security Prices observations, and introducing the ex ante sustainability tier interaction the pilots did not test.</w:t>
      </w:r>
    </w:p>
    <w:p>
      <w:pPr>
        <w:pStyle w:val="BodyText"/>
        <w:spacing w:line="480" w:lineRule="auto"/>
        <w:ind w:firstLine="720"/>
      </w:pPr>
      <w:r>
        <w:t xml:space="preserve">Chapter 8 reports the robustness program. It varies the event-window, the estimation-window, the expected-return benchmark, the inference statistic, and the news-contamination filter, and it reports the inverse-probability weighting check that addresses survivorship-bias concerns.</w:t>
      </w:r>
    </w:p>
    <w:p>
      <w:pPr>
        <w:pStyle w:val="BodyText"/>
        <w:spacing w:line="480" w:lineRule="auto"/>
        <w:ind w:firstLine="720"/>
      </w:pPr>
      <w:r>
        <w:t xml:space="preserve">Chapter 9 discusses threats to validity, taking seriously the anticipation threat, the confounding-news threat, the thin-trading threat, and the selection-on-the-dependent-variable threat, and reporting the bounding exercises by which each is contained.</w:t>
      </w:r>
    </w:p>
    <w:p>
      <w:pPr>
        <w:pStyle w:val="BodyText"/>
        <w:spacing w:line="480" w:lineRule="auto"/>
        <w:ind w:firstLine="720"/>
      </w:pPr>
      <w:r>
        <w:t xml:space="preserve">Chapter 10 discusses policy implications for NASA, for the Jet Propulsion Laboratory, for the Space Sustainability Rating consortium, and for the insurance and regulatory institutions whose calibration choices depend on whether the capital-markets penalty exists and at what magnitude.</w:t>
      </w:r>
    </w:p>
    <w:p>
      <w:pPr>
        <w:pStyle w:val="BodyText"/>
        <w:spacing w:line="480" w:lineRule="auto"/>
        <w:ind w:firstLine="720"/>
      </w:pPr>
      <w:r>
        <w:t xml:space="preserve">Chapter 11 concludes, restates the falsifiable contribution, and identifies the panel extension, the operator-fixed-effects refinement, and the richer event-attribution layer drawn from the reconstruction-of-breakup-events literature [9, 32] that the candidate proposes to pursue beyond the dissertation.</w:t>
      </w:r>
    </w:p>
    <w:bookmarkEnd w:id="64"/>
    <w:bookmarkEnd w:id="65"/>
    <w:bookmarkStart w:id="82" w:name="chapter-2.-literature-review"/>
    <w:p>
      <w:pPr>
        <w:pStyle w:val="Heading1"/>
        <w:spacing w:line="480" w:lineRule="auto"/>
      </w:pPr>
      <w:r>
        <w:t xml:space="preserve">Chapter 2. Literature Review</w:t>
      </w:r>
    </w:p>
    <w:bookmarkStart w:id="66" w:name="orientation"/>
    <w:p>
      <w:pPr>
        <w:pStyle w:val="Heading2"/>
        <w:spacing w:line="480" w:lineRule="auto"/>
      </w:pPr>
      <w:r>
        <w:t xml:space="preserve">2.1 Orientation</w:t>
      </w:r>
    </w:p>
    <w:p>
      <w:pPr>
        <w:pStyle w:val="FirstParagraph"/>
        <w:spacing w:line="480" w:lineRule="auto"/>
      </w:pPr>
      <w:r>
        <w:t xml:space="preserve">This dissertation sits where two scholarly conversations meet that have so far run in parallel rather than in dialogue. One is the domain-technical literature on orbital debris, space situational awareness, and the physical-economic modeling of the near-Earth orbital environment. It treats the operator as a producer of, and a respondent to, a physical externality whose units of analysis are fragments, conjunction probabilities, casualty cross-sections, and shell-by-shell carrying capacities. The other is the cliometric and econometric methodology literature on event studies, short-window abnormal returns, and the cross-sectional inference of policy- and event-driven shocks into the equity prices of affected firms. Here the firm is the unit of observation, and a discrete, plausibly exogenous event is the identifying source of variation. At the precise interface of these two conversations sits the capital-markets penalty for debris events, and the gap this dissertation occupies is the absence of any published work that has carried the methodological apparatus of the second tradition into the empirical setting the first tradition has been documenting for two decades. What follows develops both literatures in turn, situates the small number of bridging contributions, and states the specific gap the falsifiable hypothesis of Chapter 1 is designed to close.</w:t>
      </w:r>
    </w:p>
    <w:bookmarkEnd w:id="66"/>
    <w:bookmarkStart w:id="72" w:name="Xc1ce2cb8fddc17e982963096e494d60261e16cf"/>
    <w:p>
      <w:pPr>
        <w:pStyle w:val="Heading2"/>
        <w:spacing w:line="480" w:lineRule="auto"/>
      </w:pPr>
      <w:r>
        <w:t xml:space="preserve">2.2 The Domain-Technical Literature on Orbital Debris</w:t>
      </w:r>
    </w:p>
    <w:bookmarkStart w:id="67" w:name="Xcfd4181b8910ec54531005fec621c892d0dbd0d"/>
    <w:p>
      <w:pPr>
        <w:pStyle w:val="Heading3"/>
        <w:spacing w:line="480" w:lineRule="auto"/>
      </w:pPr>
      <w:r>
        <w:t xml:space="preserve">2.2.1 The Physical Externality and Its Measurement</w:t>
      </w:r>
    </w:p>
    <w:p>
      <w:pPr>
        <w:pStyle w:val="FirstParagraph"/>
        <w:spacing w:line="480" w:lineRule="auto"/>
      </w:pPr>
      <w:r>
        <w:t xml:space="preserve">In the technical literature orbital debris is a stock variable. Its flow is governed by launches, fragmentation events, and post-mission disposal practice; its decay by drag, solar activity, and the geometry of the shell in which the object resides. Wu and Linares formalize this view in a multi-shell source-sink physical-economical model that embeds debris dynamics inside an economic objective function, with state variables that include the population of active satellites and the population of inactive trackable objects across discrete altitude bands</w:t>
      </w:r>
      <w:r>
        <w:t xml:space="preserve"> </w:t>
      </w:r>
      <w:hyperlink w:anchor="ref-1">
        <w:r>
          <w:rPr>
            <w:rStyle w:val="Hyperlink"/>
          </w:rPr>
          <w:t xml:space="preserve">[1]</w:t>
        </w:r>
      </w:hyperlink>
      <w:r>
        <w:t xml:space="preserve">. What the model establishes is that the marginal social cost of an additional fragment is shell-dependent and that the optimal disposal policy is heterogeneous across operators with different orbital footprints. It remains, though, a planner’s model. A shadow price for debris falls out of it, but it does not estimate whether any decentralized actor, capital markets included, prices that shadow value.</w:t>
      </w:r>
    </w:p>
    <w:p>
      <w:pPr>
        <w:pStyle w:val="BodyText"/>
        <w:spacing w:line="480" w:lineRule="auto"/>
        <w:ind w:firstLine="720"/>
      </w:pPr>
      <w:r>
        <w:t xml:space="preserve">Adjacent to the source-sink tradition is a substantial empirical literature on the consequences of specific historical fragmentations. Pardini and Anselmo, assessing the Cosmos 1408 fragmentation, establish that a single ASAT-induced break-up materially perturbed the conjunction workload at the International Space Station and at large constellations on horizons measured in months and years rather than days</w:t>
      </w:r>
      <w:r>
        <w:t xml:space="preserve"> </w:t>
      </w:r>
      <w:hyperlink w:anchor="ref-7">
        <w:r>
          <w:rPr>
            <w:rStyle w:val="Hyperlink"/>
          </w:rPr>
          <w:t xml:space="preserve">[7]</w:t>
        </w:r>
      </w:hyperlink>
      <w:r>
        <w:t xml:space="preserve">. Their earlier work on the Fengyun-1C breakup fixed a decadal envelope for the dispersion of the debris cloud and the cumulative conjunction burden it imposed on the LEO operator population</w:t>
      </w:r>
      <w:r>
        <w:t xml:space="preserve"> </w:t>
      </w:r>
      <w:hyperlink w:anchor="ref-11">
        <w:r>
          <w:rPr>
            <w:rStyle w:val="Hyperlink"/>
          </w:rPr>
          <w:t xml:space="preserve">[11]</w:t>
        </w:r>
      </w:hyperlink>
      <w:r>
        <w:t xml:space="preserve">. These two papers are foundational because they fix the physical claim that a discrete event has measurable, persistent consequences for every operator that traverses the affected shells. That claim is precisely the condition under which the event-study methodology of Section 2.3 can carry identifying content for non-source operators as well as for the source operator itself.</w:t>
      </w:r>
    </w:p>
    <w:p>
      <w:pPr>
        <w:pStyle w:val="BodyText"/>
        <w:spacing w:line="480" w:lineRule="auto"/>
        <w:ind w:firstLine="720"/>
      </w:pPr>
      <w:r>
        <w:t xml:space="preserve">Temporal granularity is the contribution of the reconstruction literature. Ottoboni, Muciaccia, and Colombo demonstrate in their short-term reconstruction work that the geometry and magnitude of a fragmentation can be inferred from sparse early observations within hours to days of the event [9, 35], and Muciaccia and colleagues extend the same inferential apparatus to historical events whose early observation record was incomplete</w:t>
      </w:r>
      <w:r>
        <w:t xml:space="preserve"> </w:t>
      </w:r>
      <w:hyperlink w:anchor="ref-32">
        <w:r>
          <w:rPr>
            <w:rStyle w:val="Hyperlink"/>
          </w:rPr>
          <w:t xml:space="preserve">[32]</w:t>
        </w:r>
      </w:hyperlink>
      <w:r>
        <w:t xml:space="preserve">. Grattagliano and co-authors push further still, with an early-stage characterization layer that operationalizes the inferential pipeline for newly observed events</w:t>
      </w:r>
      <w:r>
        <w:t xml:space="preserve"> </w:t>
      </w:r>
      <w:hyperlink w:anchor="ref-28">
        <w:r>
          <w:rPr>
            <w:rStyle w:val="Hyperlink"/>
          </w:rPr>
          <w:t xml:space="preserve">[28]</w:t>
        </w:r>
      </w:hyperlink>
      <w:r>
        <w:t xml:space="preserve">. For the present dissertation the significance of this body of work is that it establishes the timestamp at which the event becomes public knowledge in a form that is operator-attributable. That disclosure timestamp, not the conjunction epoch or the fragmentation instant itself, is the relevant event date for any test of how markets price the event, because markets cannot price information they do not possess. Reconstruction is therefore the technical backbone of the event-window construction defended in Chapter 3.</w:t>
      </w:r>
    </w:p>
    <w:p>
      <w:pPr>
        <w:pStyle w:val="BodyText"/>
        <w:spacing w:line="480" w:lineRule="auto"/>
        <w:ind w:firstLine="720"/>
      </w:pPr>
      <w:r>
        <w:t xml:space="preserve">Two further contributions expand the universe of usable events. Olivieri, Giacomuzzo, and Francesconi validate observed fragment distributions against the underlying physical model through hypervelocity simulations of satellite mock-up fragmentation</w:t>
      </w:r>
      <w:r>
        <w:t xml:space="preserve"> </w:t>
      </w:r>
      <w:hyperlink w:anchor="ref-33">
        <w:r>
          <w:rPr>
            <w:rStyle w:val="Hyperlink"/>
          </w:rPr>
          <w:t xml:space="preserve">[33]</w:t>
        </w:r>
      </w:hyperlink>
      <w:r>
        <w:t xml:space="preserve">, and Gambarotto and colleagues extend the observation infrastructure into the cislunar regime by demonstrating monitoring strategies that use constellations of space-based observers</w:t>
      </w:r>
      <w:r>
        <w:t xml:space="preserve"> </w:t>
      </w:r>
      <w:hyperlink w:anchor="ref-34">
        <w:r>
          <w:rPr>
            <w:rStyle w:val="Hyperlink"/>
          </w:rPr>
          <w:t xml:space="preserve">[34]</w:t>
        </w:r>
      </w:hyperlink>
      <w:r>
        <w:t xml:space="preserve">. Both matter to the present design because each enlarges the set of events for which an attributable fragment count can be reported, a covariate of central interest in the cross-sectional specification developed in Chapter 4.</w:t>
      </w:r>
    </w:p>
    <w:bookmarkEnd w:id="67"/>
    <w:bookmarkStart w:id="68" w:name="X9563ef8c48a96703492b457a7392d6f9223c563"/>
    <w:p>
      <w:pPr>
        <w:pStyle w:val="Heading3"/>
        <w:spacing w:line="480" w:lineRule="auto"/>
      </w:pPr>
      <w:r>
        <w:t xml:space="preserve">2.2.2 Space Situational Awareness and the Information Environment</w:t>
      </w:r>
    </w:p>
    <w:p>
      <w:pPr>
        <w:pStyle w:val="FirstParagraph"/>
        <w:spacing w:line="480" w:lineRule="auto"/>
      </w:pPr>
      <w:r>
        <w:t xml:space="preserve">Any market-relevant disclosure of a debris event depends on an information infrastructure, and the orbit-determination and SSA survey literature documents it. Kazemi and colleagues offer the canonical synthesis of estimator design, observation modality, and uncertainty propagation across the modern SSA stack</w:t>
      </w:r>
      <w:r>
        <w:t xml:space="preserve"> </w:t>
      </w:r>
      <w:hyperlink w:anchor="ref-8">
        <w:r>
          <w:rPr>
            <w:rStyle w:val="Hyperlink"/>
          </w:rPr>
          <w:t xml:space="preserve">[8]</w:t>
        </w:r>
      </w:hyperlink>
      <w:r>
        <w:t xml:space="preserve">. What their review establishes is that operator-attributable conjunction warnings and fragmentation reconstructions are themselves products of a layered estimation pipeline whose latency and reliability vary across operators, observers, and orbital regimes. Duncan and Wysack, describing operational collision risk management at SpaceNav, document the process by which conjunction risk is assessed and mitigated at the operator level, and the disclosure conventions that govern when such information becomes public</w:t>
      </w:r>
      <w:r>
        <w:t xml:space="preserve"> </w:t>
      </w:r>
      <w:hyperlink w:anchor="ref-22">
        <w:r>
          <w:rPr>
            <w:rStyle w:val="Hyperlink"/>
          </w:rPr>
          <w:t xml:space="preserve">[22]</w:t>
        </w:r>
      </w:hyperlink>
      <w:r>
        <w:t xml:space="preserve">. Ramos and colleagues, analyzing the impact of the Russian direct-ascent anti-satellite event on space domain awareness, establish that high-magnitude debris events generate persistent perturbations in the SSA workload itself</w:t>
      </w:r>
      <w:r>
        <w:t xml:space="preserve"> </w:t>
      </w:r>
      <w:hyperlink w:anchor="ref-26">
        <w:r>
          <w:rPr>
            <w:rStyle w:val="Hyperlink"/>
          </w:rPr>
          <w:t xml:space="preserve">[26]</w:t>
        </w:r>
      </w:hyperlink>
      <w:r>
        <w:t xml:space="preserve">, which reinforces the case that markets receiving disclosure of such events are receiving information about a durable change in operator cost structure.</w:t>
      </w:r>
    </w:p>
    <w:p>
      <w:pPr>
        <w:pStyle w:val="BodyText"/>
        <w:spacing w:line="480" w:lineRule="auto"/>
        <w:ind w:firstLine="720"/>
      </w:pPr>
      <w:r>
        <w:t xml:space="preserve">A commodity-market view of SSA runs alongside this. Wozniak, Riabova, and Hijazi treat coordinated space domain awareness as an optimized commodity, with implicit prices for sensor time and observation tasking</w:t>
      </w:r>
      <w:r>
        <w:t xml:space="preserve"> </w:t>
      </w:r>
      <w:hyperlink w:anchor="ref-25">
        <w:r>
          <w:rPr>
            <w:rStyle w:val="Hyperlink"/>
          </w:rPr>
          <w:t xml:space="preserve">[25]</w:t>
        </w:r>
      </w:hyperlink>
      <w:r>
        <w:t xml:space="preserve">. Their work does not connect to equity-market pricing, but it is conceptually adjacent, demonstrating that the observation infrastructure on which event disclosure rests carries its own implicit price structure that large debris events may themselves perturb. Patel and colleagues describe, in the DRAGON architecture for international SSA collaboration, the institutional plumbing through which operator-relevant SSA information crosses national and commercial boundaries</w:t>
      </w:r>
      <w:r>
        <w:t xml:space="preserve"> </w:t>
      </w:r>
      <w:hyperlink w:anchor="ref-23">
        <w:r>
          <w:rPr>
            <w:rStyle w:val="Hyperlink"/>
          </w:rPr>
          <w:t xml:space="preserve">[23]</w:t>
        </w:r>
      </w:hyperlink>
      <w:r>
        <w:t xml:space="preserve">. Tucker, Wagner, and Sunberg, through adaptive stress testing of SDA systems, document the conditions under which that pipeline can fail to deliver actionable disclosures in time for market participants to act</w:t>
      </w:r>
      <w:r>
        <w:t xml:space="preserve"> </w:t>
      </w:r>
      <w:hyperlink w:anchor="ref-24">
        <w:r>
          <w:rPr>
            <w:rStyle w:val="Hyperlink"/>
          </w:rPr>
          <w:t xml:space="preserve">[24]</w:t>
        </w:r>
      </w:hyperlink>
      <w:r>
        <w:t xml:space="preserve">. Jefferson and Leek’s parallel discrete-event simulation of the Space Surveillance Network is the early canonical reference for the computational architecture underwriting modern SSA</w:t>
      </w:r>
      <w:r>
        <w:t xml:space="preserve"> </w:t>
      </w:r>
      <w:hyperlink w:anchor="ref-21">
        <w:r>
          <w:rPr>
            <w:rStyle w:val="Hyperlink"/>
          </w:rPr>
          <w:t xml:space="preserve">[21]</w:t>
        </w:r>
      </w:hyperlink>
      <w:r>
        <w:t xml:space="preserve">, and Barker and colleagues, in their comparative LEGEND-versus-MODEST observation work, establish the empirical baseline against which GEO debris attribution claims are tested</w:t>
      </w:r>
      <w:r>
        <w:t xml:space="preserve"> </w:t>
      </w:r>
      <w:hyperlink w:anchor="ref-20">
        <w:r>
          <w:rPr>
            <w:rStyle w:val="Hyperlink"/>
          </w:rPr>
          <w:t xml:space="preserve">[20]</w:t>
        </w:r>
      </w:hyperlink>
      <w:r>
        <w:t xml:space="preserve">.</w:t>
      </w:r>
    </w:p>
    <w:p>
      <w:pPr>
        <w:pStyle w:val="BodyText"/>
        <w:spacing w:line="480" w:lineRule="auto"/>
        <w:ind w:firstLine="720"/>
      </w:pPr>
      <w:r>
        <w:t xml:space="preserve">Two disclosure channels enter the market rather than one. Treated as a primary serial source by both the technical and policy literatures</w:t>
      </w:r>
      <w:r>
        <w:t xml:space="preserve"> </w:t>
      </w:r>
      <w:hyperlink w:anchor="ref-15">
        <w:r>
          <w:rPr>
            <w:rStyle w:val="Hyperlink"/>
          </w:rPr>
          <w:t xml:space="preserve">[15]</w:t>
        </w:r>
      </w:hyperlink>
      <w:r>
        <w:t xml:space="preserve">, the NASA Orbital Debris Quarterly News record provides the longest-running operator-attributable account of trackable fragmentations, and it is the dataset against which the event taxonomy of Chapter 3 is constructed. The State Department’s public attribution of the November 2021 Russian direct-ascent ASAT test</w:t>
      </w:r>
      <w:r>
        <w:t xml:space="preserve"> </w:t>
      </w:r>
      <w:hyperlink w:anchor="ref-16">
        <w:r>
          <w:rPr>
            <w:rStyle w:val="Hyperlink"/>
          </w:rPr>
          <w:t xml:space="preserve">[16]</w:t>
        </w:r>
      </w:hyperlink>
      <w:r>
        <w:t xml:space="preserve"> </w:t>
      </w:r>
      <w:r>
        <w:t xml:space="preserve">illustrates the second class of operator-attributable signal, one that enters the markets through official disclosure rather than through the orbital catalog alone. Wright, writing contemporaneously on the Iridium-Cosmos collision, documents the early framing of the operator-bystander distinction that the present dissertation operationalizes as a covariate</w:t>
      </w:r>
      <w:r>
        <w:t xml:space="preserve"> </w:t>
      </w:r>
      <w:hyperlink w:anchor="ref-19">
        <w:r>
          <w:rPr>
            <w:rStyle w:val="Hyperlink"/>
          </w:rPr>
          <w:t xml:space="preserve">[19]</w:t>
        </w:r>
      </w:hyperlink>
      <w:r>
        <w:t xml:space="preserve">.</w:t>
      </w:r>
    </w:p>
    <w:bookmarkEnd w:id="68"/>
    <w:bookmarkStart w:id="69" w:name="X0b9c15324c9b7a0e07404c51ea437c82cc853d9"/>
    <w:p>
      <w:pPr>
        <w:pStyle w:val="Heading3"/>
        <w:spacing w:line="480" w:lineRule="auto"/>
      </w:pPr>
      <w:r>
        <w:t xml:space="preserve">2.2.3 Sustainability Ratings and the Continuing-Supervision Frame</w:t>
      </w:r>
    </w:p>
    <w:p>
      <w:pPr>
        <w:pStyle w:val="FirstParagraph"/>
        <w:spacing w:line="480" w:lineRule="auto"/>
      </w:pPr>
      <w:r>
        <w:t xml:space="preserve">A distinct strand of the domain literature treats operator behavior not as a fragment-producing process but as a rateable activity whose attributes can be summarized in a composite indicator. Letizia and colleagues, moving from SSA data to the definition of a Space Sustainability Rating, wrote the foundational paper on this construction, establishing the indicator architecture and the data feeds that populate it</w:t>
      </w:r>
      <w:r>
        <w:t xml:space="preserve"> </w:t>
      </w:r>
      <w:hyperlink w:anchor="ref-4">
        <w:r>
          <w:rPr>
            <w:rStyle w:val="Hyperlink"/>
          </w:rPr>
          <w:t xml:space="preserve">[4]</w:t>
        </w:r>
      </w:hyperlink>
      <w:r>
        <w:t xml:space="preserve">. Rathnasabapathy and colleagues then extended the rating into a deployed operator-facing instrument and articulated the incentive theory under which operators are expected to respond to rating signals</w:t>
      </w:r>
      <w:r>
        <w:t xml:space="preserve"> </w:t>
      </w:r>
      <w:hyperlink w:anchor="ref-12">
        <w:r>
          <w:rPr>
            <w:rStyle w:val="Hyperlink"/>
          </w:rPr>
          <w:t xml:space="preserve">[12]</w:t>
        </w:r>
      </w:hyperlink>
      <w:r>
        <w:t xml:space="preserve">. On the rating’s premise, that improved behavior will be rewarded by capital providers, insurers, or customers, the dissertation’s H1 places its empirical weight. Absent a market test of that premise, the rating is a normative claim about how capital should behave rather than a positive claim about how capital does behave.</w:t>
      </w:r>
    </w:p>
    <w:p>
      <w:pPr>
        <w:pStyle w:val="BodyText"/>
        <w:spacing w:line="480" w:lineRule="auto"/>
        <w:ind w:firstLine="720"/>
      </w:pPr>
      <w:r>
        <w:t xml:space="preserve">Complementing the rating framework is the continuing-supervision literature on commercial in-space servicing, which characterizes the regulatory architecture inside which operator behavior is observed and adjudicated. Smith, Jah, and Wood operationalize the supervisory function as a structured information system whose outputs feed operator and regulator decisions, through a decision support system for continuing supervision of commercial in-space servicing</w:t>
      </w:r>
      <w:r>
        <w:t xml:space="preserve"> </w:t>
      </w:r>
      <w:hyperlink w:anchor="ref-13">
        <w:r>
          <w:rPr>
            <w:rStyle w:val="Hyperlink"/>
          </w:rPr>
          <w:t xml:space="preserve">[13]</w:t>
        </w:r>
      </w:hyperlink>
      <w:r>
        <w:t xml:space="preserve">. Rusconi and Colombo extend the supervisory frame into closed-loop control over the operator population, generating policy-relevant counterfactuals about disposal compliance through a model-based control framework for space debris management</w:t>
      </w:r>
      <w:r>
        <w:t xml:space="preserve"> </w:t>
      </w:r>
      <w:hyperlink w:anchor="ref-18">
        <w:r>
          <w:rPr>
            <w:rStyle w:val="Hyperlink"/>
          </w:rPr>
          <w:t xml:space="preserve">[18]</w:t>
        </w:r>
      </w:hyperlink>
      <w:r>
        <w:t xml:space="preserve">. What these contributions establish is that the institutional layer between physical event and operator response is dense, observable, and consequential, which is the condition under which liability filings, regulatory notices, and rating downgrades can act as the institutional-signal channel through which markets receive event-relevant information.</w:t>
      </w:r>
    </w:p>
    <w:bookmarkEnd w:id="69"/>
    <w:bookmarkStart w:id="70" w:name="X7c6fc9a992b2b03f3c61e1e35c33a838cdf52ea"/>
    <w:p>
      <w:pPr>
        <w:pStyle w:val="Heading3"/>
        <w:spacing w:line="480" w:lineRule="auto"/>
      </w:pPr>
      <w:r>
        <w:t xml:space="preserve">2.2.4 The Space-Economy and Architectural-Norms Layer</w:t>
      </w:r>
    </w:p>
    <w:p>
      <w:pPr>
        <w:pStyle w:val="FirstParagraph"/>
        <w:spacing w:line="480" w:lineRule="auto"/>
      </w:pPr>
      <w:r>
        <w:t xml:space="preserve">Providing the macro-level frame in which operator-level capital-markets responses are interpreted is the space-economy literature. Dailey and colleagues, synthesizing the role of space in driving sustainability, security, and development, establish the policy stakes of the debris problem and the concentration of residual hazard in inactive objects rather than maneuverable satellites</w:t>
      </w:r>
      <w:r>
        <w:t xml:space="preserve"> </w:t>
      </w:r>
      <w:hyperlink w:anchor="ref-2">
        <w:r>
          <w:rPr>
            <w:rStyle w:val="Hyperlink"/>
          </w:rPr>
          <w:t xml:space="preserve">[2]</w:t>
        </w:r>
      </w:hyperlink>
      <w:r>
        <w:t xml:space="preserve">. Stilwell and colleagues, in their orbital classification work, establish the empirical observation that satellite-reliant firms command materially higher market capitalization than non-exposed peers, and articulate the integrated-economic-statecraft framing under which debris events propagate through investor expectations of regulatory tightening [3, 14]. The architectural socio-technological transformative change literature</w:t>
      </w:r>
      <w:r>
        <w:t xml:space="preserve"> </w:t>
      </w:r>
      <w:hyperlink w:anchor="ref-6">
        <w:r>
          <w:rPr>
            <w:rStyle w:val="Hyperlink"/>
          </w:rPr>
          <w:t xml:space="preserve">[6]</w:t>
        </w:r>
      </w:hyperlink>
      <w:r>
        <w:t xml:space="preserve"> </w:t>
      </w:r>
      <w:r>
        <w:t xml:space="preserve">develops the normative-bargaining frame in which operator behavior is shaped by reputational and dual-use considerations as much as by direct cost, providing the theoretical structure for the moderator set tested in research paper one.</w:t>
      </w:r>
    </w:p>
    <w:p>
      <w:pPr>
        <w:pStyle w:val="BodyText"/>
        <w:spacing w:line="480" w:lineRule="auto"/>
        <w:ind w:firstLine="720"/>
      </w:pPr>
      <w:r>
        <w:t xml:space="preserve">Scale and trajectory come from two further sources. Paravano and colleagues, in a value assessment of commercial space stations for space and non-space users</w:t>
      </w:r>
      <w:r>
        <w:t xml:space="preserve"> </w:t>
      </w:r>
      <w:hyperlink w:anchor="ref-29">
        <w:r>
          <w:rPr>
            <w:rStyle w:val="Hyperlink"/>
          </w:rPr>
          <w:t xml:space="preserve">[29]</w:t>
        </w:r>
      </w:hyperlink>
      <w:r>
        <w:t xml:space="preserve">, and Retagne and Colombo, in a satellite launch traffic forecast tied to global GDP and constellation plans</w:t>
      </w:r>
      <w:r>
        <w:t xml:space="preserve"> </w:t>
      </w:r>
      <w:hyperlink w:anchor="ref-17">
        <w:r>
          <w:rPr>
            <w:rStyle w:val="Hyperlink"/>
          </w:rPr>
          <w:t xml:space="preserve">[17]</w:t>
        </w:r>
      </w:hyperlink>
      <w:r>
        <w:t xml:space="preserve">, together establish the size and growth path of the orbital economy whose risk pricing this dissertation seeks to illuminate. Young and Thadani, in their CSIS analysis of the LEO broadband competition</w:t>
      </w:r>
      <w:r>
        <w:t xml:space="preserve"> </w:t>
      </w:r>
      <w:hyperlink w:anchor="ref-27">
        <w:r>
          <w:rPr>
            <w:rStyle w:val="Hyperlink"/>
          </w:rPr>
          <w:t xml:space="preserve">[27]</w:t>
        </w:r>
      </w:hyperlink>
      <w:r>
        <w:t xml:space="preserve">, document the strategic concentration of LEO revenue exposure in a small number of operators whose capital-markets behavior is observable. Hook and colleagues, in their uncontrolled-reentries-and-aviation-safety paper [5, 10], establish the casualty-risk externality channel through which debris events generate recoverable economic losses, and it is the primary empirical anchor for the reentry-window subsample defended in Chapter 3.</w:t>
      </w:r>
    </w:p>
    <w:p>
      <w:pPr>
        <w:pStyle w:val="BodyText"/>
        <w:spacing w:line="480" w:lineRule="auto"/>
        <w:ind w:firstLine="720"/>
      </w:pPr>
      <w:r>
        <w:t xml:space="preserve">A small group of contributions completes the technical periphery. Barbier and Gao, working on relative visual navigation around an unknown and uncooperative spacecraft, characterize the proximity-operations regime in which servicing-related anomalies are most likely to generate debris-relevant disclosures</w:t>
      </w:r>
      <w:r>
        <w:t xml:space="preserve"> </w:t>
      </w:r>
      <w:hyperlink w:anchor="ref-30">
        <w:r>
          <w:rPr>
            <w:rStyle w:val="Hyperlink"/>
          </w:rPr>
          <w:t xml:space="preserve">[30]</w:t>
        </w:r>
      </w:hyperlink>
      <w:r>
        <w:t xml:space="preserve">. Manunza and colleagues’ technosignature survey</w:t>
      </w:r>
      <w:r>
        <w:t xml:space="preserve"> </w:t>
      </w:r>
      <w:hyperlink w:anchor="ref-31">
        <w:r>
          <w:rPr>
            <w:rStyle w:val="Hyperlink"/>
          </w:rPr>
          <w:t xml:space="preserve">[31]</w:t>
        </w:r>
      </w:hyperlink>
      <w:r>
        <w:t xml:space="preserve"> </w:t>
      </w:r>
      <w:r>
        <w:t xml:space="preserve">enters the reference pool as a reminder of the broader observational community whose capabilities partially overlap with debris surveillance, though it does not bear directly on the present design.</w:t>
      </w:r>
    </w:p>
    <w:bookmarkEnd w:id="70"/>
    <w:bookmarkStart w:id="71" w:name="Xb1fded8d6f20e48b66c8dbd0d92450789dc67ce"/>
    <w:p>
      <w:pPr>
        <w:pStyle w:val="Heading3"/>
        <w:spacing w:line="480" w:lineRule="auto"/>
      </w:pPr>
      <w:r>
        <w:t xml:space="preserve">2.2.5 Summary of the Domain-Technical Literature</w:t>
      </w:r>
    </w:p>
    <w:p>
      <w:pPr>
        <w:pStyle w:val="FirstParagraph"/>
        <w:spacing w:line="480" w:lineRule="auto"/>
      </w:pPr>
      <w:r>
        <w:t xml:space="preserve">Taken as a whole, this literature establishes four propositions on which the dissertation builds. Debris events are physically real, operator-attributable, and persistent in their consequences for the operator population [7, 11, 19, 26]. The timestamp at which an event becomes a market-relevant disclosure is itself a product of an SSA pipeline whose latency and reliability are characterized [8, 9, 21, 22, 28, 32, 35]. The institutional layer that translates a physical event into rating actions, liability filings, and regulatory notices is dense and observable [4, 12, 13, 18]. And the space-economy frame establishes that satellite-reliant firms are differentially capitalized and that the operator population is concentrated enough for capital-markets analysis to be tractable [2, 3, 14, 17, 27, 29]. What the literature does not do is estimate the operator-level capital-markets response to a discrete debris event. That estimate is the methodological territory of the second literature, reviewed below.</w:t>
      </w:r>
    </w:p>
    <w:bookmarkEnd w:id="71"/>
    <w:bookmarkEnd w:id="72"/>
    <w:bookmarkStart w:id="79" w:name="X07fe73e594277fc276c6392b9242153367417e1"/>
    <w:p>
      <w:pPr>
        <w:pStyle w:val="Heading2"/>
        <w:spacing w:line="480" w:lineRule="auto"/>
      </w:pPr>
      <w:r>
        <w:t xml:space="preserve">2.3 The Cliometric and Econometric Methodology Literature</w:t>
      </w:r>
    </w:p>
    <w:bookmarkStart w:id="73" w:name="the-event-study-tradition"/>
    <w:p>
      <w:pPr>
        <w:pStyle w:val="Heading3"/>
        <w:spacing w:line="480" w:lineRule="auto"/>
      </w:pPr>
      <w:r>
        <w:t xml:space="preserve">2.3.1 The Event-Study Tradition</w:t>
      </w:r>
    </w:p>
    <w:p>
      <w:pPr>
        <w:pStyle w:val="FirstParagraph"/>
        <w:spacing w:line="480" w:lineRule="auto"/>
      </w:pPr>
      <w:r>
        <w:t xml:space="preserve">For inferring the capital-markets response to a discrete, plausibly exogenous information event, the event-study methodology is the canonical apparatus. The methodological corpus that defines the modern event study lies largely outside the reference pool retrieved for this dissertation, yet the design choices it implies are operationalized throughout the technical and policy literatures cited above whenever a capital-markets question is asked of a space-sector event. When Stilwell and colleagues establish that satellite-reliant firms command higher market capitalization than non-exposed peers, they implicitly assume that the cross-sectional equity-market data exist at the operator-day frequency at which an event study would be run [3, 14]. When the same authors frame debris events as shocks that propagate through investor expectations</w:t>
      </w:r>
      <w:r>
        <w:t xml:space="preserve"> </w:t>
      </w:r>
      <w:hyperlink w:anchor="ref-14">
        <w:r>
          <w:rPr>
            <w:rStyle w:val="Hyperlink"/>
          </w:rPr>
          <w:t xml:space="preserve">[14]</w:t>
        </w:r>
      </w:hyperlink>
      <w:r>
        <w:t xml:space="preserve">, they make, in form, an event-study claim about the conditional mean of operator returns in a window around an identifiable shock.</w:t>
      </w:r>
    </w:p>
    <w:p>
      <w:pPr>
        <w:pStyle w:val="BodyText"/>
        <w:spacing w:line="480" w:lineRule="auto"/>
        <w:ind w:firstLine="720"/>
      </w:pPr>
      <w:r>
        <w:t xml:space="preserve">Carried into the present setting, the methodology asks the analyst to specify three objects: the event date, the estimation window, and the event window. Backing the event-date object is the reconstruction-of-break-up-events literature [9, 28, 32, 35], because it establishes the earliest moment at which the event becomes operator-attributable in a form observable to markets. Backing the disclosure-latency assumption is the SSA survey literature</w:t>
      </w:r>
      <w:r>
        <w:t xml:space="preserve"> </w:t>
      </w:r>
      <w:hyperlink w:anchor="ref-8">
        <w:r>
          <w:rPr>
            <w:rStyle w:val="Hyperlink"/>
          </w:rPr>
          <w:t xml:space="preserve">[8]</w:t>
        </w:r>
      </w:hyperlink>
      <w:r>
        <w:t xml:space="preserve">, because it characterizes the speed with which orbit determination and conjunction screening generate operator-attributable signals. And backing the cross-sectional dimension of the design is the orbital classification work [3, 14], because it establishes which operators are publicly traded with sufficient liquidity to support market-model estimation.</w:t>
      </w:r>
    </w:p>
    <w:bookmarkEnd w:id="73"/>
    <w:bookmarkStart w:id="74" w:name="X813d1767befae4db76346d3c2016385713fea65"/>
    <w:p>
      <w:pPr>
        <w:pStyle w:val="Heading3"/>
        <w:spacing w:line="480" w:lineRule="auto"/>
      </w:pPr>
      <w:r>
        <w:t xml:space="preserve">2.3.2 The Sustainability-Rating Hypothesis as an Event-Study Hypothesis</w:t>
      </w:r>
    </w:p>
    <w:p>
      <w:pPr>
        <w:pStyle w:val="FirstParagraph"/>
        <w:spacing w:line="480" w:lineRule="auto"/>
      </w:pPr>
      <w:r>
        <w:t xml:space="preserve">Read together, the SSR construction of Letizia and colleagues and the deployed indicator of Rathnasabapathy and colleagues [4, 12] articulate an implicit event-study hypothesis. The rating is presumed informative to investors and insurers, which is to say it is presumed to shift the conditional expectation of future cash flows, and a shift of that kind should be observable in equity prices. Testing that presumption is, in form, an event study, run either around the rating publication itself or around events whose interpretation is conditioned on the operator’s pre-event rating tier. This dissertation operationalizes the second form, conditioning the event-window CAR on the operator’s ex ante SSR tier, because the first form is precluded by the small number of rated operators whose ratings have been changed in observable windows. The methodological literature has therefore implicitly produced an event-study research program around sustainability ratings whose empirical execution has not yet occurred in the published record.</w:t>
      </w:r>
    </w:p>
    <w:bookmarkEnd w:id="74"/>
    <w:bookmarkStart w:id="75" w:name="X91e087d1ac3226e17a19820e4a741cc43fc5e73"/>
    <w:p>
      <w:pPr>
        <w:pStyle w:val="Heading3"/>
        <w:spacing w:line="480" w:lineRule="auto"/>
      </w:pPr>
      <w:r>
        <w:t xml:space="preserve">2.3.3 The Continuing-Supervision and Liability-Filing Channels</w:t>
      </w:r>
    </w:p>
    <w:p>
      <w:pPr>
        <w:pStyle w:val="FirstParagraph"/>
        <w:spacing w:line="480" w:lineRule="auto"/>
      </w:pPr>
      <w:r>
        <w:t xml:space="preserve">Smith, Jah, and Wood’s continuing-supervision decision support system</w:t>
      </w:r>
      <w:r>
        <w:t xml:space="preserve"> </w:t>
      </w:r>
      <w:hyperlink w:anchor="ref-13">
        <w:r>
          <w:rPr>
            <w:rStyle w:val="Hyperlink"/>
          </w:rPr>
          <w:t xml:space="preserve">[13]</w:t>
        </w:r>
      </w:hyperlink>
      <w:r>
        <w:t xml:space="preserve"> </w:t>
      </w:r>
      <w:r>
        <w:t xml:space="preserve">and Rusconi and Colombo’s model-based control framework</w:t>
      </w:r>
      <w:r>
        <w:t xml:space="preserve"> </w:t>
      </w:r>
      <w:hyperlink w:anchor="ref-18">
        <w:r>
          <w:rPr>
            <w:rStyle w:val="Hyperlink"/>
          </w:rPr>
          <w:t xml:space="preserve">[18]</w:t>
        </w:r>
      </w:hyperlink>
      <w:r>
        <w:t xml:space="preserve"> </w:t>
      </w:r>
      <w:r>
        <w:t xml:space="preserve">together imply that operator behavior is observed and adjudicated through institutional channels whose outputs are themselves event-study-eligible. A liability-claim filing, a regulatory notice, or a rating downgrade is, in form, a discrete information event whose date is observable and whose operator attribution is unambiguous. Research paper two operationalizes the liability-filing channel as the dominant institutional signal in the cross section of thirty-five events between 1999 and 2022, finding a liability-claim coefficient of minus 6.38 percentage points with a p-value below 0.001. That result matches the continuing-supervision literature’s prior that the institutional layer is the primary translator of physical events into market-relevant disclosures. It remains, though, a single cross-sectional finding, extended neither to a panel design nor to the broader operator population whose behavior the SSR is intended to discipline.</w:t>
      </w:r>
    </w:p>
    <w:bookmarkEnd w:id="75"/>
    <w:bookmarkStart w:id="76" w:name="X37b7f0097268e033dff9d9669fed7effde10976"/>
    <w:p>
      <w:pPr>
        <w:pStyle w:val="Heading3"/>
        <w:spacing w:line="480" w:lineRule="auto"/>
      </w:pPr>
      <w:r>
        <w:t xml:space="preserve">2.3.4 The Source-Sink Shadow Price as a Cliometric Benchmark</w:t>
      </w:r>
    </w:p>
    <w:p>
      <w:pPr>
        <w:pStyle w:val="FirstParagraph"/>
        <w:spacing w:line="480" w:lineRule="auto"/>
      </w:pPr>
      <w:r>
        <w:t xml:space="preserve">Wu and Linares’ multi-shell source-sink model</w:t>
      </w:r>
      <w:r>
        <w:t xml:space="preserve"> </w:t>
      </w:r>
      <w:hyperlink w:anchor="ref-1">
        <w:r>
          <w:rPr>
            <w:rStyle w:val="Hyperlink"/>
          </w:rPr>
          <w:t xml:space="preserve">[1]</w:t>
        </w:r>
      </w:hyperlink>
      <w:r>
        <w:t xml:space="preserve"> </w:t>
      </w:r>
      <w:r>
        <w:t xml:space="preserve">generates a planner’s shadow price for an additional debris fragment, and that shadow price is the natural benchmark against which a market-revealed shadow price can be compared. What the model contributes cliometrically is the proposition that the optimal disposal policy varies across operators with different orbital footprints, which is equivalent to the proposition that the marginal cost of debris generation is heterogeneous across operators in ways that the cross section of operator-level capital-markets responses can identify. The methodological literature has therefore generated, in the source-sink tradition, a structural prior against which the reduced-form event-study estimates of the present dissertation can be calibrated. Research paper one estimates a log-debris coefficient of minus 0.444 percentage points per log unit with a p-value of 0.087 across thirty operator-event observations, a result whose interpretation as a market-revealed shadow price requires the source-sink model as its theoretical anchor.</w:t>
      </w:r>
    </w:p>
    <w:bookmarkEnd w:id="76"/>
    <w:bookmarkStart w:id="77" w:name="Xa4b0614eecf578932bdf0aa41da361fddc18078"/>
    <w:p>
      <w:pPr>
        <w:pStyle w:val="Heading3"/>
        <w:spacing w:line="480" w:lineRule="auto"/>
      </w:pPr>
      <w:r>
        <w:t xml:space="preserve">2.3.5 The Cliometric Frame in the Space-Economy Literature</w:t>
      </w:r>
    </w:p>
    <w:p>
      <w:pPr>
        <w:pStyle w:val="FirstParagraph"/>
        <w:spacing w:line="480" w:lineRule="auto"/>
      </w:pPr>
      <w:r>
        <w:t xml:space="preserve">Establishing the cliometric frame in which the dissertation operates are the orbital classification literature [3, 14] and the launch-traffic forecasting literature tied to global GDP</w:t>
      </w:r>
      <w:r>
        <w:t xml:space="preserve"> </w:t>
      </w:r>
      <w:hyperlink w:anchor="ref-17">
        <w:r>
          <w:rPr>
            <w:rStyle w:val="Hyperlink"/>
          </w:rPr>
          <w:t xml:space="preserve">[17]</w:t>
        </w:r>
      </w:hyperlink>
      <w:r>
        <w:t xml:space="preserve">. Cliometrics, in its modern usage, denotes the application of quantitative econometric methods to questions whose theoretical content is supplied by an explicit economic model. The launch-traffic forecasting work</w:t>
      </w:r>
      <w:r>
        <w:t xml:space="preserve"> </w:t>
      </w:r>
      <w:hyperlink w:anchor="ref-17">
        <w:r>
          <w:rPr>
            <w:rStyle w:val="Hyperlink"/>
          </w:rPr>
          <w:t xml:space="preserve">[17]</w:t>
        </w:r>
      </w:hyperlink>
      <w:r>
        <w:t xml:space="preserve"> </w:t>
      </w:r>
      <w:r>
        <w:t xml:space="preserve">is cliometric in this strict sense, estimating a reduced-form relationship between GDP and launch volume that carries identifying content for the time path of the at-risk operator population. The orbital classification work [3, 14] is cliometric in the broader sense, estimating a cross-sectional relationship between operator characteristics and market capitalization that carries identifying content for the baseline against which event-window abnormal returns are measured. Together these contributions establish that the space sector is amenable to cliometric analysis and that the data infrastructure exists to support such analysis at the operator-event level.</w:t>
      </w:r>
    </w:p>
    <w:bookmarkEnd w:id="77"/>
    <w:bookmarkStart w:id="78" w:name="the-methodological-gap"/>
    <w:p>
      <w:pPr>
        <w:pStyle w:val="Heading3"/>
        <w:spacing w:line="480" w:lineRule="auto"/>
      </w:pPr>
      <w:r>
        <w:t xml:space="preserve">2.3.6 The Methodological Gap</w:t>
      </w:r>
    </w:p>
    <w:p>
      <w:pPr>
        <w:pStyle w:val="FirstParagraph"/>
        <w:spacing w:line="480" w:lineRule="auto"/>
      </w:pPr>
      <w:r>
        <w:t xml:space="preserve">Three classes of contribution emerge from the methodological literature, each individually necessary but jointly insufficient for the empirical question of this dissertation. The source-sink tradition</w:t>
      </w:r>
      <w:r>
        <w:t xml:space="preserve"> </w:t>
      </w:r>
      <w:hyperlink w:anchor="ref-1">
        <w:r>
          <w:rPr>
            <w:rStyle w:val="Hyperlink"/>
          </w:rPr>
          <w:t xml:space="preserve">[1]</w:t>
        </w:r>
      </w:hyperlink>
      <w:r>
        <w:t xml:space="preserve"> </w:t>
      </w:r>
      <w:r>
        <w:t xml:space="preserve">generates a planner’s shadow price but does not estimate the market-revealed shadow price. The sustainability-rating and continuing-supervision traditions [4, 12, 13, 18] generate institutional-signal hypotheses that are event-study-eligible but have not been executed as event studies in the published record. The space-economy cliometric tradition [3, 14, 17] generates the baseline cross-sectional and time-series infrastructure but does not condition that infrastructure on discrete debris events. What remains missing is a published event-study estimate of the operator-level capital-markets response to a debris event, conditioned on the operator’s ex ante sustainability posture and on the institutional-signal channels through which the event is disclosed.</w:t>
      </w:r>
    </w:p>
    <w:bookmarkEnd w:id="78"/>
    <w:bookmarkEnd w:id="79"/>
    <w:bookmarkStart w:id="80" w:name="synthesis-and-the-gap"/>
    <w:p>
      <w:pPr>
        <w:pStyle w:val="Heading2"/>
        <w:spacing w:line="480" w:lineRule="auto"/>
      </w:pPr>
      <w:r>
        <w:t xml:space="preserve">2.4 Synthesis and the Gap</w:t>
      </w:r>
    </w:p>
    <w:p>
      <w:pPr>
        <w:pStyle w:val="FirstParagraph"/>
        <w:spacing w:line="480" w:lineRule="auto"/>
      </w:pPr>
      <w:r>
        <w:t xml:space="preserve">The two literatures reviewed above converge on a question neither has answered. On the domain-technical side, debris events have been shown to be physically real, operator-attributable, persistent, and disclosed through a characterized SSA pipeline [7, 8, 9, 11, 19, 22, 26, 28, 32, 35]. The institutional layer translating physical events into market-relevant disclosures has been shown to be dense and observable [4, 12, 13, 18], and the space-economy frame in which operators are embedded has been shown to be concentrated enough for capital-markets analysis to be tractable [2, 3, 14, 17, 27, 29]. On the method side, the cliometric and econometric literature has established that the reduced-form apparatus exists for inferring the market response to a discrete event, that the structural priors against which such inference is to be read are available in the source-sink tradition</w:t>
      </w:r>
      <w:r>
        <w:t xml:space="preserve"> </w:t>
      </w:r>
      <w:hyperlink w:anchor="ref-1">
        <w:r>
          <w:rPr>
            <w:rStyle w:val="Hyperlink"/>
          </w:rPr>
          <w:t xml:space="preserve">[1]</w:t>
        </w:r>
      </w:hyperlink>
      <w:r>
        <w:t xml:space="preserve">, and that the sustainability-rating and continuing-supervision frameworks have generated institutional-signal hypotheses that are event-study-eligible [4, 12, 13]. And yet no published work has carried the methodological apparatus into the empirical setting the domain literature has been documenting for two decades.</w:t>
      </w:r>
    </w:p>
    <w:p>
      <w:pPr>
        <w:pStyle w:val="BodyText"/>
        <w:spacing w:line="480" w:lineRule="auto"/>
        <w:ind w:firstLine="720"/>
      </w:pPr>
      <w:r>
        <w:t xml:space="preserve">Stated with precision, the gap has four parts. No published study has estimated the cumulative abnormal return to publicly traded satellite operators in a short window around a debris-generating event, using the canonical event-study apparatus on a CRSP-grade equity return panel. None has conditioned that estimate on the operator’s ex ante Space Sustainability Rating tier [4, 12], which is the precise test required to validate or falsify the incentive premise on which the rating regime rests. None has decomposed the event-window response across the institutional-signal channels documented in the continuing-supervision literature [13, 18], distinguishing the liability-filing channel, the regulatory-notice channel, and the rating-action channel. And none has calibrated the resulting market-revealed shadow price against the planner’s shadow price generated by the source-sink model</w:t>
      </w:r>
      <w:r>
        <w:t xml:space="preserve"> </w:t>
      </w:r>
      <w:hyperlink w:anchor="ref-1">
        <w:r>
          <w:rPr>
            <w:rStyle w:val="Hyperlink"/>
          </w:rPr>
          <w:t xml:space="preserve">[1]</w:t>
        </w:r>
      </w:hyperlink>
      <w:r>
        <w:t xml:space="preserve">, which is the natural cliometric benchmark against which the reduced-form estimate is to be interpreted.</w:t>
      </w:r>
    </w:p>
    <w:p>
      <w:pPr>
        <w:pStyle w:val="BodyText"/>
        <w:spacing w:line="480" w:lineRule="auto"/>
        <w:ind w:firstLine="720"/>
      </w:pPr>
      <w:r>
        <w:t xml:space="preserve">Two reference papers attached to the present dissertation begin to close this gap. Research paper one establishes, on a thirty-observation cross section, that the log-debris coefficient is signed as the central hypothesis predicts and that fleet diversification attenuates the penalty in a substantively large way. Research paper two establishes, on a thirty-five-observation cross section spanning 1999 to 2022, that the liability-filing channel dominates the institutional-signal margin with a coefficient of minus 6.38 percentage points. Neither is yet a panel design, neither uses a CRSP-grade extraction, and neither conditions the estimate on the ex ante SSR tier. The dissertation extends both to a survivorship-bias-free CRSP panel with operator-event-level controls, ex ante SSR conditioning, and a reentry-window subsample drawn from the aviation-safety reentry catalogue [5, 10]. What it contributes is a falsifiable point estimate of the capital-markets penalty for debris exposure, located precisely at the interface of the two literatures whose parallel development has, until now, left that estimate unattempted.</w:t>
      </w:r>
    </w:p>
    <w:bookmarkEnd w:id="80"/>
    <w:bookmarkStart w:id="81" w:name="implications-for-the-empirical-design"/>
    <w:p>
      <w:pPr>
        <w:pStyle w:val="Heading2"/>
        <w:spacing w:line="480" w:lineRule="auto"/>
      </w:pPr>
      <w:r>
        <w:t xml:space="preserve">2.5 Implications for the Empirical Design</w:t>
      </w:r>
    </w:p>
    <w:p>
      <w:pPr>
        <w:pStyle w:val="FirstParagraph"/>
        <w:spacing w:line="480" w:lineRule="auto"/>
      </w:pPr>
      <w:r>
        <w:t xml:space="preserve">Four implications for the empirical design of Chapters 3 and 4 follow directly from the literature reviewed above. First, the event-date object is to be constructed from the public disclosure timestamp rather than the fragmentation instant, because the SSA pipeline characterized by the orbit-determination and reconstruction literatures [8, 9, 22, 28, 32, 35] establishes that the disclosure timestamp is the moment at which the event becomes operator-attributable in a form observable to markets. Second, the cross-sectional conditioning set must include the ex ante SSR tier as published prior to the event [4, 12], because the test of the incentive premise on which the rating regime rests requires that the rating predate the event. Third, the institutional-signal channels documented in the continuing-supervision literature [13, 18] are to be operationalized as separate covariates, because the cross-sectional evidence in research paper two indicates that the liability-filing channel carries the dominant explanatory weight. Fourth, the reentry-window subsample, restricted to uncontrolled reentries as catalogued in the aviation-safety literature [5, 10], is to be used as the identification stress test, because the unanticipated component of the event is most defensible in that subsample.</w:t>
      </w:r>
    </w:p>
    <w:p>
      <w:pPr>
        <w:pStyle w:val="BodyText"/>
        <w:spacing w:line="480" w:lineRule="auto"/>
        <w:ind w:firstLine="720"/>
      </w:pPr>
      <w:r>
        <w:t xml:space="preserve">This chapter therefore does more than establish the gap the dissertation occupies. It generates a set of design constraints the empirical chapters must honor. The remainder of the dissertation operationalizes those constraints and reports the resulting estimates.</w:t>
      </w:r>
    </w:p>
    <w:bookmarkEnd w:id="81"/>
    <w:bookmarkEnd w:id="82"/>
    <w:bookmarkStart w:id="96" w:name="Xcfcc00a3ded59aed0c781c16bfc121f2a509603"/>
    <w:p>
      <w:pPr>
        <w:pStyle w:val="Heading1"/>
        <w:spacing w:line="480" w:lineRule="auto"/>
      </w:pPr>
      <w:r>
        <w:t xml:space="preserve">Chapter 3. Theoretical Framework and Hypotheses</w:t>
      </w:r>
    </w:p>
    <w:bookmarkStart w:id="83" w:name="purpose-and-scope-of-the-chapter"/>
    <w:p>
      <w:pPr>
        <w:pStyle w:val="Heading2"/>
        <w:spacing w:line="480" w:lineRule="auto"/>
      </w:pPr>
      <w:r>
        <w:t xml:space="preserve">3.1 Purpose and Scope of the Chapter</w:t>
      </w:r>
    </w:p>
    <w:p>
      <w:pPr>
        <w:pStyle w:val="FirstParagraph"/>
        <w:spacing w:line="480" w:lineRule="auto"/>
      </w:pPr>
      <w:r>
        <w:t xml:space="preserve">This chapter builds the theoretical apparatus that converts the empirical question of the dissertation, whether discrete on-orbit debris events generate a measurable equity-return penalty for publicly traded satellite operators, into a falsifiable causal proposition. Three literatures that have so far been read in parallel are integrated here in sequence. First comes the physical-economic literature on orbital debris as a stock variable inside multi-shell source-sink models, which establishes that debris carries shadow value and that the marginal social cost of a debris-generating event is positive</w:t>
      </w:r>
      <w:r>
        <w:t xml:space="preserve"> </w:t>
      </w:r>
      <w:hyperlink w:anchor="ref-1">
        <w:r>
          <w:rPr>
            <w:rStyle w:val="Hyperlink"/>
          </w:rPr>
          <w:t xml:space="preserve">[1]</w:t>
        </w:r>
      </w:hyperlink>
      <w:r>
        <w:t xml:space="preserve">. Next comes the orbital-sustainability and SSA literature, which has produced operator-facing rating instruments designed to inform investor and insurer behavior yet has not validated those instruments against observed capital-markets pricing [4, 12]. Last comes the space-economy literature, which has shown that satellite-reliant firms command a measurable equity premium relative to non-exposed peers and that uncontrolled reentries and large fragmentations have plausibly priced consequences along the operator value chain [3, 5, 14, 29]. From these the chapter constructs a causal chain running from a debris-generating event to operator cash-flow and discount-rate revisions, and from those revisions to abnormal returns observable in the (-1, +3) trading-day window specified in Chapter 1. It then states the null and alternative hypotheses, identifies the auxiliary monotonicity prediction associated with ex ante Space Sustainability Rating tier, and enumerates the auxiliary assumptions required for identification.</w:t>
      </w:r>
    </w:p>
    <w:bookmarkEnd w:id="83"/>
    <w:bookmarkStart w:id="87" w:name="X18d38a6feed43a0b2e47cc21c8f847c74a4e191"/>
    <w:p>
      <w:pPr>
        <w:pStyle w:val="Heading2"/>
        <w:spacing w:line="480" w:lineRule="auto"/>
      </w:pPr>
      <w:r>
        <w:t xml:space="preserve">3.2 The Theoretical Object: Debris as a Priced State Variable</w:t>
      </w:r>
    </w:p>
    <w:p>
      <w:pPr>
        <w:pStyle w:val="FirstParagraph"/>
        <w:spacing w:line="480" w:lineRule="auto"/>
      </w:pPr>
      <w:r>
        <w:t xml:space="preserve">Underwriting the rest of the dissertation is one theoretical move: treating orbital debris not as a purely physical externality but as a state variable that enters operator value functions through three channels, a flow-cost channel, a capital-replacement channel, and a residual-claim or franchise channel. Each channel is grounded in a distinct strand of the literature, and each yields a distinct testable prediction at the equity-return level.</w:t>
      </w:r>
    </w:p>
    <w:bookmarkStart w:id="84" w:name="the-flow-cost-channel"/>
    <w:p>
      <w:pPr>
        <w:pStyle w:val="Heading3"/>
        <w:spacing w:line="480" w:lineRule="auto"/>
      </w:pPr>
      <w:r>
        <w:t xml:space="preserve">3.2.1 The Flow-Cost Channel</w:t>
      </w:r>
    </w:p>
    <w:p>
      <w:pPr>
        <w:pStyle w:val="FirstParagraph"/>
        <w:spacing w:line="480" w:lineRule="auto"/>
      </w:pPr>
      <w:r>
        <w:t xml:space="preserve">Recurring operational expense is what the flow-cost channel captures: the cost of conducting collision-avoidance maneuvers, of maintaining the conjunction-screening pipeline, and of carrying the propellant reserves required to execute maneuvers within the warning horizon. Operational treatments of high-risk conjunction management establish that maneuver decisions are taken on continuously updated probability-of-collision estimates and that the per-conjunction expected cost rises non-linearly with conjunction tempo and with miss-distance uncertainty</w:t>
      </w:r>
      <w:r>
        <w:t xml:space="preserve"> </w:t>
      </w:r>
      <w:hyperlink w:anchor="ref-22">
        <w:r>
          <w:rPr>
            <w:rStyle w:val="Hyperlink"/>
          </w:rPr>
          <w:t xml:space="preserve">[22]</w:t>
        </w:r>
      </w:hyperlink>
      <w:r>
        <w:t xml:space="preserve">. Empirical assessments of the Cosmos 1408 fragmentation document a measurable and persistent uplift in conjunction workload for neighboring inhabited platforms and for the large constellations sharing the affected shells</w:t>
      </w:r>
      <w:r>
        <w:t xml:space="preserve"> </w:t>
      </w:r>
      <w:hyperlink w:anchor="ref-7">
        <w:r>
          <w:rPr>
            <w:rStyle w:val="Hyperlink"/>
          </w:rPr>
          <w:t xml:space="preserve">[7]</w:t>
        </w:r>
      </w:hyperlink>
      <w:r>
        <w:t xml:space="preserve">. An analogous shock to the resident-object population, and to subsequent conjunction-screening burden across multiple operators, followed the 2007 Fengyun-1C anti-satellite test, an effect the early assessment literature described in terms of collision-probability density per shell</w:t>
      </w:r>
      <w:r>
        <w:t xml:space="preserve"> </w:t>
      </w:r>
      <w:hyperlink w:anchor="ref-11">
        <w:r>
          <w:rPr>
            <w:rStyle w:val="Hyperlink"/>
          </w:rPr>
          <w:t xml:space="preserve">[11]</w:t>
        </w:r>
      </w:hyperlink>
      <w:r>
        <w:t xml:space="preserve">. A third well-documented exemplar is the Russian 2021 direct-ascent anti-satellite event, which imposed a step-change in conjunction workload on every operator with assets in the contaminated shells [16, 26]. So the flow-cost channel predicts that any new debris-generating event, conditional on the affected orbital regime, raises the expected per-period operating cost of the operators whose constellations transit that regime. Under standard discounted-cash-flow logic, an upward revision in the expected operating-cost path translates into a negative revision in equity value at the moment the event becomes public information.</w:t>
      </w:r>
    </w:p>
    <w:bookmarkEnd w:id="84"/>
    <w:bookmarkStart w:id="85" w:name="the-capital-replacement-channel"/>
    <w:p>
      <w:pPr>
        <w:pStyle w:val="Heading3"/>
        <w:spacing w:line="480" w:lineRule="auto"/>
      </w:pPr>
      <w:r>
        <w:t xml:space="preserve">3.2.2 The Capital-Replacement Channel</w:t>
      </w:r>
    </w:p>
    <w:p>
      <w:pPr>
        <w:pStyle w:val="FirstParagraph"/>
        <w:spacing w:line="480" w:lineRule="auto"/>
      </w:pPr>
      <w:r>
        <w:t xml:space="preserve">What the capital-replacement channel captures is the probability that the event produces an actual or precautionary loss of an in-service asset, that the operator must accelerate replacement launch cadence, or that insured value is consumed and re-priced. Reconstruction work on in-orbit breakup events documents that the location, geometry, and parent-body characteristics of a fragmentation determine the spatial distribution of derived fragments and therefore the at-risk population of operational satellites in adjacent shells over both the short and the long term [9, 32, 35]. Simulation and mock-up fragmentation work establishes further that the fragment-size distribution and area-to-mass ratios a given event produces determine the persistence of the resulting hazard and the horizon over which capital-replacement risk remains elevated</w:t>
      </w:r>
      <w:r>
        <w:t xml:space="preserve"> </w:t>
      </w:r>
      <w:hyperlink w:anchor="ref-33">
        <w:r>
          <w:rPr>
            <w:rStyle w:val="Hyperlink"/>
          </w:rPr>
          <w:t xml:space="preserve">[33]</w:t>
        </w:r>
      </w:hyperlink>
      <w:r>
        <w:t xml:space="preserve">. Early-stage characterization tools, including those that exploit space-based observers and ground-based radar fusion, can now produce operator-actionable hazard estimates within hours of an event [28, 34]. From the operator’s perspective this channel is the most acute of the three, because it converts a state-variable shock into a direct revision of the expected useful life and the expected replacement cost of in-service hardware. Its prediction is that the magnitude of the equity-return penalty rises in the operator’s exposure to the affected shells, in the residual useful life of the operator’s at-risk assets, and in the operator’s insured share of those assets.</w:t>
      </w:r>
    </w:p>
    <w:bookmarkEnd w:id="85"/>
    <w:bookmarkStart w:id="86" w:name="the-residual-claim-and-franchise-channel"/>
    <w:p>
      <w:pPr>
        <w:pStyle w:val="Heading3"/>
        <w:spacing w:line="480" w:lineRule="auto"/>
      </w:pPr>
      <w:r>
        <w:t xml:space="preserve">3.2.3 The Residual-Claim and Franchise Channel</w:t>
      </w:r>
    </w:p>
    <w:p>
      <w:pPr>
        <w:pStyle w:val="FirstParagraph"/>
        <w:spacing w:line="480" w:lineRule="auto"/>
      </w:pPr>
      <w:r>
        <w:t xml:space="preserve">Longer-horizon revision in the operator’s franchise value is what the residual-claim channel captures, that is, revision in the present value of the cash flows that depend on the continued usability of the orbital regime in which the operator has built its business. Source-sink physical-economic models establish that the resident-object population in each shell has shadow value to every operator with assets or planned launches in that shell, and that a debris-generating event raises the marginal cost of carrying capacity in that shell over a long horizon</w:t>
      </w:r>
      <w:r>
        <w:t xml:space="preserve"> </w:t>
      </w:r>
      <w:hyperlink w:anchor="ref-1">
        <w:r>
          <w:rPr>
            <w:rStyle w:val="Hyperlink"/>
          </w:rPr>
          <w:t xml:space="preserve">[1]</w:t>
        </w:r>
      </w:hyperlink>
      <w:r>
        <w:t xml:space="preserve">. Orbital-classification and integrated-economic-statecraft work shows that operators are increasingly differentiated by the regime of operation and by the strategic value of the spectrum and ground-segment relationships built around that regime [3, 14]. Strategic and policy analyses of the LEO broadband competition reinforce that the franchise value of LEO-resident operators is materially exposed to the continued sustainability of the LEO regime and to investor perceptions of that sustainability</w:t>
      </w:r>
      <w:r>
        <w:t xml:space="preserve"> </w:t>
      </w:r>
      <w:hyperlink w:anchor="ref-27">
        <w:r>
          <w:rPr>
            <w:rStyle w:val="Hyperlink"/>
          </w:rPr>
          <w:t xml:space="preserve">[27]</w:t>
        </w:r>
      </w:hyperlink>
      <w:r>
        <w:t xml:space="preserve">. From the aviation-safety reentry literature comes the observation that uncontrolled reentries create regulatory and reputational tail risks the residual-claim channel must internalize, including the possibility of regime-wide regulatory tightening following a salient event [5, 10]. Launch-traffic forecasting work that links constellation plans to global Gross Domestic Product suggests that residual-claim revisions are likely to be priced at the regime level rather than the firm level alone, because every operator in a shell shares the franchise exposure to that shell</w:t>
      </w:r>
      <w:r>
        <w:t xml:space="preserve"> </w:t>
      </w:r>
      <w:hyperlink w:anchor="ref-17">
        <w:r>
          <w:rPr>
            <w:rStyle w:val="Hyperlink"/>
          </w:rPr>
          <w:t xml:space="preserve">[17]</w:t>
        </w:r>
      </w:hyperlink>
      <w:r>
        <w:t xml:space="preserve">. So this channel predicts that the equity-return penalty for an operator with material exposure to the affected regime will include a non-zero component attributable to franchise-value revision even when the operator is not the proximate source of the event.</w:t>
      </w:r>
    </w:p>
    <w:bookmarkEnd w:id="86"/>
    <w:bookmarkEnd w:id="87"/>
    <w:bookmarkStart w:id="88" w:name="X370ebe46c54e2185289e13f58a5c3edbd327055"/>
    <w:p>
      <w:pPr>
        <w:pStyle w:val="Heading2"/>
        <w:spacing w:line="480" w:lineRule="auto"/>
      </w:pPr>
      <w:r>
        <w:t xml:space="preserve">3.3 Aggregation of Channels into the Operator Value Function</w:t>
      </w:r>
    </w:p>
    <w:p>
      <w:pPr>
        <w:pStyle w:val="FirstParagraph"/>
        <w:spacing w:line="480" w:lineRule="auto"/>
      </w:pPr>
      <w:r>
        <w:t xml:space="preserve">In the operator’s value function the three channels are additive. Let the value of the representative operator at the close of trading on the day prior to the event be the discounted present value of the expected stream of free cash flows attributable to its in-orbit assets and its franchise position, conditional on the information set that excludes the event. The event then releases information that revises the operator’s expected operating-cost path through the flow-cost channel, the expected useful life and replacement schedule of in-service assets through the capital-replacement channel, and the franchise-value component through the residual-claim channel. Under standard market-efficiency assumptions the price revision the event induces is the discounted sum of those three revisions, integrated over the path of expected future cash flows and weighted by the operator’s exposure to the affected shells.</w:t>
      </w:r>
    </w:p>
    <w:p>
      <w:pPr>
        <w:pStyle w:val="BodyText"/>
        <w:spacing w:line="480" w:lineRule="auto"/>
        <w:ind w:firstLine="720"/>
      </w:pPr>
      <w:r>
        <w:t xml:space="preserve">This decomposition is theoretical rather than empirical. The dissertation does not attempt to estimate the three channels separately. What the empirical strategy estimates is the sum, the cumulative abnormal return in the (-1, +3) trading-day window, and it uses the heterogeneity analyses specified in Chapter 4 to provide indirect evidence on the relative magnitudes of the three channels. The decomposition is necessary nonetheless, on two grounds. It establishes that the predicted sign of the abnormal-return response is unambiguously non-positive under the assumptions of the framework, and it grounds the auxiliary monotonicity prediction associated with the Space Sustainability Rating.</w:t>
      </w:r>
    </w:p>
    <w:bookmarkEnd w:id="88"/>
    <w:bookmarkStart w:id="89" w:name="Xafadf4fb688b1701a250a89983265df4e017c1e"/>
    <w:p>
      <w:pPr>
        <w:pStyle w:val="Heading2"/>
        <w:spacing w:line="480" w:lineRule="auto"/>
      </w:pPr>
      <w:r>
        <w:t xml:space="preserve">3.4 Why a Sustainability-Tier Interaction Is Theoretically Expected</w:t>
      </w:r>
    </w:p>
    <w:p>
      <w:pPr>
        <w:pStyle w:val="FirstParagraph"/>
        <w:spacing w:line="480" w:lineRule="auto"/>
      </w:pPr>
      <w:r>
        <w:t xml:space="preserve">Constructed to summarize ex ante operator behavior across dimensions that the source-sink and SSA literatures identify as causally relevant to the operator’s contribution to, and exposure to, the orbital debris environment, the Space Sustainability Rating carries a theoretical prediction about heterogeneity [4, 12]. Operators that score in higher tiers are, by construction, those whose orbital regime selection, disposal practices, and on-orbit servicing posture imply lower expected contribution to the debris stock and lower expected exposure to the marginal hazard a new debris-generating event produces. The decision-support architecture for continuing supervision of in-space servicing reinforces that operators with established sustainability postures are positioned to absorb a given shock at lower marginal cost than peers without that posture</w:t>
      </w:r>
      <w:r>
        <w:t xml:space="preserve"> </w:t>
      </w:r>
      <w:hyperlink w:anchor="ref-13">
        <w:r>
          <w:rPr>
            <w:rStyle w:val="Hyperlink"/>
          </w:rPr>
          <w:t xml:space="preserve">[13]</w:t>
        </w:r>
      </w:hyperlink>
      <w:r>
        <w:t xml:space="preserve">. Model-based control frameworks for debris management imply that operators with more capable on-orbit autonomy and maneuver budgets convert a given debris shock into a smaller cash-flow revision than operators without that capability</w:t>
      </w:r>
      <w:r>
        <w:t xml:space="preserve"> </w:t>
      </w:r>
      <w:hyperlink w:anchor="ref-18">
        <w:r>
          <w:rPr>
            <w:rStyle w:val="Hyperlink"/>
          </w:rPr>
          <w:t xml:space="preserve">[18]</w:t>
        </w:r>
      </w:hyperlink>
      <w:r>
        <w:t xml:space="preserve">. The theoretical prediction is therefore that the magnitude of the equity-return penalty conditional on a debris event decreases monotonically in the operator’s ex ante Space Sustainability Rating tier, holding orbital regime and asset exposure constant. This is the auxiliary prediction the H1 alternative encodes alongside the sign prediction.</w:t>
      </w:r>
    </w:p>
    <w:bookmarkEnd w:id="89"/>
    <w:bookmarkStart w:id="90" w:name="the-causal-logic-of-identification"/>
    <w:p>
      <w:pPr>
        <w:pStyle w:val="Heading2"/>
        <w:spacing w:line="480" w:lineRule="auto"/>
      </w:pPr>
      <w:r>
        <w:t xml:space="preserve">3.5 The Causal Logic of Identification</w:t>
      </w:r>
    </w:p>
    <w:p>
      <w:pPr>
        <w:pStyle w:val="FirstParagraph"/>
        <w:spacing w:line="480" w:lineRule="auto"/>
      </w:pPr>
      <w:r>
        <w:t xml:space="preserve">An event study is the empirical strategy, and the credibility of the causal interpretation rests on the assumption that the equity-return response observed in the (-1, +3) window is attributable to information the event released rather than to information markets had already priced or to information released contemporaneously through other channels. Three identification commitments follow from the framework. The first is that the event taxonomy must isolate the unanticipated component of each event. Distinguishing controlled from uncontrolled reentries, the aviation-safety reentry catalogue is used to construct the reentry-window subsample that bounds anticipation bias [5, 10], and the early-stage characterization literature establishes that for fragmentation events the operator-actionable information typically arrives in a narrow window following the event, which supports the choice of a short event window [28, 34]. The second is that the event date must be the date on which the information first becomes public. For conjunction-warning events the disclosure timestamp from public SSA channels, rather than the conjunction epoch, is the relevant date, consistent with the operational practice documented in the conjunction-management literature</w:t>
      </w:r>
      <w:r>
        <w:t xml:space="preserve"> </w:t>
      </w:r>
      <w:hyperlink w:anchor="ref-22">
        <w:r>
          <w:rPr>
            <w:rStyle w:val="Hyperlink"/>
          </w:rPr>
          <w:t xml:space="preserve">[22]</w:t>
        </w:r>
      </w:hyperlink>
      <w:r>
        <w:t xml:space="preserve">; survey work on orbit-determination and SSA pipelines reinforces the gap between conjunction epoch and operator-actionable disclosure and motivates the disclosure-timestamp convention</w:t>
      </w:r>
      <w:r>
        <w:t xml:space="preserve"> </w:t>
      </w:r>
      <w:hyperlink w:anchor="ref-8">
        <w:r>
          <w:rPr>
            <w:rStyle w:val="Hyperlink"/>
          </w:rPr>
          <w:t xml:space="preserve">[8]</w:t>
        </w:r>
      </w:hyperlink>
      <w:r>
        <w:t xml:space="preserve">. The third is that the cross-sectional interaction with the Space Sustainability Rating must be estimated using ratings that pre-date the event, consistent with the theoretical claim that the rating proxies for ex ante operator posture rather than for ex post operator response [4, 12].</w:t>
      </w:r>
    </w:p>
    <w:p>
      <w:pPr>
        <w:pStyle w:val="BodyText"/>
        <w:spacing w:line="480" w:lineRule="auto"/>
        <w:ind w:firstLine="720"/>
      </w:pPr>
      <w:r>
        <w:t xml:space="preserve">The framework also clarifies which events fall outside the identification set. Anticipated controlled reentries and routine conjunction warnings above 1 km miss distance are excluded, because the flow-cost and capital-replacement channels predict that markets have already absorbed the relevant information through the operator’s standard operational disclosures. Events for which contemporaneous operator-specific news contaminates the window are excluded under the news-filter protocol specified in Chapter 4. In those excluded cases the framework therefore predicts no abnormal returns, and the empirical exclusion preserves the alignment between framework and test.</w:t>
      </w:r>
    </w:p>
    <w:bookmarkEnd w:id="90"/>
    <w:bookmarkStart w:id="91" w:name="boundary-conditions-and-scope-conditions"/>
    <w:p>
      <w:pPr>
        <w:pStyle w:val="Heading2"/>
        <w:spacing w:line="480" w:lineRule="auto"/>
      </w:pPr>
      <w:r>
        <w:t xml:space="preserve">3.6 Boundary Conditions and Scope Conditions</w:t>
      </w:r>
    </w:p>
    <w:p>
      <w:pPr>
        <w:pStyle w:val="FirstParagraph"/>
        <w:spacing w:line="480" w:lineRule="auto"/>
      </w:pPr>
      <w:r>
        <w:t xml:space="preserve">Where does the framework apply? To operators whose equity is publicly traded, whose primary value-creation depends on in-orbit assets in one or more affected regimes, and whose disclosure regime makes the timing of information release identifiable. Where does it not apply? To operators whose equity is privately held, whose satellite exposure is incidental to a broader business mix that dominates the value function, or whose information release is governed by a regulatory regime that pre-empts market disclosure. Diversified parent firms with material satellite exposure are included on one condition, that the affected segment is large enough for the channel-level revisions identified in the framework to plausibly move the parent’s equity value, an inclusion criterion the dissertation operationalizes through a segment-revenue threshold specified in Chapter 4.</w:t>
      </w:r>
    </w:p>
    <w:p>
      <w:pPr>
        <w:pStyle w:val="BodyText"/>
        <w:spacing w:line="480" w:lineRule="auto"/>
        <w:ind w:firstLine="720"/>
      </w:pPr>
      <w:r>
        <w:t xml:space="preserve">On one question the framework is silent: whether the equity-return penalty observed in the short window persists, reverses, or compounds over longer horizons. The dissertation tests only the short-window CAR. Extensions to longer horizons are discussed in Chapter 6 as part of the future-research agenda.</w:t>
      </w:r>
    </w:p>
    <w:bookmarkEnd w:id="91"/>
    <w:bookmarkStart w:id="92" w:name="formal-statement-of-hypotheses"/>
    <w:p>
      <w:pPr>
        <w:pStyle w:val="Heading2"/>
        <w:spacing w:line="480" w:lineRule="auto"/>
      </w:pPr>
      <w:r>
        <w:t xml:space="preserve">3.7 Formal Statement of Hypotheses</w:t>
      </w:r>
    </w:p>
    <w:p>
      <w:pPr>
        <w:pStyle w:val="FirstParagraph"/>
        <w:spacing w:line="480" w:lineRule="auto"/>
      </w:pPr>
      <w:r>
        <w:t xml:space="preserve">The hypotheses are stated as a null and an alternative, with the alternative carrying both a sign prediction and a monotonicity prediction. Let the cumulative abnormal return for operator i over the (-1, +3) trading-day window around event e be denoted CAR_ie, defined as the sum of daily abnormal returns over the window, where the daily abnormal return is the residual from a Fama-French three-factor model fit on the (-250, -30) estimation window. Let T_ie denote the operator’s ex ante Space Sustainability Rating tier as published prior to event e, with higher values corresponding to higher sustainability tiers. The hypotheses are as follows.</w:t>
      </w:r>
    </w:p>
    <w:p>
      <w:pPr>
        <w:pStyle w:val="BodyText"/>
        <w:spacing w:line="480" w:lineRule="auto"/>
        <w:ind w:firstLine="720"/>
      </w:pPr>
      <w:r>
        <w:rPr>
          <w:b/>
          <w:bCs/>
        </w:rPr>
        <w:t xml:space="preserve">H0.</w:t>
      </w:r>
      <w:r>
        <w:t xml:space="preserve"> </w:t>
      </w:r>
      <w:r>
        <w:t xml:space="preserve">Across operator-event pairs in which operator i has material exposure to the orbital regime affected by event e and in which the event satisfies the unanticipated-information criterion specified in the event taxonomy, the expected value of CAR_ie is equal to zero. Formally, the null asserts that the mean cumulative abnormal return is statistically indistinguishable from zero under both the parametric Patell standardized test and the non-parametric robustness tests specified in Chapter 4.</w:t>
      </w:r>
    </w:p>
    <w:p>
      <w:pPr>
        <w:pStyle w:val="BodyText"/>
        <w:spacing w:line="480" w:lineRule="auto"/>
        <w:ind w:firstLine="720"/>
      </w:pPr>
      <w:r>
        <w:rPr>
          <w:b/>
          <w:bCs/>
        </w:rPr>
        <w:t xml:space="preserve">H1.</w:t>
      </w:r>
      <w:r>
        <w:t xml:space="preserve"> </w:t>
      </w:r>
      <w:r>
        <w:t xml:space="preserve">Across the same set of operator-event pairs, the expected value of CAR_ie is strictly negative and statistically distinguishable from zero. The alternative asserts further that the magnitude of the negative expected value decreases monotonically in the operator’s ex ante Space Sustainability Rating tier T_ie, so that operators in higher rating tiers experience smaller negative CAR conditional on a debris event affecting their fleet or orbital regime.</w:t>
      </w:r>
    </w:p>
    <w:p>
      <w:pPr>
        <w:pStyle w:val="BodyText"/>
        <w:spacing w:line="480" w:lineRule="auto"/>
        <w:ind w:firstLine="720"/>
      </w:pPr>
      <w:r>
        <w:t xml:space="preserve">Two distinct empirical predictions are therefore encoded in H1, a sign prediction and a monotonicity prediction. Rejecting H0 in favor of H1 requires evidence on both. The dissertation reports the average treatment effect as the primary point estimate, then reports tier-conditional CAR as the test of the monotonicity prediction. If either component fails, H0 stands in its entirety. A partial rejection, in which the sign prediction is supported but the monotonicity prediction is not, is treated in Chapter 6 as a substantive finding in its own right, because it implies that markets price the event but do not price the operator’s ex ante posture as encoded by the rating.</w:t>
      </w:r>
    </w:p>
    <w:bookmarkEnd w:id="92"/>
    <w:bookmarkStart w:id="93" w:name="X6aa261f28e63b503974a6fbd7b34256e3d8f2e3"/>
    <w:p>
      <w:pPr>
        <w:pStyle w:val="Heading2"/>
        <w:spacing w:line="480" w:lineRule="auto"/>
      </w:pPr>
      <w:r>
        <w:t xml:space="preserve">3.8 Auxiliary Predictions Used as Diagnostic Tests</w:t>
      </w:r>
    </w:p>
    <w:p>
      <w:pPr>
        <w:pStyle w:val="FirstParagraph"/>
        <w:spacing w:line="480" w:lineRule="auto"/>
      </w:pPr>
      <w:r>
        <w:t xml:space="preserve">Beyond the two components of H1, the framework yields three auxiliary predictions the dissertation reports as diagnostic tests rather than as primary hypotheses. On the first, the CAR is more negative for operators that are the proximate source of the event than for non-source bystanders in the same affected regime, because the source operator carries a residual-claim channel revision that includes regulatory and reputational tail risk in addition to the flow-cost and capital-replacement revisions shared with bystanders. On the second, the CAR is more negative for events that affect orbital regimes hosting large operational constellations, because the residual-claim channel is amplified by the franchise-value exposure of every operator in that regime, an exposure the LEO broadband strategic literature has identified in terms of competitive position</w:t>
      </w:r>
      <w:r>
        <w:t xml:space="preserve"> </w:t>
      </w:r>
      <w:hyperlink w:anchor="ref-27">
        <w:r>
          <w:rPr>
            <w:rStyle w:val="Hyperlink"/>
          </w:rPr>
          <w:t xml:space="preserve">[27]</w:t>
        </w:r>
      </w:hyperlink>
      <w:r>
        <w:t xml:space="preserve">. On the third, within the reentry-window subsample, the CAR is more negative for uncontrolled reentries than for the matched controlled-reentry comparison, because only the uncontrolled event releases the regulatory and reputational tail-risk component the aviation-safety literature has identified [5, 10]. Taken together with the primary CAR estimate and the tier-conditional CAR, these diagnostic predictions provide cross-channel evidence that lets the dissertation discriminate between alternative interpretations of any observed result.</w:t>
      </w:r>
    </w:p>
    <w:bookmarkEnd w:id="93"/>
    <w:bookmarkStart w:id="94" w:name="relation-to-prior-mechanism-studies"/>
    <w:p>
      <w:pPr>
        <w:pStyle w:val="Heading2"/>
        <w:spacing w:line="480" w:lineRule="auto"/>
      </w:pPr>
      <w:r>
        <w:t xml:space="preserve">3.9 Relation to Prior Mechanism Studies</w:t>
      </w:r>
    </w:p>
    <w:p>
      <w:pPr>
        <w:pStyle w:val="FirstParagraph"/>
        <w:spacing w:line="480" w:lineRule="auto"/>
      </w:pPr>
      <w:r>
        <w:t xml:space="preserve">The mechanism articulated above is consistent with, and extends, the empirical foundations the existing literature has laid on debris-event consequences. Prior assessments of the Fengyun-1C and Cosmos 1408 events documented physical consequences for the affected shells but did not estimate the operator-level capital-markets response [7, 11, 19]. Prior analyses of the Russian 2021 direct-ascent event established the SSA-workload consequences and the diplomatic response but did not quantify the equity-return response of the affected operators [16, 26]. Prior work on commercial in-space servicing supervision and on model-based debris-management control established the operational and regulatory architecture into which the operator response is embedded but produced no operator-level return estimate [13, 18]. The Space Sustainability Rating literature produced and refined the rating instrument but did not validate it against market pricing of operator behavior [4, 12]. The space-economy literature identified that satellite-reliant firms command a measurable equity premium and that LEO commercial stations and adjacent infrastructure have measurable value to space and non-space users [3, 14, 29]. What the dissertation adds is the missing link: it closes the chain between physical event and operator equity value by producing the first CAR-based estimate of the operator penalty associated with a discrete debris event and by testing the monotonicity of that penalty with respect to the operator’s ex ante rating tier.</w:t>
      </w:r>
    </w:p>
    <w:bookmarkEnd w:id="94"/>
    <w:bookmarkStart w:id="95" w:name="summary"/>
    <w:p>
      <w:pPr>
        <w:pStyle w:val="Heading2"/>
        <w:spacing w:line="480" w:lineRule="auto"/>
      </w:pPr>
      <w:r>
        <w:t xml:space="preserve">3.10 Summary</w:t>
      </w:r>
    </w:p>
    <w:p>
      <w:pPr>
        <w:pStyle w:val="FirstParagraph"/>
        <w:spacing w:line="480" w:lineRule="auto"/>
      </w:pPr>
      <w:r>
        <w:t xml:space="preserve">Five moves convert the empirical question into a falsifiable causal proposition. The chapter established that debris enters the operator value function through three theoretically grounded channels; aggregated those channels into a sign prediction for short-window cumulative abnormal returns; justified the monotonicity prediction associated with the Space Sustainability Rating tier; articulated the identification commitments required for the event-window CAR to carry causal weight; and stated the null hypothesis H0 and the alternative hypothesis H1 in terms the empirical strategy of Chapter 4 will operationalize. The hypotheses, the auxiliary monotonicity prediction, and the diagnostic auxiliary predictions together constitute the falsifiable theoretical core of the dissertation. Chapter 4 turns to the research design and the econometric specification through which the hypotheses will be tested.</w:t>
      </w:r>
    </w:p>
    <w:bookmarkEnd w:id="95"/>
    <w:bookmarkEnd w:id="96"/>
    <w:bookmarkStart w:id="106" w:name="chapter-4.-data-and-measurement"/>
    <w:p>
      <w:pPr>
        <w:pStyle w:val="Heading1"/>
        <w:spacing w:line="480" w:lineRule="auto"/>
      </w:pPr>
      <w:r>
        <w:t xml:space="preserve">Chapter 4. Data and Measurement</w:t>
      </w:r>
    </w:p>
    <w:bookmarkStart w:id="97" w:name="overview-and-design-logic"/>
    <w:p>
      <w:pPr>
        <w:pStyle w:val="Heading2"/>
        <w:spacing w:line="480" w:lineRule="auto"/>
      </w:pPr>
      <w:r>
        <w:t xml:space="preserve">4.1 Overview and Design Logic</w:t>
      </w:r>
    </w:p>
    <w:p>
      <w:pPr>
        <w:pStyle w:val="FirstParagraph"/>
        <w:spacing w:line="480" w:lineRule="auto"/>
      </w:pPr>
      <w:r>
        <w:t xml:space="preserve">What this chapter records are the datasets, the primary sources, the units of analysis, and the variable-construction rules beneath the two empirical studies that Chapters 5 and 6 present. A hand-curated catalogue of events, tied to publicly observable equity-return series, is the foundation on which everything rests. Two cross-sections come out of it. Paper 1 draws on the first, thirty operator-event observations across 2007 to 2024, tuned to ask whether attributable trackable-debris counts, fleet diversification, low Earth orbit revenue exposure, insurance coverage, and sovereign buyer share forecast three-day cumulative abnormal returns. Paper 2 draws on the second, thirty-five debris and operational-anomaly events across 1999 to 2022, tuned to ask whether event severity, operator responsibility, liability-claim activity, and cataloged fragment count forecast that same three-day window. Both share one event window and one market-model abnormal-return measure. They part company over which events are admitted, over how the moderators are built, and over how state-operator and privately held cases are handled. None of that divergence is accidental. Paper 1 pulls out the operator-finance moderators any transferable-credit or insurance-linked scheme would have to internalize, and Paper 2 pulls out the institutional-signal moderators, the liability filings and the attribution flags, that decide whether an event’s physical scale ever reaches investors.</w:t>
      </w:r>
    </w:p>
    <w:p>
      <w:pPr>
        <w:pStyle w:val="BodyText"/>
        <w:spacing w:line="480" w:lineRule="auto"/>
        <w:ind w:firstLine="720"/>
      </w:pPr>
      <w:r>
        <w:t xml:space="preserve">Across both cross-sections the operator-event pair is the unit of analysis. On the operator side sits the publicly listed entity most exposed to the asset loss, the attribution, or the conjunction warning; on the event side sits a discrete fragmentation, an uncontrolled reentry, an anti-satellite test, or, for the Paper 1 catalogue, a confirmed close-approach disclosure. When an operator is privately held, state-owned, or bundled into a consortium with no single listed parent, its row stays in the dataset for descriptive purposes, tagged illustrative in the source column, with the abnormal return zeroed by construction in Paper 2 and treated as a flagged value in Paper 1. Section 4.6 lays out that tagging protocol, and it proves essential to reading the fragment-count coefficient Paper 2 reports [15, 16].</w:t>
      </w:r>
    </w:p>
    <w:bookmarkEnd w:id="97"/>
    <w:bookmarkStart w:id="98" w:name="X42ceb0205116da40caef06f5b8282c604c8be51"/>
    <w:p>
      <w:pPr>
        <w:pStyle w:val="Heading2"/>
        <w:spacing w:line="480" w:lineRule="auto"/>
      </w:pPr>
      <w:r>
        <w:t xml:space="preserve">4.2 Capital-Markets Panel and the Abnormal-Return Construction</w:t>
      </w:r>
    </w:p>
    <w:p>
      <w:pPr>
        <w:pStyle w:val="FirstParagraph"/>
        <w:spacing w:line="480" w:lineRule="auto"/>
      </w:pPr>
      <w:r>
        <w:t xml:space="preserve">Beneath both papers runs one daily equity-return file, built from price series and corporate-action records for the listed operators the catalogues name. For the abnormal-return measure, and for the survivorship-bias-free extraction layer that will feed the inverse-probability weighting check the panel extension plans, the prospectus names the Center for Research in Security Prices US Stock Database, reached through Wharton Research Data Services. These cross-sections take their operator-level price series instead from home-exchange data available on Reuters and Bloomberg terminals, checked against issuer disclosures and consolidated quotation systems both on the event date and across the estimation window. For the Fama-French three-factor specification the factor returns come from the Kenneth R. French Data Library, aligned to each operator’s reporting calendar.</w:t>
      </w:r>
    </w:p>
    <w:p>
      <w:pPr>
        <w:pStyle w:val="BodyText"/>
        <w:spacing w:line="480" w:lineRule="auto"/>
        <w:ind w:firstLine="720"/>
      </w:pPr>
      <w:r>
        <w:t xml:space="preserve">A market-model benchmark yields the abnormal returns. Expected returns for a given operator-event pair come from a (-250, -30) trading-day window closing thirty trading days ahead of the event, a buffer that keeps out price drift traceable to pre-event news. Applied across the (-1, +3) event window, the fitted intercept and slope generate predicted returns, and summing the residuals yields the three-day cumulative abnormal return, the outcome variable in both papers. As the event date the earliest of three timestamps is used: the public disclosure timestamp of the fragmentation or reentry, the 8-K or 6-K filing timestamp where there is one, and the conjunction-warning disclosure timestamp where the event is a close approach rather than a confirmed fragmentation. Preferring the disclosure timestamp over the orbital epoch is a deliberate identification choice. What markets have not received they cannot price, and the estimator needs the window to straddle the moment the information goes public.</w:t>
      </w:r>
    </w:p>
    <w:p>
      <w:pPr>
        <w:pStyle w:val="BodyText"/>
        <w:spacing w:line="480" w:lineRule="auto"/>
        <w:ind w:firstLine="720"/>
      </w:pPr>
      <w:r>
        <w:t xml:space="preserve">For the cross-sectional regressions in Paper 2 the standard errors are homoskedastic OLS variance estimates computed off the fitted residuals. Paper 1 uses the same homoskedastic standard errors and adds the Patell standardized test in the planned extension, holding the Boehmer-Musumeci-Poulsen test in reserve for event-induced variance. Neither test is needed for the cross-sections the two papers report, yet both appear here because the panel extension will call for them.</w:t>
      </w:r>
    </w:p>
    <w:bookmarkEnd w:id="98"/>
    <w:bookmarkStart w:id="99" w:name="debris-event-catalogue-primary-sources"/>
    <w:p>
      <w:pPr>
        <w:pStyle w:val="Heading2"/>
        <w:spacing w:line="480" w:lineRule="auto"/>
      </w:pPr>
      <w:r>
        <w:t xml:space="preserve">4.3 Debris-Event Catalogue: Primary Sources</w:t>
      </w:r>
    </w:p>
    <w:p>
      <w:pPr>
        <w:pStyle w:val="FirstParagraph"/>
        <w:spacing w:line="480" w:lineRule="auto"/>
      </w:pPr>
      <w:r>
        <w:t xml:space="preserve">At the substantive center of the data layer is the debris-event catalogue, assembled by hand from four primary archives. First among them is the NASA Orbital Debris Quarterly News, issued by the NASA Orbital Debris Program Office at Johnson Space Center, whose fragment-census tables fix the cataloged fragment-count variable across both papers</w:t>
      </w:r>
      <w:r>
        <w:t xml:space="preserve"> </w:t>
      </w:r>
      <w:hyperlink w:anchor="ref-15">
        <w:r>
          <w:rPr>
            <w:rStyle w:val="Hyperlink"/>
          </w:rPr>
          <w:t xml:space="preserve">[15]</w:t>
        </w:r>
      </w:hyperlink>
      <w:r>
        <w:t xml:space="preserve">. For the trackable fragment population attributable to each event, volumes six through twenty-four, spanning 2002 to 2020, serve as canonical. Events past the most recent published volume are added from 18th Space Defense Squadron and Space-Track public disclosures, which the prospectus names as the primary feed for debris-generating events and large conjunction warnings.</w:t>
      </w:r>
    </w:p>
    <w:p>
      <w:pPr>
        <w:pStyle w:val="BodyText"/>
        <w:spacing w:line="480" w:lineRule="auto"/>
        <w:ind w:firstLine="720"/>
      </w:pPr>
      <w:r>
        <w:t xml:space="preserve">Second is the United States Department of State, which issues public attributions for anti-satellite tests. Its 15 November 2021 press statement on the Russian destructive direct-ascent anti-satellite test stands as the canonical attribution document in the catalogue</w:t>
      </w:r>
      <w:r>
        <w:t xml:space="preserve"> </w:t>
      </w:r>
      <w:hyperlink w:anchor="ref-16">
        <w:r>
          <w:rPr>
            <w:rStyle w:val="Hyperlink"/>
          </w:rPr>
          <w:t xml:space="preserve">[16]</w:t>
        </w:r>
      </w:hyperlink>
      <w:r>
        <w:t xml:space="preserve">, and comparable statements attribute the 2007 Chinese anti-satellite test, which the prospectus lists among the two historically large debris-generating events that raised the resident object population</w:t>
      </w:r>
      <w:r>
        <w:t xml:space="preserve"> </w:t>
      </w:r>
      <w:hyperlink w:anchor="ref-4">
        <w:r>
          <w:rPr>
            <w:rStyle w:val="Hyperlink"/>
          </w:rPr>
          <w:t xml:space="preserve">[4]</w:t>
        </w:r>
      </w:hyperlink>
      <w:r>
        <w:t xml:space="preserve">. When the responsible operator is a state actor rather than a commercial one, this archive supplies the binary operator-responsibility indicator Paper 2 uses.</w:t>
      </w:r>
    </w:p>
    <w:p>
      <w:pPr>
        <w:pStyle w:val="BodyText"/>
        <w:spacing w:line="480" w:lineRule="auto"/>
        <w:ind w:firstLine="720"/>
      </w:pPr>
      <w:r>
        <w:t xml:space="preserve">Third is the peer-reviewed Acta Astronautica literature on fragmentation events, source of the reconstructed orbital element sets and fragment-cloud characteristics against which the Quarterly News fragment counts are validated. Validation of the 2021 anti-satellite test entry in both catalogues turns on the Cosmos 1408 reconstruction in Acta Astronautica</w:t>
      </w:r>
      <w:r>
        <w:t xml:space="preserve"> </w:t>
      </w:r>
      <w:hyperlink w:anchor="ref-7">
        <w:r>
          <w:rPr>
            <w:rStyle w:val="Hyperlink"/>
          </w:rPr>
          <w:t xml:space="preserve">[7]</w:t>
        </w:r>
      </w:hyperlink>
      <w:r>
        <w:t xml:space="preserve">, and the reconstruction-of-breakup-events literature validates the smaller commercial fragmentations that enter the Paper 1 cross-section [9, 32]. Whenever a reconstructed count departs materially from the Quarterly News entry, the newer peer-reviewed figure wins and the source column notes the swap.</w:t>
      </w:r>
    </w:p>
    <w:p>
      <w:pPr>
        <w:pStyle w:val="BodyText"/>
        <w:spacing w:line="480" w:lineRule="auto"/>
        <w:ind w:firstLine="720"/>
      </w:pPr>
      <w:r>
        <w:t xml:space="preserve">Fourth is the aviation-safety reentry catalogue built in the uncontrolled-reentries literature, drawn on to populate the uncontrolled-reentry subsample the prospectus identification strategy leans on [5, 10]. Sorting anticipated reentries from uncontrolled ones, this catalogue gives the date and orbital regime of each entry, and the Section 4.5 event-severity index draws on both.</w:t>
      </w:r>
    </w:p>
    <w:bookmarkEnd w:id="99"/>
    <w:bookmarkStart w:id="100" w:name="X39a93c7affab7889febaf7fdbd50d40e6982a48"/>
    <w:p>
      <w:pPr>
        <w:pStyle w:val="Heading2"/>
        <w:spacing w:line="480" w:lineRule="auto"/>
      </w:pPr>
      <w:r>
        <w:t xml:space="preserve">4.4 Operator-Level Records and the Moderator Set</w:t>
      </w:r>
    </w:p>
    <w:p>
      <w:pPr>
        <w:pStyle w:val="FirstParagraph"/>
        <w:spacing w:line="480" w:lineRule="auto"/>
      </w:pPr>
      <w:r>
        <w:t xml:space="preserve">Corporate filings with the United States Securities and Exchange Commission, and their home-country counterparts for non-United States listings, are where the operator-level moderators come from. In play are the annual Form 10-K, the quarterly Form 10-Q, the current-report Form 8-K, and the international Form 6-K. Per operator-event pair, the latest filing before the event date builds the fleet-size, low Earth orbit revenue share, insurance coverage, and sovereign buyer share variables that make up the Paper 1 moderator set. The rules run as follows.</w:t>
      </w:r>
    </w:p>
    <w:p>
      <w:pPr>
        <w:pStyle w:val="BodyText"/>
        <w:spacing w:line="480" w:lineRule="auto"/>
        <w:ind w:firstLine="720"/>
      </w:pPr>
      <w:r>
        <w:t xml:space="preserve">Fleet size counts the active satellites on orbit at the event date, read off the operator’s most recent fleet disclosure and reconciled against the Space-Track active-object catalogue. When an operator reports both wholly owned and joint-venture assets, only the wholly owned ones enter the count, since the joint-venture share carries no exposure to the full asset loss. Entering the regression as the natural logarithm of fleet size, the variable lets its coefficient be read as the marginal effect of a proportional change in fleet diversification on the abnormal-return penalty.</w:t>
      </w:r>
    </w:p>
    <w:p>
      <w:pPr>
        <w:pStyle w:val="BodyText"/>
        <w:spacing w:line="480" w:lineRule="auto"/>
        <w:ind w:firstLine="720"/>
      </w:pPr>
      <w:r>
        <w:t xml:space="preserve">Low Earth orbit revenue share is the portion of operator revenue tied to low Earth orbit assets in the latest annual reporting period. Absent orbital-regime segmentation in the operator’s disclosures, it is built by spreading revenue across the active fleet in proportion to the rated capacity of the assets in each regime, using rated-capacity figures from the operator’s technical disclosures and from the orbital-classification literature [3, 14]. It enters the regression as a proportion between zero and one.</w:t>
      </w:r>
    </w:p>
    <w:p>
      <w:pPr>
        <w:pStyle w:val="BodyText"/>
        <w:spacing w:line="480" w:lineRule="auto"/>
        <w:ind w:firstLine="720"/>
      </w:pPr>
      <w:r>
        <w:t xml:space="preserve">Set to one when the operator discloses, in its latest pre-event filing, that a commercial in-orbit insurance policy covers the affected asset class, the insurance indicator is otherwise zero. That disclosure has to name the asset class involved in the event; a bare statement that the operator carries some insurance will not do. The source column of the dataset records the rule, which is intentionally conservative, and that conservatism shows up in the wide standard error on the Paper 1 insurance coefficient.</w:t>
      </w:r>
    </w:p>
    <w:p>
      <w:pPr>
        <w:pStyle w:val="BodyText"/>
        <w:spacing w:line="480" w:lineRule="auto"/>
        <w:ind w:firstLine="720"/>
      </w:pPr>
      <w:r>
        <w:t xml:space="preserve">Sovereign buyer share is the portion of operator revenue owed to sovereign customers, national defence ministries, civil space agencies, and other government entities among them, in the latest annual reporting period. It is built from the operator’s customer-concentration disclosures and from procurement records the relevant sovereign customers publish. Entering the regression as a proportion between zero and one, its coefficient carries the customer-stickiness attenuation reading described in the theoretical section of Paper 1.</w:t>
      </w:r>
    </w:p>
    <w:p>
      <w:pPr>
        <w:pStyle w:val="BodyText"/>
        <w:spacing w:line="480" w:lineRule="auto"/>
        <w:ind w:firstLine="720"/>
      </w:pPr>
      <w:r>
        <w:t xml:space="preserve">The primary regressor of the first paper, the attributable debris count, comes from the Quarterly News and the reconstruction literature [7, 9, 15, 32]. It tallies the trackable fragments attributable to the event at the close of the calendar quarter the event fell in, the latest snapshot available near the catalogue endpoint and the right snapshot for earlier events, since for most fragmentations the trackable population settles within a quarter</w:t>
      </w:r>
      <w:r>
        <w:t xml:space="preserve"> </w:t>
      </w:r>
      <w:hyperlink w:anchor="ref-7">
        <w:r>
          <w:rPr>
            <w:rStyle w:val="Hyperlink"/>
          </w:rPr>
          <w:t xml:space="preserve">[7]</w:t>
        </w:r>
      </w:hyperlink>
      <w:r>
        <w:t xml:space="preserve">. It enters the regression as the natural logarithm of one plus that count, which absorbs the few events with no trackable attribution at the quarter close.</w:t>
      </w:r>
    </w:p>
    <w:bookmarkEnd w:id="100"/>
    <w:bookmarkStart w:id="101" w:name="the-event-severity-index-in-paper-2"/>
    <w:p>
      <w:pPr>
        <w:pStyle w:val="Heading2"/>
        <w:spacing w:line="480" w:lineRule="auto"/>
      </w:pPr>
      <w:r>
        <w:t xml:space="preserve">4.5 The Event-Severity Index in Paper 2</w:t>
      </w:r>
    </w:p>
    <w:p>
      <w:pPr>
        <w:pStyle w:val="FirstParagraph"/>
        <w:spacing w:line="480" w:lineRule="auto"/>
      </w:pPr>
      <w:r>
        <w:t xml:space="preserve">Paper 2’s event-severity index is a composite of four physical-event characteristics: the altitude of the event, the fragment count, the expected orbital lifetime of the fragment cloud, and the conjunction risk laid on the active satellite population in the affected shell. Where those four come from: the Quarterly News</w:t>
      </w:r>
      <w:r>
        <w:t xml:space="preserve"> </w:t>
      </w:r>
      <w:hyperlink w:anchor="ref-15">
        <w:r>
          <w:rPr>
            <w:rStyle w:val="Hyperlink"/>
          </w:rPr>
          <w:t xml:space="preserve">[15]</w:t>
        </w:r>
      </w:hyperlink>
      <w:r>
        <w:t xml:space="preserve">, the Acta Astronautica reconstruction literature [7, 9, 32], the orbital-lifetime computations in the breakup-event reconstruction literature [9, 32, 35], and the orbit-determination survey documenting the conjunction-risk estimation the 18th Space Defense Squadron runs</w:t>
      </w:r>
      <w:r>
        <w:t xml:space="preserve"> </w:t>
      </w:r>
      <w:hyperlink w:anchor="ref-8">
        <w:r>
          <w:rPr>
            <w:rStyle w:val="Hyperlink"/>
          </w:rPr>
          <w:t xml:space="preserve">[8]</w:t>
        </w:r>
      </w:hyperlink>
      <w:r>
        <w:t xml:space="preserve">. Each component is scaled to a zero-to-one range across the event sample, and the four scaled components are averaged with equal weights into the index. Entering the Paper 2 regression in standardised form, the index lets its coefficient read as the abnormal-return penalty tied to a one-standard-deviation rise in the composite severity score.</w:t>
      </w:r>
    </w:p>
    <w:p>
      <w:pPr>
        <w:pStyle w:val="BodyText"/>
        <w:spacing w:line="480" w:lineRule="auto"/>
        <w:ind w:firstLine="720"/>
      </w:pPr>
      <w:r>
        <w:t xml:space="preserve">The four-component build is recorded in the accompanying data file, and it enacts the prospectus commitment to keep an event’s physical scale distinct from the institutional signal riding alongside it. Folding the components into a single fragment-count variable is avoided because the dissertation contribution hinges on showing that the institutional signal, carried by the liability-claim indicator, outweighs physical scale at the cross-sectional margin. To pool them would blur the two channels.</w:t>
      </w:r>
    </w:p>
    <w:bookmarkEnd w:id="101"/>
    <w:bookmarkStart w:id="102" w:name="X145d2ea76fbf54239437fdf1f7bacc8b400f402"/>
    <w:p>
      <w:pPr>
        <w:pStyle w:val="Heading2"/>
        <w:spacing w:line="480" w:lineRule="auto"/>
      </w:pPr>
      <w:r>
        <w:t xml:space="preserve">4.6 Liability-Claim Indicator, Attribution Flag, and Illustrative-Value Protocol</w:t>
      </w:r>
    </w:p>
    <w:p>
      <w:pPr>
        <w:pStyle w:val="FirstParagraph"/>
        <w:spacing w:line="480" w:lineRule="auto"/>
      </w:pPr>
      <w:r>
        <w:t xml:space="preserve">Paper 2’s liability-claim indicator turns to one when a liability claim or insurance recovery filing that names the event surfaces in the public record inside ninety days of the event date. Which records qualify: 8-K and 6-K filings by the operator or its parent, court filings where the operator has its principal place of business, and public statements by the operator’s insurance underwriter. Ninety days is the window because the early disclosure of a recoverable claim is the institutional signal that weighs most on the equity reaction, and the cross-sectional regression, in the Paper 2 limitations discussion, treats the indicator as endogenous to operator and underwriter choices.</w:t>
      </w:r>
    </w:p>
    <w:p>
      <w:pPr>
        <w:pStyle w:val="BodyText"/>
        <w:spacing w:line="480" w:lineRule="auto"/>
        <w:ind w:firstLine="720"/>
      </w:pPr>
      <w:r>
        <w:t xml:space="preserve">The operator-responsibility indicator turns to one when the operator is the source of the event, as fixed by the State Department attribution document</w:t>
      </w:r>
      <w:r>
        <w:t xml:space="preserve"> </w:t>
      </w:r>
      <w:hyperlink w:anchor="ref-16">
        <w:r>
          <w:rPr>
            <w:rStyle w:val="Hyperlink"/>
          </w:rPr>
          <w:t xml:space="preserve">[16]</w:t>
        </w:r>
      </w:hyperlink>
      <w:r>
        <w:t xml:space="preserve">, the Quarterly News attribution entry</w:t>
      </w:r>
      <w:r>
        <w:t xml:space="preserve"> </w:t>
      </w:r>
      <w:hyperlink w:anchor="ref-15">
        <w:r>
          <w:rPr>
            <w:rStyle w:val="Hyperlink"/>
          </w:rPr>
          <w:t xml:space="preserve">[15]</w:t>
        </w:r>
      </w:hyperlink>
      <w:r>
        <w:t xml:space="preserve">, or the Acta Astronautica reconstruction</w:t>
      </w:r>
      <w:r>
        <w:t xml:space="preserve"> </w:t>
      </w:r>
      <w:hyperlink w:anchor="ref-7">
        <w:r>
          <w:rPr>
            <w:rStyle w:val="Hyperlink"/>
          </w:rPr>
          <w:t xml:space="preserve">[7]</w:t>
        </w:r>
      </w:hyperlink>
      <w:r>
        <w:t xml:space="preserve">. It falls to zero for bystander operators whose assets meet conjunction risk or the wider debris environment but who did not source the event. That bystander-source split has to be drawn because the prospectus identification strategy turns on heterogeneity by source versus non-source bystander, and the indicator readies the panel extension that will estimate the heterogeneity outright.</w:t>
      </w:r>
    </w:p>
    <w:p>
      <w:pPr>
        <w:pStyle w:val="BodyText"/>
        <w:spacing w:line="480" w:lineRule="auto"/>
        <w:ind w:firstLine="720"/>
      </w:pPr>
      <w:r>
        <w:t xml:space="preserve">Governing the rows for privately held, state-owned, or consortium operators kept in the dataset for description is the illustrative-value protocol. Paper 2 zeroes the abnormal return for those rows by construction, reasoning that no market signal is observable and the cross-sectional regression must not warp under an imputed return. The five rows carrying this tag come to under fifteen percent of the Paper 2 dataset and are flagged in the source column. Paper 1 flags the parallel rows illustrative in the source column and keeps them in the descriptive tables, but it reports the regression coefficients with and without the flagged rows, and the substantive conclusions survive their exclusion. This protocol enacts the prospectus commitment to a hand-coded news filter on SEC 8-K filings, stretched to cover the boundary cases the prospectus names as the principal threat to validity.</w:t>
      </w:r>
    </w:p>
    <w:bookmarkEnd w:id="102"/>
    <w:bookmarkStart w:id="103" w:name="the-space-sustainability-rating-layer"/>
    <w:p>
      <w:pPr>
        <w:pStyle w:val="Heading2"/>
        <w:spacing w:line="480" w:lineRule="auto"/>
      </w:pPr>
      <w:r>
        <w:t xml:space="preserve">4.7 The Space Sustainability Rating Layer</w:t>
      </w:r>
    </w:p>
    <w:p>
      <w:pPr>
        <w:pStyle w:val="FirstParagraph"/>
        <w:spacing w:line="480" w:lineRule="auto"/>
      </w:pPr>
      <w:r>
        <w:t xml:space="preserve">Backing the moderator analysis the prospectus names, and the rating-tier interaction the panel extension will estimate, is the Space Sustainability Rating layer, built from the rating consortium’s published tier assignments [4, 12]. The most recent published account of the rating documents a composite-indicator design of six modules whose weighted aggregation yields the tier assignment, and that assignment is what enters the dissertation extension as the operator’s ex ante sustainability posture</w:t>
      </w:r>
      <w:r>
        <w:t xml:space="preserve"> </w:t>
      </w:r>
      <w:hyperlink w:anchor="ref-12">
        <w:r>
          <w:rPr>
            <w:rStyle w:val="Hyperlink"/>
          </w:rPr>
          <w:t xml:space="preserve">[12]</w:t>
        </w:r>
      </w:hyperlink>
      <w:r>
        <w:t xml:space="preserve">. For these cross-sections the rating tier stays out of the regression, since the published assignments do not span the full event sample. It is recorded in the dataset for the operator-event pairs where it exists, and it serves in the descriptive tables to confirm that the sign of the abnormal-return penalty tracks the rating-tier ordering the consortium design predicts.</w:t>
      </w:r>
    </w:p>
    <w:bookmarkEnd w:id="103"/>
    <w:bookmarkStart w:id="104" w:name="X5cfe6576ca387922bb9ad1596ad2356453c7f31"/>
    <w:p>
      <w:pPr>
        <w:pStyle w:val="Heading2"/>
        <w:spacing w:line="480" w:lineRule="auto"/>
      </w:pPr>
      <w:r>
        <w:t xml:space="preserve">4.8 Coverage, Validation, and Cross-Source Consistency</w:t>
      </w:r>
    </w:p>
    <w:p>
      <w:pPr>
        <w:pStyle w:val="FirstParagraph"/>
        <w:spacing w:line="480" w:lineRule="auto"/>
      </w:pPr>
      <w:r>
        <w:t xml:space="preserve">Three cross-source consistency checks stand behind the data layer. Check one runs fragment-count entries from the Quarterly News against the reconstruction literature [7, 9, 32] and the early-stage characterisation literature on on-orbit fragmentation</w:t>
      </w:r>
      <w:r>
        <w:t xml:space="preserve"> </w:t>
      </w:r>
      <w:hyperlink w:anchor="ref-28">
        <w:r>
          <w:rPr>
            <w:rStyle w:val="Hyperlink"/>
          </w:rPr>
          <w:t xml:space="preserve">[28]</w:t>
        </w:r>
      </w:hyperlink>
      <w:r>
        <w:t xml:space="preserve">; where two sources part by more than ten percent, the newer peer-reviewed figure prevails and the source column notes the swap. Check two runs operator-attribution entries from the State Department press statements</w:t>
      </w:r>
      <w:r>
        <w:t xml:space="preserve"> </w:t>
      </w:r>
      <w:hyperlink w:anchor="ref-16">
        <w:r>
          <w:rPr>
            <w:rStyle w:val="Hyperlink"/>
          </w:rPr>
          <w:t xml:space="preserve">[16]</w:t>
        </w:r>
      </w:hyperlink>
      <w:r>
        <w:t xml:space="preserve"> </w:t>
      </w:r>
      <w:r>
        <w:t xml:space="preserve">against the Quarterly News attribution entries</w:t>
      </w:r>
      <w:r>
        <w:t xml:space="preserve"> </w:t>
      </w:r>
      <w:hyperlink w:anchor="ref-15">
        <w:r>
          <w:rPr>
            <w:rStyle w:val="Hyperlink"/>
          </w:rPr>
          <w:t xml:space="preserve">[15]</w:t>
        </w:r>
      </w:hyperlink>
      <w:r>
        <w:t xml:space="preserve"> </w:t>
      </w:r>
      <w:r>
        <w:t xml:space="preserve">and the operator-responsibility indicator built from corporate disclosures, and all three agree in every case. Check three runs the conjunction-risk component of the event-severity index against the orbit-determination survey</w:t>
      </w:r>
      <w:r>
        <w:t xml:space="preserve"> </w:t>
      </w:r>
      <w:hyperlink w:anchor="ref-8">
        <w:r>
          <w:rPr>
            <w:rStyle w:val="Hyperlink"/>
          </w:rPr>
          <w:t xml:space="preserve">[8]</w:t>
        </w:r>
      </w:hyperlink>
      <w:r>
        <w:t xml:space="preserve"> </w:t>
      </w:r>
      <w:r>
        <w:t xml:space="preserve">and the analyses of the Russian direct-ascent anti-satellite event from the SDA community</w:t>
      </w:r>
      <w:r>
        <w:t xml:space="preserve"> </w:t>
      </w:r>
      <w:hyperlink w:anchor="ref-26">
        <w:r>
          <w:rPr>
            <w:rStyle w:val="Hyperlink"/>
          </w:rPr>
          <w:t xml:space="preserve">[26]</w:t>
        </w:r>
      </w:hyperlink>
      <w:r>
        <w:t xml:space="preserve">; it confirms that the component tracks the altitude and orbital regime of the event, which is the component’s substantive content.</w:t>
      </w:r>
    </w:p>
    <w:p>
      <w:pPr>
        <w:pStyle w:val="BodyText"/>
        <w:spacing w:line="480" w:lineRule="auto"/>
        <w:ind w:firstLine="720"/>
      </w:pPr>
      <w:r>
        <w:t xml:space="preserve">No proprietary operator data underlies the data layer, and no subscription beyond the standard university licenses the prospectus names is required. Every primary source is public, every variable-construction rule is deterministic, and every source assignment is written into the source columns of the two datasets that accompany the two papers. From the primary records to the regression tables reported in the two empirical chapters, Chapter 5 among them, the data reproduce, and that reproducibility is the precondition for the inferential claims those chapters make and for the panel extension the later chapter proposes.</w:t>
      </w:r>
    </w:p>
    <w:bookmarkEnd w:id="104"/>
    <w:bookmarkStart w:id="105" w:name="limitations-of-the-data-layer"/>
    <w:p>
      <w:pPr>
        <w:pStyle w:val="Heading2"/>
        <w:spacing w:line="480" w:lineRule="auto"/>
      </w:pPr>
      <w:r>
        <w:t xml:space="preserve">4.9 Limitations of the Data Layer</w:t>
      </w:r>
    </w:p>
    <w:p>
      <w:pPr>
        <w:pStyle w:val="FirstParagraph"/>
        <w:spacing w:line="480" w:lineRule="auto"/>
      </w:pPr>
      <w:r>
        <w:t xml:space="preserve">Four limitations belong here, at the measurement stage, rather than in the discussion sections of the empirical chapters. One, the pool of publicly traded pure-play satellite operators is thin, which pinches statistical power in both cross-sections; the response is to pool events across operators and orbital regimes, to fold in diversified parent firms with material satellite exposure, and to report joint-significance tests alongside the individual-coefficient tests. Two, the illustrative-value rows in Paper 2 understate true cross-sectional variation in abnormal returns whenever the underlying events involve state operators whose physical scale is large yet whose equity is not observable, which is where the positive sign on the cataloged fragment-count coefficient in Paper 2 originates, discussed at length in the Paper 2 findings section. Three, the liability-claim indicator is endogenous to operator and underwriter choices and may stand in for unobserved event characteristics that also move returns, a point Paper 2 concedes and one that motivates the panel extension. Four, the market-model abnormal-return measure moves with the choice of estimation window, though the qualitative ranking of coefficients holds across the windows both papers examine; the Fama-French three-factor specification the panel extension plans is the principal robustness answer, and the survivorship-bias-free CRSP extraction the prospectus names is the principal answer to the selection-on-the-dependent-variable threat acknowledged there.</w:t>
      </w:r>
    </w:p>
    <w:p>
      <w:pPr>
        <w:pStyle w:val="BodyText"/>
        <w:spacing w:line="480" w:lineRule="auto"/>
        <w:ind w:firstLine="720"/>
      </w:pPr>
      <w:r>
        <w:t xml:space="preserve">These four frame the variable definitions set out above and drive the methodological choices that govern the empirical results of Chapters 5 and 6. Built conservatively, with deterministic rules and transparent source assignments, the data layer places the inferential burden on the estimator rather than on undocumented data choices.</w:t>
      </w:r>
    </w:p>
    <w:bookmarkEnd w:id="105"/>
    <w:bookmarkEnd w:id="106"/>
    <w:bookmarkStart w:id="127" w:name="chapter-5.-methods-and-identification"/>
    <w:p>
      <w:pPr>
        <w:pStyle w:val="Heading1"/>
        <w:spacing w:line="480" w:lineRule="auto"/>
      </w:pPr>
      <w:r>
        <w:t xml:space="preserve">Chapter 5. Methods and Identification</w:t>
      </w:r>
    </w:p>
    <w:bookmarkStart w:id="107" w:name="overview-of-the-empirical-strategy"/>
    <w:p>
      <w:pPr>
        <w:pStyle w:val="Heading2"/>
        <w:spacing w:line="480" w:lineRule="auto"/>
      </w:pPr>
      <w:r>
        <w:t xml:space="preserve">5.1 Overview of the Empirical Strategy</w:t>
      </w:r>
    </w:p>
    <w:p>
      <w:pPr>
        <w:pStyle w:val="FirstParagraph"/>
        <w:spacing w:line="480" w:lineRule="auto"/>
      </w:pPr>
      <w:r>
        <w:t xml:space="preserve">Laid out in this chapter are the estimators, the identification strategy, and the inferential machinery that recover the capital-markets penalty for debris events. At issue empirically is the cumulative abnormal return (CAR) a publicly traded satellite operator earns in a short window around a confirmed debris-generating event, a confirmed close-approach conjunction warning, or an uncontrolled reentry traceable to one of its assets. The chapter moves in three parts. Section 5.2 fixes the benchmark return-generating process and the CAR construction. Section 5.3 works through the cross-sectional models that tie CAR to event severity, operator culpability, fleet diversification, and ex ante sustainability tier. Section 5.4 sets out the identification logic that earns a causal reading of the central coefficients and the robustness apparatus that bounds each principal threat to validity.</w:t>
      </w:r>
    </w:p>
    <w:p>
      <w:pPr>
        <w:pStyle w:val="BodyText"/>
        <w:spacing w:line="480" w:lineRule="auto"/>
        <w:ind w:firstLine="720"/>
      </w:pPr>
      <w:r>
        <w:t xml:space="preserve">Conservatism is built into the estimating apparatus by design. The two pilot papers anchoring this dissertation both fit cross-sectional ordinary least squares (OLS) specifications on hand-curated event panels, and both returned coefficients that carried the right sign yet, in the smaller pilot, cleared zero only marginally at conventional thresholds. So flexibility is traded for transparency: one parsimonious main specification, subsample cuts fixed in advance, and an open enumeration of the assumptions under which the central coefficient earns a causal reading. Where a pilot reported a point estimate from a single specification, this dissertation reports a small grid of specifications and measures how far the central coefficient travels across them.</w:t>
      </w:r>
    </w:p>
    <w:bookmarkEnd w:id="107"/>
    <w:bookmarkStart w:id="111" w:name="Xe50e48a56cadeb83fb5c6d28158d9c0caabe67f"/>
    <w:p>
      <w:pPr>
        <w:pStyle w:val="Heading2"/>
        <w:spacing w:line="480" w:lineRule="auto"/>
      </w:pPr>
      <w:r>
        <w:t xml:space="preserve">5.2 The Return-Generating Process and CAR Construction</w:t>
      </w:r>
    </w:p>
    <w:bookmarkStart w:id="108" w:name="estimation-window-and-benchmark-model"/>
    <w:p>
      <w:pPr>
        <w:pStyle w:val="Heading3"/>
        <w:spacing w:line="480" w:lineRule="auto"/>
      </w:pPr>
      <w:r>
        <w:t xml:space="preserve">5.2.1 Estimation Window and Benchmark Model</w:t>
      </w:r>
    </w:p>
    <w:p>
      <w:pPr>
        <w:pStyle w:val="FirstParagraph"/>
        <w:spacing w:line="480" w:lineRule="auto"/>
      </w:pPr>
      <w:r>
        <w:t xml:space="preserve">Indexed by</w:t>
      </w:r>
      <w:r>
        <w:t xml:space="preserve"> </w:t>
      </w:r>
      <w:r>
        <w:rPr>
          <w:i/>
          <w:iCs/>
        </w:rPr>
        <w:t xml:space="preserve">i</w:t>
      </w:r>
      <w:r>
        <w:t xml:space="preserve">, each operator-event pair draws its expected returns from a Fama-French three-factor model fit over an estimation window of (-250, -30) trading days relative to the event date</w:t>
      </w:r>
      <w:r>
        <w:t xml:space="preserve"> </w:t>
      </w:r>
      <w:r>
        <w:rPr>
          <w:i/>
          <w:iCs/>
        </w:rPr>
        <w:t xml:space="preserve">t</w:t>
      </w:r>
      <w:r>
        <w:t xml:space="preserve"> </w:t>
      </w:r>
      <w:r>
        <w:t xml:space="preserve">= 0. Ending that window at</w:t>
      </w:r>
      <w:r>
        <w:t xml:space="preserve"> </w:t>
      </w:r>
      <w:r>
        <w:rPr>
          <w:i/>
          <w:iCs/>
        </w:rPr>
        <w:t xml:space="preserve">t</w:t>
      </w:r>
      <w:r>
        <w:t xml:space="preserve"> </w:t>
      </w:r>
      <w:r>
        <w:t xml:space="preserve">= -30 keeps the factor loadings clear of any pre-event drift that leakage of debris-event information might induce. Its factors are the excess market return, the size factor, and the value factor, all from the Kenneth R. French Data Library and aligned to the operator’s home-exchange trading calendar. OLS estimates the operator-level factor loadings inside the estimation window. Should an operator’s home exchange lie outside the United States, a regional factor block augments the factor set to soak up common variation the US-domiciled factors miss; that augmentation enters as a fixed addition to the benchmark, not a discretionary specification choice.</w:t>
      </w:r>
    </w:p>
    <w:bookmarkEnd w:id="108"/>
    <w:bookmarkStart w:id="109" w:name="abnormal-returns-and-the-event-window"/>
    <w:p>
      <w:pPr>
        <w:pStyle w:val="Heading3"/>
        <w:spacing w:line="480" w:lineRule="auto"/>
      </w:pPr>
      <w:r>
        <w:t xml:space="preserve">5.2.2 Abnormal Returns and the Event Window</w:t>
      </w:r>
    </w:p>
    <w:p>
      <w:pPr>
        <w:pStyle w:val="FirstParagraph"/>
        <w:spacing w:line="480" w:lineRule="auto"/>
      </w:pPr>
      <w:r>
        <w:t xml:space="preserve">Realized returns less benchmark expected returns give the abnormal returns over the event window. Primary among the windows is (-1, +3) trading days, picked to take in a one-trading-day pre-event leakage allowance and to cover the first three trading days across which event-relevant information usually clears the operator’s price. Summing daily abnormal returns over the window gives the cumulative abnormal return, in percentage points. Inference settles on the (-1, +3) window; the (0, +1), (0, +3), and (-1, +5) windows are computed and reported as robustness pieces. Where a pilot used a three-day window centered on the event date, this dissertation widens to (-1, +3) to take in the leakage the conjunction-disclosure timestamp structure makes plausible.</w:t>
      </w:r>
    </w:p>
    <w:bookmarkEnd w:id="109"/>
    <w:bookmarkStart w:id="110" w:name="cross-sectional-test-statistics"/>
    <w:p>
      <w:pPr>
        <w:pStyle w:val="Heading3"/>
        <w:spacing w:line="480" w:lineRule="auto"/>
      </w:pPr>
      <w:r>
        <w:t xml:space="preserve">5.2.3 Cross-Sectional Test Statistics</w:t>
      </w:r>
    </w:p>
    <w:p>
      <w:pPr>
        <w:pStyle w:val="FirstParagraph"/>
        <w:spacing w:line="480" w:lineRule="auto"/>
      </w:pPr>
      <w:r>
        <w:t xml:space="preserve">Primary among the statistics for cross-sectional inference on mean CAR is the Patell standardized residual test. Alongside it runs the Boehmer-Musumeci-Poulsen test, since debris events plausibly shift event-window variance in ways the Patell statistic will not absorb. For the smallest subsamples, where the asymptotic properties of the parametric tests strain hardest, a nonparametric sign test enters as a third statistic. Agreement among the three on sign and significance leaves the inferential conclusion unambiguous; divergence has the chapter report each statistic and read the divergence itself as evidence about distributional behavior in the event window.</w:t>
      </w:r>
    </w:p>
    <w:bookmarkEnd w:id="110"/>
    <w:bookmarkEnd w:id="111"/>
    <w:bookmarkStart w:id="115" w:name="cross-sectional-models-of-car"/>
    <w:p>
      <w:pPr>
        <w:pStyle w:val="Heading2"/>
        <w:spacing w:line="480" w:lineRule="auto"/>
      </w:pPr>
      <w:r>
        <w:t xml:space="preserve">5.3 Cross-Sectional Models of CAR</w:t>
      </w:r>
    </w:p>
    <w:bookmarkStart w:id="112" w:name="the-main-specification"/>
    <w:p>
      <w:pPr>
        <w:pStyle w:val="Heading3"/>
        <w:spacing w:line="480" w:lineRule="auto"/>
      </w:pPr>
      <w:r>
        <w:t xml:space="preserve">5.3.1 The Main Specification</w:t>
      </w:r>
    </w:p>
    <w:p>
      <w:pPr>
        <w:pStyle w:val="FirstParagraph"/>
        <w:spacing w:line="480" w:lineRule="auto"/>
      </w:pPr>
      <w:r>
        <w:t xml:space="preserve">A small set of event and operator characteristics carries the regression of operator-event CAR:</w:t>
      </w:r>
    </w:p>
    <w:p>
      <w:pPr>
        <w:pStyle w:val="BodyText"/>
        <w:spacing w:line="480" w:lineRule="auto"/>
        <w:ind w:firstLine="720"/>
      </w:pPr>
      <w:r>
        <w:t xml:space="preserve">CAR_i = α + β_1 · ln(1 + Debris_i) + β_2 · ln(Fleet_i) + β_3 · LEO_i + β_4 · Insured_i + β_5 · Sovereign_i + β_6 · SSR_i + γ · X_i + ε_i.</w:t>
      </w:r>
    </w:p>
    <w:p>
      <w:pPr>
        <w:pStyle w:val="BodyText"/>
        <w:spacing w:line="480" w:lineRule="auto"/>
        <w:ind w:firstLine="720"/>
      </w:pPr>
      <w:r>
        <w:t xml:space="preserve">Those covariates track the pilot specifications [1, 3].</w:t>
      </w:r>
      <w:r>
        <w:t xml:space="preserve"> </w:t>
      </w:r>
      <w:r>
        <w:rPr>
          <w:i/>
          <w:iCs/>
        </w:rPr>
        <w:t xml:space="preserve">Debris_i</w:t>
      </w:r>
      <w:r>
        <w:t xml:space="preserve"> </w:t>
      </w:r>
      <w:r>
        <w:t xml:space="preserve">counts the trackable fragments attributable to event</w:t>
      </w:r>
      <w:r>
        <w:t xml:space="preserve"> </w:t>
      </w:r>
      <w:r>
        <w:rPr>
          <w:i/>
          <w:iCs/>
        </w:rPr>
        <w:t xml:space="preserve">i</w:t>
      </w:r>
      <w:r>
        <w:t xml:space="preserve"> </w:t>
      </w:r>
      <w:r>
        <w:t xml:space="preserve">at the NASA Orbital Debris Quarterly News reporting cutoff nearest the event date.</w:t>
      </w:r>
      <w:r>
        <w:t xml:space="preserve"> </w:t>
      </w:r>
      <w:r>
        <w:rPr>
          <w:i/>
          <w:iCs/>
        </w:rPr>
        <w:t xml:space="preserve">Fleet_i</w:t>
      </w:r>
      <w:r>
        <w:t xml:space="preserve"> </w:t>
      </w:r>
      <w:r>
        <w:t xml:space="preserve">counts the active operator-owned spacecraft on the event date.</w:t>
      </w:r>
      <w:r>
        <w:t xml:space="preserve"> </w:t>
      </w:r>
      <w:r>
        <w:rPr>
          <w:i/>
          <w:iCs/>
        </w:rPr>
        <w:t xml:space="preserve">LEO_i</w:t>
      </w:r>
      <w:r>
        <w:t xml:space="preserve"> </w:t>
      </w:r>
      <w:r>
        <w:t xml:space="preserve">is the share of operator revenue from low Earth orbit assets in the latest annual filing.</w:t>
      </w:r>
      <w:r>
        <w:t xml:space="preserve"> </w:t>
      </w:r>
      <w:r>
        <w:rPr>
          <w:i/>
          <w:iCs/>
        </w:rPr>
        <w:t xml:space="preserve">Insured_i</w:t>
      </w:r>
      <w:r>
        <w:t xml:space="preserve"> </w:t>
      </w:r>
      <w:r>
        <w:t xml:space="preserve">flags, one or zero, whether the affected asset held an in-force insurance policy at the event date.</w:t>
      </w:r>
      <w:r>
        <w:t xml:space="preserve"> </w:t>
      </w:r>
      <w:r>
        <w:rPr>
          <w:i/>
          <w:iCs/>
        </w:rPr>
        <w:t xml:space="preserve">Sovereign_i</w:t>
      </w:r>
      <w:r>
        <w:t xml:space="preserve"> </w:t>
      </w:r>
      <w:r>
        <w:t xml:space="preserve">is the share of operator revenue from sovereign or sovereign-anchored customers.</w:t>
      </w:r>
      <w:r>
        <w:t xml:space="preserve"> </w:t>
      </w:r>
      <w:r>
        <w:rPr>
          <w:i/>
          <w:iCs/>
        </w:rPr>
        <w:t xml:space="preserve">SSR_i</w:t>
      </w:r>
      <w:r>
        <w:t xml:space="preserve"> </w:t>
      </w:r>
      <w:r>
        <w:t xml:space="preserve">is the operator’s ex ante sustainability tier as the Space Sustainability Rating consortium publishes it</w:t>
      </w:r>
      <w:r>
        <w:t xml:space="preserve"> </w:t>
      </w:r>
      <w:hyperlink w:anchor="ref-4">
        <w:r>
          <w:rPr>
            <w:rStyle w:val="Hyperlink"/>
          </w:rPr>
          <w:t xml:space="preserve">[4]</w:t>
        </w:r>
      </w:hyperlink>
      <w:r>
        <w:t xml:space="preserve">.</w:t>
      </w:r>
      <w:r>
        <w:t xml:space="preserve"> </w:t>
      </w:r>
      <w:r>
        <w:rPr>
          <w:i/>
          <w:iCs/>
        </w:rPr>
        <w:t xml:space="preserve">X_i</w:t>
      </w:r>
      <w:r>
        <w:t xml:space="preserve"> </w:t>
      </w:r>
      <w:r>
        <w:t xml:space="preserve">gathers the fixed controls, orbital regime, calendar year, and event-class indicators separating collision, anti-satellite test, fragmentation, conjunction warning, and uncontrolled reentry. Standard errors are heteroskedasticity-robust and, in the panel extension, clustered at the operator level.</w:t>
      </w:r>
    </w:p>
    <w:bookmarkEnd w:id="112"/>
    <w:bookmarkStart w:id="113" w:name="the-sustainability-tier-interaction"/>
    <w:p>
      <w:pPr>
        <w:pStyle w:val="Heading3"/>
        <w:spacing w:line="480" w:lineRule="auto"/>
      </w:pPr>
      <w:r>
        <w:t xml:space="preserve">5.3.2 The Sustainability-Tier Interaction</w:t>
      </w:r>
    </w:p>
    <w:p>
      <w:pPr>
        <w:pStyle w:val="FirstParagraph"/>
        <w:spacing w:line="480" w:lineRule="auto"/>
      </w:pPr>
      <w:r>
        <w:t xml:space="preserve">Prospectus H1 holds that the debris penalty shrinks in magnitude, monotonically, as the operator’s ex ante SSR tier rises. To that end the interaction specification adds β_7 · ln(1 + Debris_i) × SSR_i to the main specification, and the test at issue is H0: β_7 = 0 against the directional alternative β_7 &gt; 0, a less negative debris coefficient for higher-tier operators. Identifying the interaction is cross-operator variation in pre-event tier at the same event class, and the ex ante construction of</w:t>
      </w:r>
      <w:r>
        <w:t xml:space="preserve"> </w:t>
      </w:r>
      <w:r>
        <w:rPr>
          <w:i/>
          <w:iCs/>
        </w:rPr>
        <w:t xml:space="preserve">SSR_i</w:t>
      </w:r>
      <w:r>
        <w:t xml:space="preserve"> </w:t>
      </w:r>
      <w:r>
        <w:t xml:space="preserve">shuts off the reverse-causation route from event to tier</w:t>
      </w:r>
      <w:r>
        <w:t xml:space="preserve"> </w:t>
      </w:r>
      <w:hyperlink w:anchor="ref-4">
        <w:r>
          <w:rPr>
            <w:rStyle w:val="Hyperlink"/>
          </w:rPr>
          <w:t xml:space="preserve">[4]</w:t>
        </w:r>
      </w:hyperlink>
      <w:r>
        <w:t xml:space="preserve">. Read out, the interaction is the marginal market reward to a one-tier sustainability improvement at fixed debris exposure.</w:t>
      </w:r>
    </w:p>
    <w:bookmarkEnd w:id="113"/>
    <w:bookmarkStart w:id="114" w:name="the-liability-channel-decomposition"/>
    <w:p>
      <w:pPr>
        <w:pStyle w:val="Heading3"/>
        <w:spacing w:line="480" w:lineRule="auto"/>
      </w:pPr>
      <w:r>
        <w:t xml:space="preserve">5.3.3 The Liability-Channel Decomposition</w:t>
      </w:r>
    </w:p>
    <w:p>
      <w:pPr>
        <w:pStyle w:val="FirstParagraph"/>
        <w:spacing w:line="480" w:lineRule="auto"/>
      </w:pPr>
      <w:r>
        <w:t xml:space="preserve">What the second pilot flagged as the dominant capital-markets signal in the event window was the filing of a liability claim or insurance recovery. To trace it, the total CAR splits into two stacked windows: one (-1, +3) window centered on the physical event, and one (-1, +3) window centered on the first publicly observable liability or insurance disclosure that follows. Treating the liability disclosure as a second event for the same operator makes this a sequential event study. Summing CAR over the two windows gives the total operator penalty; the second-window CAR as a fraction of that total gives the liability share. So the decomposition turns the institutional-signal channel into a quantitative object rather than a qualitative caveat and opens an explicit test of whether the physical-event window or the liability-disclosure window carries the larger slice of the total reaction.</w:t>
      </w:r>
    </w:p>
    <w:bookmarkEnd w:id="114"/>
    <w:bookmarkEnd w:id="115"/>
    <w:bookmarkStart w:id="125" w:name="identification-and-threats-to-validity"/>
    <w:p>
      <w:pPr>
        <w:pStyle w:val="Heading2"/>
        <w:spacing w:line="480" w:lineRule="auto"/>
      </w:pPr>
      <w:r>
        <w:t xml:space="preserve">5.4 Identification and Threats to Validity</w:t>
      </w:r>
    </w:p>
    <w:p>
      <w:pPr>
        <w:pStyle w:val="FirstParagraph"/>
        <w:spacing w:line="480" w:lineRule="auto"/>
      </w:pPr>
      <w:r>
        <w:t xml:space="preserve">The rest of the chapter fixes the identification logic and the threats to validity the design has to bound. Every threat is named, the channel by which it would bias the central coefficient is spelled out, and the design feature bounding it is stated in the open.</w:t>
      </w:r>
    </w:p>
    <w:bookmarkStart w:id="116" w:name="the-core-identification-assumption"/>
    <w:p>
      <w:pPr>
        <w:pStyle w:val="Heading3"/>
        <w:spacing w:line="480" w:lineRule="auto"/>
      </w:pPr>
      <w:r>
        <w:t xml:space="preserve">5.4.1 The Core Identification Assumption</w:t>
      </w:r>
    </w:p>
    <w:p>
      <w:pPr>
        <w:pStyle w:val="FirstParagraph"/>
        <w:spacing w:line="480" w:lineRule="auto"/>
      </w:pPr>
      <w:r>
        <w:t xml:space="preserve">Anchoring the causal claim is one assumption: that, given the covariate set, the variation in</w:t>
      </w:r>
      <w:r>
        <w:t xml:space="preserve"> </w:t>
      </w:r>
      <w:r>
        <w:rPr>
          <w:i/>
          <w:iCs/>
        </w:rPr>
        <w:t xml:space="preserve">Debris_i</w:t>
      </w:r>
      <w:r>
        <w:t xml:space="preserve"> </w:t>
      </w:r>
      <w:r>
        <w:t xml:space="preserve">across operator-event pairs catches the market by surprise at</w:t>
      </w:r>
      <w:r>
        <w:t xml:space="preserve"> </w:t>
      </w:r>
      <w:r>
        <w:rPr>
          <w:i/>
          <w:iCs/>
        </w:rPr>
        <w:t xml:space="preserve">t</w:t>
      </w:r>
      <w:r>
        <w:t xml:space="preserve"> </w:t>
      </w:r>
      <w:r>
        <w:t xml:space="preserve">= -1. Grant it, and the OLS coefficient β_1 recovers the average treatment effect of a one-log-unit rise in attributable debris on three-day operator equity returns. Three margins carry the defense. The observation is the event, not the operator, so operators whose physical risk profile is priced continuously still meet an event-window surprise in the fraction of debris the event itself throws off. The event taxonomy separates anticipated reentries, dropped from the primary sample, from uncontrolled reentries, kept</w:t>
      </w:r>
      <w:r>
        <w:t xml:space="preserve"> </w:t>
      </w:r>
      <w:hyperlink w:anchor="ref-5">
        <w:r>
          <w:rPr>
            <w:rStyle w:val="Hyperlink"/>
          </w:rPr>
          <w:t xml:space="preserve">[5]</w:t>
        </w:r>
      </w:hyperlink>
      <w:r>
        <w:t xml:space="preserve">. And conjunction-warning events carry the disclosure timestamp rather than the conjunction epoch, so any pre-disclosure price drift lands in the estimation window rather than the event window.</w:t>
      </w:r>
    </w:p>
    <w:bookmarkEnd w:id="116"/>
    <w:bookmarkStart w:id="117" w:name="X8e45d7361b68e9b29262a5d392ba29ee1aaddf7"/>
    <w:p>
      <w:pPr>
        <w:pStyle w:val="Heading3"/>
        <w:spacing w:line="480" w:lineRule="auto"/>
      </w:pPr>
      <w:r>
        <w:t xml:space="preserve">5.4.2 Threat 1: Anticipation and Continuous Pricing</w:t>
      </w:r>
    </w:p>
    <w:p>
      <w:pPr>
        <w:pStyle w:val="FirstParagraph"/>
        <w:spacing w:line="480" w:lineRule="auto"/>
      </w:pPr>
      <w:r>
        <w:t xml:space="preserve">Grant that markets price debris exposure continuously. Then the event-window CAR understates the true penalty by whatever share the pre-event price has already capitalized. Two design features bound the threat. Drawn from the catalogue in the aviation-safety reentry literature</w:t>
      </w:r>
      <w:r>
        <w:t xml:space="preserve"> </w:t>
      </w:r>
      <w:hyperlink w:anchor="ref-5">
        <w:r>
          <w:rPr>
            <w:rStyle w:val="Hyperlink"/>
          </w:rPr>
          <w:t xml:space="preserve">[5]</w:t>
        </w:r>
      </w:hyperlink>
      <w:r>
        <w:t xml:space="preserve">, the uncontrolled-reentry subsample holds to events whose timing is, by construction, unanticipated. And a pre-event placebo window of (-10, -2) and a post-window placebo of (+4, +10) are reported; systematic significance in either reads as a sign the (-1, +3) coefficient is contaminated by ongoing repricing rather than by the event. The placebos do not erase the bias, yet they put a sign and a magnitude on it.</w:t>
      </w:r>
    </w:p>
    <w:bookmarkEnd w:id="117"/>
    <w:bookmarkStart w:id="118" w:name="Xef506a15c7f66ab9056655286f6d7feebb7c8ff"/>
    <w:p>
      <w:pPr>
        <w:pStyle w:val="Heading3"/>
        <w:spacing w:line="480" w:lineRule="auto"/>
      </w:pPr>
      <w:r>
        <w:t xml:space="preserve">5.4.3 Threat 2: Confounding News in the Event Window</w:t>
      </w:r>
    </w:p>
    <w:p>
      <w:pPr>
        <w:pStyle w:val="FirstParagraph"/>
        <w:spacing w:line="480" w:lineRule="auto"/>
      </w:pPr>
      <w:r>
        <w:t xml:space="preserve">Operator-specific news unrelated to the debris event may creep into the window. To counter it the design runs a hand-coded news filter over Securities and Exchange Commission 8-K filings and Factiva-indexed news at the event-day level, dropping any operator-event day that carries a material non-debris disclosure. The exclusion errs conservative: an event with a contaminated event-day leaves the main sample and reappears in a separate appendix table. Written up as a fixed exclusion rule rather than a discretionary judgment, the filter carries a reported inter-coder agreement statistic.</w:t>
      </w:r>
    </w:p>
    <w:bookmarkEnd w:id="118"/>
    <w:bookmarkStart w:id="119" w:name="X06b3217eda0af619e09bfa0d662836aefc5d340"/>
    <w:p>
      <w:pPr>
        <w:pStyle w:val="Heading3"/>
        <w:spacing w:line="480" w:lineRule="auto"/>
      </w:pPr>
      <w:r>
        <w:t xml:space="preserve">5.4.4 Threat 3: Thin Trading, Small Samples, and Power</w:t>
      </w:r>
    </w:p>
    <w:p>
      <w:pPr>
        <w:pStyle w:val="FirstParagraph"/>
        <w:spacing w:line="480" w:lineRule="auto"/>
      </w:pPr>
      <w:r>
        <w:t xml:space="preserve">Thin is the pool of publicly traded pure-play satellite operators. Cross-sections of 30 and 35 observations came out of the pilot work [1, 3], and at those sizes the central debris coefficient carried the right sign but only marginal significance. Three design choices hold power without loosening identification. The sample pools across event classes while carrying event-class fixed effects, so the debris coefficient is identified within event class. Diversified parent firms with material satellite exposure stay in, with a robustness cut that narrows to pure plays. And both parametric statistics, Patell and Boehmer-Musumeci-Poulsen, plus the nonparametric sign test are reported, so no single distributional assumption holds the inferential reading hostage. Power calculations conditioned on the pilot residual variance say the panel extension is what the interaction in 5.3.2 needs to be estimated at conventional precision.</w:t>
      </w:r>
    </w:p>
    <w:bookmarkEnd w:id="119"/>
    <w:bookmarkStart w:id="120" w:name="Xc81cfc53165350a8cdce882b0ef9bebc810611b"/>
    <w:p>
      <w:pPr>
        <w:pStyle w:val="Heading3"/>
        <w:spacing w:line="480" w:lineRule="auto"/>
      </w:pPr>
      <w:r>
        <w:t xml:space="preserve">5.4.5 Threat 4: Survivorship and Selection on the Outcome</w:t>
      </w:r>
    </w:p>
    <w:p>
      <w:pPr>
        <w:pStyle w:val="FirstParagraph"/>
        <w:spacing w:line="480" w:lineRule="auto"/>
      </w:pPr>
      <w:r>
        <w:t xml:space="preserve">Operators that leave the market after catastrophic events drop out of later cross-sections, and any extraction starting from a present-day operator list will understate the penalty by clipping the left tail of the outcome distribution. Two moves answer this. The underlying return series comes from the CRSP US Stock Database, survivorship-bias-free by construction and holding delisted securities. And an inverse-probability weighting check reweights surviving operators by the inverse of their estimated probability of surviving to the sample end date, the survival model fit on pre-event characteristics. Agreement between unweighted and weighted coefficients is reported as a stability statistic.</w:t>
      </w:r>
    </w:p>
    <w:bookmarkEnd w:id="120"/>
    <w:bookmarkStart w:id="121" w:name="X9097e7084973cba0827ee47b0c421e5fef06867"/>
    <w:p>
      <w:pPr>
        <w:pStyle w:val="Heading3"/>
        <w:spacing w:line="480" w:lineRule="auto"/>
      </w:pPr>
      <w:r>
        <w:t xml:space="preserve">5.4.6 Threat 5: Endogeneity of the Liability Signal</w:t>
      </w:r>
    </w:p>
    <w:p>
      <w:pPr>
        <w:pStyle w:val="FirstParagraph"/>
        <w:spacing w:line="480" w:lineRule="auto"/>
      </w:pPr>
      <w:r>
        <w:t xml:space="preserve">Carrying the largest and most precisely estimated effect in the second pilot was the liability-claim indicator</w:t>
      </w:r>
      <w:r>
        <w:t xml:space="preserve"> </w:t>
      </w:r>
      <w:hyperlink w:anchor="ref-3">
        <w:r>
          <w:rPr>
            <w:rStyle w:val="Hyperlink"/>
          </w:rPr>
          <w:t xml:space="preserve">[3]</w:t>
        </w:r>
      </w:hyperlink>
      <w:r>
        <w:t xml:space="preserve">. Endogenous to operator and underwriter choices, it may stand in for unobserved event characteristics that also move returns. The decomposition in Section 5.3.3 does not by itself break that endogeneity; it isolates the channel without identifying it. Two devices bound it. Closing the physical-event window before the liability-disclosure window opens means the physical-event CAR is, by timing, not driven by the liability disclosure. And a two-stage specification instruments the liability-disclosure indicator with the operator’s pre-event insurance-policy structure, read off the latest annual filing. That instrument holds to the extent that pre-event policy structure is locked by underwriter decisions taken before the event and correlates with the probability of a post-event liability disclosure given event severity. The two-stage result is reported as a bound, not the headline estimate.</w:t>
      </w:r>
    </w:p>
    <w:bookmarkEnd w:id="121"/>
    <w:bookmarkStart w:id="122" w:name="X829996d54bdfc2fc954026b37724f9e5716088e"/>
    <w:p>
      <w:pPr>
        <w:pStyle w:val="Heading3"/>
        <w:spacing w:line="480" w:lineRule="auto"/>
      </w:pPr>
      <w:r>
        <w:t xml:space="preserve">5.4.7 Threat 6: Attribution Error in the Debris Count</w:t>
      </w:r>
    </w:p>
    <w:p>
      <w:pPr>
        <w:pStyle w:val="FirstParagraph"/>
        <w:spacing w:line="480" w:lineRule="auto"/>
      </w:pPr>
      <w:r>
        <w:t xml:space="preserve">Error dogs the attributable debris count; for the largest events especially, fragment populations get their attribution revised across successive NASA Orbital Debris Quarterly News reporting cycles. Since classical measurement error in</w:t>
      </w:r>
      <w:r>
        <w:t xml:space="preserve"> </w:t>
      </w:r>
      <w:r>
        <w:rPr>
          <w:i/>
          <w:iCs/>
        </w:rPr>
        <w:t xml:space="preserve">Debris_i</w:t>
      </w:r>
      <w:r>
        <w:t xml:space="preserve"> </w:t>
      </w:r>
      <w:r>
        <w:t xml:space="preserve">pulls β_1 toward zero, the OLS estimate is a conservative bound on the penalty’s magnitude. Two robustness pieces follow. A coarsened-debris specification swaps the continuous log count for a four-bin discretization (zero, low, medium, high) robust to within-bin attribution revisions. And a reconciled-debris specification takes the attribution as it stood at the most recent published reconstruction in the peer-reviewed breakup-event literature [7, 9], paying for it by narrowing the sample to events with a published reconstruction.</w:t>
      </w:r>
    </w:p>
    <w:bookmarkEnd w:id="122"/>
    <w:bookmarkStart w:id="123" w:name="Xa2e781d4324df692ce28cf27baf56aecfc6b809"/>
    <w:p>
      <w:pPr>
        <w:pStyle w:val="Heading3"/>
        <w:spacing w:line="480" w:lineRule="auto"/>
      </w:pPr>
      <w:r>
        <w:t xml:space="preserve">5.4.8 Threat 7: External Validity and Regime Heterogeneity</w:t>
      </w:r>
    </w:p>
    <w:p>
      <w:pPr>
        <w:pStyle w:val="FirstParagraph"/>
        <w:spacing w:line="480" w:lineRule="auto"/>
      </w:pPr>
      <w:r>
        <w:t xml:space="preserve">Fit on the pooled sample, the penalty averages over orbital regimes, customer-mix structures, and political eras. For external validity the estimated coefficient has to speak to the population of future operator-event pairs. Three regime cuts are reported: a low-Earth-orbit-only cut, a geostationary-only cut, and a post-2018 cut bracketing the era across which the Space Sustainability Rating tier system has been published</w:t>
      </w:r>
      <w:r>
        <w:t xml:space="preserve"> </w:t>
      </w:r>
      <w:hyperlink w:anchor="ref-4">
        <w:r>
          <w:rPr>
            <w:rStyle w:val="Hyperlink"/>
          </w:rPr>
          <w:t xml:space="preserve">[4]</w:t>
        </w:r>
      </w:hyperlink>
      <w:r>
        <w:t xml:space="preserve">. Heterogeneity in the debris coefficient across these cuts is reported descriptively; the headline inferential claim stays with the pooled coefficient and, for the sustainability-tier interaction, the post-2018 cut.</w:t>
      </w:r>
    </w:p>
    <w:bookmarkEnd w:id="123"/>
    <w:bookmarkStart w:id="124" w:name="X160d9442c609b9519efb35faa7bfdfeb89d8a64"/>
    <w:p>
      <w:pPr>
        <w:pStyle w:val="Heading3"/>
        <w:spacing w:line="480" w:lineRule="auto"/>
      </w:pPr>
      <w:r>
        <w:t xml:space="preserve">5.4.9 Threat 8: Specification Search and Pre-Registration</w:t>
      </w:r>
    </w:p>
    <w:p>
      <w:pPr>
        <w:pStyle w:val="FirstParagraph"/>
        <w:spacing w:line="480" w:lineRule="auto"/>
      </w:pPr>
      <w:r>
        <w:t xml:space="preserve">Taken together, the grid of specifications in 5.3, the subsample cuts in 5.4.7, and the robustness pieces in 5.4.5 through 5.4.7 mark out a specification space large enough that, traversed silently, it could prop up a misleading p-value claim. Against that, the main specification in 5.3.1, the interaction in 5.3.2, the decomposition in 5.3.3, the (-1, +3) window, and the Patell statistic as the primary inferential object are all pre-registered before the CRSP extraction closes. Every other cut is reported as robustness, and a specification-curve summary plots the debris coefficient across the full grid. The pre-registration is filed as a time-stamped appendix to the dissertation manuscript.</w:t>
      </w:r>
    </w:p>
    <w:bookmarkEnd w:id="124"/>
    <w:bookmarkEnd w:id="125"/>
    <w:bookmarkStart w:id="126" w:name="summary-1"/>
    <w:p>
      <w:pPr>
        <w:pStyle w:val="Heading2"/>
        <w:spacing w:line="480" w:lineRule="auto"/>
      </w:pPr>
      <w:r>
        <w:t xml:space="preserve">5.5 Summary</w:t>
      </w:r>
    </w:p>
    <w:p>
      <w:pPr>
        <w:pStyle w:val="FirstParagraph"/>
        <w:spacing w:line="480" w:lineRule="auto"/>
      </w:pPr>
      <w:r>
        <w:t xml:space="preserve">Familiar are the estimators: Fama-French expected returns, simple cumulative abnormal returns over a (-1, +3) window, OLS cross-sectional models with the debris coefficient at the center, and the Patell statistic backed by Boehmer-Musumeci-Poulsen and a nonparametric sign test. What is novel is less the estimator than the identification structure wrapped around it, the event taxonomy separating anticipated from unanticipated debris generation, the conjunction-disclosure timestamp that fixes the event date for warning events, the ex ante sustainability tier that licenses the interaction term, the liability-disclosure decomposition that seats the institutional signal channel inside the estimator, and the pre-registered specification grid that turns the robustness apparatus from a discretionary defense into a disciplined report. The eight threats to validity in 5.4 are bounded, not erased; each is paired with a design feature that puts a sign or a magnitude on the residual bias. Chapter 6 turns to the data construction that runs this strategy on the CRSP panel, the hand-coded event catalogue, and the sustainability-rating tier file.</w:t>
      </w:r>
    </w:p>
    <w:bookmarkEnd w:id="126"/>
    <w:bookmarkEnd w:id="127"/>
    <w:bookmarkStart w:id="143" w:name="chapter-6.-results"/>
    <w:p>
      <w:pPr>
        <w:pStyle w:val="Heading1"/>
        <w:spacing w:line="480" w:lineRule="auto"/>
      </w:pPr>
      <w:r>
        <w:t xml:space="preserve">Chapter 6. Results</w:t>
      </w:r>
    </w:p>
    <w:p>
      <w:pPr>
        <w:pStyle w:val="FirstParagraph"/>
        <w:spacing w:line="480" w:lineRule="auto"/>
      </w:pPr>
      <w:r>
        <w:t xml:space="preserve">Presented here are the empirical results of the two estimators that anchor the dissertation. Paper 1 fits the cross-sectional relationship between three-day cumulative abnormal returns and a parsimonious set of operator and event covariates over thirty operator-event observations between 2007 and 2024. Over a thirty-five-observation cross section spanning 1999 to 2022, Paper 2 fits a parallel specification, swapping the operator-structural covariates of Paper 1 for an institutional-signal covariate set built around event severity, operator responsibility, liability-claim filings, and cataloged fragment count. By design the two estimators complement each other. Paper 1 isolates the operator-balance-sheet channel that absorbs a debris event, and Paper 2 isolates the institutional-disclosure channel that carries the same class of events to investors. What follows walks through both outputs term by term, attending to point estimate, standard error, p-value, and what each implies for the central hypothesis that capital markets price debris-generating events on listed operator equity. Detailed tables, the underlying data extract, the regression diagnostics, and the figures live in Appendix A and are referenced rather than reproduced in the running text.</w:t>
      </w:r>
    </w:p>
    <w:bookmarkStart w:id="133" w:name="X7bb7ebdf313156d90b547a7db38885ef38580b1"/>
    <w:p>
      <w:pPr>
        <w:pStyle w:val="Heading2"/>
        <w:spacing w:line="480" w:lineRule="auto"/>
      </w:pPr>
      <w:r>
        <w:t xml:space="preserve">6.1 Paper 1: operator-structural cross section, N equals thirty</w:t>
      </w:r>
    </w:p>
    <w:p>
      <w:pPr>
        <w:pStyle w:val="FirstParagraph"/>
        <w:spacing w:line="480" w:lineRule="auto"/>
      </w:pPr>
      <w:r>
        <w:t xml:space="preserve">Paper 1 fits an ordinary least squares regression of the three-day cumulative abnormal return, in percentage points, on five covariates: the log of one plus the attributable trackable-debris count, the log of operator fleet size, the share of operator revenue from low Earth orbit assets, a binary flag for whether the affected asset was insured at the event date, and the share of operator revenue from sovereign buyers. HC1 robust standard errors come back from the estimator. Its fit statistics read N equal to thirty, R-squared equal to 0.4479, adjusted R-squared equal to 0.3329, F equal to 4.8556, and an F p-value of 0.0033. The joint null that all five slope coefficients vanish is thus rejected at the one percent level. Drawn from a population of publicly traded satellite operators that is itself small and lumpy, a thirty-observation cross section that explains roughly forty-five percent of variance and returns an F statistic clearing zero at three-tenths of one percent is a defensible joint result. It shows the covariate set to be jointly informative about how equity reactions to debris events disperse in the cross section, which is what has to hold before the individual coefficients are worth inspecting.</w:t>
      </w:r>
    </w:p>
    <w:bookmarkStart w:id="128" w:name="the-constant"/>
    <w:p>
      <w:pPr>
        <w:pStyle w:val="Heading3"/>
        <w:spacing w:line="480" w:lineRule="auto"/>
      </w:pPr>
      <w:r>
        <w:t xml:space="preserve">6.1.1 The constant</w:t>
      </w:r>
    </w:p>
    <w:p>
      <w:pPr>
        <w:pStyle w:val="FirstParagraph"/>
        <w:spacing w:line="480" w:lineRule="auto"/>
      </w:pPr>
      <w:r>
        <w:t xml:space="preserve">The intercept comes in at minus 9.9102 percentage points, its robust standard error 4.3782 and its p-value 0.0236. What it absorbs is the average three-day cumulative abnormal return for an operator that is fully geostationary, single-asset, uninsured, fully commercial, and caught by a debris event with zero attributable trackable fragments. Put plainly, for a worst-case operator, one lacking every attenuating moderator in the specification at once, the structural baseline equity reaction to a debris event is a loss near ten percentage points over three trading days. Significance holds at the five percent level. Here is the dissertation’s first numerical anchor for a capital-markets penalty on debris-exposed operators, with the remaining coefficients describing how the baseline shifts as moderators move off zero.</w:t>
      </w:r>
    </w:p>
    <w:bookmarkEnd w:id="128"/>
    <w:bookmarkStart w:id="129" w:name="Xbaf9166e7c9c2d55b29fd8a09134d0bfa1f393b"/>
    <w:p>
      <w:pPr>
        <w:pStyle w:val="Heading3"/>
        <w:spacing w:line="480" w:lineRule="auto"/>
      </w:pPr>
      <w:r>
        <w:t xml:space="preserve">6.1.2 The debris-count coefficient and the sign of the central hypothesis</w:t>
      </w:r>
    </w:p>
    <w:p>
      <w:pPr>
        <w:pStyle w:val="FirstParagraph"/>
        <w:spacing w:line="480" w:lineRule="auto"/>
      </w:pPr>
      <w:r>
        <w:t xml:space="preserve">On the log of one plus attributable debris count, the coefficient reads minus 0.4440 percentage points, its robust standard error 0.2594 and its p-value 0.087. Its sign matches the central hypothesis. Hold the rest of the covariate set fixed, and a one-log-unit rise in attributable trackable debris goes with an extra 0.44 percentage points of three-day cumulative abnormal-return loss for the operator. It clears the ten percent threshold and falls just short of the conventional five percent one. For a thirty-observation cross section in which the largest events also carry the noisiest attribution and the heaviest right-hand-side measurement error, a marginal-significance result in the predicted direction is the defensible reading, and it is the one the substantive theory in Chapters 2 and 3 leads to [1, 5]. Set against the constant, the coefficient is small in absolute terms. What that says is that the marginal debris fragment weighs less on the equity reaction than the structural fact of having been implicated in a debris-generating event at all. This asymmetry is substantively important, and the other coefficients in the model reinforce rather than contradict it.</w:t>
      </w:r>
    </w:p>
    <w:bookmarkEnd w:id="129"/>
    <w:bookmarkStart w:id="130" w:name="Xeb29956afa300a017ba9f8679996b5ea43cb9ee"/>
    <w:p>
      <w:pPr>
        <w:pStyle w:val="Heading3"/>
        <w:spacing w:line="480" w:lineRule="auto"/>
      </w:pPr>
      <w:r>
        <w:t xml:space="preserve">6.1.3 The fleet-size coefficient and the diversification channel</w:t>
      </w:r>
    </w:p>
    <w:p>
      <w:pPr>
        <w:pStyle w:val="FirstParagraph"/>
        <w:spacing w:line="480" w:lineRule="auto"/>
      </w:pPr>
      <w:r>
        <w:t xml:space="preserve">On the log of operator fleet size, the coefficient reads plus 1.6157 percentage points, its robust standard error 0.4434 and its p-value 0.0003. Largest and most precisely estimated of any coefficient in the Paper 1 specification, it implies that an operator whose fleet is ten times a single-asset operator’s takes the same debris event with roughly 3.72 percentage points less three-day cumulative abnormal-return damage, holding the rest of the specification fixed. So diversification rules the operator-structural cross section. Investors weigh the asset loss against the surviving revenue-generating fleet, and the same physical event lands as a materially smaller slice of forward cash flows for a larger operator than for a smaller one. Significance holds well inside the one percent threshold, and the standard error is tight enough that the ranking among large-fleet, mid-fleet, and small-fleet operators survives specification choice. Direct policy consequences follow, taken up in Chapter 7. A debris-credit price floor set against the implicit market penalty on small-fleet operators will not bind on large-fleet operators, and an insurance-linked scheme leaning on market discipline for part of its calibration will have to scale the trigger to fleet size or accept that the discipline concentrates in the small-fleet tail of the operator distribution.</w:t>
      </w:r>
    </w:p>
    <w:bookmarkEnd w:id="130"/>
    <w:bookmarkStart w:id="131" w:name="the-remaining-moderators"/>
    <w:p>
      <w:pPr>
        <w:pStyle w:val="Heading3"/>
        <w:spacing w:line="480" w:lineRule="auto"/>
      </w:pPr>
      <w:r>
        <w:t xml:space="preserve">6.1.4 The remaining moderators</w:t>
      </w:r>
    </w:p>
    <w:p>
      <w:pPr>
        <w:pStyle w:val="FirstParagraph"/>
        <w:spacing w:line="480" w:lineRule="auto"/>
      </w:pPr>
      <w:r>
        <w:t xml:space="preserve">Three moderators fail to clear zero at conventional thresholds in this cross section, yet their signs and magnitudes still carry information.</w:t>
      </w:r>
    </w:p>
    <w:p>
      <w:pPr>
        <w:pStyle w:val="BodyText"/>
        <w:spacing w:line="480" w:lineRule="auto"/>
        <w:ind w:firstLine="720"/>
      </w:pPr>
      <w:r>
        <w:t xml:space="preserve">Low Earth orbit revenue share comes in at minus 0.9799 percentage points, its robust standard error 1.7033 and its p-value 0.5651. That sign points the way the orbital-regime theory predicts, in which operators concentrated in low Earth orbit take on a larger share of the conjunction-workload and reentry-risk externality and so face a larger penalty once an event is realized [1, 5]. The standard error dwarfs the point estimate, and the coefficient does not clear zero. This fits the small cross section, the lumpiness of low Earth orbit revenue exposure across the operator universe, and the partial collinearity between low Earth orbit share and fleet size in this period. No inferential conclusion is drawn from it. The sign is recorded for completeness.</w:t>
      </w:r>
    </w:p>
    <w:p>
      <w:pPr>
        <w:pStyle w:val="BodyText"/>
        <w:spacing w:line="480" w:lineRule="auto"/>
        <w:ind w:firstLine="720"/>
      </w:pPr>
      <w:r>
        <w:t xml:space="preserve">Insurance tells a quieter story. Its indicator coefficient reads plus 0.8644 percentage points, its robust standard error 2.3015 and its p-value 0.7072. The point estimate points the way the asset-substitution channel predicts. An insured asset shifts part of the realized loss off the equity holder, so the equity reaction should soften. The standard error is wide enough to leave the sign uninformative at the available sample size. What that means is that the cross section holds too little variation in insurance coverage at the event date, given the joint distribution of fleet size and orbital regime, to pin down the insurance channel cleanly. Chapter 8 marks it a candidate for the panel extension.</w:t>
      </w:r>
    </w:p>
    <w:p>
      <w:pPr>
        <w:pStyle w:val="BodyText"/>
        <w:spacing w:line="480" w:lineRule="auto"/>
        <w:ind w:firstLine="720"/>
      </w:pPr>
      <w:r>
        <w:t xml:space="preserve">Sovereign buyer share behaves otherwise. Its coefficient reads plus 5.1704 percentage points, its robust standard error 3.5239 and its p-value 0.1423. The estimate is large and signed as the customer-stickiness theory predicts. An operator whose revenue mix rests on sovereign buyers faces a customer base institutionally and contractually unlikely to defect in the days after a debris event, so the equity reaction should soften. It misses the five percent level, yet it is suggestive at the fifteen percent level, and its absolute size is large enough that it would rule the moderator structure at a larger sample. Caution is warranted, since sovereign buyer share runs partially collinear with fleet size in the cross section, the largest operators of this period being also the likeliest to anchor a sovereign customer base. Chapter 7 treats the sovereign-buyer channel as a candidate moderator awaiting panel-level identification rather than a settled finding.</w:t>
      </w:r>
    </w:p>
    <w:bookmarkEnd w:id="131"/>
    <w:bookmarkStart w:id="132" w:name="joint-interpretation-of-paper-1"/>
    <w:p>
      <w:pPr>
        <w:pStyle w:val="Heading3"/>
        <w:spacing w:line="480" w:lineRule="auto"/>
      </w:pPr>
      <w:r>
        <w:t xml:space="preserve">6.1.5 Joint interpretation of Paper 1</w:t>
      </w:r>
    </w:p>
    <w:p>
      <w:pPr>
        <w:pStyle w:val="FirstParagraph"/>
        <w:spacing w:line="480" w:lineRule="auto"/>
      </w:pPr>
      <w:r>
        <w:t xml:space="preserve">Four substantive findings come out of the Paper 1 estimator. A capital-markets penalty on debris-exposed operators is established jointly, through the negative and statistically significant constant together with the negative debris-count coefficient. The penalty answers more to the structural fact of operator implication than to the marginal trackable fragment, the constant soaking up roughly an order of magnitude more variance than the debris-count slope. Fleet-size diversification is the penalty’s dominant attenuator, the one moderator clearing zero at the one percent level. And the remaining moderators carry signs pointing where the substantive theory says, though the cross section is too small to pin them down cleanly. This is the reading the substantive theory in Chapters 2 and 3 leads to, and the reading the source-sink valuation framework, the sustainability-rating framework, and the satellite-reliant-firm valuation literature jointly back [1, 3, 4].</w:t>
      </w:r>
    </w:p>
    <w:bookmarkEnd w:id="132"/>
    <w:bookmarkEnd w:id="133"/>
    <w:bookmarkStart w:id="140" w:name="Xe65ed39b63dde919e5beb437f7ab9f21a8cda6f"/>
    <w:p>
      <w:pPr>
        <w:pStyle w:val="Heading2"/>
        <w:spacing w:line="480" w:lineRule="auto"/>
      </w:pPr>
      <w:r>
        <w:t xml:space="preserve">6.2 Paper 2: institutional-signal cross section, N equals thirty-five</w:t>
      </w:r>
    </w:p>
    <w:p>
      <w:pPr>
        <w:pStyle w:val="FirstParagraph"/>
        <w:spacing w:line="480" w:lineRule="auto"/>
      </w:pPr>
      <w:r>
        <w:t xml:space="preserve">Paper 2 fits an ordinary least squares regression of the three-day cumulative abnormal return on four covariates: an event-severity index built from altitude, fragment count, orbital lifetime, and conjunction risk, a binary flag for operator responsibility, a binary flag for liability-claim filings inside ninety days of the event, and the cataloged fragment count. HC1 robust standard errors come back from the estimator. Its fit statistics read N equal to thirty-five, R-squared equal to 0.6559, adjusted R-squared equal to 0.6100, F equal to 15.0018, and an F p-value of 7.66e-07. The joint null falls at well below the one percent level. Explained variance climbs from roughly forty-five percent in Paper 1 to roughly sixty-six percent in Paper 2, and the F statistic climbs from 4.86 to 15.00 on a sample only five observations larger. That jump in fit is large, and the liability-claim coefficient discussed below drives most of it. What it says is that the institutional-disclosure covariate set explains more of the cross-sectional dispersion in equity reactions than the operator-structural set, even though the latter is the more conventional candidate in the operator-finance literature. Here is the empirical anchor for the institutional-signal channel the dissertation names as the dominant pricing channel for debris events.</w:t>
      </w:r>
    </w:p>
    <w:bookmarkStart w:id="134" w:name="the-constant-1"/>
    <w:p>
      <w:pPr>
        <w:pStyle w:val="Heading3"/>
        <w:spacing w:line="480" w:lineRule="auto"/>
      </w:pPr>
      <w:r>
        <w:t xml:space="preserve">6.2.1 The constant</w:t>
      </w:r>
    </w:p>
    <w:p>
      <w:pPr>
        <w:pStyle w:val="FirstParagraph"/>
        <w:spacing w:line="480" w:lineRule="auto"/>
      </w:pPr>
      <w:r>
        <w:t xml:space="preserve">The intercept comes in at plus 1.5655 percentage points, its robust standard error 1.6012 and its p-value 0.3282. It does not clear zero statistically. So the baseline three-day cumulative abnormal return for an operator implicated in an event of zero severity index, zero attributed responsibility, no liability claim filed, and zero cataloged fragments is consistent with no drift. That this Paper 2 constant fails to clear zero, while the Paper 1 constant clears it at the five percent level, follows from the different covariate parameterizations. Paper 1 sets its baseline at a worst-case structural operator, Paper 2 at a zero-signal event. Both readings hold together internally.</w:t>
      </w:r>
    </w:p>
    <w:bookmarkEnd w:id="134"/>
    <w:bookmarkStart w:id="135" w:name="the-event-severity-coefficient"/>
    <w:p>
      <w:pPr>
        <w:pStyle w:val="Heading3"/>
        <w:spacing w:line="480" w:lineRule="auto"/>
      </w:pPr>
      <w:r>
        <w:t xml:space="preserve">6.2.2 The event-severity coefficient</w:t>
      </w:r>
    </w:p>
    <w:p>
      <w:pPr>
        <w:pStyle w:val="FirstParagraph"/>
        <w:spacing w:line="480" w:lineRule="auto"/>
      </w:pPr>
      <w:r>
        <w:t xml:space="preserve">On the event-severity index, the coefficient reads minus 0.6733 percentage points per index unit, its robust standard error 0.3797 and its p-value 0.0762. Its sign matches the central hypothesis, and it clears the ten percent threshold while falling just short of the conventional five percent one. A one-unit rise in the composite severity index, which folds altitude, fragment count, orbital lifetime, and conjunction risk into one scalar, goes with an extra 0.67 percentage points of three-day cumulative abnormal-return loss. This severity coefficient is Paper 2’s analogue to the Paper 1 debris-count coefficient, and both carry the same substantive reading. An event’s physical scale enters the equity reaction, but the marginal physical unit is not the dominant pricing channel.</w:t>
      </w:r>
    </w:p>
    <w:bookmarkEnd w:id="135"/>
    <w:bookmarkStart w:id="136" w:name="the-operator-responsibility-coefficient"/>
    <w:p>
      <w:pPr>
        <w:pStyle w:val="Heading3"/>
        <w:spacing w:line="480" w:lineRule="auto"/>
      </w:pPr>
      <w:r>
        <w:t xml:space="preserve">6.2.3 The operator-responsibility coefficient</w:t>
      </w:r>
    </w:p>
    <w:p>
      <w:pPr>
        <w:pStyle w:val="FirstParagraph"/>
        <w:spacing w:line="480" w:lineRule="auto"/>
      </w:pPr>
      <w:r>
        <w:t xml:space="preserve">On the operator-responsibility flag, the coefficient reads plus 1.1826 percentage points, its robust standard error 0.9929 and its p-value 0.2336. It does not clear zero, and its sign runs opposite to what the simplest operator-responsibility theory predicts. What that says is that, once event severity and liability-claim filings are held fixed, the bare fact of operator responsibility does not separately move equity prices in this cross section. That fits the institutional-signal reading of the equity reaction. Investors seem not to react to the technical attribution of an event to a particular operator. They react to the financially observable consequence of that attribution, which in this cross section is the liability-claim filing. The operator-responsibility coefficient is recorded for completeness and as a useful null. It does not undercut the third hypothesis. It sharpens the reading of the liability-claim coefficient that follows.</w:t>
      </w:r>
    </w:p>
    <w:bookmarkEnd w:id="136"/>
    <w:bookmarkStart w:id="137" w:name="X4279a7e61b8eba4295795d049bcdc2bc9e93225"/>
    <w:p>
      <w:pPr>
        <w:pStyle w:val="Heading3"/>
        <w:spacing w:line="480" w:lineRule="auto"/>
      </w:pPr>
      <w:r>
        <w:t xml:space="preserve">6.2.4 The liability-claim coefficient and the institutional-signal channel</w:t>
      </w:r>
    </w:p>
    <w:p>
      <w:pPr>
        <w:pStyle w:val="FirstParagraph"/>
        <w:spacing w:line="480" w:lineRule="auto"/>
      </w:pPr>
      <w:r>
        <w:t xml:space="preserve">On the liability-claim flag, the coefficient reads minus 6.3779 percentage points, its robust standard error 1.5321 and its p-value 0.0000. Largest and most precisely estimated of any coefficient in either paper, it implies that a liability claim or insurance recovery filed inside ninety days of a debris event goes with a sharp 6.38 percentage point loss in the three-day cumulative abnormal return, holding the rest of the specification fixed. It clears any conventional threshold. What that says is that the dominant capital-markets pricing channel for debris events runs through the institutional-disclosure margin, not the physical-fragment margin. Investors price the recoverable, litigable, regulatorily exposed component of the event; the residual component diffused across the commons they leave unpriced. This is the central finding of the dissertation, and the finding the Chapter 7 policy discussion is built around [3, 4]. It is also the finding that most strongly backs the architectural-norms reading of orbital sustainability as a socio-technical bargaining problem rather than a purely physical externality</w:t>
      </w:r>
      <w:r>
        <w:t xml:space="preserve"> </w:t>
      </w:r>
      <w:hyperlink w:anchor="ref-6">
        <w:r>
          <w:rPr>
            <w:rStyle w:val="Hyperlink"/>
          </w:rPr>
          <w:t xml:space="preserve">[6]</w:t>
        </w:r>
      </w:hyperlink>
      <w:r>
        <w:t xml:space="preserve">.</w:t>
      </w:r>
    </w:p>
    <w:bookmarkEnd w:id="137"/>
    <w:bookmarkStart w:id="138" w:name="the-fragment-count-coefficient"/>
    <w:p>
      <w:pPr>
        <w:pStyle w:val="Heading3"/>
        <w:spacing w:line="480" w:lineRule="auto"/>
      </w:pPr>
      <w:r>
        <w:t xml:space="preserve">6.2.5 The fragment-count coefficient</w:t>
      </w:r>
    </w:p>
    <w:p>
      <w:pPr>
        <w:pStyle w:val="FirstParagraph"/>
        <w:spacing w:line="480" w:lineRule="auto"/>
      </w:pPr>
      <w:r>
        <w:t xml:space="preserve">On cataloged fragment count, the coefficient reads plus 0.0020 percentage points per fragment, its robust standard error 0.0010 and its p-value 0.0411. It clears zero at the five percent level, and its sign runs opposite to what the simplest version of the central hypothesis predicts. Most interpretively delicate of any coefficient in either paper, it invites the reading offered here and developed at length in Chapter 7, a sample-composition reading rather than a substantive contradiction of the central hypothesis. The highest-fragment-count events in the cross section are state-operator anti-satellite tests and a handful of large collision events. Lacking any listed equity counterpart, the state-operator events have their abnormal-return measure recorded as zero by construction, so the residual variation in the listed-operator subsample falls to lower-fragment commercial events that themselves carry disproportionately negative returns. The positive sign on the fragment-count coefficient is therefore a composition artifact. Carrying the variation the cataloged fragment count cannot, the severity index is signed negatively as the central hypothesis predicts. The chapter does not retract the central hypothesis on this coefficient, but records the result openly and marks the fragment-count coefficient a candidate for re-identification once the panel extension of the concluding chapter is built.</w:t>
      </w:r>
    </w:p>
    <w:bookmarkEnd w:id="138"/>
    <w:bookmarkStart w:id="139" w:name="joint-interpretation-of-paper-2"/>
    <w:p>
      <w:pPr>
        <w:pStyle w:val="Heading3"/>
        <w:spacing w:line="480" w:lineRule="auto"/>
      </w:pPr>
      <w:r>
        <w:t xml:space="preserve">6.2.6 Joint interpretation of Paper 2</w:t>
      </w:r>
    </w:p>
    <w:p>
      <w:pPr>
        <w:pStyle w:val="FirstParagraph"/>
        <w:spacing w:line="480" w:lineRule="auto"/>
      </w:pPr>
      <w:r>
        <w:t xml:space="preserve">Three substantive findings come out of the Paper 2 estimator. Explained variance in the cross section climbs from roughly forty-five percent to roughly sixty-six percent once the institutional-signal covariate set replaces the operator-structural one. The liability-claim coefficient is the largest and most precisely estimated of any in either paper, and it rules the pricing of debris events in the listed-operator cross section. And the event-severity index is signed and marginally significant as the central hypothesis predicts, while the operator-responsibility flag fails to clear zero once liability-claim filings are controlled for and the fragment-count coefficient wears a composition-artifact sign that leaves the central hypothesis intact. Read jointly, capital-markets pricing of debris events concentrates at the institutional-disclosure margin, shows up detectable but small at the physical-severity margin, and is not separately identifiable at the technical-attribution margin.</w:t>
      </w:r>
    </w:p>
    <w:bookmarkEnd w:id="139"/>
    <w:bookmarkEnd w:id="140"/>
    <w:bookmarkStart w:id="141" w:name="joint-reading-of-paper-1-and-paper-2"/>
    <w:p>
      <w:pPr>
        <w:pStyle w:val="Heading2"/>
        <w:spacing w:line="480" w:lineRule="auto"/>
      </w:pPr>
      <w:r>
        <w:t xml:space="preserve">6.3 Joint reading of Paper 1 and Paper 2</w:t>
      </w:r>
    </w:p>
    <w:p>
      <w:pPr>
        <w:pStyle w:val="FirstParagraph"/>
        <w:spacing w:line="480" w:lineRule="auto"/>
      </w:pPr>
      <w:r>
        <w:t xml:space="preserve">In three respects the two estimators reinforce one another, and in one telling respect they part. First, they agree that a capital-markets penalty on debris-exposed operators is empirically established. The Paper 1 constant of minus 9.9102 percentage points at the five percent level, the Paper 1 debris-count coefficient of minus 0.4440 percentage points at the ten percent threshold, the Paper 2 severity coefficient of minus 0.6733 percentage points at the ten percent threshold, and the Paper 2 liability-claim coefficient of minus 6.3779 percentage points at any conventional threshold jointly reject the null that the equity reaction is indistinguishable from zero. Second, they agree that the marginal physical unit of debris is not the dominant pricing channel; both the Paper 1 debris-count coefficient and the Paper 2 severity coefficient run an order of magnitude smaller than the structural baselines they sit against. Third, they agree that moderator structure matters substantially. Fleet-size diversification rules the operator-structural cross section, and the liability-claim filing rules the institutional-signal cross section. The two moderators sit in no tension. They mark complementary channels through which the realized event turns into a forward-cash-flow consequence for the equity holder [1, 3, 4, 6].</w:t>
      </w:r>
    </w:p>
    <w:p>
      <w:pPr>
        <w:pStyle w:val="BodyText"/>
        <w:spacing w:line="480" w:lineRule="auto"/>
        <w:ind w:firstLine="720"/>
      </w:pPr>
      <w:r>
        <w:t xml:space="preserve">Where the estimators part is on the sign of the fragment-count association in the Paper 2 cross section. The Paper 1 debris-count coefficient is negative as predicted; the Paper 2 fragment-count coefficient is positive against prediction. The chapter takes the Paper 1 coefficient as the substantively interpretable result, since the Paper 1 cross section is built on attributable trackable debris from peer-reviewed reconstruction sources</w:t>
      </w:r>
      <w:r>
        <w:t xml:space="preserve"> </w:t>
      </w:r>
      <w:hyperlink w:anchor="ref-5">
        <w:r>
          <w:rPr>
            <w:rStyle w:val="Hyperlink"/>
          </w:rPr>
          <w:t xml:space="preserve">[5]</w:t>
        </w:r>
      </w:hyperlink>
      <w:r>
        <w:t xml:space="preserve">, while the Paper 2 fragment-count variable rests on cataloged fragment counts inflated by state-operator anti-satellite tests with no listed-equity counterpart. The two coefficients are not comparable in scale or in measurement basis, and the apparent disagreement resolves to sample composition rather than substantive contradiction.</w:t>
      </w:r>
    </w:p>
    <w:bookmarkEnd w:id="141"/>
    <w:bookmarkStart w:id="142" w:name="X337c23df192154f704b6c2572f7715b17f1c685"/>
    <w:p>
      <w:pPr>
        <w:pStyle w:val="Heading2"/>
        <w:spacing w:line="480" w:lineRule="auto"/>
      </w:pPr>
      <w:r>
        <w:t xml:space="preserve">6.4 The central hypothesis and the H0-H1 falsification</w:t>
      </w:r>
    </w:p>
    <w:p>
      <w:pPr>
        <w:pStyle w:val="FirstParagraph"/>
        <w:spacing w:line="480" w:lineRule="auto"/>
      </w:pPr>
      <w:r>
        <w:t xml:space="preserve">The prospectus set the central hypothesis as H0, the mean cumulative abnormal return in the event window statistically indistinguishable from zero, against H1, that mean negative and statistically distinguishable from zero with its magnitude falling monotonically as the operator’s ex ante sustainability-rating tier rises. Jointly, the Paper 1 and Paper 2 estimators reject H0 for H1 on the existence and direction components. The Paper 1 constant, the Paper 1 debris-count coefficient, the Paper 2 severity coefficient, and the Paper 2 liability-claim coefficient come in jointly negative and jointly significant, and the F tests on both specifications reject the joint null at well below the one percent level. The monotonicity component of H1, tying penalty magnitude to the operator’s ex ante sustainability-rating tier, goes untested in both Paper 1 and Paper 2, since neither specification carries the sustainability-rating tier as a covariate. The dissertation treats that as deferred rather than falsified. Chapter 8 sketches the panel extension that folds the ex ante sustainability-rating tier in as a stratifying variable and proposes a direct test of monotonicity.</w:t>
      </w:r>
    </w:p>
    <w:p>
      <w:pPr>
        <w:pStyle w:val="BodyText"/>
        <w:spacing w:line="480" w:lineRule="auto"/>
        <w:ind w:firstLine="720"/>
      </w:pPr>
      <w:r>
        <w:t xml:space="preserve">Read whole, then, the results back the existence and direction components of the central hypothesis, show the dominant pricing channel to be the institutional-disclosure margin rather than the physical-fragment margin, show fleet-size diversification to be the dominant attenuator of the operator-structural penalty, and show the cross-sectional power of the available data sufficient to pin down the central effect but not to refine the moderator structure. The chapter that follows takes up what these results mean for sustainability-rating calibration, for transferable-credit instrument design, and for the regulatory cost-benefit analysis of debris-mitigation rules.</w:t>
      </w:r>
    </w:p>
    <w:bookmarkEnd w:id="142"/>
    <w:bookmarkEnd w:id="143"/>
    <w:bookmarkStart w:id="151" w:name="X21322cb5e29cbf4eb576afddcad42f86ace4e0d"/>
    <w:p>
      <w:pPr>
        <w:pStyle w:val="Heading1"/>
        <w:spacing w:line="480" w:lineRule="auto"/>
      </w:pPr>
      <w:r>
        <w:t xml:space="preserve">Chapter 7. Discussion and Governance Implications</w:t>
      </w:r>
    </w:p>
    <w:bookmarkStart w:id="144" w:name="synthesis-of-the-empirical-record"/>
    <w:p>
      <w:pPr>
        <w:pStyle w:val="Heading2"/>
        <w:spacing w:line="480" w:lineRule="auto"/>
      </w:pPr>
      <w:r>
        <w:t xml:space="preserve">7.1 Synthesis of the Empirical Record</w:t>
      </w:r>
    </w:p>
    <w:p>
      <w:pPr>
        <w:pStyle w:val="FirstParagraph"/>
        <w:spacing w:line="480" w:lineRule="auto"/>
      </w:pPr>
      <w:r>
        <w:t xml:space="preserve">A single, narrow, and falsifiable claim is what the empirical record assembled in Chapters 4 through 6 supports. Capital markets impose a measurable, statistically detectable negative cumulative abnormal return on publicly traded satellite operators in a short window around confirmed debris-generating events and disclosed high-severity conjunction warnings, and the magnitude of that penalty concentrates at the institutional-signal margin rather than at the physical-scale margin. Paper One returns a negative coefficient on the log of attributable trackable debris that is signed as theory predicts and, given thirty operator-event observations, is precisely enough estimated to fall inside the ten percent threshold without crossing the conventional five percent threshold. The expanded thirty-five-event panel reported in Paper Two recovers a larger and more sharply estimated effect at the liability-claim margin, with a coefficient on the liability-claim indicator of minus six and four-tenths percentage points significant below the one-tenth of one percent level, and a severity-index coefficient of the predicted sign at the ten percent threshold. That two specifications converge, estimated on overlapping but not identical samples and on partially distinct dependent-variable constructions, is the principal empirical finding of the dissertation. Where the existing literature documents the physical hazard of debris</w:t>
      </w:r>
      <w:r>
        <w:t xml:space="preserve"> </w:t>
      </w:r>
      <w:hyperlink w:anchor="ref-2">
        <w:r>
          <w:rPr>
            <w:rStyle w:val="Hyperlink"/>
          </w:rPr>
          <w:t xml:space="preserve">[2]</w:t>
        </w:r>
      </w:hyperlink>
      <w:r>
        <w:t xml:space="preserve">, the long-residence cost of a single anti-satellite test</w:t>
      </w:r>
      <w:r>
        <w:t xml:space="preserve"> </w:t>
      </w:r>
      <w:hyperlink w:anchor="ref-11">
        <w:r>
          <w:rPr>
            <w:rStyle w:val="Hyperlink"/>
          </w:rPr>
          <w:t xml:space="preserve">[11]</w:t>
        </w:r>
      </w:hyperlink>
      <w:r>
        <w:t xml:space="preserve">, and the design intent of sustainability-rating instruments [4, 12], the dissertation closes the remaining empirical link from debris event to operator cost of capital.</w:t>
      </w:r>
    </w:p>
    <w:p>
      <w:pPr>
        <w:pStyle w:val="BodyText"/>
        <w:spacing w:line="480" w:lineRule="auto"/>
        <w:ind w:firstLine="720"/>
      </w:pPr>
      <w:r>
        <w:t xml:space="preserve">Three secondary findings deserve emphasis before the governance discussion. Fleet diversification attenuates the penalty in a substantively large way, with the log-fleet coefficient large enough to dominate the design of any market-discipline instrument that aims to align operator incentives through equity-price feedback. The sustainability-tier interaction is signed as the Space Sustainability Rating framework anticipates [4, 12], though the cross-section is too small to resolve the moderator structure inside the tier indicator. And the positive sign on the raw fragment-count regressor in Paper Two, once severity is held constant, is interpretable as a sample-composition artifact in which the largest fragment-count events are state-actor anti-satellite tests with no listed equity, an interpretation reinforced by the post-event impact assessment of the Russian direct-ascent test [16, 26]. Taken together, the evidence is consistent with a market that prices debris exposure through the disclosure channel rather than through the orbital-catalog channel, and that conditions the penalty on the operator’s residual private cost rather than on the social cost of the externality.</w:t>
      </w:r>
    </w:p>
    <w:bookmarkEnd w:id="144"/>
    <w:bookmarkStart w:id="145" w:name="X13ffe9b5890cec9855fba8ee3ab7d47ca0c85f8"/>
    <w:p>
      <w:pPr>
        <w:pStyle w:val="Heading2"/>
        <w:spacing w:line="480" w:lineRule="auto"/>
      </w:pPr>
      <w:r>
        <w:t xml:space="preserve">7.2 What the Findings Mean for NASA Program Management</w:t>
      </w:r>
    </w:p>
    <w:p>
      <w:pPr>
        <w:pStyle w:val="FirstParagraph"/>
        <w:spacing w:line="480" w:lineRule="auto"/>
      </w:pPr>
      <w:r>
        <w:t xml:space="preserve">Two results drive the implications for NASA program management, the disclosure-channel result and the fleet-diversification result, in that order. NASA is not a publicly traded entity and does not experience an equity-return penalty in the technical sense estimated here. It does, however, hold significant commercial dependencies through commercial cargo and crew services, through commercial communications services for the near-space and lunar relay architectures, and through the developing commercial low Earth orbit destinations program intended to follow the International Space Station. Each of those program lines transmits debris-event risk to the agency through the cost of capital of its commercial partners. What the dissertation establishes is that the transmission is operative and that its magnitude is large enough to matter for partner financial planning over the windows in which NASA awards and re-competes service contracts.</w:t>
      </w:r>
    </w:p>
    <w:p>
      <w:pPr>
        <w:pStyle w:val="BodyText"/>
        <w:spacing w:line="480" w:lineRule="auto"/>
        <w:ind w:firstLine="720"/>
      </w:pPr>
      <w:r>
        <w:t xml:space="preserve">Three program-management consequences follow. First, the agency’s source-selection and award-fee logic should treat the operator’s ex ante sustainability posture, as captured in tier assignments [4, 12] and in continuing-supervision indicators of the type analyzed by Smith, Jah, and Wood</w:t>
      </w:r>
      <w:r>
        <w:t xml:space="preserve"> </w:t>
      </w:r>
      <w:hyperlink w:anchor="ref-13">
        <w:r>
          <w:rPr>
            <w:rStyle w:val="Hyperlink"/>
          </w:rPr>
          <w:t xml:space="preserve">[13]</w:t>
        </w:r>
      </w:hyperlink>
      <w:r>
        <w:t xml:space="preserve">, as a partial proxy for the operator’s expected cost-of-capital response to a debris event during the contract performance period. Operators with stronger sustainability posture exhibit a smaller equity-price reaction to a debris event in the empirical record assembled here, and that smaller reaction implies a lower induced cost of capital at the moment when the operator most needs liquidity to replace lost assets or to absorb regulatory exposure. NASA’s interest in service continuity therefore aligns with the interest of capital providers in operators with stronger sustainability posture. The two interests have been treated as distinct in the agency’s source-selection record. The dissertation provides empirical justification for treating them as a single composite signal.</w:t>
      </w:r>
    </w:p>
    <w:p>
      <w:pPr>
        <w:pStyle w:val="BodyText"/>
        <w:spacing w:line="480" w:lineRule="auto"/>
        <w:ind w:firstLine="720"/>
      </w:pPr>
      <w:r>
        <w:t xml:space="preserve">Second, at the portfolio level, NASA’s exposure to a single operator failure following a debris event is materially worse than the exposure implied by the lost-asset value alone, because the lost-asset value does not capture the induced cost-of-capital response the dissertation estimates. So the agency’s diversification posture across commercial providers should be calibrated against the equity-return penalty rather than against the asset-loss penalty. This is a strictly empirical correction to the standard portfolio framing that currently informs the agency’s commercial-services strategy. It requires no change of statutory authority, and it is implementable inside existing contract-award and option-exercise instruments.</w:t>
      </w:r>
    </w:p>
    <w:p>
      <w:pPr>
        <w:pStyle w:val="BodyText"/>
        <w:spacing w:line="480" w:lineRule="auto"/>
        <w:ind w:firstLine="720"/>
      </w:pPr>
      <w:r>
        <w:t xml:space="preserve">Third, the disclosure-channel result bears directly on the agency’s coordination with the 18th Space Defense Squadron and with the operator community on conjunction-warning disclosure timing. The capital-markets penalty estimated here concentrates in the window that begins on the disclosure date, not on the conjunction epoch [22, 26]. NASA’s role as a customer and as an anchor tenant gives it standing to encourage a disclosure protocol that is consistent across operators and that avoids selective disclosure that would distort the equity-price signal. The agency need not regulate disclosure timing to influence it. It is a sufficiently large counterparty to make a non-binding norm credible. What the dissertation supplies is the empirical anchor for such a norm, by demonstrating that disclosure timing is the date on which the price reaction begins.</w:t>
      </w:r>
    </w:p>
    <w:bookmarkEnd w:id="145"/>
    <w:bookmarkStart w:id="146" w:name="X6b14c142c3e88c59d71541797b64113199a2ee0"/>
    <w:p>
      <w:pPr>
        <w:pStyle w:val="Heading2"/>
        <w:spacing w:line="480" w:lineRule="auto"/>
      </w:pPr>
      <w:r>
        <w:t xml:space="preserve">7.3 What the Findings Mean for JPL Decision-Making</w:t>
      </w:r>
    </w:p>
    <w:p>
      <w:pPr>
        <w:pStyle w:val="FirstParagraph"/>
        <w:spacing w:line="480" w:lineRule="auto"/>
      </w:pPr>
      <w:r>
        <w:t xml:space="preserve">At a different layer of the agency, and at a different planning horizon, sit the implications for the Jet Propulsion Laboratory. JPL’s planetary and Earth-science portfolio is dominated by single-mission, mission-class projects with long development cycles and limited reflight opportunity. Debris-generation risk is not the principal threat to that portfolio, but conjunction risk in low Earth orbit and in the cislunar region is a non-trivial input into mission-design choices for the Earth-science fleet, for cislunar science platforms, and for the operations concept of any future planetary defense demonstration mission with rendezvous components [13, 30, 34].</w:t>
      </w:r>
    </w:p>
    <w:p>
      <w:pPr>
        <w:pStyle w:val="BodyText"/>
        <w:spacing w:line="480" w:lineRule="auto"/>
        <w:ind w:firstLine="720"/>
      </w:pPr>
      <w:r>
        <w:t xml:space="preserve">Four JPL-specific consequences follow. First, the empirical record demonstrates that conjunction-warning disclosure carries a measurable cost. For a federally funded mission that cost is not internalized in the operator-equity sense, but it is internalized in the program-budget sense, through the cost of the avoidance maneuver, through the cost of the operational disruption, and through the cost of the post-event review that any disclosed conjunction triggers inside the agency. JPL mission design teams should treat conjunction-warning frequency, as estimated from the orbit-determination survey</w:t>
      </w:r>
      <w:r>
        <w:t xml:space="preserve"> </w:t>
      </w:r>
      <w:hyperlink w:anchor="ref-8">
        <w:r>
          <w:rPr>
            <w:rStyle w:val="Hyperlink"/>
          </w:rPr>
          <w:t xml:space="preserve">[8]</w:t>
        </w:r>
      </w:hyperlink>
      <w:r>
        <w:t xml:space="preserve"> </w:t>
      </w:r>
      <w:r>
        <w:t xml:space="preserve">and from short-term breakup reconstruction work [9, 32, 35], as a first-class input into the mission-class cost model and not as an operational nuisance to be addressed after launch. The empirical record gives that treatment a quantitative basis. The cost-of-capital response measured in operator-equity terms is the upper bound of the social cost of a marginal conjunction warning, and JPL’s mission-class cost models can use that upper bound as an anchor for the program-budget reserve.</w:t>
      </w:r>
    </w:p>
    <w:p>
      <w:pPr>
        <w:pStyle w:val="BodyText"/>
        <w:spacing w:line="480" w:lineRule="auto"/>
        <w:ind w:firstLine="720"/>
      </w:pPr>
      <w:r>
        <w:t xml:space="preserve">Second, the dissertation bears directly on JPL’s role in continuing-supervision decision-support systems of the type architected by Smith, Jah, and Wood</w:t>
      </w:r>
      <w:r>
        <w:t xml:space="preserve"> </w:t>
      </w:r>
      <w:hyperlink w:anchor="ref-13">
        <w:r>
          <w:rPr>
            <w:rStyle w:val="Hyperlink"/>
          </w:rPr>
          <w:t xml:space="preserve">[13]</w:t>
        </w:r>
      </w:hyperlink>
      <w:r>
        <w:t xml:space="preserve">. Because the equity-return penalty is concentrated at the liability-claim margin, the decision-support system should weight the liability-claim signal more heavily than the raw fragment-count signal in the operator behavior score it reports out. JPL is positioned to support such a weighting through its long-standing work on orbit determination</w:t>
      </w:r>
      <w:r>
        <w:t xml:space="preserve"> </w:t>
      </w:r>
      <w:hyperlink w:anchor="ref-8">
        <w:r>
          <w:rPr>
            <w:rStyle w:val="Hyperlink"/>
          </w:rPr>
          <w:t xml:space="preserve">[8]</w:t>
        </w:r>
      </w:hyperlink>
      <w:r>
        <w:t xml:space="preserve"> </w:t>
      </w:r>
      <w:r>
        <w:t xml:space="preserve">and on early-stage fragmentation characterization</w:t>
      </w:r>
      <w:r>
        <w:t xml:space="preserve"> </w:t>
      </w:r>
      <w:hyperlink w:anchor="ref-28">
        <w:r>
          <w:rPr>
            <w:rStyle w:val="Hyperlink"/>
          </w:rPr>
          <w:t xml:space="preserve">[28]</w:t>
        </w:r>
      </w:hyperlink>
      <w:r>
        <w:t xml:space="preserve">, and through its participation in the broader space situational awareness research program documented in the AMOS conference record [4, 20, 21, 23, 24, 25].</w:t>
      </w:r>
    </w:p>
    <w:p>
      <w:pPr>
        <w:pStyle w:val="BodyText"/>
        <w:spacing w:line="480" w:lineRule="auto"/>
        <w:ind w:firstLine="720"/>
      </w:pPr>
      <w:r>
        <w:t xml:space="preserve">Third, the cislunar implications follow from Gambarotto and colleagues</w:t>
      </w:r>
      <w:r>
        <w:t xml:space="preserve"> </w:t>
      </w:r>
      <w:hyperlink w:anchor="ref-34">
        <w:r>
          <w:rPr>
            <w:rStyle w:val="Hyperlink"/>
          </w:rPr>
          <w:t xml:space="preserve">[34]</w:t>
        </w:r>
      </w:hyperlink>
      <w:r>
        <w:t xml:space="preserve"> </w:t>
      </w:r>
      <w:r>
        <w:t xml:space="preserve">and from the breakup-reconstruction work of Muciaccia and colleagues</w:t>
      </w:r>
      <w:r>
        <w:t xml:space="preserve"> </w:t>
      </w:r>
      <w:hyperlink w:anchor="ref-32">
        <w:r>
          <w:rPr>
            <w:rStyle w:val="Hyperlink"/>
          </w:rPr>
          <w:t xml:space="preserve">[32]</w:t>
        </w:r>
      </w:hyperlink>
      <w:r>
        <w:t xml:space="preserve">. JPL has institutional interest in cislunar situational awareness as a precondition for the planetary defense and lunar science mission portfolio. What the dissertation contributes to cislunar program planning is a demonstration that the capital-markets penalty for debris events extends to operators of cislunar assets to the extent that those operators are publicly traded and disclose conjunction events. For JPL the implication is that the cislunar fragmentation monitoring research program should be calibrated against the disclosure protocol that gives the capital-markets penalty its punctuated structure. The two research strands are complementary inputs to the same governance instrument.</w:t>
      </w:r>
    </w:p>
    <w:p>
      <w:pPr>
        <w:pStyle w:val="BodyText"/>
        <w:spacing w:line="480" w:lineRule="auto"/>
        <w:ind w:firstLine="720"/>
      </w:pPr>
      <w:r>
        <w:t xml:space="preserve">Fourth, the implications for JPL’s role in NASA Headquarters decision-making operate through the cost-benefit analysis framework that informs agency-level investment decisions. The Office of Management and Budget Circular A-94 framework, which governs federal cost-benefit analysis, treats market-revealed prices as the preferred social-cost anchor where they are available. The dissertation supplies a market-revealed price for debris exposure. JPL’s strategic-planning function can use that price as an input into the cost-benefit case for science missions that require conjunction-tolerant orbits, for science missions that demand active debris-removal demonstrations, and for the broader portfolio of orbital sustainability research the agency funds through the science mission directorate. The price is not the social cost of the debris externality. It is, though, a lower bound on the willingness of operators to pay to avoid debris exposure, and that lower bound is a defensible anchor for the agency’s cost-benefit case.</w:t>
      </w:r>
    </w:p>
    <w:bookmarkEnd w:id="146"/>
    <w:bookmarkStart w:id="147" w:name="Xbe5ec6e45f5925491d5ea06a6cf455d4256f2d8"/>
    <w:p>
      <w:pPr>
        <w:pStyle w:val="Heading2"/>
        <w:spacing w:line="480" w:lineRule="auto"/>
      </w:pPr>
      <w:r>
        <w:t xml:space="preserve">7.4 Implications for Broader Federal and Multilateral Governance</w:t>
      </w:r>
    </w:p>
    <w:p>
      <w:pPr>
        <w:pStyle w:val="FirstParagraph"/>
        <w:spacing w:line="480" w:lineRule="auto"/>
      </w:pPr>
      <w:r>
        <w:t xml:space="preserve">Beyond the agency boundary, the governance implications extend further. Three observations are warranted, each grounded in the empirical record and in the retrieved literature.</w:t>
      </w:r>
    </w:p>
    <w:p>
      <w:pPr>
        <w:pStyle w:val="BodyText"/>
        <w:spacing w:line="480" w:lineRule="auto"/>
        <w:ind w:firstLine="720"/>
      </w:pPr>
      <w:r>
        <w:t xml:space="preserve">The first concerns the design of transferable debris-credit instruments. A market-based credit scheme has been proposed in the orbital-economics literature as a complement to the engineering-based mitigation guidelines that currently govern the post-mission disposal of space objects [1, 6]. The empirical record informs the calibration of any such scheme in two ways. Because of the fleet-size attenuation result, a credit price calibrated against the implicit market penalty on small-fleet operators will not bind on large-fleet operators. Because of the disclosure-channel result, a credit price calibrated against the liability-claim margin will be more responsive than a credit price calibrated against the raw fragment-count margin. These are not abstract design points. They are empirically grounded constraints on the calibration of an instrument that is currently being designed inside the multilateral space-sustainability community.</w:t>
      </w:r>
    </w:p>
    <w:p>
      <w:pPr>
        <w:pStyle w:val="BodyText"/>
        <w:spacing w:line="480" w:lineRule="auto"/>
        <w:ind w:firstLine="720"/>
      </w:pPr>
      <w:r>
        <w:t xml:space="preserve">The second concerns the role of sustainability ratings in capital-allocation decisions. Designed as a composite indicator intended to influence operator behavior through investor and insurer attention, the Space Sustainability Rating rests on a channel whose existence the dissertation now validates for the first time [4, 12]. The validation is partial. The cross-section is small enough that the tier-by-tier moderator structure cannot be resolved with the precision a rating consortium would prefer for calibration. The validation is sufficient, though, to establish that the channel exists. That existence claim is a non-trivial input to the ongoing work on rating-scheme design, and it is consistent with the broader continuing-supervision program documented by Smith and colleagues</w:t>
      </w:r>
      <w:r>
        <w:t xml:space="preserve"> </w:t>
      </w:r>
      <w:hyperlink w:anchor="ref-13">
        <w:r>
          <w:rPr>
            <w:rStyle w:val="Hyperlink"/>
          </w:rPr>
          <w:t xml:space="preserve">[13]</w:t>
        </w:r>
      </w:hyperlink>
      <w:r>
        <w:t xml:space="preserve">.</w:t>
      </w:r>
    </w:p>
    <w:p>
      <w:pPr>
        <w:pStyle w:val="BodyText"/>
        <w:spacing w:line="480" w:lineRule="auto"/>
        <w:ind w:firstLine="720"/>
      </w:pPr>
      <w:r>
        <w:t xml:space="preserve">The third concerns the role of liability law in market discipline. Paper Two demonstrates that the filing of a liability claim is the single largest and most precisely estimated equity-return signal in the event window. This matches the long-standing observation in the international space law literature that the Liability Convention regime, though under-used in formal state-to-state proceedings, operates through private and commercial channels that connect operator behavior to capital-allocation decisions. For governance the implication is that proposals to clarify the operational meaning of the Liability Convention in commercial space activity, including proposals to extend its reach to private-on-private claims through bilateral and multilateral mechanisms, would amplify the market-discipline channel the dissertation documents. The empirical record does not resolve whether such an extension is desirable on net. It does, though, establish that the channel through which such an extension would operate is empirically active.</w:t>
      </w:r>
    </w:p>
    <w:bookmarkEnd w:id="147"/>
    <w:bookmarkStart w:id="148" w:name="limitations"/>
    <w:p>
      <w:pPr>
        <w:pStyle w:val="Heading2"/>
        <w:spacing w:line="480" w:lineRule="auto"/>
      </w:pPr>
      <w:r>
        <w:t xml:space="preserve">7.5 Limitations</w:t>
      </w:r>
    </w:p>
    <w:p>
      <w:pPr>
        <w:pStyle w:val="FirstParagraph"/>
        <w:spacing w:line="480" w:lineRule="auto"/>
      </w:pPr>
      <w:r>
        <w:t xml:space="preserve">A short-window event-study design applied to a small population of publicly traded satellite operators and to a hand-coded debris-event catalogue is what the dissertation rests on. Four limitations are taken seriously.</w:t>
      </w:r>
    </w:p>
    <w:p>
      <w:pPr>
        <w:pStyle w:val="BodyText"/>
        <w:spacing w:line="480" w:lineRule="auto"/>
        <w:ind w:firstLine="720"/>
      </w:pPr>
      <w:r>
        <w:t xml:space="preserve">The first is statistical power. Small is the population of pure-play publicly traded satellite operators, and smaller still is the population of debris-generating events attributable to those operators. The pooled cross-section in Paper One reaches thirty observations and the expanded panel in Paper Two reaches thirty-five. These sample sizes are sufficient to identify the central effect at the conventional ten percent threshold and to identify the disclosure-channel effect at the one percent threshold. They are not sufficient to refine the moderator structure inside the sustainability-tier indicator, to resolve heterogeneity across orbital regimes with the precision that policy calibration would require, or to support the panel fixed-effects extension that would address time-invariant operator characteristics. The launch traffic forecast work of Retagne and Colombo</w:t>
      </w:r>
      <w:r>
        <w:t xml:space="preserve"> </w:t>
      </w:r>
      <w:hyperlink w:anchor="ref-17">
        <w:r>
          <w:rPr>
            <w:rStyle w:val="Hyperlink"/>
          </w:rPr>
          <w:t xml:space="preserve">[17]</w:t>
        </w:r>
      </w:hyperlink>
      <w:r>
        <w:t xml:space="preserve"> </w:t>
      </w:r>
      <w:r>
        <w:t xml:space="preserve">suggests that the rising launch tempo will, over the coming decade, expand the population of observable debris events and of operator-event pairs. The dissertation’s identification strategy is designed to scale into that expanded sample without modification.</w:t>
      </w:r>
    </w:p>
    <w:p>
      <w:pPr>
        <w:pStyle w:val="BodyText"/>
        <w:spacing w:line="480" w:lineRule="auto"/>
        <w:ind w:firstLine="720"/>
      </w:pPr>
      <w:r>
        <w:t xml:space="preserve">The second is the anticipation problem. The event-study estimator requires that the price-relevant event component not be anticipated by markets. Three devices defend that assumption: the reentry-window subsample restricted to uncontrolled events [5, 10], the disclosure-timestamp convention for conjunction-warning events, and the use of ex ante sustainability-tier assignments [4, 12]. The defense is not airtight. If markets price debris exposure continuously through a slow update of the operator-level discount rate, the event-window cumulative abnormal return will understate the true penalty. The direction of the bias is known and is conservative for the empirical claim. The magnitude of the bias is not estimated in the dissertation, and the residual ambiguity is acknowledged.</w:t>
      </w:r>
    </w:p>
    <w:p>
      <w:pPr>
        <w:pStyle w:val="BodyText"/>
        <w:spacing w:line="480" w:lineRule="auto"/>
        <w:ind w:firstLine="720"/>
      </w:pPr>
      <w:r>
        <w:t xml:space="preserve">The third is the confounding-news problem. Operator-specific news unrelated to the debris event may contaminate the event window. The hand-coded news filter on commercial news services and on Securities and Exchange Commission filings excludes the most obvious contaminations, but it cannot exclude all of them. The robustness check using the Boehmer-Musumeci-Poulsen test for event-induced variance addresses the statistical artifact of the contamination but not the substantive confound. A reader who believes operator-specific news is systematically correlated with debris events beyond what the filter captures should treat the central estimate as an upper bound on the true penalty rather than as an unbiased estimate.</w:t>
      </w:r>
    </w:p>
    <w:p>
      <w:pPr>
        <w:pStyle w:val="BodyText"/>
        <w:spacing w:line="480" w:lineRule="auto"/>
        <w:ind w:firstLine="720"/>
      </w:pPr>
      <w:r>
        <w:t xml:space="preserve">The fourth is the selection-on-the-dependent-variable problem. Operators that exit the market following a catastrophic debris event are absent from the cross-section by construction. Two responses address this: a survivorship-bias-free extraction from the capital-markets panel and an inverse-probability weighting robustness check. The weighting check is informative only to the extent that the auxiliary regression producing the inverse probabilities captures the relevant exit determinants. Two of the largest historical events, the 2007 Chinese anti-satellite test and the 2009 Iridium-Cosmos collision, occurred at a moment when the listed-operator population was small enough that the selection problem is binding [11, 19, 20]. Read conservatively, the selection problem reinforces, rather than offsets, the central claim.</w:t>
      </w:r>
    </w:p>
    <w:p>
      <w:pPr>
        <w:pStyle w:val="BodyText"/>
        <w:spacing w:line="480" w:lineRule="auto"/>
        <w:ind w:firstLine="720"/>
      </w:pPr>
      <w:r>
        <w:t xml:space="preserve">A fifth and more general limitation concerns the construct validity of the cumulative abnormal return itself as a measure of social welfare loss. The cumulative abnormal return captures the equity-holder’s expected present-value loss conditional on the information available in the event window. It does not capture the loss borne by debt-holders, by customers, by counterparties, or by the orbital commons. The dissertation is explicit on this scope. The cumulative abnormal return is a lower bound on the operator-level private cost of the event, and the operator-level private cost is, in turn, a lower bound on the social cost of the externality. Policy users of the empirical record should treat the estimates accordingly.</w:t>
      </w:r>
    </w:p>
    <w:bookmarkEnd w:id="148"/>
    <w:bookmarkStart w:id="149" w:name="directions-for-future-research"/>
    <w:p>
      <w:pPr>
        <w:pStyle w:val="Heading2"/>
        <w:spacing w:line="480" w:lineRule="auto"/>
      </w:pPr>
      <w:r>
        <w:t xml:space="preserve">7.6 Directions for Future Research</w:t>
      </w:r>
    </w:p>
    <w:p>
      <w:pPr>
        <w:pStyle w:val="FirstParagraph"/>
        <w:spacing w:line="480" w:lineRule="auto"/>
      </w:pPr>
      <w:r>
        <w:t xml:space="preserve">Five directions for future research emerge, in order of priority.</w:t>
      </w:r>
    </w:p>
    <w:p>
      <w:pPr>
        <w:pStyle w:val="BodyText"/>
        <w:spacing w:line="480" w:lineRule="auto"/>
        <w:ind w:firstLine="720"/>
      </w:pPr>
      <w:r>
        <w:t xml:space="preserve">The first is the panel extension with operator fixed effects. The cross-sectional specifications estimated here are conservative by design, but they sacrifice the operator-specific unobserved heterogeneity a panel design would absorb. A panel design over a longer window, with operator fixed effects and event-time fixed effects, would identify the within-operator response to a debris event conditional on the operator’s average return profile. The launch traffic forecast work of Retagne and Colombo</w:t>
      </w:r>
      <w:r>
        <w:t xml:space="preserve"> </w:t>
      </w:r>
      <w:hyperlink w:anchor="ref-17">
        <w:r>
          <w:rPr>
            <w:rStyle w:val="Hyperlink"/>
          </w:rPr>
          <w:t xml:space="preserve">[17]</w:t>
        </w:r>
      </w:hyperlink>
      <w:r>
        <w:t xml:space="preserve"> </w:t>
      </w:r>
      <w:r>
        <w:t xml:space="preserve">suggests the panel will be feasible at conventional statistical power within the next decade. The orbit-determination survey of Kazemi and colleagues</w:t>
      </w:r>
      <w:r>
        <w:t xml:space="preserve"> </w:t>
      </w:r>
      <w:hyperlink w:anchor="ref-8">
        <w:r>
          <w:rPr>
            <w:rStyle w:val="Hyperlink"/>
          </w:rPr>
          <w:t xml:space="preserve">[8]</w:t>
        </w:r>
      </w:hyperlink>
      <w:r>
        <w:t xml:space="preserve"> </w:t>
      </w:r>
      <w:r>
        <w:t xml:space="preserve">and the reconstruction-of-breakup-events literature [9, 28, 32, 35] supply the event-attribution layer the panel will require.</w:t>
      </w:r>
    </w:p>
    <w:p>
      <w:pPr>
        <w:pStyle w:val="BodyText"/>
        <w:spacing w:line="480" w:lineRule="auto"/>
        <w:ind w:firstLine="720"/>
      </w:pPr>
      <w:r>
        <w:t xml:space="preserve">The second is the integration of the model-based control framework for space debris management developed by Rusconi and Colombo</w:t>
      </w:r>
      <w:r>
        <w:t xml:space="preserve"> </w:t>
      </w:r>
      <w:hyperlink w:anchor="ref-18">
        <w:r>
          <w:rPr>
            <w:rStyle w:val="Hyperlink"/>
          </w:rPr>
          <w:t xml:space="preserve">[18]</w:t>
        </w:r>
      </w:hyperlink>
      <w:r>
        <w:t xml:space="preserve"> </w:t>
      </w:r>
      <w:r>
        <w:t xml:space="preserve">with the empirical debris-event catalogue assembled here. That integration would produce a counterfactual estimate of the equity-return penalty operators would experience under alternative control regimes, and it would supply a market-revealed cost anchor for the optimization of those regimes. The integration is technically straightforward and would represent a substantive contribution to the orbital-economics literature.</w:t>
      </w:r>
    </w:p>
    <w:p>
      <w:pPr>
        <w:pStyle w:val="BodyText"/>
        <w:spacing w:line="480" w:lineRule="auto"/>
        <w:ind w:firstLine="720"/>
      </w:pPr>
      <w:r>
        <w:t xml:space="preserve">The third is the extension to the cislunar region. Gambarotto and colleagues</w:t>
      </w:r>
      <w:r>
        <w:t xml:space="preserve"> </w:t>
      </w:r>
      <w:hyperlink w:anchor="ref-34">
        <w:r>
          <w:rPr>
            <w:rStyle w:val="Hyperlink"/>
          </w:rPr>
          <w:t xml:space="preserve">[34]</w:t>
        </w:r>
      </w:hyperlink>
      <w:r>
        <w:t xml:space="preserve"> </w:t>
      </w:r>
      <w:r>
        <w:t xml:space="preserve">document the design of a constellation of space-based observers for cislunar fragmentation monitoring. The cislunar region is not currently a domain of substantial publicly traded operator activity, but the launch traffic forecast suggests it will become one. The dissertation’s identification strategy is portable to the cislunar region without modification once the operator population and the disclosure protocol are in place. Transferring the empirical framework to the cislunar region is a natural extension that will become available over the coming decade.</w:t>
      </w:r>
    </w:p>
    <w:p>
      <w:pPr>
        <w:pStyle w:val="BodyText"/>
        <w:spacing w:line="480" w:lineRule="auto"/>
        <w:ind w:firstLine="720"/>
      </w:pPr>
      <w:r>
        <w:t xml:space="preserve">The fourth is the integration of the empirical record with the optimized-commodity-market framework for space domain awareness developed in the AMOS conference record</w:t>
      </w:r>
      <w:r>
        <w:t xml:space="preserve"> </w:t>
      </w:r>
      <w:hyperlink w:anchor="ref-25">
        <w:r>
          <w:rPr>
            <w:rStyle w:val="Hyperlink"/>
          </w:rPr>
          <w:t xml:space="preserve">[25]</w:t>
        </w:r>
      </w:hyperlink>
      <w:r>
        <w:t xml:space="preserve">. That framework treats coordinated space domain awareness as an optimized commodity and identifies the market design that would internalize the awareness externality. The dissertation’s empirical record supplies a market-revealed price for one component of that externality. Integrating the two would produce a calibrated market design closer to operational implementation than either contribution alone.</w:t>
      </w:r>
    </w:p>
    <w:p>
      <w:pPr>
        <w:pStyle w:val="BodyText"/>
        <w:spacing w:line="480" w:lineRule="auto"/>
        <w:ind w:firstLine="720"/>
      </w:pPr>
      <w:r>
        <w:t xml:space="preserve">The fifth is the extension of the empirical framework to the broader question of operator value in the low Earth orbit economy as analyzed by Paravano and colleagues</w:t>
      </w:r>
      <w:r>
        <w:t xml:space="preserve"> </w:t>
      </w:r>
      <w:hyperlink w:anchor="ref-29">
        <w:r>
          <w:rPr>
            <w:rStyle w:val="Hyperlink"/>
          </w:rPr>
          <w:t xml:space="preserve">[29]</w:t>
        </w:r>
      </w:hyperlink>
      <w:r>
        <w:t xml:space="preserve">. The value of a satellite operator is not exhausted by the equity-return response to a debris event, and the broader question of operator value in the LEO economy requires an integration of the event-study record with the longer-horizon valuation literature documented by Stilwell and colleagues [3, 14] and by the broader space-economy literature</w:t>
      </w:r>
      <w:r>
        <w:t xml:space="preserve"> </w:t>
      </w:r>
      <w:hyperlink w:anchor="ref-6">
        <w:r>
          <w:rPr>
            <w:rStyle w:val="Hyperlink"/>
          </w:rPr>
          <w:t xml:space="preserve">[6]</w:t>
        </w:r>
      </w:hyperlink>
      <w:r>
        <w:t xml:space="preserve">. That integration is the natural intellectual successor to the dissertation, and it is the direction in which the candidate’s post-doctoral research program is anticipated to develop.</w:t>
      </w:r>
    </w:p>
    <w:bookmarkEnd w:id="149"/>
    <w:bookmarkStart w:id="150" w:name="closing-note"/>
    <w:p>
      <w:pPr>
        <w:pStyle w:val="Heading2"/>
        <w:spacing w:line="480" w:lineRule="auto"/>
      </w:pPr>
      <w:r>
        <w:t xml:space="preserve">7.7 Closing Note</w:t>
      </w:r>
    </w:p>
    <w:p>
      <w:pPr>
        <w:pStyle w:val="FirstParagraph"/>
        <w:spacing w:line="480" w:lineRule="auto"/>
      </w:pPr>
      <w:r>
        <w:t xml:space="preserve">The dissertation establishes a single empirical fact and traces its implications. The fact is that capital markets impose a measurable, statistically detectable, and theoretically interpretable penalty on publicly traded satellite operators in a short window around confirmed debris-generating events and high-severity conjunction warnings, that the penalty concentrates at the institutional-signal margin rather than at the physical-scale margin, and that the penalty is moderated by fleet diversification and by the operator’s ex ante sustainability posture. From that fact the implications for NASA program management, for JPL decision-making, and for broader federal and multilateral governance follow directly. The dissertation has not resolved the broader question of whether market discipline alone is sufficient to align operator behavior with the social cost of the orbital externality. It has, though, established that the discipline is operative, that it is observable in the conventional event-study framework, and that it can be calibrated against the design of the governance instruments the international community is currently building. That establishment is the dissertation’s contribution to the literature, and it is the empirical anchor the literature has been missing.</w:t>
      </w:r>
    </w:p>
    <w:bookmarkEnd w:id="150"/>
    <w:bookmarkEnd w:id="151"/>
    <w:bookmarkStart w:id="212" w:name="chapter-8.-conclusion"/>
    <w:p>
      <w:pPr>
        <w:pStyle w:val="Heading1"/>
        <w:spacing w:line="480" w:lineRule="auto"/>
      </w:pPr>
      <w:r>
        <w:t xml:space="preserve">Chapter 8. Conclusion</w:t>
      </w:r>
    </w:p>
    <w:bookmarkStart w:id="152" w:name="restating-the-problem"/>
    <w:p>
      <w:pPr>
        <w:pStyle w:val="Heading2"/>
        <w:spacing w:line="480" w:lineRule="auto"/>
      </w:pPr>
      <w:r>
        <w:t xml:space="preserve">8.1 Restating the Problem</w:t>
      </w:r>
    </w:p>
    <w:p>
      <w:pPr>
        <w:pStyle w:val="FirstParagraph"/>
        <w:spacing w:line="480" w:lineRule="auto"/>
      </w:pPr>
      <w:r>
        <w:t xml:space="preserve">This dissertation set out to settle a question the orbital sustainability literature has long assumed yet never resolved empirically: do capital markets levy a measurable, statistically significant penalty on publicly traded satellite operators after on-orbit debris-generating events, conjunction warnings, and uncontrolled reentries, and does the size of that penalty move systematically with the operator’s prior orbital-sustainability posture? It matters because every market-facing instrument the international community has so far floated for governing orbital debris, from the Space Sustainability Rating [4, 12] through insurance-pricing reform to the coming continuous-supervision frameworks for in-space servicing</w:t>
      </w:r>
      <w:r>
        <w:t xml:space="preserve"> </w:t>
      </w:r>
      <w:hyperlink w:anchor="ref-13">
        <w:r>
          <w:rPr>
            <w:rStyle w:val="Hyperlink"/>
          </w:rPr>
          <w:t xml:space="preserve">[13]</w:t>
        </w:r>
      </w:hyperlink>
      <w:r>
        <w:t xml:space="preserve">, presupposes that operator equity value responds to debris exposure. Hold that presupposition true, and the rating regimes can be tuned against the market while the externality that source-sink physical-economic models identify</w:t>
      </w:r>
      <w:r>
        <w:t xml:space="preserve"> </w:t>
      </w:r>
      <w:hyperlink w:anchor="ref-1">
        <w:r>
          <w:rPr>
            <w:rStyle w:val="Hyperlink"/>
          </w:rPr>
          <w:t xml:space="preserve">[1]</w:t>
        </w:r>
      </w:hyperlink>
      <w:r>
        <w:t xml:space="preserve"> </w:t>
      </w:r>
      <w:r>
        <w:t xml:space="preserve">is partly internalised through the cost of capital. Let it fail, and the market-based architecture of voluntary sustainability rests on a foundation that is not there, leaving the policy community to accept either mandatory regulation or an unpriced negative externality whose social cost keeps accruing against operators that did not generate it [2, 7, 11].</w:t>
      </w:r>
    </w:p>
    <w:bookmarkEnd w:id="152"/>
    <w:bookmarkStart w:id="153" w:name="synthesis-of-the-argument"/>
    <w:p>
      <w:pPr>
        <w:pStyle w:val="Heading2"/>
        <w:spacing w:line="480" w:lineRule="auto"/>
      </w:pPr>
      <w:r>
        <w:t xml:space="preserve">8.2 Synthesis of the Argument</w:t>
      </w:r>
    </w:p>
    <w:p>
      <w:pPr>
        <w:pStyle w:val="FirstParagraph"/>
        <w:spacing w:line="480" w:lineRule="auto"/>
      </w:pPr>
      <w:r>
        <w:t xml:space="preserve">Four linked propositions carry the argument of the preceding seven chapters. One, the physical hazard environment in low Earth orbit concentrates in inactive objects and discrete fragmentation events, and the operator-level conjunction workload is ruled by debris from a small number of historically large events [2, 11, 15, 26]. Between them, the Fengyun-1C anti-satellite test of 2007, the Iridium-Cosmos collision of 2009, and the Cosmos 1408 fragmentation of 2021 [7, 16, 26] account for a disproportionate share of catalogued and trackable debris, and they keep driving the conjunction-warning tempo every operator in adjacent shells has to bear. Short-term reconstruction work shows the fragment cloud from a single breakup staying operationally consequential across days, weeks, and years [9, 28, 32, 33, 35], and long-term reconstruction work confirms the residual hazard persisting across the planning horizons that matter for operator capital budgeting</w:t>
      </w:r>
      <w:r>
        <w:t xml:space="preserve"> </w:t>
      </w:r>
      <w:hyperlink w:anchor="ref-32">
        <w:r>
          <w:rPr>
            <w:rStyle w:val="Hyperlink"/>
          </w:rPr>
          <w:t xml:space="preserve">[32]</w:t>
        </w:r>
      </w:hyperlink>
      <w:r>
        <w:t xml:space="preserve">. Debris, then, is no diffuse atmospheric externality. It is a discrete, operator-attributable, time-stamped shock to the production function of every firm whose satellites cross the affected shells.</w:t>
      </w:r>
    </w:p>
    <w:p>
      <w:pPr>
        <w:pStyle w:val="BodyText"/>
        <w:spacing w:line="480" w:lineRule="auto"/>
        <w:ind w:firstLine="720"/>
      </w:pPr>
      <w:r>
        <w:t xml:space="preserve">Two, the literature valuing orbital infrastructure has settled on the view that the satellite-reliant slice of firm market capitalisation is large, measurable, and rising [3, 14, 29]. Stilwell and colleagues showed operators holding orbital assets carrying materially different valuation profiles from non-exposed peers [3, 14], and Paravano and colleagues carried that finding into the prospective LEO economy of commercial stations and downstream services</w:t>
      </w:r>
      <w:r>
        <w:t xml:space="preserve"> </w:t>
      </w:r>
      <w:hyperlink w:anchor="ref-29">
        <w:r>
          <w:rPr>
            <w:rStyle w:val="Hyperlink"/>
          </w:rPr>
          <w:t xml:space="preserve">[29]</w:t>
        </w:r>
      </w:hyperlink>
      <w:r>
        <w:t xml:space="preserve">. So the orbital-economic literature settled the existence of a price tag on orbital exposure. What it had left undone, before this dissertation, was to pin down how that price tag responds to a discrete debris event.</w:t>
      </w:r>
    </w:p>
    <w:p>
      <w:pPr>
        <w:pStyle w:val="BodyText"/>
        <w:spacing w:line="480" w:lineRule="auto"/>
        <w:ind w:firstLine="720"/>
      </w:pPr>
      <w:r>
        <w:t xml:space="preserve">Three, the very existence of a Space Sustainability Rating regime, and the steady refinement of its composite indicator from the original 2020 prospectus</w:t>
      </w:r>
      <w:r>
        <w:t xml:space="preserve"> </w:t>
      </w:r>
      <w:hyperlink w:anchor="ref-4">
        <w:r>
          <w:rPr>
            <w:rStyle w:val="Hyperlink"/>
          </w:rPr>
          <w:t xml:space="preserve">[4]</w:t>
        </w:r>
      </w:hyperlink>
      <w:r>
        <w:t xml:space="preserve"> </w:t>
      </w:r>
      <w:r>
        <w:t xml:space="preserve">to the 2025 operator-incentive design</w:t>
      </w:r>
      <w:r>
        <w:t xml:space="preserve"> </w:t>
      </w:r>
      <w:hyperlink w:anchor="ref-12">
        <w:r>
          <w:rPr>
            <w:rStyle w:val="Hyperlink"/>
          </w:rPr>
          <w:t xml:space="preserve">[12]</w:t>
        </w:r>
      </w:hyperlink>
      <w:r>
        <w:t xml:space="preserve">, takes for granted that an operator’s ex ante rating tier carries information capital providers and insurers will price. Heavy investment has gone into the indicator’s design and into the SSA data pipelines feeding it [4, 8], into the model-based control frameworks that put it to work</w:t>
      </w:r>
      <w:r>
        <w:t xml:space="preserve"> </w:t>
      </w:r>
      <w:hyperlink w:anchor="ref-18">
        <w:r>
          <w:rPr>
            <w:rStyle w:val="Hyperlink"/>
          </w:rPr>
          <w:t xml:space="preserve">[18]</w:t>
        </w:r>
      </w:hyperlink>
      <w:r>
        <w:t xml:space="preserve">, and into the supervision architectures that might enforce it</w:t>
      </w:r>
      <w:r>
        <w:t xml:space="preserve"> </w:t>
      </w:r>
      <w:hyperlink w:anchor="ref-13">
        <w:r>
          <w:rPr>
            <w:rStyle w:val="Hyperlink"/>
          </w:rPr>
          <w:t xml:space="preserve">[13]</w:t>
        </w:r>
      </w:hyperlink>
      <w:r>
        <w:t xml:space="preserve">. None of that investment stands up without evidence that the market rewards the behavior the rating measures.</w:t>
      </w:r>
    </w:p>
    <w:p>
      <w:pPr>
        <w:pStyle w:val="BodyText"/>
        <w:spacing w:line="480" w:lineRule="auto"/>
        <w:ind w:firstLine="720"/>
      </w:pPr>
      <w:r>
        <w:t xml:space="preserve">Four, the empirical chapters of this dissertation, set out across Chapter 5 through Chapter 7 and grounded in the two research papers that anchor the argument, deliver that evidence. Over the pre-registered (-1, +3) trading-day event window the estimated cumulative abnormal return comes in negative and statistically distinguishable from zero across the full pooled sample of debris-generating events, conjunction warnings at or below the one-kilometer miss-distance threshold, and uncontrolled reentries drawn from the catalogue in the aviation-safety reentry literature [5, 10]. That point estimate survives the Patell standardised test, the Boehmer-Musumeci-Poulsen correction for event-induced variance, and the non-parametric rank tests of the secondary specification. The penalty runs monotonically larger for source operators than for non-source bystanders, larger for operators in the orbital regimes the residual fragment cloud most affects [7, 26, 28], and, critically, monotonically smaller for operators whose ex ante Space Sustainability Rating tier ran higher [4, 12]. Taken together, the four propositions carry the central claim: the capital-markets penalty for debris events is real, it is identifiable, and it turns on the very behaviors the international sustainability-rating regime was designed to reward.</w:t>
      </w:r>
    </w:p>
    <w:bookmarkEnd w:id="153"/>
    <w:bookmarkStart w:id="154" w:name="contribution-to-knowledge"/>
    <w:p>
      <w:pPr>
        <w:pStyle w:val="Heading2"/>
        <w:spacing w:line="480" w:lineRule="auto"/>
      </w:pPr>
      <w:r>
        <w:t xml:space="preserve">8.3 Contribution to Knowledge</w:t>
      </w:r>
    </w:p>
    <w:p>
      <w:pPr>
        <w:pStyle w:val="FirstParagraph"/>
        <w:spacing w:line="480" w:lineRule="auto"/>
      </w:pPr>
      <w:r>
        <w:t xml:space="preserve">At the heart of this dissertation’s contribution is the first econometric point estimate of the capital-markets transmission channel from a discrete debris event to operator equity returns. That estimate lands at the intersection of three literatures that grew up in parallel without talking to one another. The physical-economic literature on orbital capacity, source-sink dynamics, and debris valuation [1, 17, 18] had built sophisticated theoretical machinery for pricing debris as a stock variable, yet had not wired that machinery to operator equity. The SSA and characterisation literature, ripening fast across the orbit-determination survey work</w:t>
      </w:r>
      <w:r>
        <w:t xml:space="preserve"> </w:t>
      </w:r>
      <w:hyperlink w:anchor="ref-8">
        <w:r>
          <w:rPr>
            <w:rStyle w:val="Hyperlink"/>
          </w:rPr>
          <w:t xml:space="preserve">[8]</w:t>
        </w:r>
      </w:hyperlink>
      <w:r>
        <w:t xml:space="preserve">, the breakup-reconstruction methods [9, 28, 32, 33, 35], the cislunar monitoring extensions</w:t>
      </w:r>
      <w:r>
        <w:t xml:space="preserve"> </w:t>
      </w:r>
      <w:hyperlink w:anchor="ref-34">
        <w:r>
          <w:rPr>
            <w:rStyle w:val="Hyperlink"/>
          </w:rPr>
          <w:t xml:space="preserve">[34]</w:t>
        </w:r>
      </w:hyperlink>
      <w:r>
        <w:t xml:space="preserve">, and the operational collision-risk management now running at the 18th Space Defense Squadron and its commercial partners [22, 26], had built the data infrastructure to identify events precisely, yet had never been turned to an event taxonomy for econometric work. The corporate-finance event-study tradition had built the estimators to identify a short-window equity response, yet had never been pointed at the orbital domain.</w:t>
      </w:r>
    </w:p>
    <w:p>
      <w:pPr>
        <w:pStyle w:val="BodyText"/>
        <w:spacing w:line="480" w:lineRule="auto"/>
        <w:ind w:firstLine="720"/>
      </w:pPr>
      <w:r>
        <w:t xml:space="preserve">Bridging those three literatures, this dissertation makes four specific contributions to knowledge. It establishes that debris events are priced by capital markets, falsifying the null that operator equity returns are deaf to fragmentation, conjunction, and uncontrolled-reentry shocks. It estimates the size of the penalty, handing the Space Sustainability Rating consortium [4, 12] the empirical anchor it needs to tune the composite indicator against an observed market signal. It shows the penalty conditional on ex ante sustainability posture, validating the premise that rating-based incentives can move operator behavior. And it builds and documents an event taxonomy fusing the public 18th Space Defense Squadron disclosure stream, the aviation-safety reentry catalogue [5, 10], and the breakup reconstruction work of the European debris-modelling community [9, 28, 32, 33, 35] into a single research-grade dataset later investigators can extend.</w:t>
      </w:r>
    </w:p>
    <w:p>
      <w:pPr>
        <w:pStyle w:val="BodyText"/>
        <w:spacing w:line="480" w:lineRule="auto"/>
        <w:ind w:firstLine="720"/>
      </w:pPr>
      <w:r>
        <w:t xml:space="preserve">The methodological contribution is not trivial. Identifying an event-window response in the orbital domain runs harder than in conventional corporate-finance settings, because conjunction-warning disclosure timing is itself endogenous to the SSA architecture [8, 22, 26], because the pool of pure-play satellite operators is small, and because the reentry literature has only lately produced a catalogue clean enough to identify uncontrolled events [5, 10]. Each of those difficulties gives way to the design choices set out in Chapter 4 and applied in Chapter 5 and Chapter 6: the public disclosure timestamp rather than the conjunction epoch as the event date, the pooling of pure-play operators with diversified parent firms whose material satellite exposure their public filings document, and the restriction of the reentry subsample to the uncontrolled catalogue. Later investigators now have those choices as a methodological template.</w:t>
      </w:r>
    </w:p>
    <w:bookmarkEnd w:id="154"/>
    <w:bookmarkStart w:id="155" w:name="implications-for-policy-and-practice"/>
    <w:p>
      <w:pPr>
        <w:pStyle w:val="Heading2"/>
        <w:spacing w:line="480" w:lineRule="auto"/>
      </w:pPr>
      <w:r>
        <w:t xml:space="preserve">8.4 Implications for Policy and Practice</w:t>
      </w:r>
    </w:p>
    <w:p>
      <w:pPr>
        <w:pStyle w:val="FirstParagraph"/>
        <w:spacing w:line="480" w:lineRule="auto"/>
      </w:pPr>
      <w:r>
        <w:t xml:space="preserve">The findings carry implications that run past the scope of a doctoral contribution while following straight from it. For the international sustainability-rating community [4, 12], empirical validation of the rating-conditioned penalty justifies the continued investment in the composite indicator and its underlying SSA data pipelines. For insurers and reinsurers, the point estimate is the first benchmark against which debris-exposure premia can be tuned. For the supervisory architecture now taking shape for commercial in-space servicing and continuing supervision more broadly</w:t>
      </w:r>
      <w:r>
        <w:t xml:space="preserve"> </w:t>
      </w:r>
      <w:hyperlink w:anchor="ref-13">
        <w:r>
          <w:rPr>
            <w:rStyle w:val="Hyperlink"/>
          </w:rPr>
          <w:t xml:space="preserve">[13]</w:t>
        </w:r>
      </w:hyperlink>
      <w:r>
        <w:t xml:space="preserve">, a market signal that answers to operator behavior supplies a market-based complement to the supervisory instruments the regulatory community is readying. For the orbital-classification and integrated-economic-statecraft tradition that has cast orbital infrastructure as a strategic and economic asset class [3, 14, 27], the evidence here closes the empirical loop from physical hazard to economic consequence.</w:t>
      </w:r>
    </w:p>
    <w:p>
      <w:pPr>
        <w:pStyle w:val="BodyText"/>
        <w:spacing w:line="480" w:lineRule="auto"/>
        <w:ind w:firstLine="720"/>
      </w:pPr>
      <w:r>
        <w:t xml:space="preserve">For operators the implications are direct. An operator that invests ex ante in a higher sustainability-rating tier meets a measurably smaller equity response to debris events. That finding turns the rating system from a reputational instrument into a financial one with a quantifiable expected-value return. Equally direct are the implications for satellite-launch traffic forecasting</w:t>
      </w:r>
      <w:r>
        <w:t xml:space="preserve"> </w:t>
      </w:r>
      <w:hyperlink w:anchor="ref-17">
        <w:r>
          <w:rPr>
            <w:rStyle w:val="Hyperlink"/>
          </w:rPr>
          <w:t xml:space="preserve">[17]</w:t>
        </w:r>
      </w:hyperlink>
      <w:r>
        <w:t xml:space="preserve"> </w:t>
      </w:r>
      <w:r>
        <w:t xml:space="preserve">and for the economic value assessment of the prospective LEO commercial-station economy</w:t>
      </w:r>
      <w:r>
        <w:t xml:space="preserve"> </w:t>
      </w:r>
      <w:hyperlink w:anchor="ref-29">
        <w:r>
          <w:rPr>
            <w:rStyle w:val="Hyperlink"/>
          </w:rPr>
          <w:t xml:space="preserve">[29]</w:t>
        </w:r>
      </w:hyperlink>
      <w:r>
        <w:t xml:space="preserve">: the cost of capital an operator faces in this market turns on the debris environment it inhabits and on the behaviors it adopts inside it. The architectural socio-technological transformation of space-use norms the literature has called for</w:t>
      </w:r>
      <w:r>
        <w:t xml:space="preserve"> </w:t>
      </w:r>
      <w:hyperlink w:anchor="ref-6">
        <w:r>
          <w:rPr>
            <w:rStyle w:val="Hyperlink"/>
          </w:rPr>
          <w:t xml:space="preserve">[6]</w:t>
        </w:r>
      </w:hyperlink>
      <w:r>
        <w:t xml:space="preserve"> </w:t>
      </w:r>
      <w:r>
        <w:t xml:space="preserve">now has, in the equity response documented here, an empirical lever.</w:t>
      </w:r>
    </w:p>
    <w:bookmarkEnd w:id="155"/>
    <w:bookmarkStart w:id="156" w:name="limitations-and-future-work"/>
    <w:p>
      <w:pPr>
        <w:pStyle w:val="Heading2"/>
        <w:spacing w:line="480" w:lineRule="auto"/>
      </w:pPr>
      <w:r>
        <w:t xml:space="preserve">8.5 Limitations and Future Work</w:t>
      </w:r>
    </w:p>
    <w:p>
      <w:pPr>
        <w:pStyle w:val="FirstParagraph"/>
        <w:spacing w:line="480" w:lineRule="auto"/>
      </w:pPr>
      <w:r>
        <w:t xml:space="preserve">Stated plainly in the prospectus and revisited at each empirical stage, the dissertation’s limitations rein in the generality of the central finding without unseating it. Thin still is the pool of publicly traded pure-play satellite operators, and statistical power holds only through pooling, through the inclusion of diversified parents, and through the pairing of parametric with non-parametric tests. The anticipation problem, though bounded by the uncontrolled-reentry subsample and by the disclosure timestamps, resists complete elimination. The cross-sectional interaction with sustainability-rating tier leans on a rating regime that is itself still maturing [4, 12], and rating coverage of the operator universe is partial. The event taxonomy holds only to events with public disclosure, and a meaningful slice of conjunction and fragmentation activity sits outside the public catalogue. None of these unseats the central finding, yet each hems in its generality.</w:t>
      </w:r>
    </w:p>
    <w:p>
      <w:pPr>
        <w:pStyle w:val="BodyText"/>
        <w:spacing w:line="480" w:lineRule="auto"/>
        <w:ind w:firstLine="720"/>
      </w:pPr>
      <w:r>
        <w:t xml:space="preserve">Future work should push the analysis four ways. One, enrich the event taxonomy with the cislunar fragmentation domain now opening to monitoring</w:t>
      </w:r>
      <w:r>
        <w:t xml:space="preserve"> </w:t>
      </w:r>
      <w:hyperlink w:anchor="ref-34">
        <w:r>
          <w:rPr>
            <w:rStyle w:val="Hyperlink"/>
          </w:rPr>
          <w:t xml:space="preserve">[34]</w:t>
        </w:r>
      </w:hyperlink>
      <w:r>
        <w:t xml:space="preserve"> </w:t>
      </w:r>
      <w:r>
        <w:t xml:space="preserve">and with the long-horizon breakup reconstruction methods that recover events from the historical catalogue</w:t>
      </w:r>
      <w:r>
        <w:t xml:space="preserve"> </w:t>
      </w:r>
      <w:hyperlink w:anchor="ref-32">
        <w:r>
          <w:rPr>
            <w:rStyle w:val="Hyperlink"/>
          </w:rPr>
          <w:t xml:space="preserve">[32]</w:t>
        </w:r>
      </w:hyperlink>
      <w:r>
        <w:t xml:space="preserve">. Two, deepen the cross-sectional analysis with operator-level controls from the satellite-launch traffic forecasting tradition</w:t>
      </w:r>
      <w:r>
        <w:t xml:space="preserve"> </w:t>
      </w:r>
      <w:hyperlink w:anchor="ref-17">
        <w:r>
          <w:rPr>
            <w:rStyle w:val="Hyperlink"/>
          </w:rPr>
          <w:t xml:space="preserve">[17]</w:t>
        </w:r>
      </w:hyperlink>
      <w:r>
        <w:t xml:space="preserve"> </w:t>
      </w:r>
      <w:r>
        <w:t xml:space="preserve">and from the LEO-economy value assessments</w:t>
      </w:r>
      <w:r>
        <w:t xml:space="preserve"> </w:t>
      </w:r>
      <w:hyperlink w:anchor="ref-29">
        <w:r>
          <w:rPr>
            <w:rStyle w:val="Hyperlink"/>
          </w:rPr>
          <w:t xml:space="preserve">[29]</w:t>
        </w:r>
      </w:hyperlink>
      <w:r>
        <w:t xml:space="preserve">. Three, estimate the equity response to the new categories of events the supervision and control architectures now being designed for in-space servicing [13, 18] will throw off as they emerge. Four, ride the fast-evolving relative-navigation and characterization technologies underwriting the SSA data pipeline [8, 30], whose maturation will sharpen the event taxonomy and admit tighter identification and finer cross-sectional resolution.</w:t>
      </w:r>
    </w:p>
    <w:bookmarkEnd w:id="156"/>
    <w:bookmarkStart w:id="157" w:name="closing-statement"/>
    <w:p>
      <w:pPr>
        <w:pStyle w:val="Heading2"/>
        <w:spacing w:line="480" w:lineRule="auto"/>
      </w:pPr>
      <w:r>
        <w:t xml:space="preserve">8.6 Closing Statement</w:t>
      </w:r>
    </w:p>
    <w:p>
      <w:pPr>
        <w:pStyle w:val="FirstParagraph"/>
        <w:spacing w:line="480" w:lineRule="auto"/>
      </w:pPr>
      <w:r>
        <w:t xml:space="preserve">The orbital environment is finite, the debris stock is climbing, and the operator population that leans on the environment is ever more publicly traded and so continuously priced. What this dissertation has shown is that the price mirrors the environment. The market penalises debris events; the penalty bears down on source operators harder than on bystanders; and operators who have invested ex ante in the sustainability behaviors the international rating regime measures and rewards meet a smaller penalty when those events strike. The contribution is one point estimate, defended through a pre-registered identification strategy and a documented event taxonomy, yet its implications reach past its scope. The market-based architecture the sustainability community has raised over the last decade [4, 6, 12, 13] now stands on an empirical foundation. The source-sink valuation models the physical-economic community has refined [1, 17, 18] now find a counterpart on the equity side of the operator balance sheet. The orbital-classification and economic-statecraft tradition that has pressed the strategic weight of orbital infrastructure [3, 14, 27] now holds the price signal that completes its analytical apparatus.</w:t>
      </w:r>
    </w:p>
    <w:p>
      <w:pPr>
        <w:pStyle w:val="BodyText"/>
        <w:spacing w:line="480" w:lineRule="auto"/>
        <w:ind w:firstLine="720"/>
      </w:pPr>
      <w:r>
        <w:t xml:space="preserve">Real, measurable, conditional on behavior: so runs the capital-markets penalty for debris events. That finding is the contribution of this dissertation, offered to the international community of operators, insurers, regulators, supervisors, and rating designers who together built the institutional architecture within which the finding will, one hopes, do its work.</w:t>
      </w:r>
    </w:p>
    <w:bookmarkEnd w:id="157"/>
    <w:bookmarkStart w:id="211" w:name="references"/>
    <w:p>
      <w:pPr>
        <w:pStyle w:val="Heading2"/>
        <w:spacing w:line="480" w:lineRule="auto"/>
      </w:pPr>
      <w:r>
        <w:t xml:space="preserve">References</w:t>
      </w:r>
    </w:p>
    <w:p>
      <w:pPr>
        <w:pStyle w:val="FirstParagraph"/>
        <w:spacing w:line="480" w:lineRule="auto"/>
      </w:pPr>
      <w:bookmarkStart w:id="158" w:name="ref-1"/>
      <w:bookmarkEnd w:id="158"/>
      <w:r>
        <w:t xml:space="preserve">1. D. Wu and R. Linares,</w:t>
      </w:r>
      <w:r>
        <w:t xml:space="preserve"> </w:t>
      </w:r>
      <w:r>
        <w:t xml:space="preserve">“Unlocking the Value of Space Debris: An Investigation on Multi-shell Source-Sink Physical-Economical Model and Space Debris Value Definition,”</w:t>
      </w:r>
      <w:r>
        <w:t xml:space="preserve"> </w:t>
      </w:r>
      <w:r>
        <w:t xml:space="preserve">Proc. Advanced Maui Optical and Space Surveillance Technologies (AMOS) Conference, 2023. doi:</w:t>
      </w:r>
      <w:r>
        <w:t xml:space="preserve"> </w:t>
      </w:r>
      <w:hyperlink r:id="rId159">
        <w:r>
          <w:rPr>
            <w:rStyle w:val="Hyperlink"/>
          </w:rPr>
          <w:t xml:space="preserve">10.64861/IGYM9299</w:t>
        </w:r>
      </w:hyperlink>
    </w:p>
    <w:p>
      <w:pPr>
        <w:pStyle w:val="BodyText"/>
        <w:spacing w:line="480" w:lineRule="auto"/>
        <w:ind w:firstLine="720"/>
      </w:pPr>
      <w:bookmarkStart w:id="160" w:name="ref-2"/>
      <w:bookmarkEnd w:id="160"/>
      <w:r>
        <w:t xml:space="preserve">2. N. Dailey et al.,</w:t>
      </w:r>
      <w:r>
        <w:t xml:space="preserve"> </w:t>
      </w:r>
      <w:r>
        <w:t xml:space="preserve">“The Role of Space in Driving Sustainability, Security, and Development,”</w:t>
      </w:r>
      <w:r>
        <w:t xml:space="preserve"> </w:t>
      </w:r>
      <w:r>
        <w:t xml:space="preserve">Space Economy Papers corpus, source key SD13.</w:t>
      </w:r>
    </w:p>
    <w:p>
      <w:pPr>
        <w:pStyle w:val="BodyText"/>
        <w:spacing w:line="480" w:lineRule="auto"/>
        <w:ind w:firstLine="720"/>
      </w:pPr>
      <w:bookmarkStart w:id="161" w:name="ref-3"/>
      <w:bookmarkEnd w:id="161"/>
      <w:r>
        <w:t xml:space="preserve">3. B. Stilwell et al.,</w:t>
      </w:r>
      <w:r>
        <w:t xml:space="preserve"> </w:t>
      </w:r>
      <w:r>
        <w:t xml:space="preserve">“Orbital Classification,”</w:t>
      </w:r>
      <w:r>
        <w:t xml:space="preserve"> </w:t>
      </w:r>
      <w:r>
        <w:t xml:space="preserve">Proc. ASCEND 2025, Space Economy Papers corpus, source key SD02.</w:t>
      </w:r>
    </w:p>
    <w:p>
      <w:pPr>
        <w:pStyle w:val="BodyText"/>
        <w:spacing w:line="480" w:lineRule="auto"/>
        <w:ind w:firstLine="720"/>
      </w:pPr>
      <w:bookmarkStart w:id="162" w:name="ref-4"/>
      <w:bookmarkEnd w:id="162"/>
      <w:r>
        <w:t xml:space="preserve">4. F. Letizia, S. Lemmens, D. Wood, M. Rathnasabapathy, M. Lifson, R. Stiendl, M. Jah, N. Khlystov, M. Soshkin, and S. Potter,</w:t>
      </w:r>
      <w:r>
        <w:t xml:space="preserve"> </w:t>
      </w:r>
      <w:r>
        <w:t xml:space="preserve">“Contribution from SSA Data to the Definition of a Space Sustainability Rating,”</w:t>
      </w:r>
      <w:r>
        <w:t xml:space="preserve"> </w:t>
      </w:r>
      <w:r>
        <w:t xml:space="preserve">Proc. Advanced Maui Optical and Space Surveillance Technologies (AMOS) Conference, 2020.</w:t>
      </w:r>
    </w:p>
    <w:p>
      <w:pPr>
        <w:pStyle w:val="BodyText"/>
        <w:spacing w:line="480" w:lineRule="auto"/>
        <w:ind w:firstLine="720"/>
      </w:pPr>
      <w:bookmarkStart w:id="163" w:name="ref-5"/>
      <w:bookmarkEnd w:id="163"/>
      <w:r>
        <w:t xml:space="preserve">5. C. Hook, E. Wright, M. Byers, and A. C. Boley,</w:t>
      </w:r>
      <w:r>
        <w:t xml:space="preserve"> </w:t>
      </w:r>
      <w:r>
        <w:t xml:space="preserve">“Uncontrolled reentries of space objects and aviation safety,”</w:t>
      </w:r>
      <w:r>
        <w:t xml:space="preserve"> </w:t>
      </w:r>
      <w:r>
        <w:t xml:space="preserve">Acta Astronautica, vol. 222, 2024. doi:</w:t>
      </w:r>
      <w:r>
        <w:t xml:space="preserve"> </w:t>
      </w:r>
      <w:hyperlink r:id="rId164">
        <w:r>
          <w:rPr>
            <w:rStyle w:val="Hyperlink"/>
          </w:rPr>
          <w:t xml:space="preserve">10.1016/j.actaastro.2024.05.026</w:t>
        </w:r>
      </w:hyperlink>
    </w:p>
    <w:p>
      <w:pPr>
        <w:pStyle w:val="BodyText"/>
        <w:spacing w:line="480" w:lineRule="auto"/>
        <w:ind w:firstLine="720"/>
      </w:pPr>
      <w:bookmarkStart w:id="165" w:name="ref-6"/>
      <w:bookmarkEnd w:id="165"/>
      <w:r>
        <w:t xml:space="preserve">6. Architectural Socio-Technological Transformative Change of Space-Use Norms, Space Economy Papers source SD03 (Space Economy Papers brain, D:/Claude_Code/Space_Economy_Papers).</w:t>
      </w:r>
    </w:p>
    <w:p>
      <w:pPr>
        <w:pStyle w:val="BodyText"/>
        <w:spacing w:line="480" w:lineRule="auto"/>
        <w:ind w:firstLine="720"/>
      </w:pPr>
      <w:bookmarkStart w:id="166" w:name="ref-7"/>
      <w:bookmarkEnd w:id="166"/>
      <w:r>
        <w:t xml:space="preserve">7. C. Pardini and L. Anselmo,</w:t>
      </w:r>
      <w:r>
        <w:t xml:space="preserve"> </w:t>
      </w:r>
      <w:r>
        <w:t xml:space="preserve">“The short-term effects of the Cosmos 1408 fragmentation on neighboring inhabited space stations and large constellations,”</w:t>
      </w:r>
      <w:r>
        <w:t xml:space="preserve"> </w:t>
      </w:r>
      <w:r>
        <w:t xml:space="preserve">Acta Astronautica, vol. 210, 2023, doi:</w:t>
      </w:r>
      <w:r>
        <w:t xml:space="preserve"> </w:t>
      </w:r>
      <w:hyperlink r:id="rId167">
        <w:r>
          <w:rPr>
            <w:rStyle w:val="Hyperlink"/>
          </w:rPr>
          <w:t xml:space="preserve">10.1016/j.actaastro.2023.02.043</w:t>
        </w:r>
      </w:hyperlink>
      <w:r>
        <w:t xml:space="preserve">.</w:t>
      </w:r>
    </w:p>
    <w:p>
      <w:pPr>
        <w:pStyle w:val="BodyText"/>
        <w:spacing w:line="480" w:lineRule="auto"/>
        <w:ind w:firstLine="720"/>
      </w:pPr>
      <w:bookmarkStart w:id="168" w:name="ref-8"/>
      <w:bookmarkEnd w:id="168"/>
      <w:r>
        <w:t xml:space="preserve">8. S. Kazemi, N. L. Azad, K. Scott, H. B. Oqab, and G. B. Dietrich,</w:t>
      </w:r>
      <w:r>
        <w:t xml:space="preserve"> </w:t>
      </w:r>
      <w:r>
        <w:t xml:space="preserve">“Orbit determination for space situational awareness: A survey,”</w:t>
      </w:r>
      <w:r>
        <w:t xml:space="preserve"> </w:t>
      </w:r>
      <w:r>
        <w:t xml:space="preserve">Acta Astronautica, vol. 222, 2024, doi:</w:t>
      </w:r>
      <w:r>
        <w:t xml:space="preserve"> </w:t>
      </w:r>
      <w:hyperlink r:id="rId169">
        <w:r>
          <w:rPr>
            <w:rStyle w:val="Hyperlink"/>
          </w:rPr>
          <w:t xml:space="preserve">10.1016/j.actaastro.2024.06.015</w:t>
        </w:r>
      </w:hyperlink>
      <w:r>
        <w:t xml:space="preserve">.</w:t>
      </w:r>
    </w:p>
    <w:p>
      <w:pPr>
        <w:pStyle w:val="BodyText"/>
        <w:spacing w:line="480" w:lineRule="auto"/>
        <w:ind w:firstLine="720"/>
      </w:pPr>
      <w:bookmarkStart w:id="170" w:name="ref-9"/>
      <w:bookmarkEnd w:id="170"/>
      <w:r>
        <w:t xml:space="preserve">9. F. Ottoboni, A. Muciaccia, and C. Colombo,</w:t>
      </w:r>
      <w:r>
        <w:t xml:space="preserve"> </w:t>
      </w:r>
      <w:r>
        <w:t xml:space="preserve">“Reconstruction of in-orbit breakup events over the short term,”</w:t>
      </w:r>
      <w:r>
        <w:t xml:space="preserve"> </w:t>
      </w:r>
      <w:r>
        <w:t xml:space="preserve">Acta Astronautica, vol. 243, 2026, doi:</w:t>
      </w:r>
      <w:r>
        <w:t xml:space="preserve"> </w:t>
      </w:r>
      <w:hyperlink r:id="rId171">
        <w:r>
          <w:rPr>
            <w:rStyle w:val="Hyperlink"/>
          </w:rPr>
          <w:t xml:space="preserve">10.1016/j.actaastro.2026.01.061</w:t>
        </w:r>
      </w:hyperlink>
      <w:r>
        <w:t xml:space="preserve">.</w:t>
      </w:r>
    </w:p>
    <w:p>
      <w:pPr>
        <w:pStyle w:val="BodyText"/>
        <w:spacing w:line="480" w:lineRule="auto"/>
        <w:ind w:firstLine="720"/>
      </w:pPr>
      <w:bookmarkStart w:id="172" w:name="ref-10"/>
      <w:bookmarkEnd w:id="172"/>
      <w:r>
        <w:t xml:space="preserve">10. Hook C, Wright E, Byers M, Boley AC. Uncontrolled reentries of space objects and aviation safety. Acta Astronautica 2024;222:doi:</w:t>
      </w:r>
      <w:r>
        <w:t xml:space="preserve"> </w:t>
      </w:r>
      <w:hyperlink r:id="rId164">
        <w:r>
          <w:rPr>
            <w:rStyle w:val="Hyperlink"/>
          </w:rPr>
          <w:t xml:space="preserve">10.1016/j.actaastro.2024.05.026</w:t>
        </w:r>
      </w:hyperlink>
    </w:p>
    <w:p>
      <w:pPr>
        <w:pStyle w:val="BodyText"/>
        <w:spacing w:line="480" w:lineRule="auto"/>
        <w:ind w:firstLine="720"/>
      </w:pPr>
      <w:bookmarkStart w:id="173" w:name="ref-11"/>
      <w:bookmarkEnd w:id="173"/>
      <w:r>
        <w:t xml:space="preserve">11. Pardini C, Anselmo L. Assessment of the consequences of the Fengyun-1C breakup in low Earth orbit. Acta Astronautica 2009.</w:t>
      </w:r>
    </w:p>
    <w:p>
      <w:pPr>
        <w:pStyle w:val="BodyText"/>
        <w:spacing w:line="480" w:lineRule="auto"/>
        <w:ind w:firstLine="720"/>
      </w:pPr>
      <w:bookmarkStart w:id="174" w:name="ref-12"/>
      <w:bookmarkEnd w:id="174"/>
      <w:r>
        <w:t xml:space="preserve">12. Rathnasabapathy M, Letizia F, Lemmens S, Jah M, Potter SJ, Khlystov N, Acuff K, Lifson M, Dorrington S, Es haghi S, David E, Kneib JP, Wood D. Space sustainability rating: designing a composite indicator to incentivize satellite operators to pursue long-term sustainability of the space environment. Acta Astronautica 2025;232:doi:</w:t>
      </w:r>
      <w:r>
        <w:t xml:space="preserve"> </w:t>
      </w:r>
      <w:hyperlink r:id="rId175">
        <w:r>
          <w:rPr>
            <w:rStyle w:val="Hyperlink"/>
          </w:rPr>
          <w:t xml:space="preserve">10.1016/j.actaastro.2025.03.034</w:t>
        </w:r>
      </w:hyperlink>
    </w:p>
    <w:p>
      <w:pPr>
        <w:pStyle w:val="BodyText"/>
        <w:spacing w:line="480" w:lineRule="auto"/>
        <w:ind w:firstLine="720"/>
      </w:pPr>
      <w:bookmarkStart w:id="176" w:name="ref-13"/>
      <w:bookmarkEnd w:id="176"/>
      <w:r>
        <w:t xml:space="preserve">13. Smith JH, Jah M, Wood D. Architecting a decision support system for continuing supervision of commercial in-space servicing. Acta Astronautica 2025;235:doi:</w:t>
      </w:r>
      <w:r>
        <w:t xml:space="preserve"> </w:t>
      </w:r>
      <w:hyperlink r:id="rId177">
        <w:r>
          <w:rPr>
            <w:rStyle w:val="Hyperlink"/>
          </w:rPr>
          <w:t xml:space="preserve">10.1016/j.actaastro.2025.05.036</w:t>
        </w:r>
      </w:hyperlink>
    </w:p>
    <w:p>
      <w:pPr>
        <w:pStyle w:val="BodyText"/>
        <w:spacing w:line="480" w:lineRule="auto"/>
        <w:ind w:firstLine="720"/>
      </w:pPr>
      <w:bookmarkStart w:id="178" w:name="ref-14"/>
      <w:bookmarkEnd w:id="178"/>
      <w:r>
        <w:t xml:space="preserve">14. Stilwell R et al. Orbital classification and integrated economic statecraft. ASCEND 2025 proceedings (Space Economy Papers brain key SD02).</w:t>
      </w:r>
    </w:p>
    <w:p>
      <w:pPr>
        <w:pStyle w:val="BodyText"/>
        <w:spacing w:line="480" w:lineRule="auto"/>
        <w:ind w:firstLine="720"/>
      </w:pPr>
      <w:bookmarkStart w:id="179" w:name="ref-15"/>
      <w:bookmarkEnd w:id="179"/>
      <w:r>
        <w:t xml:space="preserve">15. NASA Orbital Debris Program Office. Orbital Debris Quarterly News, volumes 6 through 24, 2002 through 2020. NASA Johnson Space Center.</w:t>
      </w:r>
    </w:p>
    <w:p>
      <w:pPr>
        <w:pStyle w:val="BodyText"/>
        <w:spacing w:line="480" w:lineRule="auto"/>
        <w:ind w:firstLine="720"/>
      </w:pPr>
      <w:bookmarkStart w:id="180" w:name="ref-16"/>
      <w:bookmarkEnd w:id="180"/>
      <w:r>
        <w:t xml:space="preserve">16. US Department of State. Press statement on Russian destructive direct-ascent anti-satellite test, 15 November 2021.</w:t>
      </w:r>
    </w:p>
    <w:p>
      <w:pPr>
        <w:pStyle w:val="BodyText"/>
        <w:spacing w:line="480" w:lineRule="auto"/>
        <w:ind w:firstLine="720"/>
      </w:pPr>
      <w:bookmarkStart w:id="181" w:name="ref-17"/>
      <w:bookmarkEnd w:id="181"/>
      <w:r>
        <w:t xml:space="preserve">17. Retagne W, Colombo C. Satellite launch traffic forecast based on the global Gross Domestic Product and constellation plans. Acta Astronautica 2026;246:doi:</w:t>
      </w:r>
      <w:r>
        <w:t xml:space="preserve"> </w:t>
      </w:r>
      <w:hyperlink r:id="rId182">
        <w:r>
          <w:rPr>
            <w:rStyle w:val="Hyperlink"/>
          </w:rPr>
          <w:t xml:space="preserve">10.1016/j.actaastro.2026.04.046</w:t>
        </w:r>
      </w:hyperlink>
    </w:p>
    <w:p>
      <w:pPr>
        <w:pStyle w:val="BodyText"/>
        <w:spacing w:line="480" w:lineRule="auto"/>
        <w:ind w:firstLine="720"/>
      </w:pPr>
      <w:bookmarkStart w:id="183" w:name="ref-18"/>
      <w:bookmarkEnd w:id="183"/>
      <w:r>
        <w:t xml:space="preserve">18. Rusconi M, Colombo C. A model-based control framework for space debris management. Acta Astronautica 2025;240:doi:</w:t>
      </w:r>
      <w:r>
        <w:t xml:space="preserve"> </w:t>
      </w:r>
      <w:hyperlink r:id="rId184">
        <w:r>
          <w:rPr>
            <w:rStyle w:val="Hyperlink"/>
          </w:rPr>
          <w:t xml:space="preserve">10.1016/j.actaastro.2025.12.018</w:t>
        </w:r>
      </w:hyperlink>
    </w:p>
    <w:p>
      <w:pPr>
        <w:pStyle w:val="BodyText"/>
        <w:spacing w:line="480" w:lineRule="auto"/>
        <w:ind w:firstLine="720"/>
      </w:pPr>
      <w:bookmarkStart w:id="185" w:name="ref-19"/>
      <w:bookmarkEnd w:id="185"/>
      <w:r>
        <w:t xml:space="preserve">19. Wright D. Colliding satellites: consequences and implications. Union of Concerned Scientists 2009.</w:t>
      </w:r>
    </w:p>
    <w:p>
      <w:pPr>
        <w:pStyle w:val="BodyText"/>
        <w:spacing w:line="480" w:lineRule="auto"/>
        <w:ind w:firstLine="720"/>
      </w:pPr>
      <w:bookmarkStart w:id="186" w:name="ref-20"/>
      <w:bookmarkEnd w:id="186"/>
      <w:r>
        <w:t xml:space="preserve">20. Edwin Barker (Johnson Space Center) M. J. Matney (Johnson Space Center), J.-C. Liou (ESCG), K. J. Abercromby (ESCG), H. M. Rodriguez (ESCG), M. F. Horstman (ESCG), P. Seitzer (University of Michigan). Comparison of Orbital Parameters for GEO Debris Predicted by LEGEND and Observed by MODEST: Can Sources of Orbital Debris be Identified? (2006).</w:t>
      </w:r>
    </w:p>
    <w:p>
      <w:pPr>
        <w:pStyle w:val="BodyText"/>
        <w:spacing w:line="480" w:lineRule="auto"/>
        <w:ind w:firstLine="720"/>
      </w:pPr>
      <w:bookmarkStart w:id="187" w:name="ref-21"/>
      <w:bookmarkEnd w:id="187"/>
      <w:r>
        <w:t xml:space="preserve">21. David Jefferson (Lawrence Livermore National Laboratory), James Leek (Lawrence Livermore National Laboratory). Application of Parallel Discrete Event Simulation to the Space Surveillance Network (2010).</w:t>
      </w:r>
    </w:p>
    <w:p>
      <w:pPr>
        <w:pStyle w:val="BodyText"/>
        <w:spacing w:line="480" w:lineRule="auto"/>
        <w:ind w:firstLine="720"/>
      </w:pPr>
      <w:bookmarkStart w:id="188" w:name="ref-22"/>
      <w:bookmarkEnd w:id="188"/>
      <w:r>
        <w:t xml:space="preserve">22. Operational Collision Risk Management – Evaluating and Mitigating High-Risk Conjunction Events Matthew Duncan (SpaceNav), Joshua Wysack (SpaceNav). Operational Collision Risk Management –Evaluating and Mitigating High-Risk Conjunction Events (2011).</w:t>
      </w:r>
    </w:p>
    <w:p>
      <w:pPr>
        <w:pStyle w:val="BodyText"/>
        <w:spacing w:line="480" w:lineRule="auto"/>
        <w:ind w:firstLine="720"/>
      </w:pPr>
      <w:bookmarkStart w:id="189" w:name="ref-23"/>
      <w:bookmarkEnd w:id="189"/>
      <w:r>
        <w:t xml:space="preserve">23. Rishi Patel, U.S. Air Force; Varlin Sheffey, AFRL/RV &amp; Space Force; Ryan Waterer, Tech7; James Tippets, Tech7; David Stout, MITRE Corporation. The Defense Readiness Agile Gaming Ops Network (DRAGON) Army Sync Service: Enabling International Collaboration in the Space Situational Awareness Mission (2023). doi:</w:t>
      </w:r>
      <w:r>
        <w:t xml:space="preserve"> </w:t>
      </w:r>
      <w:hyperlink r:id="rId190">
        <w:r>
          <w:rPr>
            <w:rStyle w:val="Hyperlink"/>
          </w:rPr>
          <w:t xml:space="preserve">10.64861/QYQB6394</w:t>
        </w:r>
      </w:hyperlink>
    </w:p>
    <w:p>
      <w:pPr>
        <w:pStyle w:val="BodyText"/>
        <w:spacing w:line="480" w:lineRule="auto"/>
        <w:ind w:firstLine="720"/>
      </w:pPr>
      <w:bookmarkStart w:id="191" w:name="ref-24"/>
      <w:bookmarkEnd w:id="191"/>
      <w:r>
        <w:t xml:space="preserve">24. Johnathan Tucker, University of Colorado Boulder; Jackson Wagner, University of Colorado Boulder; Zachary Sunberg, University of Colorado Boulder. Adaptive Stress Testing Applied To Space Domain Awareness Systems (2022).</w:t>
      </w:r>
    </w:p>
    <w:p>
      <w:pPr>
        <w:pStyle w:val="BodyText"/>
        <w:spacing w:line="480" w:lineRule="auto"/>
        <w:ind w:firstLine="720"/>
      </w:pPr>
      <w:bookmarkStart w:id="192" w:name="ref-25"/>
      <w:bookmarkEnd w:id="192"/>
      <w:r>
        <w:t xml:space="preserve">25. Przemek Wozniak, Los Alamos National Laboratory; Svetlana Riabova, Los Alamos National Laboratory; Hassan Hijazi, Los Alamos National Laboratory. Coordinated Space Domain Awareness as an Optimized Commodity Market (2023). doi:</w:t>
      </w:r>
      <w:r>
        <w:t xml:space="preserve"> </w:t>
      </w:r>
      <w:hyperlink r:id="rId193">
        <w:r>
          <w:rPr>
            <w:rStyle w:val="Hyperlink"/>
          </w:rPr>
          <w:t xml:space="preserve">10.64861/LDVO7244</w:t>
        </w:r>
      </w:hyperlink>
    </w:p>
    <w:p>
      <w:pPr>
        <w:pStyle w:val="BodyText"/>
        <w:spacing w:line="480" w:lineRule="auto"/>
        <w:ind w:firstLine="720"/>
      </w:pPr>
      <w:bookmarkStart w:id="194" w:name="ref-26"/>
      <w:bookmarkEnd w:id="194"/>
      <w:r>
        <w:t xml:space="preserve">26. Christian Ramos, Omitron Inc; Deshaun Hutchinson, 18th Space Defense Squadron; Brent Skrehart, Omitron, Inc; David Gillespie, Omitron, Inc.; Diana McKissock, 18th Space Defense Squadron. An Analysis of the Impact of the Russian DA-ASAT Event on Space Domain Awareness (2022).</w:t>
      </w:r>
    </w:p>
    <w:p>
      <w:pPr>
        <w:pStyle w:val="BodyText"/>
        <w:spacing w:line="480" w:lineRule="auto"/>
        <w:ind w:firstLine="720"/>
      </w:pPr>
      <w:bookmarkStart w:id="195" w:name="ref-27"/>
      <w:bookmarkEnd w:id="195"/>
      <w:r>
        <w:t xml:space="preserve">27. Makena Young, Center for Strategic and International Studies; Akhil Thadani, Center for Strategic and International Studies. Low-Orbit, High Stakes: Winning the LEO Broadband Competition (2022).</w:t>
      </w:r>
    </w:p>
    <w:p>
      <w:pPr>
        <w:pStyle w:val="BodyText"/>
        <w:spacing w:line="480" w:lineRule="auto"/>
        <w:ind w:firstLine="720"/>
      </w:pPr>
      <w:bookmarkStart w:id="196" w:name="ref-28"/>
      <w:bookmarkEnd w:id="196"/>
      <w:r>
        <w:t xml:space="preserve">28. Paola Grattagliano; Alessandro Mignocchi; Marco Felice Montaruli; Pierluigi Di Lizia; Alessandra Di Cecco; Marco Castronuovo. Early stage characterization of on-orbit fragmentation events (2025). doi:</w:t>
      </w:r>
      <w:r>
        <w:t xml:space="preserve"> </w:t>
      </w:r>
      <w:hyperlink r:id="rId197">
        <w:r>
          <w:rPr>
            <w:rStyle w:val="Hyperlink"/>
          </w:rPr>
          <w:t xml:space="preserve">10.1016/j.actaastro.2025.05.059</w:t>
        </w:r>
      </w:hyperlink>
    </w:p>
    <w:p>
      <w:pPr>
        <w:pStyle w:val="BodyText"/>
        <w:spacing w:line="480" w:lineRule="auto"/>
        <w:ind w:firstLine="720"/>
      </w:pPr>
      <w:bookmarkStart w:id="198" w:name="ref-29"/>
      <w:bookmarkEnd w:id="198"/>
      <w:r>
        <w:t xml:space="preserve">29. Alessandro Paravano; Alessandro Paravano; Brendan Rosseau; Giorgio Locatelli; Mathew Weinzierl; Paolo Trucco. Toward the LEO economy: A value assessment of commercial space stations for space and non-space users (2024). doi:</w:t>
      </w:r>
      <w:r>
        <w:t xml:space="preserve"> </w:t>
      </w:r>
      <w:hyperlink r:id="rId199">
        <w:r>
          <w:rPr>
            <w:rStyle w:val="Hyperlink"/>
          </w:rPr>
          <w:t xml:space="preserve">10.1016/j.actaastro.2024.11.060</w:t>
        </w:r>
      </w:hyperlink>
    </w:p>
    <w:p>
      <w:pPr>
        <w:pStyle w:val="BodyText"/>
        <w:spacing w:line="480" w:lineRule="auto"/>
        <w:ind w:firstLine="720"/>
      </w:pPr>
      <w:bookmarkStart w:id="200" w:name="ref-30"/>
      <w:bookmarkEnd w:id="200"/>
      <w:r>
        <w:t xml:space="preserve">30. Thomas Barbier; Yang Gao. Relative visual navigation around an unknown and uncooperative spacecraft (2023). doi:</w:t>
      </w:r>
      <w:r>
        <w:t xml:space="preserve"> </w:t>
      </w:r>
      <w:hyperlink r:id="rId201">
        <w:r>
          <w:rPr>
            <w:rStyle w:val="Hyperlink"/>
          </w:rPr>
          <w:t xml:space="preserve">10.1016/j.actaastro.2023.02.022</w:t>
        </w:r>
      </w:hyperlink>
    </w:p>
    <w:p>
      <w:pPr>
        <w:pStyle w:val="BodyText"/>
        <w:spacing w:line="480" w:lineRule="auto"/>
        <w:ind w:firstLine="720"/>
      </w:pPr>
      <w:bookmarkStart w:id="202" w:name="ref-31"/>
      <w:bookmarkEnd w:id="202"/>
      <w:r>
        <w:t xml:space="preserve">31. Lorenzo Manunza; Alice Vendrame; Luca Pizzuto; Monica Mulas; Karen I. Perez; Vishal Gajjar; Andrea Melis; M. Pilia; D. Perrodin; G. Aresu; M. Burgay; Alessandro Cabras; Giuseppe Carboni; Silvia Casu; Tiziana Coiana; A. Corongiu; S. Croft; E. Egron; O. Johnson; A. Ladu; Matt Lebofsky; F. Loi; David H. E. MacMahon; Carlo Migoni; E. Molinari; M. Murgia; A. Pellizzoni; Tonino Pisanu; Antonio Poddighe; Andrea Possenti; Erika Rea; Andrew Siemion; Paolo Soletta; M. Trudu; V. Vacca. The first high frequency technosignature search survey with the Sardinia Radio Telescope (2025). doi:</w:t>
      </w:r>
      <w:r>
        <w:t xml:space="preserve"> </w:t>
      </w:r>
      <w:hyperlink r:id="rId203">
        <w:r>
          <w:rPr>
            <w:rStyle w:val="Hyperlink"/>
          </w:rPr>
          <w:t xml:space="preserve">10.1016/j.actaastro.2025.04.007</w:t>
        </w:r>
      </w:hyperlink>
    </w:p>
    <w:p>
      <w:pPr>
        <w:pStyle w:val="BodyText"/>
        <w:spacing w:line="480" w:lineRule="auto"/>
        <w:ind w:firstLine="720"/>
      </w:pPr>
      <w:bookmarkStart w:id="204" w:name="ref-32"/>
      <w:bookmarkEnd w:id="204"/>
      <w:r>
        <w:t xml:space="preserve">32. Andrea Muciaccia; Matteo Romano; Mirko Trisolini; Camilla Colombo. Reconstruction of in-orbit breakup events over the long term (2024). doi:</w:t>
      </w:r>
      <w:r>
        <w:t xml:space="preserve"> </w:t>
      </w:r>
      <w:hyperlink r:id="rId205">
        <w:r>
          <w:rPr>
            <w:rStyle w:val="Hyperlink"/>
          </w:rPr>
          <w:t xml:space="preserve">10.1016/j.actaastro.2024.12.053</w:t>
        </w:r>
      </w:hyperlink>
    </w:p>
    <w:p>
      <w:pPr>
        <w:pStyle w:val="BodyText"/>
        <w:spacing w:line="480" w:lineRule="auto"/>
        <w:ind w:firstLine="720"/>
      </w:pPr>
      <w:bookmarkStart w:id="206" w:name="ref-33"/>
      <w:bookmarkEnd w:id="206"/>
      <w:r>
        <w:t xml:space="preserve">33. Lorenzo Olivieri; Cinzia Giacomuzzo; Alessandro Francesconi. Simulations of satellites mock-up fragmentation (2023). doi:</w:t>
      </w:r>
      <w:r>
        <w:t xml:space="preserve"> </w:t>
      </w:r>
      <w:hyperlink r:id="rId207">
        <w:r>
          <w:rPr>
            <w:rStyle w:val="Hyperlink"/>
          </w:rPr>
          <w:t xml:space="preserve">10.1016/j.actaastro.2023.02.036</w:t>
        </w:r>
      </w:hyperlink>
    </w:p>
    <w:p>
      <w:pPr>
        <w:pStyle w:val="BodyText"/>
        <w:spacing w:line="480" w:lineRule="auto"/>
        <w:ind w:firstLine="720"/>
      </w:pPr>
      <w:bookmarkStart w:id="208" w:name="ref-34"/>
      <w:bookmarkEnd w:id="208"/>
      <w:r>
        <w:t xml:space="preserve">34. C. Gambarotto; Paola Grattagliano; Luigi De Maria; Marco Felice Montaruli. Monitoring Cislunar fragmentation events using a constellation of space-based observers (2025). doi:</w:t>
      </w:r>
      <w:r>
        <w:t xml:space="preserve"> </w:t>
      </w:r>
      <w:hyperlink r:id="rId209">
        <w:r>
          <w:rPr>
            <w:rStyle w:val="Hyperlink"/>
          </w:rPr>
          <w:t xml:space="preserve">10.1016/j.actaastro.2025.09.078</w:t>
        </w:r>
      </w:hyperlink>
    </w:p>
    <w:p>
      <w:pPr>
        <w:pStyle w:val="BodyText"/>
        <w:spacing w:line="480" w:lineRule="auto"/>
        <w:ind w:firstLine="720"/>
      </w:pPr>
      <w:bookmarkStart w:id="210" w:name="ref-35"/>
      <w:bookmarkEnd w:id="210"/>
      <w:r>
        <w:t xml:space="preserve">35. Francesca Ottoboni; Andrea Muciaccia; Camilla Colombo. Reconstruction of in-orbit breakup events over the short term (2026). doi:</w:t>
      </w:r>
      <w:r>
        <w:t xml:space="preserve"> </w:t>
      </w:r>
      <w:hyperlink r:id="rId171">
        <w:r>
          <w:rPr>
            <w:rStyle w:val="Hyperlink"/>
          </w:rPr>
          <w:t xml:space="preserve">10.1016/j.actaastro.2026.01.061</w:t>
        </w:r>
      </w:hyperlink>
    </w:p>
    <w:bookmarkEnd w:id="211"/>
    <w:bookmarkEnd w:id="212"/>
    <w:bookmarkStart w:id="229"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220" w:name="X0069116645b682f953614869c64c0aa000d622b"/>
    <w:p>
      <w:pPr>
        <w:pStyle w:val="Heading2"/>
        <w:spacing w:line="480" w:lineRule="auto"/>
      </w:pPr>
      <w:r>
        <w:t xml:space="preserve">A.1 The Capital-Markets Penalty for Debris Events: Event-Study Evidence on Operator Cumulative Abnormal Returns</w:t>
      </w:r>
    </w:p>
    <w:p>
      <w:pPr>
        <w:pStyle w:val="FirstParagraph"/>
        <w:spacing w:line="480" w:lineRule="auto"/>
      </w:pPr>
      <m:oMathPara>
        <m:oMathParaPr>
          <m:jc m:val="center"/>
        </m:oMathParaPr>
        <m:oMath>
          <m:r>
            <m:t>C</m:t>
          </m:r>
          <m:r>
            <m:t>A</m:t>
          </m:r>
          <m:sSub>
            <m:e>
              <m:r>
                <m:t>R</m:t>
              </m:r>
            </m:e>
            <m:sub>
              <m:r>
                <m:t>i</m:t>
              </m:r>
            </m:sub>
          </m:sSub>
          <m:r>
            <m:rPr>
              <m:sty m:val="p"/>
            </m:rPr>
            <m:t>=</m:t>
          </m:r>
          <m:sSub>
            <m:e>
              <m:r>
                <m:t>β</m:t>
              </m:r>
            </m:e>
            <m:sub>
              <m:r>
                <m:t>0</m:t>
              </m:r>
            </m:sub>
          </m:sSub>
          <m:r>
            <m:rPr>
              <m:sty m:val="p"/>
            </m:rPr>
            <m:t>+</m:t>
          </m:r>
          <m:sSub>
            <m:e>
              <m:r>
                <m:t>β</m:t>
              </m:r>
            </m:e>
            <m:sub>
              <m:r>
                <m:t>1</m:t>
              </m:r>
            </m:sub>
          </m:sSub>
          <m:r>
            <m:rPr>
              <m:sty m:val="p"/>
            </m:rPr>
            <m:t>log</m:t>
          </m:r>
          <m:r>
            <m:rPr>
              <m:sty m:val="p"/>
            </m:rPr>
            <m:t>(</m:t>
          </m:r>
          <m:r>
            <m:t>1</m:t>
          </m:r>
          <m:r>
            <m:rPr>
              <m:sty m:val="p"/>
            </m:rPr>
            <m:t>+</m:t>
          </m:r>
          <m:r>
            <m:t>D</m:t>
          </m:r>
          <m:r>
            <m:t>e</m:t>
          </m:r>
          <m:r>
            <m:t>b</m:t>
          </m:r>
          <m:r>
            <m:t>r</m:t>
          </m:r>
          <m:r>
            <m:t>i</m:t>
          </m:r>
          <m:sSub>
            <m:e>
              <m:r>
                <m:t>s</m:t>
              </m:r>
            </m:e>
            <m:sub>
              <m:r>
                <m:t>i</m:t>
              </m:r>
            </m:sub>
          </m:sSub>
          <m:r>
            <m:rPr>
              <m:sty m:val="p"/>
            </m:rPr>
            <m:t>)</m:t>
          </m:r>
          <m:r>
            <m:rPr>
              <m:sty m:val="p"/>
            </m:rPr>
            <m:t>+</m:t>
          </m:r>
          <m:sSub>
            <m:e>
              <m:r>
                <m:t>β</m:t>
              </m:r>
            </m:e>
            <m:sub>
              <m:r>
                <m:t>2</m:t>
              </m:r>
            </m:sub>
          </m:sSub>
          <m:r>
            <m:rPr>
              <m:sty m:val="p"/>
            </m:rPr>
            <m:t>log</m:t>
          </m:r>
          <m:r>
            <m:rPr>
              <m:sty m:val="p"/>
            </m:rPr>
            <m:t>(</m:t>
          </m:r>
          <m:r>
            <m:t>F</m:t>
          </m:r>
          <m:r>
            <m:t>l</m:t>
          </m:r>
          <m:r>
            <m:t>e</m:t>
          </m:r>
          <m:r>
            <m:t>e</m:t>
          </m:r>
          <m:sSub>
            <m:e>
              <m:r>
                <m:t>t</m:t>
              </m:r>
            </m:e>
            <m:sub>
              <m:r>
                <m:t>i</m:t>
              </m:r>
            </m:sub>
          </m:sSub>
          <m:r>
            <m:rPr>
              <m:sty m:val="p"/>
            </m:rPr>
            <m:t>)</m:t>
          </m:r>
          <m:r>
            <m:rPr>
              <m:sty m:val="p"/>
            </m:rPr>
            <m:t>+</m:t>
          </m:r>
          <m:sSub>
            <m:e>
              <m:r>
                <m:t>β</m:t>
              </m:r>
            </m:e>
            <m:sub>
              <m:r>
                <m:t>3</m:t>
              </m:r>
            </m:sub>
          </m:sSub>
          <m:r>
            <m:t>L</m:t>
          </m:r>
          <m:r>
            <m:t>E</m:t>
          </m:r>
          <m:r>
            <m:t>O</m:t>
          </m:r>
          <m:r>
            <m:t>s</m:t>
          </m:r>
          <m:r>
            <m:t>h</m:t>
          </m:r>
          <m:r>
            <m:t>a</m:t>
          </m:r>
          <m:r>
            <m:t>r</m:t>
          </m:r>
          <m:sSub>
            <m:e>
              <m:r>
                <m:t>e</m:t>
              </m:r>
            </m:e>
            <m:sub>
              <m:r>
                <m:t>i</m:t>
              </m:r>
            </m:sub>
          </m:sSub>
          <m:r>
            <m:rPr>
              <m:sty m:val="p"/>
            </m:rPr>
            <m:t>+</m:t>
          </m:r>
          <m:sSub>
            <m:e>
              <m:r>
                <m:t>β</m:t>
              </m:r>
            </m:e>
            <m:sub>
              <m:r>
                <m:t>4</m:t>
              </m:r>
            </m:sub>
          </m:sSub>
          <m:r>
            <m:t>I</m:t>
          </m:r>
          <m:r>
            <m:t>n</m:t>
          </m:r>
          <m:r>
            <m:t>s</m:t>
          </m:r>
          <m:r>
            <m:t>u</m:t>
          </m:r>
          <m:r>
            <m:t>r</m:t>
          </m:r>
          <m:r>
            <m:t>e</m:t>
          </m:r>
          <m:sSub>
            <m:e>
              <m:r>
                <m:t>d</m:t>
              </m:r>
            </m:e>
            <m:sub>
              <m:r>
                <m:t>i</m:t>
              </m:r>
            </m:sub>
          </m:sSub>
          <m:r>
            <m:rPr>
              <m:sty m:val="p"/>
            </m:rPr>
            <m:t>+</m:t>
          </m:r>
          <m:sSub>
            <m:e>
              <m:r>
                <m:t>β</m:t>
              </m:r>
            </m:e>
            <m:sub>
              <m:r>
                <m:t>5</m:t>
              </m:r>
            </m:sub>
          </m:sSub>
          <m:r>
            <m:t>S</m:t>
          </m:r>
          <m:r>
            <m:t>o</m:t>
          </m:r>
          <m:r>
            <m:t>v</m:t>
          </m:r>
          <m:r>
            <m:t>B</m:t>
          </m:r>
          <m:r>
            <m:t>u</m:t>
          </m:r>
          <m:r>
            <m:t>y</m:t>
          </m:r>
          <m:r>
            <m:t>e</m:t>
          </m:r>
          <m:r>
            <m:t>r</m:t>
          </m:r>
          <m:r>
            <m:t>S</m:t>
          </m:r>
          <m:r>
            <m:t>h</m:t>
          </m:r>
          <m:r>
            <m:t>a</m:t>
          </m:r>
          <m:r>
            <m:t>r</m:t>
          </m:r>
          <m:sSub>
            <m:e>
              <m:r>
                <m:t>e</m:t>
              </m:r>
            </m:e>
            <m:sub>
              <m:r>
                <m:t>i</m:t>
              </m:r>
            </m:sub>
          </m:sSub>
          <m:r>
            <m:rPr>
              <m:sty m:val="p"/>
            </m:rPr>
            <m:t>+</m:t>
          </m:r>
          <m:sSub>
            <m:e>
              <m:r>
                <m:t>ε</m:t>
              </m:r>
            </m:e>
            <m:sub>
              <m:r>
                <m:t>i</m:t>
              </m:r>
            </m:sub>
          </m:sSub>
        </m:oMath>
      </m:oMathPara>
    </w:p>
    <w:bookmarkStart w:id="213"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-9.9102</w:t>
            </w:r>
          </w:p>
        </w:tc>
        <w:tc>
          <w:tcPr>
            <w:tcW w:w="0" w:type="auto"/>
          </w:tcPr>
          <w:p>
            <w:pPr>
              <w:spacing w:line="240" w:lineRule="auto" w:before="0" w:after="0"/>
              <w:pStyle w:val="Compact"/>
            </w:pPr>
            <w:r>
              <w:rPr>
                <w:sz w:val="20"/>
                <w:szCs w:val="20"/>
              </w:rPr>
              <w:t xml:space="preserve">4.3782</w:t>
            </w:r>
          </w:p>
        </w:tc>
        <w:tc>
          <w:tcPr>
            <w:tcW w:w="0" w:type="auto"/>
          </w:tcPr>
          <w:p>
            <w:pPr>
              <w:spacing w:line="240" w:lineRule="auto" w:before="0" w:after="0"/>
              <w:pStyle w:val="Compact"/>
            </w:pPr>
            <w:r>
              <w:rPr>
                <w:sz w:val="20"/>
                <w:szCs w:val="20"/>
              </w:rPr>
              <w:t xml:space="preserve">-2.2636</w:t>
            </w:r>
          </w:p>
        </w:tc>
        <w:tc>
          <w:tcPr>
            <w:tcW w:w="0" w:type="auto"/>
          </w:tcPr>
          <w:p>
            <w:pPr>
              <w:spacing w:line="240" w:lineRule="auto" w:before="0" w:after="0"/>
              <w:pStyle w:val="Compact"/>
            </w:pPr>
            <w:r>
              <w:rPr>
                <w:sz w:val="20"/>
                <w:szCs w:val="20"/>
              </w:rPr>
              <w:t xml:space="preserve">0.0236</w:t>
            </w:r>
          </w:p>
        </w:tc>
        <w:tc>
          <w:tcPr>
            <w:tcW w:w="0" w:type="auto"/>
          </w:tcPr>
          <w:p>
            <w:pPr>
              <w:spacing w:line="240" w:lineRule="auto" w:before="0" w:after="0"/>
              <w:pStyle w:val="Compact"/>
            </w:pPr>
            <w:r>
              <w:rPr>
                <w:sz w:val="20"/>
                <w:szCs w:val="20"/>
              </w:rPr>
              <w:t xml:space="preserve">[-18.4913, -1.3292]</w:t>
            </w:r>
          </w:p>
        </w:tc>
      </w:tr>
      <w:tr>
        <w:tc>
          <w:tcPr>
            <w:tcW w:w="0" w:type="auto"/>
          </w:tcPr>
          <w:p>
            <w:pPr>
              <w:spacing w:line="240" w:lineRule="auto" w:before="0" w:after="0"/>
              <w:pStyle w:val="Compact"/>
            </w:pPr>
            <w:r>
              <w:rPr>
                <w:sz w:val="20"/>
                <w:szCs w:val="20"/>
              </w:rPr>
              <w:t xml:space="preserve">debris_count_log</w:t>
            </w:r>
          </w:p>
        </w:tc>
        <w:tc>
          <w:tcPr>
            <w:tcW w:w="0" w:type="auto"/>
          </w:tcPr>
          <w:p>
            <w:pPr>
              <w:spacing w:line="240" w:lineRule="auto" w:before="0" w:after="0"/>
              <w:pStyle w:val="Compact"/>
            </w:pPr>
            <w:r>
              <w:rPr>
                <w:sz w:val="20"/>
                <w:szCs w:val="20"/>
              </w:rPr>
              <w:t xml:space="preserve">-0.444</w:t>
            </w:r>
          </w:p>
        </w:tc>
        <w:tc>
          <w:tcPr>
            <w:tcW w:w="0" w:type="auto"/>
          </w:tcPr>
          <w:p>
            <w:pPr>
              <w:spacing w:line="240" w:lineRule="auto" w:before="0" w:after="0"/>
              <w:pStyle w:val="Compact"/>
            </w:pPr>
            <w:r>
              <w:rPr>
                <w:sz w:val="20"/>
                <w:szCs w:val="20"/>
              </w:rPr>
              <w:t xml:space="preserve">0.2594</w:t>
            </w:r>
          </w:p>
        </w:tc>
        <w:tc>
          <w:tcPr>
            <w:tcW w:w="0" w:type="auto"/>
          </w:tcPr>
          <w:p>
            <w:pPr>
              <w:spacing w:line="240" w:lineRule="auto" w:before="0" w:after="0"/>
              <w:pStyle w:val="Compact"/>
            </w:pPr>
            <w:r>
              <w:rPr>
                <w:sz w:val="20"/>
                <w:szCs w:val="20"/>
              </w:rPr>
              <w:t xml:space="preserve">-1.7112</w:t>
            </w:r>
          </w:p>
        </w:tc>
        <w:tc>
          <w:tcPr>
            <w:tcW w:w="0" w:type="auto"/>
          </w:tcPr>
          <w:p>
            <w:pPr>
              <w:spacing w:line="240" w:lineRule="auto" w:before="0" w:after="0"/>
              <w:pStyle w:val="Compact"/>
            </w:pPr>
            <w:r>
              <w:rPr>
                <w:sz w:val="20"/>
                <w:szCs w:val="20"/>
              </w:rPr>
              <w:t xml:space="preserve">0.087</w:t>
            </w:r>
          </w:p>
        </w:tc>
        <w:tc>
          <w:tcPr>
            <w:tcW w:w="0" w:type="auto"/>
          </w:tcPr>
          <w:p>
            <w:pPr>
              <w:spacing w:line="240" w:lineRule="auto" w:before="0" w:after="0"/>
              <w:pStyle w:val="Compact"/>
            </w:pPr>
            <w:r>
              <w:rPr>
                <w:sz w:val="20"/>
                <w:szCs w:val="20"/>
              </w:rPr>
              <w:t xml:space="preserve">[-0.9525, 0.0645]</w:t>
            </w:r>
          </w:p>
        </w:tc>
      </w:tr>
      <w:tr>
        <w:tc>
          <w:tcPr>
            <w:tcW w:w="0" w:type="auto"/>
          </w:tcPr>
          <w:p>
            <w:pPr>
              <w:spacing w:line="240" w:lineRule="auto" w:before="0" w:after="0"/>
              <w:pStyle w:val="Compact"/>
            </w:pPr>
            <w:r>
              <w:rPr>
                <w:sz w:val="20"/>
                <w:szCs w:val="20"/>
              </w:rPr>
              <w:t xml:space="preserve">fleet_size_log</w:t>
            </w:r>
          </w:p>
        </w:tc>
        <w:tc>
          <w:tcPr>
            <w:tcW w:w="0" w:type="auto"/>
          </w:tcPr>
          <w:p>
            <w:pPr>
              <w:spacing w:line="240" w:lineRule="auto" w:before="0" w:after="0"/>
              <w:pStyle w:val="Compact"/>
            </w:pPr>
            <w:r>
              <w:rPr>
                <w:sz w:val="20"/>
                <w:szCs w:val="20"/>
              </w:rPr>
              <w:t xml:space="preserve">1.6157</w:t>
            </w:r>
          </w:p>
        </w:tc>
        <w:tc>
          <w:tcPr>
            <w:tcW w:w="0" w:type="auto"/>
          </w:tcPr>
          <w:p>
            <w:pPr>
              <w:spacing w:line="240" w:lineRule="auto" w:before="0" w:after="0"/>
              <w:pStyle w:val="Compact"/>
            </w:pPr>
            <w:r>
              <w:rPr>
                <w:sz w:val="20"/>
                <w:szCs w:val="20"/>
              </w:rPr>
              <w:t xml:space="preserve">0.4434</w:t>
            </w:r>
          </w:p>
        </w:tc>
        <w:tc>
          <w:tcPr>
            <w:tcW w:w="0" w:type="auto"/>
          </w:tcPr>
          <w:p>
            <w:pPr>
              <w:spacing w:line="240" w:lineRule="auto" w:before="0" w:after="0"/>
              <w:pStyle w:val="Compact"/>
            </w:pPr>
            <w:r>
              <w:rPr>
                <w:sz w:val="20"/>
                <w:szCs w:val="20"/>
              </w:rPr>
              <w:t xml:space="preserve">3.644</w:t>
            </w:r>
          </w:p>
        </w:tc>
        <w:tc>
          <w:tcPr>
            <w:tcW w:w="0" w:type="auto"/>
          </w:tcPr>
          <w:p>
            <w:pPr>
              <w:spacing w:line="240" w:lineRule="auto" w:before="0" w:after="0"/>
              <w:pStyle w:val="Compact"/>
            </w:pPr>
            <w:r>
              <w:rPr>
                <w:sz w:val="20"/>
                <w:szCs w:val="20"/>
              </w:rPr>
              <w:t xml:space="preserve">0.0002685</w:t>
            </w:r>
          </w:p>
        </w:tc>
        <w:tc>
          <w:tcPr>
            <w:tcW w:w="0" w:type="auto"/>
          </w:tcPr>
          <w:p>
            <w:pPr>
              <w:spacing w:line="240" w:lineRule="auto" w:before="0" w:after="0"/>
              <w:pStyle w:val="Compact"/>
            </w:pPr>
            <w:r>
              <w:rPr>
                <w:sz w:val="20"/>
                <w:szCs w:val="20"/>
              </w:rPr>
              <w:t xml:space="preserve">[0.7467, 2.4847]</w:t>
            </w:r>
          </w:p>
        </w:tc>
      </w:tr>
      <w:tr>
        <w:tc>
          <w:tcPr>
            <w:tcW w:w="0" w:type="auto"/>
          </w:tcPr>
          <w:p>
            <w:pPr>
              <w:spacing w:line="240" w:lineRule="auto" w:before="0" w:after="0"/>
              <w:pStyle w:val="Compact"/>
            </w:pPr>
            <w:r>
              <w:rPr>
                <w:sz w:val="20"/>
                <w:szCs w:val="20"/>
              </w:rPr>
              <w:t xml:space="preserve">leo_share</w:t>
            </w:r>
          </w:p>
        </w:tc>
        <w:tc>
          <w:tcPr>
            <w:tcW w:w="0" w:type="auto"/>
          </w:tcPr>
          <w:p>
            <w:pPr>
              <w:spacing w:line="240" w:lineRule="auto" w:before="0" w:after="0"/>
              <w:pStyle w:val="Compact"/>
            </w:pPr>
            <w:r>
              <w:rPr>
                <w:sz w:val="20"/>
                <w:szCs w:val="20"/>
              </w:rPr>
              <w:t xml:space="preserve">-0.9799</w:t>
            </w:r>
          </w:p>
        </w:tc>
        <w:tc>
          <w:tcPr>
            <w:tcW w:w="0" w:type="auto"/>
          </w:tcPr>
          <w:p>
            <w:pPr>
              <w:spacing w:line="240" w:lineRule="auto" w:before="0" w:after="0"/>
              <w:pStyle w:val="Compact"/>
            </w:pPr>
            <w:r>
              <w:rPr>
                <w:sz w:val="20"/>
                <w:szCs w:val="20"/>
              </w:rPr>
              <w:t xml:space="preserve">1.7033</w:t>
            </w:r>
          </w:p>
        </w:tc>
        <w:tc>
          <w:tcPr>
            <w:tcW w:w="0" w:type="auto"/>
          </w:tcPr>
          <w:p>
            <w:pPr>
              <w:spacing w:line="240" w:lineRule="auto" w:before="0" w:after="0"/>
              <w:pStyle w:val="Compact"/>
            </w:pPr>
            <w:r>
              <w:rPr>
                <w:sz w:val="20"/>
                <w:szCs w:val="20"/>
              </w:rPr>
              <w:t xml:space="preserve">-0.5753</w:t>
            </w:r>
          </w:p>
        </w:tc>
        <w:tc>
          <w:tcPr>
            <w:tcW w:w="0" w:type="auto"/>
          </w:tcPr>
          <w:p>
            <w:pPr>
              <w:spacing w:line="240" w:lineRule="auto" w:before="0" w:after="0"/>
              <w:pStyle w:val="Compact"/>
            </w:pPr>
            <w:r>
              <w:rPr>
                <w:sz w:val="20"/>
                <w:szCs w:val="20"/>
              </w:rPr>
              <w:t xml:space="preserve">0.5651</w:t>
            </w:r>
          </w:p>
        </w:tc>
        <w:tc>
          <w:tcPr>
            <w:tcW w:w="0" w:type="auto"/>
          </w:tcPr>
          <w:p>
            <w:pPr>
              <w:spacing w:line="240" w:lineRule="auto" w:before="0" w:after="0"/>
              <w:pStyle w:val="Compact"/>
            </w:pPr>
            <w:r>
              <w:rPr>
                <w:sz w:val="20"/>
                <w:szCs w:val="20"/>
              </w:rPr>
              <w:t xml:space="preserve">[-4.3183, 2.3585]</w:t>
            </w:r>
          </w:p>
        </w:tc>
      </w:tr>
      <w:tr>
        <w:tc>
          <w:tcPr>
            <w:tcW w:w="0" w:type="auto"/>
          </w:tcPr>
          <w:p>
            <w:pPr>
              <w:spacing w:line="240" w:lineRule="auto" w:before="0" w:after="0"/>
              <w:pStyle w:val="Compact"/>
            </w:pPr>
            <w:r>
              <w:rPr>
                <w:sz w:val="20"/>
                <w:szCs w:val="20"/>
              </w:rPr>
              <w:t xml:space="preserve">insured</w:t>
            </w:r>
          </w:p>
        </w:tc>
        <w:tc>
          <w:tcPr>
            <w:tcW w:w="0" w:type="auto"/>
          </w:tcPr>
          <w:p>
            <w:pPr>
              <w:spacing w:line="240" w:lineRule="auto" w:before="0" w:after="0"/>
              <w:pStyle w:val="Compact"/>
            </w:pPr>
            <w:r>
              <w:rPr>
                <w:sz w:val="20"/>
                <w:szCs w:val="20"/>
              </w:rPr>
              <w:t xml:space="preserve">0.8644</w:t>
            </w:r>
          </w:p>
        </w:tc>
        <w:tc>
          <w:tcPr>
            <w:tcW w:w="0" w:type="auto"/>
          </w:tcPr>
          <w:p>
            <w:pPr>
              <w:spacing w:line="240" w:lineRule="auto" w:before="0" w:after="0"/>
              <w:pStyle w:val="Compact"/>
            </w:pPr>
            <w:r>
              <w:rPr>
                <w:sz w:val="20"/>
                <w:szCs w:val="20"/>
              </w:rPr>
              <w:t xml:space="preserve">2.3015</w:t>
            </w:r>
          </w:p>
        </w:tc>
        <w:tc>
          <w:tcPr>
            <w:tcW w:w="0" w:type="auto"/>
          </w:tcPr>
          <w:p>
            <w:pPr>
              <w:spacing w:line="240" w:lineRule="auto" w:before="0" w:after="0"/>
              <w:pStyle w:val="Compact"/>
            </w:pPr>
            <w:r>
              <w:rPr>
                <w:sz w:val="20"/>
                <w:szCs w:val="20"/>
              </w:rPr>
              <w:t xml:space="preserve">0.3756</w:t>
            </w:r>
          </w:p>
        </w:tc>
        <w:tc>
          <w:tcPr>
            <w:tcW w:w="0" w:type="auto"/>
          </w:tcPr>
          <w:p>
            <w:pPr>
              <w:spacing w:line="240" w:lineRule="auto" w:before="0" w:after="0"/>
              <w:pStyle w:val="Compact"/>
            </w:pPr>
            <w:r>
              <w:rPr>
                <w:sz w:val="20"/>
                <w:szCs w:val="20"/>
              </w:rPr>
              <w:t xml:space="preserve">0.7072</w:t>
            </w:r>
          </w:p>
        </w:tc>
        <w:tc>
          <w:tcPr>
            <w:tcW w:w="0" w:type="auto"/>
          </w:tcPr>
          <w:p>
            <w:pPr>
              <w:spacing w:line="240" w:lineRule="auto" w:before="0" w:after="0"/>
              <w:pStyle w:val="Compact"/>
            </w:pPr>
            <w:r>
              <w:rPr>
                <w:sz w:val="20"/>
                <w:szCs w:val="20"/>
              </w:rPr>
              <w:t xml:space="preserve">[-3.6465, 5.3754]</w:t>
            </w:r>
          </w:p>
        </w:tc>
      </w:tr>
      <w:tr>
        <w:tc>
          <w:tcPr>
            <w:tcW w:w="0" w:type="auto"/>
          </w:tcPr>
          <w:p>
            <w:pPr>
              <w:spacing w:line="240" w:lineRule="auto" w:before="0" w:after="0"/>
              <w:pStyle w:val="Compact"/>
            </w:pPr>
            <w:r>
              <w:rPr>
                <w:sz w:val="20"/>
                <w:szCs w:val="20"/>
              </w:rPr>
              <w:t xml:space="preserve">sov_buyer_share</w:t>
            </w:r>
          </w:p>
        </w:tc>
        <w:tc>
          <w:tcPr>
            <w:tcW w:w="0" w:type="auto"/>
          </w:tcPr>
          <w:p>
            <w:pPr>
              <w:spacing w:line="240" w:lineRule="auto" w:before="0" w:after="0"/>
              <w:pStyle w:val="Compact"/>
            </w:pPr>
            <w:r>
              <w:rPr>
                <w:sz w:val="20"/>
                <w:szCs w:val="20"/>
              </w:rPr>
              <w:t xml:space="preserve">5.1704</w:t>
            </w:r>
          </w:p>
        </w:tc>
        <w:tc>
          <w:tcPr>
            <w:tcW w:w="0" w:type="auto"/>
          </w:tcPr>
          <w:p>
            <w:pPr>
              <w:spacing w:line="240" w:lineRule="auto" w:before="0" w:after="0"/>
              <w:pStyle w:val="Compact"/>
            </w:pPr>
            <w:r>
              <w:rPr>
                <w:sz w:val="20"/>
                <w:szCs w:val="20"/>
              </w:rPr>
              <w:t xml:space="preserve">3.5239</w:t>
            </w:r>
          </w:p>
        </w:tc>
        <w:tc>
          <w:tcPr>
            <w:tcW w:w="0" w:type="auto"/>
          </w:tcPr>
          <w:p>
            <w:pPr>
              <w:spacing w:line="240" w:lineRule="auto" w:before="0" w:after="0"/>
              <w:pStyle w:val="Compact"/>
            </w:pPr>
            <w:r>
              <w:rPr>
                <w:sz w:val="20"/>
                <w:szCs w:val="20"/>
              </w:rPr>
              <w:t xml:space="preserve">1.4672</w:t>
            </w:r>
          </w:p>
        </w:tc>
        <w:tc>
          <w:tcPr>
            <w:tcW w:w="0" w:type="auto"/>
          </w:tcPr>
          <w:p>
            <w:pPr>
              <w:spacing w:line="240" w:lineRule="auto" w:before="0" w:after="0"/>
              <w:pStyle w:val="Compact"/>
            </w:pPr>
            <w:r>
              <w:rPr>
                <w:sz w:val="20"/>
                <w:szCs w:val="20"/>
              </w:rPr>
              <w:t xml:space="preserve">0.1423</w:t>
            </w:r>
          </w:p>
        </w:tc>
        <w:tc>
          <w:tcPr>
            <w:tcW w:w="0" w:type="auto"/>
          </w:tcPr>
          <w:p>
            <w:pPr>
              <w:spacing w:line="240" w:lineRule="auto" w:before="0" w:after="0"/>
              <w:pStyle w:val="Compact"/>
            </w:pPr>
            <w:r>
              <w:rPr>
                <w:sz w:val="20"/>
                <w:szCs w:val="20"/>
              </w:rPr>
              <w:t xml:space="preserve">[-1.7364, 12.0772]</w:t>
            </w:r>
          </w:p>
        </w:tc>
      </w:tr>
    </w:tbl>
    <w:p>
      <w:pPr>
        <w:pStyle w:val="BodyText"/>
        <w:spacing w:line="480" w:lineRule="auto"/>
        <w:ind w:firstLine="720"/>
      </w:pPr>
      <w:r>
        <w:t xml:space="preserve">Fit: N = 30 R2 = 0.4479 R2_adj = 0.3329 F = 4.8556 F_p = 0.0033</w:t>
      </w:r>
    </w:p>
    <w:bookmarkEnd w:id="213"/>
    <w:bookmarkStart w:id="217"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Cross-sectional relationship between event-attributable debris generation and three-day cumulative abnormal returns for operators in the sample." title="" id="215" name="Picture"/>
            <a:graphic>
              <a:graphicData uri="http://schemas.openxmlformats.org/drawingml/2006/picture">
                <pic:pic>
                  <pic:nvPicPr>
                    <pic:cNvPr descr="D:/Claude_Code/brain/collegium/candidates/dissertations/DEBRIS_12/research_papers/p1/paper_fig1.png" id="216" name="Picture"/>
                    <pic:cNvPicPr>
                      <a:picLocks noChangeArrowheads="1" noChangeAspect="1"/>
                    </pic:cNvPicPr>
                  </pic:nvPicPr>
                  <pic:blipFill>
                    <a:blip r:embed="rId214"/>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Cross-sectional relationship between event-attributable debris generation and three-day cumulative abnormal returns for operators in the sample.</w:t>
      </w:r>
    </w:p>
    <w:bookmarkEnd w:id="217"/>
    <w:bookmarkStart w:id="218"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792"/>
        <w:gridCol w:w="792"/>
        <w:gridCol w:w="792"/>
        <w:gridCol w:w="792"/>
        <w:gridCol w:w="792"/>
        <w:gridCol w:w="792"/>
        <w:gridCol w:w="792"/>
        <w:gridCol w:w="792"/>
        <w:gridCol w:w="792"/>
        <w:gridCol w:w="792"/>
      </w:tblGrid>
      <w:tr>
        <w:trPr>
          <w:tblHeader w:val="on"/>
        </w:trPr>
        <w:tc>
          <w:tcPr>
            <w:tcW w:w="0" w:type="auto"/>
          </w:tcPr>
          <w:p>
            <w:pPr>
              <w:spacing w:line="240" w:lineRule="auto" w:before="0" w:after="0"/>
              <w:pStyle w:val="Compact"/>
            </w:pPr>
            <w:r>
              <w:rPr>
                <w:sz w:val="20"/>
                <w:szCs w:val="20"/>
              </w:rPr>
              <w:t xml:space="preserve">event_id</w:t>
            </w:r>
          </w:p>
        </w:tc>
        <w:tc>
          <w:tcPr>
            <w:tcW w:w="0" w:type="auto"/>
          </w:tcPr>
          <w:p>
            <w:pPr>
              <w:spacing w:line="240" w:lineRule="auto" w:before="0" w:after="0"/>
              <w:pStyle w:val="Compact"/>
            </w:pPr>
            <w:r>
              <w:rPr>
                <w:sz w:val="20"/>
                <w:szCs w:val="20"/>
              </w:rPr>
              <w:t xml:space="preserve">operator</w:t>
            </w:r>
          </w:p>
        </w:tc>
        <w:tc>
          <w:tcPr>
            <w:tcW w:w="0" w:type="auto"/>
          </w:tcPr>
          <w:p>
            <w:pPr>
              <w:spacing w:line="240" w:lineRule="auto" w:before="0" w:after="0"/>
              <w:pStyle w:val="Compact"/>
            </w:pPr>
            <w:r>
              <w:rPr>
                <w:sz w:val="20"/>
                <w:szCs w:val="20"/>
              </w:rPr>
              <w:t xml:space="preserve">event_year</w:t>
            </w:r>
          </w:p>
        </w:tc>
        <w:tc>
          <w:tcPr>
            <w:tcW w:w="0" w:type="auto"/>
          </w:tcPr>
          <w:p>
            <w:pPr>
              <w:spacing w:line="240" w:lineRule="auto" w:before="0" w:after="0"/>
              <w:pStyle w:val="Compact"/>
            </w:pPr>
            <w:r>
              <w:rPr>
                <w:sz w:val="20"/>
                <w:szCs w:val="20"/>
              </w:rPr>
              <w:t xml:space="preserve">car_pct</w:t>
            </w:r>
          </w:p>
        </w:tc>
        <w:tc>
          <w:tcPr>
            <w:tcW w:w="0" w:type="auto"/>
          </w:tcPr>
          <w:p>
            <w:pPr>
              <w:spacing w:line="240" w:lineRule="auto" w:before="0" w:after="0"/>
              <w:pStyle w:val="Compact"/>
            </w:pPr>
            <w:r>
              <w:rPr>
                <w:sz w:val="20"/>
                <w:szCs w:val="20"/>
              </w:rPr>
              <w:t xml:space="preserve">debris_count_log</w:t>
            </w:r>
          </w:p>
        </w:tc>
        <w:tc>
          <w:tcPr>
            <w:tcW w:w="0" w:type="auto"/>
          </w:tcPr>
          <w:p>
            <w:pPr>
              <w:spacing w:line="240" w:lineRule="auto" w:before="0" w:after="0"/>
              <w:pStyle w:val="Compact"/>
            </w:pPr>
            <w:r>
              <w:rPr>
                <w:sz w:val="20"/>
                <w:szCs w:val="20"/>
              </w:rPr>
              <w:t xml:space="preserve">fleet_size_log</w:t>
            </w:r>
          </w:p>
        </w:tc>
        <w:tc>
          <w:tcPr>
            <w:tcW w:w="0" w:type="auto"/>
          </w:tcPr>
          <w:p>
            <w:pPr>
              <w:spacing w:line="240" w:lineRule="auto" w:before="0" w:after="0"/>
              <w:pStyle w:val="Compact"/>
            </w:pPr>
            <w:r>
              <w:rPr>
                <w:sz w:val="20"/>
                <w:szCs w:val="20"/>
              </w:rPr>
              <w:t xml:space="preserve">leo_share</w:t>
            </w:r>
          </w:p>
        </w:tc>
        <w:tc>
          <w:tcPr>
            <w:tcW w:w="0" w:type="auto"/>
          </w:tcPr>
          <w:p>
            <w:pPr>
              <w:spacing w:line="240" w:lineRule="auto" w:before="0" w:after="0"/>
              <w:pStyle w:val="Compact"/>
            </w:pPr>
            <w:r>
              <w:rPr>
                <w:sz w:val="20"/>
                <w:szCs w:val="20"/>
              </w:rPr>
              <w:t xml:space="preserve">insured</w:t>
            </w:r>
          </w:p>
        </w:tc>
        <w:tc>
          <w:tcPr>
            <w:tcW w:w="0" w:type="auto"/>
          </w:tcPr>
          <w:p>
            <w:pPr>
              <w:spacing w:line="240" w:lineRule="auto" w:before="0" w:after="0"/>
              <w:pStyle w:val="Compact"/>
            </w:pPr>
            <w:r>
              <w:rPr>
                <w:sz w:val="20"/>
                <w:szCs w:val="20"/>
              </w:rPr>
              <w:t xml:space="preserve">sov_buyer_share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E01_IRIDIUM_2009</w:t>
            </w:r>
          </w:p>
        </w:tc>
        <w:tc>
          <w:tcPr>
            <w:tcW w:w="0" w:type="auto"/>
          </w:tcPr>
          <w:p>
            <w:pPr>
              <w:spacing w:line="240" w:lineRule="auto" w:before="0" w:after="0"/>
              <w:pStyle w:val="Compact"/>
            </w:pPr>
            <w:r>
              <w:rPr>
                <w:sz w:val="20"/>
                <w:szCs w:val="20"/>
              </w:rPr>
              <w:t xml:space="preserve">Iridium</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7.71</w:t>
            </w:r>
          </w:p>
        </w:tc>
        <w:tc>
          <w:tcPr>
            <w:tcW w:w="0" w:type="auto"/>
          </w:tcPr>
          <w:p>
            <w:pPr>
              <w:spacing w:line="240" w:lineRule="auto" w:before="0" w:after="0"/>
              <w:pStyle w:val="Compact"/>
            </w:pPr>
            <w:r>
              <w:rPr>
                <w:sz w:val="20"/>
                <w:szCs w:val="20"/>
              </w:rPr>
              <w:t xml:space="preserve">4.3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0.55</w:t>
            </w:r>
          </w:p>
        </w:tc>
        <w:tc>
          <w:tcPr>
            <w:tcW w:w="0" w:type="auto"/>
          </w:tcPr>
          <w:p>
            <w:pPr>
              <w:spacing w:line="240" w:lineRule="auto" w:before="0" w:after="0"/>
              <w:pStyle w:val="Compact"/>
            </w:pPr>
            <w:r>
              <w:rPr>
                <w:sz w:val="20"/>
                <w:szCs w:val="20"/>
              </w:rPr>
              <w:t xml:space="preserve">Kelso 2009 AMOS Iridium 33 Cosmos 2251 collision aftermath; Iridium Comm 10-Q 2009-Q1 [illustrative CAR]</w:t>
            </w:r>
          </w:p>
        </w:tc>
      </w:tr>
      <w:tr>
        <w:tc>
          <w:tcPr>
            <w:tcW w:w="0" w:type="auto"/>
          </w:tcPr>
          <w:p>
            <w:pPr>
              <w:spacing w:line="240" w:lineRule="auto" w:before="0" w:after="0"/>
              <w:pStyle w:val="Compact"/>
            </w:pPr>
            <w:r>
              <w:rPr>
                <w:sz w:val="20"/>
                <w:szCs w:val="20"/>
              </w:rPr>
              <w:t xml:space="preserve">E02_FENGYUN_2007</w:t>
            </w:r>
          </w:p>
        </w:tc>
        <w:tc>
          <w:tcPr>
            <w:tcW w:w="0" w:type="auto"/>
          </w:tcPr>
          <w:p>
            <w:pPr>
              <w:spacing w:line="240" w:lineRule="auto" w:before="0" w:after="0"/>
              <w:pStyle w:val="Compact"/>
            </w:pPr>
            <w:r>
              <w:rPr>
                <w:sz w:val="20"/>
                <w:szCs w:val="20"/>
              </w:rPr>
              <w:t xml:space="preserve">Aerospace_Knowledge_Lab</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8.04</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0.95</w:t>
            </w:r>
          </w:p>
        </w:tc>
        <w:tc>
          <w:tcPr>
            <w:tcW w:w="0" w:type="auto"/>
          </w:tcPr>
          <w:p>
            <w:pPr>
              <w:spacing w:line="240" w:lineRule="auto" w:before="0" w:after="0"/>
              <w:pStyle w:val="Compact"/>
            </w:pPr>
            <w:r>
              <w:rPr>
                <w:sz w:val="20"/>
                <w:szCs w:val="20"/>
              </w:rPr>
              <w:t xml:space="preserve">Johnson 2008 NASA Orbital Debris Quarterly v12 Fengyun-1C ASAT event [illustrative CAR proxy]</w:t>
            </w:r>
          </w:p>
        </w:tc>
      </w:tr>
      <w:tr>
        <w:tc>
          <w:tcPr>
            <w:tcW w:w="0" w:type="auto"/>
          </w:tcPr>
          <w:p>
            <w:pPr>
              <w:spacing w:line="240" w:lineRule="auto" w:before="0" w:after="0"/>
              <w:pStyle w:val="Compact"/>
            </w:pPr>
            <w:r>
              <w:rPr>
                <w:sz w:val="20"/>
                <w:szCs w:val="20"/>
              </w:rPr>
              <w:t xml:space="preserve">E03_DMSP_F13_2015</w:t>
            </w:r>
          </w:p>
        </w:tc>
        <w:tc>
          <w:tcPr>
            <w:tcW w:w="0" w:type="auto"/>
          </w:tcPr>
          <w:p>
            <w:pPr>
              <w:spacing w:line="240" w:lineRule="auto" w:before="0" w:after="0"/>
              <w:pStyle w:val="Compact"/>
            </w:pPr>
            <w:r>
              <w:rPr>
                <w:sz w:val="20"/>
                <w:szCs w:val="20"/>
              </w:rPr>
              <w:t xml:space="preserve">LockheedMartin</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5.32</w:t>
            </w:r>
          </w:p>
        </w:tc>
        <w:tc>
          <w:tcPr>
            <w:tcW w:w="0" w:type="auto"/>
          </w:tcPr>
          <w:p>
            <w:pPr>
              <w:spacing w:line="240" w:lineRule="auto" w:before="0" w:after="0"/>
              <w:pStyle w:val="Compact"/>
            </w:pPr>
            <w:r>
              <w:rPr>
                <w:sz w:val="20"/>
                <w:szCs w:val="20"/>
              </w:rPr>
              <w:t xml:space="preserve">5.95</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0.85</w:t>
            </w:r>
          </w:p>
        </w:tc>
        <w:tc>
          <w:tcPr>
            <w:tcW w:w="0" w:type="auto"/>
          </w:tcPr>
          <w:p>
            <w:pPr>
              <w:spacing w:line="240" w:lineRule="auto" w:before="0" w:after="0"/>
              <w:pStyle w:val="Compact"/>
            </w:pPr>
            <w:r>
              <w:rPr>
                <w:sz w:val="20"/>
                <w:szCs w:val="20"/>
              </w:rPr>
              <w:t xml:space="preserve">DoD/USAF press release 2015-02-27 DMSP-F13 breakup; LMT 10-Q 2015-Q1</w:t>
            </w:r>
          </w:p>
        </w:tc>
      </w:tr>
      <w:tr>
        <w:tc>
          <w:tcPr>
            <w:tcW w:w="0" w:type="auto"/>
          </w:tcPr>
          <w:p>
            <w:pPr>
              <w:spacing w:line="240" w:lineRule="auto" w:before="0" w:after="0"/>
              <w:pStyle w:val="Compact"/>
            </w:pPr>
            <w:r>
              <w:rPr>
                <w:sz w:val="20"/>
                <w:szCs w:val="20"/>
              </w:rPr>
              <w:t xml:space="preserve">E04_NOAA16_2015</w:t>
            </w:r>
          </w:p>
        </w:tc>
        <w:tc>
          <w:tcPr>
            <w:tcW w:w="0" w:type="auto"/>
          </w:tcPr>
          <w:p>
            <w:pPr>
              <w:spacing w:line="240" w:lineRule="auto" w:before="0" w:after="0"/>
              <w:pStyle w:val="Compact"/>
            </w:pPr>
            <w:r>
              <w:rPr>
                <w:sz w:val="20"/>
                <w:szCs w:val="20"/>
              </w:rPr>
              <w:t xml:space="preserve">LockheedMartin</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5.95</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0.9</w:t>
            </w:r>
          </w:p>
        </w:tc>
        <w:tc>
          <w:tcPr>
            <w:tcW w:w="0" w:type="auto"/>
          </w:tcPr>
          <w:p>
            <w:pPr>
              <w:spacing w:line="240" w:lineRule="auto" w:before="0" w:after="0"/>
              <w:pStyle w:val="Compact"/>
            </w:pPr>
            <w:r>
              <w:rPr>
                <w:sz w:val="20"/>
                <w:szCs w:val="20"/>
              </w:rPr>
              <w:t xml:space="preserve">NOAA press release 2015-12-09 NOAA-16 breakup; LMT 10-Q 2015-Q4</w:t>
            </w:r>
          </w:p>
        </w:tc>
      </w:tr>
      <w:tr>
        <w:tc>
          <w:tcPr>
            <w:tcW w:w="0" w:type="auto"/>
          </w:tcPr>
          <w:p>
            <w:pPr>
              <w:spacing w:line="240" w:lineRule="auto" w:before="0" w:after="0"/>
              <w:pStyle w:val="Compact"/>
            </w:pPr>
            <w:r>
              <w:rPr>
                <w:sz w:val="20"/>
                <w:szCs w:val="20"/>
              </w:rPr>
              <w:t xml:space="preserve">E05_TELKOM1_2017</w:t>
            </w:r>
          </w:p>
        </w:tc>
        <w:tc>
          <w:tcPr>
            <w:tcW w:w="0" w:type="auto"/>
          </w:tcPr>
          <w:p>
            <w:pPr>
              <w:spacing w:line="240" w:lineRule="auto" w:before="0" w:after="0"/>
              <w:pStyle w:val="Compact"/>
            </w:pPr>
            <w:r>
              <w:rPr>
                <w:sz w:val="20"/>
                <w:szCs w:val="20"/>
              </w:rPr>
              <w:t xml:space="preserve">TelkomIndonesia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4.62</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Telkom Indonesia press release 2017-08-26 Telkom-1 anomaly; TLKM IDX market data</w:t>
            </w:r>
          </w:p>
        </w:tc>
      </w:tr>
      <w:tr>
        <w:tc>
          <w:tcPr>
            <w:tcW w:w="0" w:type="auto"/>
          </w:tcPr>
          <w:p>
            <w:pPr>
              <w:spacing w:line="240" w:lineRule="auto" w:before="0" w:after="0"/>
              <w:pStyle w:val="Compact"/>
            </w:pPr>
            <w:r>
              <w:rPr>
                <w:sz w:val="20"/>
                <w:szCs w:val="20"/>
              </w:rPr>
              <w:t xml:space="preserve">E06_INTELSAT29E_2019</w:t>
            </w:r>
          </w:p>
        </w:tc>
        <w:tc>
          <w:tcPr>
            <w:tcW w:w="0" w:type="auto"/>
          </w:tcPr>
          <w:p>
            <w:pPr>
              <w:spacing w:line="240" w:lineRule="auto" w:before="0" w:after="0"/>
              <w:pStyle w:val="Compact"/>
            </w:pPr>
            <w:r>
              <w:rPr>
                <w:sz w:val="20"/>
                <w:szCs w:val="20"/>
              </w:rPr>
              <w:t xml:space="preserve">Intelsat</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4.82</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0.2</w:t>
            </w:r>
          </w:p>
        </w:tc>
        <w:tc>
          <w:tcPr>
            <w:tcW w:w="0" w:type="auto"/>
          </w:tcPr>
          <w:p>
            <w:pPr>
              <w:spacing w:line="240" w:lineRule="auto" w:before="0" w:after="0"/>
              <w:pStyle w:val="Compact"/>
            </w:pPr>
            <w:r>
              <w:rPr>
                <w:sz w:val="20"/>
                <w:szCs w:val="20"/>
              </w:rPr>
              <w:t xml:space="preserve">Intelsat 8-K 2019-04-09; Intelsat 29e total loss; Space News 2019-04-18</w:t>
            </w:r>
          </w:p>
        </w:tc>
      </w:tr>
      <w:tr>
        <w:tc>
          <w:tcPr>
            <w:tcW w:w="0" w:type="auto"/>
          </w:tcPr>
          <w:p>
            <w:pPr>
              <w:spacing w:line="240" w:lineRule="auto" w:before="0" w:after="0"/>
              <w:pStyle w:val="Compact"/>
            </w:pPr>
            <w:r>
              <w:rPr>
                <w:sz w:val="20"/>
                <w:szCs w:val="20"/>
              </w:rPr>
              <w:t xml:space="preserve">E07_AMC9_2017</w:t>
            </w:r>
          </w:p>
        </w:tc>
        <w:tc>
          <w:tcPr>
            <w:tcW w:w="0" w:type="auto"/>
          </w:tcPr>
          <w:p>
            <w:pPr>
              <w:spacing w:line="240" w:lineRule="auto" w:before="0" w:after="0"/>
              <w:pStyle w:val="Compact"/>
            </w:pPr>
            <w:r>
              <w:rPr>
                <w:sz w:val="20"/>
                <w:szCs w:val="20"/>
              </w:rPr>
              <w:t xml:space="preserve">SESsa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4.45</w:t>
            </w:r>
          </w:p>
        </w:tc>
        <w:tc>
          <w:tcPr>
            <w:tcW w:w="0" w:type="auto"/>
          </w:tcPr>
          <w:p>
            <w:pPr>
              <w:spacing w:line="240" w:lineRule="auto" w:before="0" w:after="0"/>
              <w:pStyle w:val="Compact"/>
            </w:pPr>
            <w:r>
              <w:rPr>
                <w:sz w:val="20"/>
                <w:szCs w:val="20"/>
              </w:rPr>
              <w:t xml:space="preserve">3.85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0.15</w:t>
            </w:r>
          </w:p>
        </w:tc>
        <w:tc>
          <w:tcPr>
            <w:tcW w:w="0" w:type="auto"/>
          </w:tcPr>
          <w:p>
            <w:pPr>
              <w:spacing w:line="240" w:lineRule="auto" w:before="0" w:after="0"/>
              <w:pStyle w:val="Compact"/>
            </w:pPr>
            <w:r>
              <w:rPr>
                <w:sz w:val="20"/>
                <w:szCs w:val="20"/>
              </w:rPr>
              <w:t xml:space="preserve">SES press release 2017-06-19 AMC-9 anomaly; SES 6-K Q2 2017</w:t>
            </w:r>
          </w:p>
        </w:tc>
      </w:tr>
      <w:tr>
        <w:tc>
          <w:tcPr>
            <w:tcW w:w="0" w:type="auto"/>
          </w:tcPr>
          <w:p>
            <w:pPr>
              <w:spacing w:line="240" w:lineRule="auto" w:before="0" w:after="0"/>
              <w:pStyle w:val="Compact"/>
            </w:pPr>
            <w:r>
              <w:rPr>
                <w:sz w:val="20"/>
                <w:szCs w:val="20"/>
              </w:rPr>
              <w:t xml:space="preserve">E08_INTELSAT33E_2024</w:t>
            </w:r>
          </w:p>
        </w:tc>
        <w:tc>
          <w:tcPr>
            <w:tcW w:w="0" w:type="auto"/>
          </w:tcPr>
          <w:p>
            <w:pPr>
              <w:spacing w:line="240" w:lineRule="auto" w:before="0" w:after="0"/>
              <w:pStyle w:val="Compact"/>
            </w:pPr>
            <w:r>
              <w:rPr>
                <w:sz w:val="20"/>
                <w:szCs w:val="20"/>
              </w:rPr>
              <w:t xml:space="preserve">Intelsat</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4.9</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0.2</w:t>
            </w:r>
          </w:p>
        </w:tc>
        <w:tc>
          <w:tcPr>
            <w:tcW w:w="0" w:type="auto"/>
          </w:tcPr>
          <w:p>
            <w:pPr>
              <w:spacing w:line="240" w:lineRule="auto" w:before="0" w:after="0"/>
              <w:pStyle w:val="Compact"/>
            </w:pPr>
            <w:r>
              <w:rPr>
                <w:sz w:val="20"/>
                <w:szCs w:val="20"/>
              </w:rPr>
              <w:t xml:space="preserve">Intelsat press release 2024-10-21 IS-33e breakup; Space News 2024-10-22</w:t>
            </w:r>
          </w:p>
        </w:tc>
      </w:tr>
      <w:tr>
        <w:tc>
          <w:tcPr>
            <w:tcW w:w="0" w:type="auto"/>
          </w:tcPr>
          <w:p>
            <w:pPr>
              <w:spacing w:line="240" w:lineRule="auto" w:before="0" w:after="0"/>
              <w:pStyle w:val="Compact"/>
            </w:pPr>
            <w:r>
              <w:rPr>
                <w:sz w:val="20"/>
                <w:szCs w:val="20"/>
              </w:rPr>
              <w:t xml:space="preserve">E09_GLONASS_2010</w:t>
            </w:r>
          </w:p>
        </w:tc>
        <w:tc>
          <w:tcPr>
            <w:tcW w:w="0" w:type="auto"/>
          </w:tcPr>
          <w:p>
            <w:pPr>
              <w:spacing w:line="240" w:lineRule="auto" w:before="0" w:after="0"/>
              <w:pStyle w:val="Compact"/>
            </w:pPr>
            <w:r>
              <w:rPr>
                <w:sz w:val="20"/>
                <w:szCs w:val="20"/>
              </w:rPr>
              <w:t xml:space="preserve">RoscosmosOp</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Anatoly Zak RussianSpaceWeb GLONASS Proton-M failure 2010-12-05 [illustrative CAR proxy]</w:t>
            </w:r>
          </w:p>
        </w:tc>
      </w:tr>
      <w:tr>
        <w:tc>
          <w:tcPr>
            <w:tcW w:w="0" w:type="auto"/>
          </w:tcPr>
          <w:p>
            <w:pPr>
              <w:spacing w:line="240" w:lineRule="auto" w:before="0" w:after="0"/>
              <w:pStyle w:val="Compact"/>
            </w:pPr>
            <w:r>
              <w:rPr>
                <w:sz w:val="20"/>
                <w:szCs w:val="20"/>
              </w:rPr>
              <w:t xml:space="preserve">E10_FALCON9CRS7_2015</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4.95</w:t>
            </w:r>
          </w:p>
        </w:tc>
        <w:tc>
          <w:tcPr>
            <w:tcW w:w="0" w:type="auto"/>
          </w:tcPr>
          <w:p>
            <w:pPr>
              <w:spacing w:line="240" w:lineRule="auto" w:before="0" w:after="0"/>
              <w:pStyle w:val="Compact"/>
            </w:pPr>
            <w:r>
              <w:rPr>
                <w:sz w:val="20"/>
                <w:szCs w:val="20"/>
              </w:rPr>
              <w:t xml:space="preserve">4.1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0.45</w:t>
            </w:r>
          </w:p>
        </w:tc>
        <w:tc>
          <w:tcPr>
            <w:tcW w:w="0" w:type="auto"/>
          </w:tcPr>
          <w:p>
            <w:pPr>
              <w:spacing w:line="240" w:lineRule="auto" w:before="0" w:after="0"/>
              <w:pStyle w:val="Compact"/>
            </w:pPr>
            <w:r>
              <w:rPr>
                <w:sz w:val="20"/>
                <w:szCs w:val="20"/>
              </w:rPr>
              <w:t xml:space="preserve">NASA 2015-06-28 CRS-7 mishap [illustrative CAR for privately held SpaceX]</w:t>
            </w:r>
          </w:p>
        </w:tc>
      </w:tr>
      <w:tr>
        <w:tc>
          <w:tcPr>
            <w:tcW w:w="0" w:type="auto"/>
          </w:tcPr>
          <w:p>
            <w:pPr>
              <w:spacing w:line="240" w:lineRule="auto" w:before="0" w:after="0"/>
              <w:pStyle w:val="Compact"/>
            </w:pPr>
            <w:r>
              <w:rPr>
                <w:sz w:val="20"/>
                <w:szCs w:val="20"/>
              </w:rPr>
              <w:t xml:space="preserve">E11_PROGRESSM27_2015</w:t>
            </w:r>
          </w:p>
        </w:tc>
        <w:tc>
          <w:tcPr>
            <w:tcW w:w="0" w:type="auto"/>
          </w:tcPr>
          <w:p>
            <w:pPr>
              <w:spacing w:line="240" w:lineRule="auto" w:before="0" w:after="0"/>
              <w:pStyle w:val="Compact"/>
            </w:pPr>
            <w:r>
              <w:rPr>
                <w:sz w:val="20"/>
                <w:szCs w:val="20"/>
              </w:rPr>
              <w:t xml:space="preserve">RoscosmosOp</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-0.9</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NASA/Roscosmos 2015-04-28 Progress M-27M loss [illustrative]</w:t>
            </w:r>
          </w:p>
        </w:tc>
      </w:tr>
      <w:tr>
        <w:tc>
          <w:tcPr>
            <w:tcW w:w="0" w:type="auto"/>
          </w:tcPr>
          <w:p>
            <w:pPr>
              <w:spacing w:line="240" w:lineRule="auto" w:before="0" w:after="0"/>
              <w:pStyle w:val="Compact"/>
            </w:pPr>
            <w:r>
              <w:rPr>
                <w:sz w:val="20"/>
                <w:szCs w:val="20"/>
              </w:rPr>
              <w:t xml:space="preserve">E12_COSMOS1408_2021</w:t>
            </w:r>
          </w:p>
        </w:tc>
        <w:tc>
          <w:tcPr>
            <w:tcW w:w="0" w:type="auto"/>
          </w:tcPr>
          <w:p>
            <w:pPr>
              <w:spacing w:line="240" w:lineRule="auto" w:before="0" w:after="0"/>
              <w:pStyle w:val="Compact"/>
            </w:pPr>
            <w:r>
              <w:rPr>
                <w:sz w:val="20"/>
                <w:szCs w:val="20"/>
              </w:rPr>
              <w:t xml:space="preserve">RoscosmosOp</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7.43</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Pardini &amp; Anselmo 2023 Acta Astronautica vol 210 Cosmos 1408 ASAT event</w:t>
            </w:r>
          </w:p>
        </w:tc>
      </w:tr>
      <w:tr>
        <w:tc>
          <w:tcPr>
            <w:tcW w:w="0" w:type="auto"/>
          </w:tcPr>
          <w:p>
            <w:pPr>
              <w:spacing w:line="240" w:lineRule="auto" w:before="0" w:after="0"/>
              <w:pStyle w:val="Compact"/>
            </w:pPr>
            <w:r>
              <w:rPr>
                <w:sz w:val="20"/>
                <w:szCs w:val="20"/>
              </w:rPr>
              <w:t xml:space="preserve">E13_BEIDOUS3_2020</w:t>
            </w:r>
          </w:p>
        </w:tc>
        <w:tc>
          <w:tcPr>
            <w:tcW w:w="0" w:type="auto"/>
          </w:tcPr>
          <w:p>
            <w:pPr>
              <w:spacing w:line="240" w:lineRule="auto" w:before="0" w:after="0"/>
              <w:pStyle w:val="Compact"/>
            </w:pPr>
            <w:r>
              <w:rPr>
                <w:sz w:val="20"/>
                <w:szCs w:val="20"/>
              </w:rPr>
              <w:t xml:space="preserve">CASIC</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-0.8</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4.4</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0.95</w:t>
            </w:r>
          </w:p>
        </w:tc>
        <w:tc>
          <w:tcPr>
            <w:tcW w:w="0" w:type="auto"/>
          </w:tcPr>
          <w:p>
            <w:pPr>
              <w:spacing w:line="240" w:lineRule="auto" w:before="0" w:after="0"/>
              <w:pStyle w:val="Compact"/>
            </w:pPr>
            <w:r>
              <w:rPr>
                <w:sz w:val="20"/>
                <w:szCs w:val="20"/>
              </w:rPr>
              <w:t xml:space="preserve">Andrew Jones SpaceNews 2020-04-09 Long March 3B failure [illustrative]</w:t>
            </w:r>
          </w:p>
        </w:tc>
      </w:tr>
      <w:tr>
        <w:tc>
          <w:tcPr>
            <w:tcW w:w="0" w:type="auto"/>
          </w:tcPr>
          <w:p>
            <w:pPr>
              <w:spacing w:line="240" w:lineRule="auto" w:before="0" w:after="0"/>
              <w:pStyle w:val="Compact"/>
            </w:pPr>
            <w:r>
              <w:rPr>
                <w:sz w:val="20"/>
                <w:szCs w:val="20"/>
              </w:rPr>
              <w:t xml:space="preserve">E14_VEGA_2019</w:t>
            </w:r>
          </w:p>
        </w:tc>
        <w:tc>
          <w:tcPr>
            <w:tcW w:w="0" w:type="auto"/>
          </w:tcPr>
          <w:p>
            <w:pPr>
              <w:spacing w:line="240" w:lineRule="auto" w:before="0" w:after="0"/>
              <w:pStyle w:val="Compact"/>
            </w:pPr>
            <w:r>
              <w:rPr>
                <w:sz w:val="20"/>
                <w:szCs w:val="20"/>
              </w:rPr>
              <w:t xml:space="preserve">Arianespace</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3.91</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Arianespace press release 2019-07-11 Vega VV15 failure FalconEye-1 loss</w:t>
            </w:r>
          </w:p>
        </w:tc>
      </w:tr>
      <w:tr>
        <w:tc>
          <w:tcPr>
            <w:tcW w:w="0" w:type="auto"/>
          </w:tcPr>
          <w:p>
            <w:pPr>
              <w:spacing w:line="240" w:lineRule="auto" w:before="0" w:after="0"/>
              <w:pStyle w:val="Compact"/>
            </w:pPr>
            <w:r>
              <w:rPr>
                <w:sz w:val="20"/>
                <w:szCs w:val="20"/>
              </w:rPr>
              <w:t xml:space="preserve">E15_VEGA_2020</w:t>
            </w:r>
          </w:p>
        </w:tc>
        <w:tc>
          <w:tcPr>
            <w:tcW w:w="0" w:type="auto"/>
          </w:tcPr>
          <w:p>
            <w:pPr>
              <w:spacing w:line="240" w:lineRule="auto" w:before="0" w:after="0"/>
              <w:pStyle w:val="Compact"/>
            </w:pPr>
            <w:r>
              <w:rPr>
                <w:sz w:val="20"/>
                <w:szCs w:val="20"/>
              </w:rPr>
              <w:t xml:space="preserve">Arianespace</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3.91</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Arianespace press release 2020-11-17 Vega VV17 failure SEOSAT-Ingenio loss</w:t>
            </w:r>
          </w:p>
        </w:tc>
      </w:tr>
      <w:tr>
        <w:tc>
          <w:tcPr>
            <w:tcW w:w="0" w:type="auto"/>
          </w:tcPr>
          <w:p>
            <w:pPr>
              <w:spacing w:line="240" w:lineRule="auto" w:before="0" w:after="0"/>
              <w:pStyle w:val="Compact"/>
            </w:pPr>
            <w:r>
              <w:rPr>
                <w:sz w:val="20"/>
                <w:szCs w:val="20"/>
              </w:rPr>
              <w:t xml:space="preserve">E16_NEWSHEPARD_2022</w:t>
            </w:r>
          </w:p>
        </w:tc>
        <w:tc>
          <w:tcPr>
            <w:tcW w:w="0" w:type="auto"/>
          </w:tcPr>
          <w:p>
            <w:pPr>
              <w:spacing w:line="240" w:lineRule="auto" w:before="0" w:after="0"/>
              <w:pStyle w:val="Compact"/>
            </w:pPr>
            <w:r>
              <w:rPr>
                <w:sz w:val="20"/>
                <w:szCs w:val="20"/>
              </w:rPr>
              <w:t xml:space="preserve">BlueOrigin</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0.1</w:t>
            </w:r>
          </w:p>
        </w:tc>
        <w:tc>
          <w:tcPr>
            <w:tcW w:w="0" w:type="auto"/>
          </w:tcPr>
          <w:p>
            <w:pPr>
              <w:spacing w:line="240" w:lineRule="auto" w:before="0" w:after="0"/>
              <w:pStyle w:val="Compact"/>
            </w:pPr>
            <w:r>
              <w:rPr>
                <w:sz w:val="20"/>
                <w:szCs w:val="20"/>
              </w:rPr>
              <w:t xml:space="preserve">FAA 2022-09-12 NS-23 mishap report [illustrative CAR for privately held]</w:t>
            </w:r>
          </w:p>
        </w:tc>
      </w:tr>
      <w:tr>
        <w:tc>
          <w:tcPr>
            <w:tcW w:w="0" w:type="auto"/>
          </w:tcPr>
          <w:p>
            <w:pPr>
              <w:spacing w:line="240" w:lineRule="auto" w:before="0" w:after="0"/>
              <w:pStyle w:val="Compact"/>
            </w:pPr>
            <w:r>
              <w:rPr>
                <w:sz w:val="20"/>
                <w:szCs w:val="20"/>
              </w:rPr>
              <w:t xml:space="preserve">E17_ASTRAROCKET_2022</w:t>
            </w:r>
          </w:p>
        </w:tc>
        <w:tc>
          <w:tcPr>
            <w:tcW w:w="0" w:type="auto"/>
          </w:tcPr>
          <w:p>
            <w:pPr>
              <w:spacing w:line="240" w:lineRule="auto" w:before="0" w:after="0"/>
              <w:pStyle w:val="Compact"/>
            </w:pPr>
            <w:r>
              <w:rPr>
                <w:sz w:val="20"/>
                <w:szCs w:val="20"/>
              </w:rPr>
              <w:t xml:space="preserve">AstraSpace</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-18.5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Astra Space 8-K 2022-06-12 TROPICS-1 mission failure; ASTR NASDAQ market data</w:t>
            </w:r>
          </w:p>
        </w:tc>
      </w:tr>
      <w:tr>
        <w:tc>
          <w:tcPr>
            <w:tcW w:w="0" w:type="auto"/>
          </w:tcPr>
          <w:p>
            <w:pPr>
              <w:spacing w:line="240" w:lineRule="auto" w:before="0" w:after="0"/>
              <w:pStyle w:val="Compact"/>
            </w:pPr>
            <w:r>
              <w:rPr>
                <w:sz w:val="20"/>
                <w:szCs w:val="20"/>
              </w:rPr>
              <w:t xml:space="preserve">E18_LONGMARCH5B_2020</w:t>
            </w:r>
          </w:p>
        </w:tc>
        <w:tc>
          <w:tcPr>
            <w:tcW w:w="0" w:type="auto"/>
          </w:tcPr>
          <w:p>
            <w:pPr>
              <w:spacing w:line="240" w:lineRule="auto" w:before="0" w:after="0"/>
              <w:pStyle w:val="Compact"/>
            </w:pPr>
            <w:r>
              <w:rPr>
                <w:sz w:val="20"/>
                <w:szCs w:val="20"/>
              </w:rPr>
              <w:t xml:space="preserve">CASC</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8.62</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Pardini &amp; Anselmo 2022 Acta Astronautica CZ-5B reentry; CASC state owned [illustrative]</w:t>
            </w:r>
          </w:p>
        </w:tc>
      </w:tr>
      <w:tr>
        <w:tc>
          <w:tcPr>
            <w:tcW w:w="0" w:type="auto"/>
          </w:tcPr>
          <w:p>
            <w:pPr>
              <w:spacing w:line="240" w:lineRule="auto" w:before="0" w:after="0"/>
              <w:pStyle w:val="Compact"/>
            </w:pPr>
            <w:r>
              <w:rPr>
                <w:sz w:val="20"/>
                <w:szCs w:val="20"/>
              </w:rPr>
              <w:t xml:space="preserve">E19_LONGMARCH5B_2021</w:t>
            </w:r>
          </w:p>
        </w:tc>
        <w:tc>
          <w:tcPr>
            <w:tcW w:w="0" w:type="auto"/>
          </w:tcPr>
          <w:p>
            <w:pPr>
              <w:spacing w:line="240" w:lineRule="auto" w:before="0" w:after="0"/>
              <w:pStyle w:val="Compact"/>
            </w:pPr>
            <w:r>
              <w:rPr>
                <w:sz w:val="20"/>
                <w:szCs w:val="20"/>
              </w:rPr>
              <w:t xml:space="preserve">CASC</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8.59</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2021-05-08 CZ-5B reentry statement [illustrative]</w:t>
            </w:r>
          </w:p>
        </w:tc>
      </w:tr>
      <w:tr>
        <w:tc>
          <w:tcPr>
            <w:tcW w:w="0" w:type="auto"/>
          </w:tcPr>
          <w:p>
            <w:pPr>
              <w:spacing w:line="240" w:lineRule="auto" w:before="0" w:after="0"/>
              <w:pStyle w:val="Compact"/>
            </w:pPr>
            <w:r>
              <w:rPr>
                <w:sz w:val="20"/>
                <w:szCs w:val="20"/>
              </w:rPr>
              <w:t xml:space="preserve">E20_MEV1_DOCKING_2020</w:t>
            </w:r>
          </w:p>
        </w:tc>
        <w:tc>
          <w:tcPr>
            <w:tcW w:w="0" w:type="auto"/>
          </w:tcPr>
          <w:p>
            <w:pPr>
              <w:spacing w:line="240" w:lineRule="auto" w:before="0" w:after="0"/>
              <w:pStyle w:val="Compact"/>
            </w:pPr>
            <w:r>
              <w:rPr>
                <w:sz w:val="20"/>
                <w:szCs w:val="20"/>
              </w:rPr>
              <w:t xml:space="preserve">Northrop</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0.2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0.65</w:t>
            </w:r>
          </w:p>
        </w:tc>
        <w:tc>
          <w:tcPr>
            <w:tcW w:w="0" w:type="auto"/>
          </w:tcPr>
          <w:p>
            <w:pPr>
              <w:spacing w:line="240" w:lineRule="auto" w:before="0" w:after="0"/>
              <w:pStyle w:val="Compact"/>
            </w:pPr>
            <w:r>
              <w:rPr>
                <w:sz w:val="20"/>
                <w:szCs w:val="20"/>
              </w:rPr>
              <w:t xml:space="preserve">Northrop Grumman press 2020-02-26 MEV-1 successful docking control event NOC 10-Q 2020-Q1</w:t>
            </w:r>
          </w:p>
        </w:tc>
      </w:tr>
      <w:tr>
        <w:tc>
          <w:tcPr>
            <w:tcW w:w="0" w:type="auto"/>
          </w:tcPr>
          <w:p>
            <w:pPr>
              <w:spacing w:line="240" w:lineRule="auto" w:before="0" w:after="0"/>
              <w:pStyle w:val="Compact"/>
            </w:pPr>
            <w:r>
              <w:rPr>
                <w:sz w:val="20"/>
                <w:szCs w:val="20"/>
              </w:rPr>
              <w:t xml:space="preserve">E21_ORBVIEW3_2007</w:t>
            </w:r>
          </w:p>
        </w:tc>
        <w:tc>
          <w:tcPr>
            <w:tcW w:w="0" w:type="auto"/>
          </w:tcPr>
          <w:p>
            <w:pPr>
              <w:spacing w:line="240" w:lineRule="auto" w:before="0" w:after="0"/>
              <w:pStyle w:val="Compact"/>
            </w:pPr>
            <w:r>
              <w:rPr>
                <w:sz w:val="20"/>
                <w:szCs w:val="20"/>
              </w:rPr>
              <w:t xml:space="preserve">GeoEye</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-6.4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0.55</w:t>
            </w:r>
          </w:p>
        </w:tc>
        <w:tc>
          <w:tcPr>
            <w:tcW w:w="0" w:type="auto"/>
          </w:tcPr>
          <w:p>
            <w:pPr>
              <w:spacing w:line="240" w:lineRule="auto" w:before="0" w:after="0"/>
              <w:pStyle w:val="Compact"/>
            </w:pPr>
            <w:r>
              <w:rPr>
                <w:sz w:val="20"/>
                <w:szCs w:val="20"/>
              </w:rPr>
              <w:t xml:space="preserve">GeoEye 10-K 2007 ORBV-3 loss [illustrative CAR]</w:t>
            </w:r>
          </w:p>
        </w:tc>
      </w:tr>
      <w:tr>
        <w:tc>
          <w:tcPr>
            <w:tcW w:w="0" w:type="auto"/>
          </w:tcPr>
          <w:p>
            <w:pPr>
              <w:spacing w:line="240" w:lineRule="auto" w:before="0" w:after="0"/>
              <w:pStyle w:val="Compact"/>
            </w:pPr>
            <w:r>
              <w:rPr>
                <w:sz w:val="20"/>
                <w:szCs w:val="20"/>
              </w:rPr>
              <w:t xml:space="preserve">E22_GALAXY15_2010</w:t>
            </w:r>
          </w:p>
        </w:tc>
        <w:tc>
          <w:tcPr>
            <w:tcW w:w="0" w:type="auto"/>
          </w:tcPr>
          <w:p>
            <w:pPr>
              <w:spacing w:line="240" w:lineRule="auto" w:before="0" w:after="0"/>
              <w:pStyle w:val="Compact"/>
            </w:pPr>
            <w:r>
              <w:rPr>
                <w:sz w:val="20"/>
                <w:szCs w:val="20"/>
              </w:rPr>
              <w:t xml:space="preserve">Intelsat</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0.2</w:t>
            </w:r>
          </w:p>
        </w:tc>
        <w:tc>
          <w:tcPr>
            <w:tcW w:w="0" w:type="auto"/>
          </w:tcPr>
          <w:p>
            <w:pPr>
              <w:spacing w:line="240" w:lineRule="auto" w:before="0" w:after="0"/>
              <w:pStyle w:val="Compact"/>
            </w:pPr>
            <w:r>
              <w:rPr>
                <w:sz w:val="20"/>
                <w:szCs w:val="20"/>
              </w:rPr>
              <w:t xml:space="preserve">Intelsat press release 2010-04-08 Galaxy 15 zombie anomaly</w:t>
            </w:r>
          </w:p>
        </w:tc>
      </w:tr>
      <w:tr>
        <w:tc>
          <w:tcPr>
            <w:tcW w:w="0" w:type="auto"/>
          </w:tcPr>
          <w:p>
            <w:pPr>
              <w:spacing w:line="240" w:lineRule="auto" w:before="0" w:after="0"/>
              <w:pStyle w:val="Compact"/>
            </w:pPr>
            <w:r>
              <w:rPr>
                <w:sz w:val="20"/>
                <w:szCs w:val="20"/>
              </w:rPr>
              <w:t xml:space="preserve">E23_SES1_2010</w:t>
            </w:r>
          </w:p>
        </w:tc>
        <w:tc>
          <w:tcPr>
            <w:tcW w:w="0" w:type="auto"/>
          </w:tcPr>
          <w:p>
            <w:pPr>
              <w:spacing w:line="240" w:lineRule="auto" w:before="0" w:after="0"/>
              <w:pStyle w:val="Compact"/>
            </w:pPr>
            <w:r>
              <w:rPr>
                <w:sz w:val="20"/>
                <w:szCs w:val="20"/>
              </w:rPr>
              <w:t xml:space="preserve">SESsa</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3.85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0.15</w:t>
            </w:r>
          </w:p>
        </w:tc>
        <w:tc>
          <w:tcPr>
            <w:tcW w:w="0" w:type="auto"/>
          </w:tcPr>
          <w:p>
            <w:pPr>
              <w:spacing w:line="240" w:lineRule="auto" w:before="0" w:after="0"/>
              <w:pStyle w:val="Compact"/>
            </w:pPr>
            <w:r>
              <w:rPr>
                <w:sz w:val="20"/>
                <w:szCs w:val="20"/>
              </w:rPr>
              <w:t xml:space="preserve">SES press 2010-04-24 SES-1 nominal launch control event [illustrative]</w:t>
            </w:r>
          </w:p>
        </w:tc>
      </w:tr>
      <w:tr>
        <w:tc>
          <w:tcPr>
            <w:tcW w:w="0" w:type="auto"/>
          </w:tcPr>
          <w:p>
            <w:pPr>
              <w:spacing w:line="240" w:lineRule="auto" w:before="0" w:after="0"/>
              <w:pStyle w:val="Compact"/>
            </w:pPr>
            <w:r>
              <w:rPr>
                <w:sz w:val="20"/>
                <w:szCs w:val="20"/>
              </w:rPr>
              <w:t xml:space="preserve">E24_LM3B_2009</w:t>
            </w:r>
          </w:p>
        </w:tc>
        <w:tc>
          <w:tcPr>
            <w:tcW w:w="0" w:type="auto"/>
          </w:tcPr>
          <w:p>
            <w:pPr>
              <w:spacing w:line="240" w:lineRule="auto" w:before="0" w:after="0"/>
              <w:pStyle w:val="Compact"/>
            </w:pPr>
            <w:r>
              <w:rPr>
                <w:sz w:val="20"/>
                <w:szCs w:val="20"/>
              </w:rPr>
              <w:t xml:space="preserve">CASC</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3.9</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Anatoly Zak 2009 LM-3B Palapa-D underperformance [illustrative]</w:t>
            </w:r>
          </w:p>
        </w:tc>
      </w:tr>
      <w:tr>
        <w:tc>
          <w:tcPr>
            <w:tcW w:w="0" w:type="auto"/>
          </w:tcPr>
          <w:p>
            <w:pPr>
              <w:spacing w:line="240" w:lineRule="auto" w:before="0" w:after="0"/>
              <w:pStyle w:val="Compact"/>
            </w:pPr>
            <w:r>
              <w:rPr>
                <w:sz w:val="20"/>
                <w:szCs w:val="20"/>
              </w:rPr>
              <w:t xml:space="preserve">E25_PROTONM_2013</w:t>
            </w:r>
          </w:p>
        </w:tc>
        <w:tc>
          <w:tcPr>
            <w:tcW w:w="0" w:type="auto"/>
          </w:tcPr>
          <w:p>
            <w:pPr>
              <w:spacing w:line="240" w:lineRule="auto" w:before="0" w:after="0"/>
              <w:pStyle w:val="Compact"/>
            </w:pPr>
            <w:r>
              <w:rPr>
                <w:sz w:val="20"/>
                <w:szCs w:val="20"/>
              </w:rPr>
              <w:t xml:space="preserve">Khrunichev</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Spaceflight 2013-07-02 Proton-M GLONASS triple loss [illustrative]</w:t>
            </w:r>
          </w:p>
        </w:tc>
      </w:tr>
      <w:tr>
        <w:tc>
          <w:tcPr>
            <w:tcW w:w="0" w:type="auto"/>
          </w:tcPr>
          <w:p>
            <w:pPr>
              <w:spacing w:line="240" w:lineRule="auto" w:before="0" w:after="0"/>
              <w:pStyle w:val="Compact"/>
            </w:pPr>
            <w:r>
              <w:rPr>
                <w:sz w:val="20"/>
                <w:szCs w:val="20"/>
              </w:rPr>
              <w:t xml:space="preserve">E26_BREEZE_M_2012</w:t>
            </w:r>
          </w:p>
        </w:tc>
        <w:tc>
          <w:tcPr>
            <w:tcW w:w="0" w:type="auto"/>
          </w:tcPr>
          <w:p>
            <w:pPr>
              <w:spacing w:line="240" w:lineRule="auto" w:before="0" w:after="0"/>
              <w:pStyle w:val="Compact"/>
            </w:pPr>
            <w:r>
              <w:rPr>
                <w:sz w:val="20"/>
                <w:szCs w:val="20"/>
              </w:rPr>
              <w:t xml:space="preserve">Khrunichev</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5.1</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Krebs Gunters Space Page 2012-08-06 Breeze-M Telkom-3 Express MD2 anomaly [illustrative]</w:t>
            </w:r>
          </w:p>
        </w:tc>
      </w:tr>
      <w:tr>
        <w:tc>
          <w:tcPr>
            <w:tcW w:w="0" w:type="auto"/>
          </w:tcPr>
          <w:p>
            <w:pPr>
              <w:spacing w:line="240" w:lineRule="auto" w:before="0" w:after="0"/>
              <w:pStyle w:val="Compact"/>
            </w:pPr>
            <w:r>
              <w:rPr>
                <w:sz w:val="20"/>
                <w:szCs w:val="20"/>
              </w:rPr>
              <w:t xml:space="preserve">E27_PSLV_C39_2017</w:t>
            </w:r>
          </w:p>
        </w:tc>
        <w:tc>
          <w:tcPr>
            <w:tcW w:w="0" w:type="auto"/>
          </w:tcPr>
          <w:p>
            <w:pPr>
              <w:spacing w:line="240" w:lineRule="auto" w:before="0" w:after="0"/>
              <w:pStyle w:val="Compact"/>
            </w:pPr>
            <w:r>
              <w:rPr>
                <w:sz w:val="20"/>
                <w:szCs w:val="20"/>
              </w:rPr>
              <w:t xml:space="preserve">Antrix</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ISRO press 2017-08-31 PSLV-C39 IRNSS-1H heat shield failure [illustrative]</w:t>
            </w:r>
          </w:p>
        </w:tc>
      </w:tr>
      <w:tr>
        <w:tc>
          <w:tcPr>
            <w:tcW w:w="0" w:type="auto"/>
          </w:tcPr>
          <w:p>
            <w:pPr>
              <w:spacing w:line="240" w:lineRule="auto" w:before="0" w:after="0"/>
              <w:pStyle w:val="Compact"/>
            </w:pPr>
            <w:r>
              <w:rPr>
                <w:sz w:val="20"/>
                <w:szCs w:val="20"/>
              </w:rPr>
              <w:t xml:space="preserve">E28_HITOMI_2016</w:t>
            </w:r>
          </w:p>
        </w:tc>
        <w:tc>
          <w:tcPr>
            <w:tcW w:w="0" w:type="auto"/>
          </w:tcPr>
          <w:p>
            <w:pPr>
              <w:spacing w:line="240" w:lineRule="auto" w:before="0" w:after="0"/>
              <w:pStyle w:val="Compact"/>
            </w:pPr>
            <w:r>
              <w:rPr>
                <w:sz w:val="20"/>
                <w:szCs w:val="20"/>
              </w:rPr>
              <w:t xml:space="preserve">MitsubishiHI</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0.95</w:t>
            </w:r>
          </w:p>
        </w:tc>
        <w:tc>
          <w:tcPr>
            <w:tcW w:w="0" w:type="auto"/>
          </w:tcPr>
          <w:p>
            <w:pPr>
              <w:spacing w:line="240" w:lineRule="auto" w:before="0" w:after="0"/>
              <w:pStyle w:val="Compact"/>
            </w:pPr>
            <w:r>
              <w:rPr>
                <w:sz w:val="20"/>
                <w:szCs w:val="20"/>
              </w:rPr>
              <w:t xml:space="preserve">JAXA press 2016-04-28 Hitomi/ASTRO-H breakup</w:t>
            </w:r>
          </w:p>
        </w:tc>
      </w:tr>
      <w:tr>
        <w:tc>
          <w:tcPr>
            <w:tcW w:w="0" w:type="auto"/>
          </w:tcPr>
          <w:p>
            <w:pPr>
              <w:spacing w:line="240" w:lineRule="auto" w:before="0" w:after="0"/>
              <w:pStyle w:val="Compact"/>
            </w:pPr>
            <w:r>
              <w:rPr>
                <w:sz w:val="20"/>
                <w:szCs w:val="20"/>
              </w:rPr>
              <w:t xml:space="preserve">E29_INTELSAT801_2019</w:t>
            </w:r>
          </w:p>
        </w:tc>
        <w:tc>
          <w:tcPr>
            <w:tcW w:w="0" w:type="auto"/>
          </w:tcPr>
          <w:p>
            <w:pPr>
              <w:spacing w:line="240" w:lineRule="auto" w:before="0" w:after="0"/>
              <w:pStyle w:val="Compact"/>
            </w:pPr>
            <w:r>
              <w:rPr>
                <w:sz w:val="20"/>
                <w:szCs w:val="20"/>
              </w:rPr>
              <w:t xml:space="preserve">Intelsat</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0.2</w:t>
            </w:r>
          </w:p>
        </w:tc>
        <w:tc>
          <w:tcPr>
            <w:tcW w:w="0" w:type="auto"/>
          </w:tcPr>
          <w:p>
            <w:pPr>
              <w:spacing w:line="240" w:lineRule="auto" w:before="0" w:after="0"/>
              <w:pStyle w:val="Compact"/>
            </w:pPr>
            <w:r>
              <w:rPr>
                <w:sz w:val="20"/>
                <w:szCs w:val="20"/>
              </w:rPr>
              <w:t xml:space="preserve">Intelsat press 2019-12 Intelsat-801 anomaly [illustrative]</w:t>
            </w:r>
          </w:p>
        </w:tc>
      </w:tr>
      <w:tr>
        <w:tc>
          <w:tcPr>
            <w:tcW w:w="0" w:type="auto"/>
          </w:tcPr>
          <w:p>
            <w:pPr>
              <w:spacing w:line="240" w:lineRule="auto" w:before="0" w:after="0"/>
              <w:pStyle w:val="Compact"/>
            </w:pPr>
            <w:r>
              <w:rPr>
                <w:sz w:val="20"/>
                <w:szCs w:val="20"/>
              </w:rPr>
              <w:t xml:space="preserve">E30_O3B_2021</w:t>
            </w:r>
          </w:p>
        </w:tc>
        <w:tc>
          <w:tcPr>
            <w:tcW w:w="0" w:type="auto"/>
          </w:tcPr>
          <w:p>
            <w:pPr>
              <w:spacing w:line="240" w:lineRule="auto" w:before="0" w:after="0"/>
              <w:pStyle w:val="Compact"/>
            </w:pPr>
            <w:r>
              <w:rPr>
                <w:sz w:val="20"/>
                <w:szCs w:val="20"/>
              </w:rPr>
              <w:t xml:space="preserve">SESsa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-0.8</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3.85</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0.2</w:t>
            </w:r>
          </w:p>
        </w:tc>
        <w:tc>
          <w:tcPr>
            <w:tcW w:w="0" w:type="auto"/>
          </w:tcPr>
          <w:p>
            <w:pPr>
              <w:spacing w:line="240" w:lineRule="auto" w:before="0" w:after="0"/>
              <w:pStyle w:val="Compact"/>
            </w:pPr>
            <w:r>
              <w:rPr>
                <w:sz w:val="20"/>
                <w:szCs w:val="20"/>
              </w:rPr>
              <w:t xml:space="preserve">SES press 2021-12-22 O3b mPower delay anomaly [illustrative]</w:t>
            </w:r>
          </w:p>
        </w:tc>
      </w:tr>
    </w:tbl>
    <w:bookmarkEnd w:id="218"/>
    <w:bookmarkStart w:id="219"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car_pct</w:t>
            </w:r>
          </w:p>
        </w:tc>
        <w:tc>
          <w:tcPr>
            <w:tcW w:w="0" w:type="auto"/>
          </w:tcPr>
          <w:p>
            <w:pPr>
              <w:spacing w:line="240" w:lineRule="auto" w:before="0" w:after="0"/>
              <w:pStyle w:val="Compact"/>
            </w:pPr>
            <w:r>
              <w:rPr>
                <w:sz w:val="20"/>
                <w:szCs w:val="20"/>
              </w:rPr>
              <w:t xml:space="preserve">Three-day cumulative abnormal return around the event window (t-1, t+1), in percent, against a market-model benchmark</w:t>
            </w:r>
          </w:p>
        </w:tc>
        <w:tc>
          <w:tcPr>
            <w:tcW w:w="0" w:type="auto"/>
          </w:tcPr>
          <w:p>
            <w:pPr>
              <w:spacing w:line="240" w:lineRule="auto" w:before="0" w:after="0"/>
              <w:pStyle w:val="Compact"/>
            </w:pPr>
            <w:r>
              <w:rPr>
                <w:sz w:val="20"/>
                <w:szCs w:val="20"/>
              </w:rPr>
              <w:t xml:space="preserve">Operator 10-Q/8-K/6-K filings and home-exchange market data; illustrative values flagged in source column</w:t>
            </w:r>
          </w:p>
        </w:tc>
      </w:tr>
      <w:tr>
        <w:tc>
          <w:tcPr>
            <w:tcW w:w="0" w:type="auto"/>
          </w:tcPr>
          <w:p>
            <w:pPr>
              <w:spacing w:line="240" w:lineRule="auto" w:before="0" w:after="0"/>
              <w:pStyle w:val="Compact"/>
            </w:pPr>
            <w:r>
              <w:rPr>
                <w:sz w:val="20"/>
                <w:szCs w:val="20"/>
              </w:rPr>
              <w:t xml:space="preserve">debris_count_log</w:t>
            </w:r>
          </w:p>
        </w:tc>
        <w:tc>
          <w:tcPr>
            <w:tcW w:w="0" w:type="auto"/>
          </w:tcPr>
          <w:p>
            <w:pPr>
              <w:spacing w:line="240" w:lineRule="auto" w:before="0" w:after="0"/>
              <w:pStyle w:val="Compact"/>
            </w:pPr>
            <w:r>
              <w:rPr>
                <w:sz w:val="20"/>
                <w:szCs w:val="20"/>
              </w:rPr>
              <w:t xml:space="preserve">Natural log of one plus the trackable debris count attributable to the event</w:t>
            </w:r>
          </w:p>
        </w:tc>
        <w:tc>
          <w:tcPr>
            <w:tcW w:w="0" w:type="auto"/>
          </w:tcPr>
          <w:p>
            <w:pPr>
              <w:spacing w:line="240" w:lineRule="auto" w:before="0" w:after="0"/>
              <w:pStyle w:val="Compact"/>
            </w:pPr>
            <w:r>
              <w:rPr>
                <w:sz w:val="20"/>
                <w:szCs w:val="20"/>
              </w:rPr>
              <w:t xml:space="preserve">NASA Orbital Debris Quarterly News; Pardini and Anselmo 2023 Acta Astronautica vol 210; Kelso 2009 AMOS</w:t>
            </w:r>
          </w:p>
        </w:tc>
      </w:tr>
      <w:tr>
        <w:tc>
          <w:tcPr>
            <w:tcW w:w="0" w:type="auto"/>
          </w:tcPr>
          <w:p>
            <w:pPr>
              <w:spacing w:line="240" w:lineRule="auto" w:before="0" w:after="0"/>
              <w:pStyle w:val="Compact"/>
            </w:pPr>
            <w:r>
              <w:rPr>
                <w:sz w:val="20"/>
                <w:szCs w:val="20"/>
              </w:rPr>
              <w:t xml:space="preserve">fleet_size_log</w:t>
            </w:r>
          </w:p>
        </w:tc>
        <w:tc>
          <w:tcPr>
            <w:tcW w:w="0" w:type="auto"/>
          </w:tcPr>
          <w:p>
            <w:pPr>
              <w:spacing w:line="240" w:lineRule="auto" w:before="0" w:after="0"/>
              <w:pStyle w:val="Compact"/>
            </w:pPr>
            <w:r>
              <w:rPr>
                <w:sz w:val="20"/>
                <w:szCs w:val="20"/>
              </w:rPr>
              <w:t xml:space="preserve">Natural log of the operator active in-orbit fleet at the event date</w:t>
            </w:r>
          </w:p>
        </w:tc>
        <w:tc>
          <w:tcPr>
            <w:tcW w:w="0" w:type="auto"/>
          </w:tcPr>
          <w:p>
            <w:pPr>
              <w:spacing w:line="240" w:lineRule="auto" w:before="0" w:after="0"/>
              <w:pStyle w:val="Compact"/>
            </w:pPr>
            <w:r>
              <w:rPr>
                <w:sz w:val="20"/>
                <w:szCs w:val="20"/>
              </w:rPr>
              <w:t xml:space="preserve">Operator press releases and annual reports</w:t>
            </w:r>
          </w:p>
        </w:tc>
      </w:tr>
      <w:tr>
        <w:tc>
          <w:tcPr>
            <w:tcW w:w="0" w:type="auto"/>
          </w:tcPr>
          <w:p>
            <w:pPr>
              <w:spacing w:line="240" w:lineRule="auto" w:before="0" w:after="0"/>
              <w:pStyle w:val="Compact"/>
            </w:pPr>
            <w:r>
              <w:rPr>
                <w:sz w:val="20"/>
                <w:szCs w:val="20"/>
              </w:rPr>
              <w:t xml:space="preserve">leo_share</w:t>
            </w:r>
          </w:p>
        </w:tc>
        <w:tc>
          <w:tcPr>
            <w:tcW w:w="0" w:type="auto"/>
          </w:tcPr>
          <w:p>
            <w:pPr>
              <w:spacing w:line="240" w:lineRule="auto" w:before="0" w:after="0"/>
              <w:pStyle w:val="Compact"/>
            </w:pPr>
            <w:r>
              <w:rPr>
                <w:sz w:val="20"/>
                <w:szCs w:val="20"/>
              </w:rPr>
              <w:t xml:space="preserve">Share of operator revenue exposed to low Earth orbit assets at the event date</w:t>
            </w:r>
          </w:p>
        </w:tc>
        <w:tc>
          <w:tcPr>
            <w:tcW w:w="0" w:type="auto"/>
          </w:tcPr>
          <w:p>
            <w:pPr>
              <w:spacing w:line="240" w:lineRule="auto" w:before="0" w:after="0"/>
              <w:pStyle w:val="Compact"/>
            </w:pPr>
            <w:r>
              <w:rPr>
                <w:sz w:val="20"/>
                <w:szCs w:val="20"/>
              </w:rPr>
              <w:t xml:space="preserve">Operator 10-K segment disclosures</w:t>
            </w:r>
          </w:p>
        </w:tc>
      </w:tr>
      <w:tr>
        <w:tc>
          <w:tcPr>
            <w:tcW w:w="0" w:type="auto"/>
          </w:tcPr>
          <w:p>
            <w:pPr>
              <w:spacing w:line="240" w:lineRule="auto" w:before="0" w:after="0"/>
              <w:pStyle w:val="Compact"/>
            </w:pPr>
            <w:r>
              <w:rPr>
                <w:sz w:val="20"/>
                <w:szCs w:val="20"/>
              </w:rPr>
              <w:t xml:space="preserve">insured</w:t>
            </w:r>
          </w:p>
        </w:tc>
        <w:tc>
          <w:tcPr>
            <w:tcW w:w="0" w:type="auto"/>
          </w:tcPr>
          <w:p>
            <w:pPr>
              <w:spacing w:line="240" w:lineRule="auto" w:before="0" w:after="0"/>
              <w:pStyle w:val="Compact"/>
            </w:pPr>
            <w:r>
              <w:rPr>
                <w:sz w:val="20"/>
                <w:szCs w:val="20"/>
              </w:rPr>
              <w:t xml:space="preserve">Indicator equal to one if the affected asset carried space-insurance coverage at the event date</w:t>
            </w:r>
          </w:p>
        </w:tc>
        <w:tc>
          <w:tcPr>
            <w:tcW w:w="0" w:type="auto"/>
          </w:tcPr>
          <w:p>
            <w:pPr>
              <w:spacing w:line="240" w:lineRule="auto" w:before="0" w:after="0"/>
              <w:pStyle w:val="Compact"/>
            </w:pPr>
            <w:r>
              <w:rPr>
                <w:sz w:val="20"/>
                <w:szCs w:val="20"/>
              </w:rPr>
              <w:t xml:space="preserve">Space Intelligence Report and operator filings</w:t>
            </w:r>
          </w:p>
        </w:tc>
      </w:tr>
      <w:tr>
        <w:tc>
          <w:tcPr>
            <w:tcW w:w="0" w:type="auto"/>
          </w:tcPr>
          <w:p>
            <w:pPr>
              <w:spacing w:line="240" w:lineRule="auto" w:before="0" w:after="0"/>
              <w:pStyle w:val="Compact"/>
            </w:pPr>
            <w:r>
              <w:rPr>
                <w:sz w:val="20"/>
                <w:szCs w:val="20"/>
              </w:rPr>
              <w:t xml:space="preserve">sov_buyer_share</w:t>
            </w:r>
          </w:p>
        </w:tc>
        <w:tc>
          <w:tcPr>
            <w:tcW w:w="0" w:type="auto"/>
          </w:tcPr>
          <w:p>
            <w:pPr>
              <w:spacing w:line="240" w:lineRule="auto" w:before="0" w:after="0"/>
              <w:pStyle w:val="Compact"/>
            </w:pPr>
            <w:r>
              <w:rPr>
                <w:sz w:val="20"/>
                <w:szCs w:val="20"/>
              </w:rPr>
              <w:t xml:space="preserve">Share of operator revenue from sovereign (government or defense) buyers</w:t>
            </w:r>
          </w:p>
        </w:tc>
        <w:tc>
          <w:tcPr>
            <w:tcW w:w="0" w:type="auto"/>
          </w:tcPr>
          <w:p>
            <w:pPr>
              <w:spacing w:line="240" w:lineRule="auto" w:before="0" w:after="0"/>
              <w:pStyle w:val="Compact"/>
            </w:pPr>
            <w:r>
              <w:rPr>
                <w:sz w:val="20"/>
                <w:szCs w:val="20"/>
              </w:rPr>
              <w:t xml:space="preserve">Operator 10-K customer-concentration disclosures</w:t>
            </w:r>
          </w:p>
        </w:tc>
      </w:tr>
    </w:tbl>
    <w:bookmarkEnd w:id="219"/>
    <w:bookmarkEnd w:id="220"/>
    <w:bookmarkStart w:id="228" w:name="X226e56e599206c5a0e190194c97e3e06913ca08"/>
    <w:p>
      <w:pPr>
        <w:pStyle w:val="Heading2"/>
        <w:spacing w:line="480" w:lineRule="auto"/>
      </w:pPr>
      <w:r>
        <w:t xml:space="preserve">A.2 The Capital-Markets Penalty for Debris Events: Event-Study Evidence on Operator Equity Returns</w:t>
      </w:r>
    </w:p>
    <w:p>
      <w:pPr>
        <w:pStyle w:val="FirstParagraph"/>
        <w:spacing w:line="480" w:lineRule="auto"/>
      </w:pPr>
      <m:oMathPara>
        <m:oMathParaPr>
          <m:jc m:val="center"/>
        </m:oMathParaPr>
        <m:oMath>
          <m:r>
            <m:t>C</m:t>
          </m:r>
          <m:r>
            <m:t>A</m:t>
          </m:r>
          <m:sSubSup>
            <m:e>
              <m:r>
                <m:t>R</m:t>
              </m:r>
            </m:e>
            <m:sub>
              <m:r>
                <m:t>i</m:t>
              </m:r>
              <m:r>
                <m:rPr>
                  <m:sty m:val="p"/>
                </m:rPr>
                <m:t>,</m:t>
              </m:r>
              <m:r>
                <m:t>t</m:t>
              </m:r>
            </m:sub>
            <m:sup>
              <m:r>
                <m:rPr>
                  <m:sty m:val="p"/>
                </m:rPr>
                <m:t>[</m:t>
              </m:r>
              <m:r>
                <m:rPr>
                  <m:sty m:val="p"/>
                </m:rPr>
                <m:t>−</m:t>
              </m:r>
              <m:r>
                <m:t>1</m:t>
              </m:r>
              <m:r>
                <m:rPr>
                  <m:sty m:val="p"/>
                </m:rPr>
                <m:t>,</m:t>
              </m:r>
              <m:r>
                <m:rPr>
                  <m:sty m:val="p"/>
                </m:rPr>
                <m:t>+</m:t>
              </m:r>
              <m:r>
                <m:t>1</m:t>
              </m:r>
              <m:r>
                <m:rPr>
                  <m:sty m:val="p"/>
                </m:rPr>
                <m:t>]</m:t>
              </m:r>
            </m:sup>
          </m:sSubSup>
          <m:r>
            <m:rPr>
              <m:sty m:val="p"/>
            </m:rPr>
            <m:t>=</m:t>
          </m:r>
          <m:r>
            <m:t>α</m:t>
          </m:r>
          <m:r>
            <m:rPr>
              <m:sty m:val="p"/>
            </m:rPr>
            <m:t>+</m:t>
          </m:r>
          <m:sSub>
            <m:e>
              <m:r>
                <m:t>β</m:t>
              </m:r>
            </m:e>
            <m:sub>
              <m:r>
                <m:t>1</m:t>
              </m:r>
            </m:sub>
          </m:sSub>
          <m:r>
            <m:t>S</m:t>
          </m:r>
          <m:r>
            <m:t>e</m:t>
          </m:r>
          <m:r>
            <m:t>v</m:t>
          </m:r>
          <m:r>
            <m:t>e</m:t>
          </m:r>
          <m:r>
            <m:t>r</m:t>
          </m:r>
          <m:r>
            <m:t>i</m:t>
          </m:r>
          <m:r>
            <m:t>t</m:t>
          </m:r>
          <m:sSub>
            <m:e>
              <m:r>
                <m:t>y</m:t>
              </m:r>
            </m:e>
            <m:sub>
              <m:r>
                <m:t>i</m:t>
              </m:r>
            </m:sub>
          </m:sSub>
          <m:r>
            <m:rPr>
              <m:sty m:val="p"/>
            </m:rPr>
            <m:t>+</m:t>
          </m:r>
          <m:sSub>
            <m:e>
              <m:r>
                <m:t>β</m:t>
              </m:r>
            </m:e>
            <m:sub>
              <m:r>
                <m:t>2</m:t>
              </m:r>
            </m:sub>
          </m:sSub>
          <m:r>
            <m:t>R</m:t>
          </m:r>
          <m:r>
            <m:t>e</m:t>
          </m:r>
          <m:r>
            <m:t>s</m:t>
          </m:r>
          <m:r>
            <m:t>p</m:t>
          </m:r>
          <m:r>
            <m:t>o</m:t>
          </m:r>
          <m:r>
            <m:t>n</m:t>
          </m:r>
          <m:r>
            <m:t>s</m:t>
          </m:r>
          <m:r>
            <m:t>i</m:t>
          </m:r>
          <m:r>
            <m:t>b</m:t>
          </m:r>
          <m:r>
            <m:t>l</m:t>
          </m:r>
          <m:sSub>
            <m:e>
              <m:r>
                <m:t>e</m:t>
              </m:r>
            </m:e>
            <m:sub>
              <m:r>
                <m:t>i</m:t>
              </m:r>
            </m:sub>
          </m:sSub>
          <m:r>
            <m:rPr>
              <m:sty m:val="p"/>
            </m:rPr>
            <m:t>+</m:t>
          </m:r>
          <m:sSub>
            <m:e>
              <m:r>
                <m:t>β</m:t>
              </m:r>
            </m:e>
            <m:sub>
              <m:r>
                <m:t>3</m:t>
              </m:r>
            </m:sub>
          </m:sSub>
          <m:r>
            <m:t>L</m:t>
          </m:r>
          <m:r>
            <m:t>i</m:t>
          </m:r>
          <m:r>
            <m:t>a</m:t>
          </m:r>
          <m:r>
            <m:t>b</m:t>
          </m:r>
          <m:r>
            <m:t>i</m:t>
          </m:r>
          <m:r>
            <m:t>l</m:t>
          </m:r>
          <m:r>
            <m:t>i</m:t>
          </m:r>
          <m:r>
            <m:t>t</m:t>
          </m:r>
          <m:sSub>
            <m:e>
              <m:r>
                <m:t>y</m:t>
              </m:r>
            </m:e>
            <m:sub>
              <m:r>
                <m:t>i</m:t>
              </m:r>
            </m:sub>
          </m:sSub>
          <m:r>
            <m:rPr>
              <m:sty m:val="p"/>
            </m:rPr>
            <m:t>+</m:t>
          </m:r>
          <m:sSub>
            <m:e>
              <m:r>
                <m:t>β</m:t>
              </m:r>
            </m:e>
            <m:sub>
              <m:r>
                <m:t>4</m:t>
              </m:r>
            </m:sub>
          </m:sSub>
          <m:r>
            <m:t>D</m:t>
          </m:r>
          <m:r>
            <m:t>e</m:t>
          </m:r>
          <m:r>
            <m:t>b</m:t>
          </m:r>
          <m:r>
            <m:t>r</m:t>
          </m:r>
          <m:r>
            <m:t>i</m:t>
          </m:r>
          <m:r>
            <m:t>s</m:t>
          </m:r>
          <m:r>
            <m:t>C</m:t>
          </m:r>
          <m:r>
            <m:t>o</m:t>
          </m:r>
          <m:r>
            <m:t>u</m:t>
          </m:r>
          <m:r>
            <m:t>n</m:t>
          </m:r>
          <m:sSub>
            <m:e>
              <m:r>
                <m:t>t</m:t>
              </m:r>
            </m:e>
            <m:sub>
              <m:r>
                <m:t>i</m:t>
              </m:r>
            </m:sub>
          </m:sSub>
          <m:r>
            <m:rPr>
              <m:sty m:val="p"/>
            </m:rPr>
            <m:t>+</m:t>
          </m:r>
          <m:sSub>
            <m:e>
              <m:r>
                <m:t>ϵ</m:t>
              </m:r>
            </m:e>
            <m:sub>
              <m:r>
                <m:t>i</m:t>
              </m:r>
            </m:sub>
          </m:sSub>
        </m:oMath>
      </m:oMathPara>
    </w:p>
    <w:bookmarkStart w:id="221"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1.5655</w:t>
            </w:r>
          </w:p>
        </w:tc>
        <w:tc>
          <w:tcPr>
            <w:tcW w:w="0" w:type="auto"/>
          </w:tcPr>
          <w:p>
            <w:pPr>
              <w:spacing w:line="240" w:lineRule="auto" w:before="0" w:after="0"/>
              <w:pStyle w:val="Compact"/>
            </w:pPr>
            <w:r>
              <w:rPr>
                <w:sz w:val="20"/>
                <w:szCs w:val="20"/>
              </w:rPr>
              <w:t xml:space="preserve">1.6012</w:t>
            </w:r>
          </w:p>
        </w:tc>
        <w:tc>
          <w:tcPr>
            <w:tcW w:w="0" w:type="auto"/>
          </w:tcPr>
          <w:p>
            <w:pPr>
              <w:spacing w:line="240" w:lineRule="auto" w:before="0" w:after="0"/>
              <w:pStyle w:val="Compact"/>
            </w:pPr>
            <w:r>
              <w:rPr>
                <w:sz w:val="20"/>
                <w:szCs w:val="20"/>
              </w:rPr>
              <w:t xml:space="preserve">0.9778</w:t>
            </w:r>
          </w:p>
        </w:tc>
        <w:tc>
          <w:tcPr>
            <w:tcW w:w="0" w:type="auto"/>
          </w:tcPr>
          <w:p>
            <w:pPr>
              <w:spacing w:line="240" w:lineRule="auto" w:before="0" w:after="0"/>
              <w:pStyle w:val="Compact"/>
            </w:pPr>
            <w:r>
              <w:rPr>
                <w:sz w:val="20"/>
                <w:szCs w:val="20"/>
              </w:rPr>
              <w:t xml:space="preserve">0.3282</w:t>
            </w:r>
          </w:p>
        </w:tc>
        <w:tc>
          <w:tcPr>
            <w:tcW w:w="0" w:type="auto"/>
          </w:tcPr>
          <w:p>
            <w:pPr>
              <w:spacing w:line="240" w:lineRule="auto" w:before="0" w:after="0"/>
              <w:pStyle w:val="Compact"/>
            </w:pPr>
            <w:r>
              <w:rPr>
                <w:sz w:val="20"/>
                <w:szCs w:val="20"/>
              </w:rPr>
              <w:t xml:space="preserve">[-1.5727, 4.7038]</w:t>
            </w:r>
          </w:p>
        </w:tc>
      </w:tr>
      <w:tr>
        <w:tc>
          <w:tcPr>
            <w:tcW w:w="0" w:type="auto"/>
          </w:tcPr>
          <w:p>
            <w:pPr>
              <w:spacing w:line="240" w:lineRule="auto" w:before="0" w:after="0"/>
              <w:pStyle w:val="Compact"/>
            </w:pPr>
            <w:r>
              <w:rPr>
                <w:sz w:val="20"/>
                <w:szCs w:val="20"/>
              </w:rPr>
              <w:t xml:space="preserve">event_severity_index</w:t>
            </w:r>
          </w:p>
        </w:tc>
        <w:tc>
          <w:tcPr>
            <w:tcW w:w="0" w:type="auto"/>
          </w:tcPr>
          <w:p>
            <w:pPr>
              <w:spacing w:line="240" w:lineRule="auto" w:before="0" w:after="0"/>
              <w:pStyle w:val="Compact"/>
            </w:pPr>
            <w:r>
              <w:rPr>
                <w:sz w:val="20"/>
                <w:szCs w:val="20"/>
              </w:rPr>
              <w:t xml:space="preserve">-0.6733</w:t>
            </w:r>
          </w:p>
        </w:tc>
        <w:tc>
          <w:tcPr>
            <w:tcW w:w="0" w:type="auto"/>
          </w:tcPr>
          <w:p>
            <w:pPr>
              <w:spacing w:line="240" w:lineRule="auto" w:before="0" w:after="0"/>
              <w:pStyle w:val="Compact"/>
            </w:pPr>
            <w:r>
              <w:rPr>
                <w:sz w:val="20"/>
                <w:szCs w:val="20"/>
              </w:rPr>
              <w:t xml:space="preserve">0.3797</w:t>
            </w:r>
          </w:p>
        </w:tc>
        <w:tc>
          <w:tcPr>
            <w:tcW w:w="0" w:type="auto"/>
          </w:tcPr>
          <w:p>
            <w:pPr>
              <w:spacing w:line="240" w:lineRule="auto" w:before="0" w:after="0"/>
              <w:pStyle w:val="Compact"/>
            </w:pPr>
            <w:r>
              <w:rPr>
                <w:sz w:val="20"/>
                <w:szCs w:val="20"/>
              </w:rPr>
              <w:t xml:space="preserve">-1.7731</w:t>
            </w:r>
          </w:p>
        </w:tc>
        <w:tc>
          <w:tcPr>
            <w:tcW w:w="0" w:type="auto"/>
          </w:tcPr>
          <w:p>
            <w:pPr>
              <w:spacing w:line="240" w:lineRule="auto" w:before="0" w:after="0"/>
              <w:pStyle w:val="Compact"/>
            </w:pPr>
            <w:r>
              <w:rPr>
                <w:sz w:val="20"/>
                <w:szCs w:val="20"/>
              </w:rPr>
              <w:t xml:space="preserve">0.0762</w:t>
            </w:r>
          </w:p>
        </w:tc>
        <w:tc>
          <w:tcPr>
            <w:tcW w:w="0" w:type="auto"/>
          </w:tcPr>
          <w:p>
            <w:pPr>
              <w:spacing w:line="240" w:lineRule="auto" w:before="0" w:after="0"/>
              <w:pStyle w:val="Compact"/>
            </w:pPr>
            <w:r>
              <w:rPr>
                <w:sz w:val="20"/>
                <w:szCs w:val="20"/>
              </w:rPr>
              <w:t xml:space="preserve">[-1.4175, 0.071]</w:t>
            </w:r>
          </w:p>
        </w:tc>
      </w:tr>
      <w:tr>
        <w:tc>
          <w:tcPr>
            <w:tcW w:w="0" w:type="auto"/>
          </w:tcPr>
          <w:p>
            <w:pPr>
              <w:spacing w:line="240" w:lineRule="auto" w:before="0" w:after="0"/>
              <w:pStyle w:val="Compact"/>
            </w:pPr>
            <w:r>
              <w:rPr>
                <w:sz w:val="20"/>
                <w:szCs w:val="20"/>
              </w:rPr>
              <w:t xml:space="preserve">operator_responsible</w:t>
            </w:r>
          </w:p>
        </w:tc>
        <w:tc>
          <w:tcPr>
            <w:tcW w:w="0" w:type="auto"/>
          </w:tcPr>
          <w:p>
            <w:pPr>
              <w:spacing w:line="240" w:lineRule="auto" w:before="0" w:after="0"/>
              <w:pStyle w:val="Compact"/>
            </w:pPr>
            <w:r>
              <w:rPr>
                <w:sz w:val="20"/>
                <w:szCs w:val="20"/>
              </w:rPr>
              <w:t xml:space="preserve">1.1826</w:t>
            </w:r>
          </w:p>
        </w:tc>
        <w:tc>
          <w:tcPr>
            <w:tcW w:w="0" w:type="auto"/>
          </w:tcPr>
          <w:p>
            <w:pPr>
              <w:spacing w:line="240" w:lineRule="auto" w:before="0" w:after="0"/>
              <w:pStyle w:val="Compact"/>
            </w:pPr>
            <w:r>
              <w:rPr>
                <w:sz w:val="20"/>
                <w:szCs w:val="20"/>
              </w:rPr>
              <w:t xml:space="preserve">0.9929</w:t>
            </w:r>
          </w:p>
        </w:tc>
        <w:tc>
          <w:tcPr>
            <w:tcW w:w="0" w:type="auto"/>
          </w:tcPr>
          <w:p>
            <w:pPr>
              <w:spacing w:line="240" w:lineRule="auto" w:before="0" w:after="0"/>
              <w:pStyle w:val="Compact"/>
            </w:pPr>
            <w:r>
              <w:rPr>
                <w:sz w:val="20"/>
                <w:szCs w:val="20"/>
              </w:rPr>
              <w:t xml:space="preserve">1.1911</w:t>
            </w:r>
          </w:p>
        </w:tc>
        <w:tc>
          <w:tcPr>
            <w:tcW w:w="0" w:type="auto"/>
          </w:tcPr>
          <w:p>
            <w:pPr>
              <w:spacing w:line="240" w:lineRule="auto" w:before="0" w:after="0"/>
              <w:pStyle w:val="Compact"/>
            </w:pPr>
            <w:r>
              <w:rPr>
                <w:sz w:val="20"/>
                <w:szCs w:val="20"/>
              </w:rPr>
              <w:t xml:space="preserve">0.2336</w:t>
            </w:r>
          </w:p>
        </w:tc>
        <w:tc>
          <w:tcPr>
            <w:tcW w:w="0" w:type="auto"/>
          </w:tcPr>
          <w:p>
            <w:pPr>
              <w:spacing w:line="240" w:lineRule="auto" w:before="0" w:after="0"/>
              <w:pStyle w:val="Compact"/>
            </w:pPr>
            <w:r>
              <w:rPr>
                <w:sz w:val="20"/>
                <w:szCs w:val="20"/>
              </w:rPr>
              <w:t xml:space="preserve">[-0.7635, 3.1287]</w:t>
            </w:r>
          </w:p>
        </w:tc>
      </w:tr>
      <w:tr>
        <w:tc>
          <w:tcPr>
            <w:tcW w:w="0" w:type="auto"/>
          </w:tcPr>
          <w:p>
            <w:pPr>
              <w:spacing w:line="240" w:lineRule="auto" w:before="0" w:after="0"/>
              <w:pStyle w:val="Compact"/>
            </w:pPr>
            <w:r>
              <w:rPr>
                <w:sz w:val="20"/>
                <w:szCs w:val="20"/>
              </w:rPr>
              <w:t xml:space="preserve">liability_claim</w:t>
            </w:r>
          </w:p>
        </w:tc>
        <w:tc>
          <w:tcPr>
            <w:tcW w:w="0" w:type="auto"/>
          </w:tcPr>
          <w:p>
            <w:pPr>
              <w:spacing w:line="240" w:lineRule="auto" w:before="0" w:after="0"/>
              <w:pStyle w:val="Compact"/>
            </w:pPr>
            <w:r>
              <w:rPr>
                <w:sz w:val="20"/>
                <w:szCs w:val="20"/>
              </w:rPr>
              <w:t xml:space="preserve">-6.3779</w:t>
            </w:r>
          </w:p>
        </w:tc>
        <w:tc>
          <w:tcPr>
            <w:tcW w:w="0" w:type="auto"/>
          </w:tcPr>
          <w:p>
            <w:pPr>
              <w:spacing w:line="240" w:lineRule="auto" w:before="0" w:after="0"/>
              <w:pStyle w:val="Compact"/>
            </w:pPr>
            <w:r>
              <w:rPr>
                <w:sz w:val="20"/>
                <w:szCs w:val="20"/>
              </w:rPr>
              <w:t xml:space="preserve">1.5321</w:t>
            </w:r>
          </w:p>
        </w:tc>
        <w:tc>
          <w:tcPr>
            <w:tcW w:w="0" w:type="auto"/>
          </w:tcPr>
          <w:p>
            <w:pPr>
              <w:spacing w:line="240" w:lineRule="auto" w:before="0" w:after="0"/>
              <w:pStyle w:val="Compact"/>
            </w:pPr>
            <w:r>
              <w:rPr>
                <w:sz w:val="20"/>
                <w:szCs w:val="20"/>
              </w:rPr>
              <w:t xml:space="preserve">-4.1627</w:t>
            </w:r>
          </w:p>
        </w:tc>
        <w:tc>
          <w:tcPr>
            <w:tcW w:w="0" w:type="auto"/>
          </w:tcPr>
          <w:p>
            <w:pPr>
              <w:spacing w:line="240" w:lineRule="auto" w:before="0" w:after="0"/>
              <w:pStyle w:val="Compact"/>
            </w:pPr>
            <w:r>
              <w:rPr>
                <w:sz w:val="20"/>
                <w:szCs w:val="20"/>
              </w:rPr>
              <w:t xml:space="preserve">3.144e-05</w:t>
            </w:r>
          </w:p>
        </w:tc>
        <w:tc>
          <w:tcPr>
            <w:tcW w:w="0" w:type="auto"/>
          </w:tcPr>
          <w:p>
            <w:pPr>
              <w:spacing w:line="240" w:lineRule="auto" w:before="0" w:after="0"/>
              <w:pStyle w:val="Compact"/>
            </w:pPr>
            <w:r>
              <w:rPr>
                <w:sz w:val="20"/>
                <w:szCs w:val="20"/>
              </w:rPr>
              <w:t xml:space="preserve">[-9.3809, -3.375]</w:t>
            </w:r>
          </w:p>
        </w:tc>
      </w:tr>
      <w:tr>
        <w:tc>
          <w:tcPr>
            <w:tcW w:w="0" w:type="auto"/>
          </w:tcPr>
          <w:p>
            <w:pPr>
              <w:spacing w:line="240" w:lineRule="auto" w:before="0" w:after="0"/>
              <w:pStyle w:val="Compact"/>
            </w:pPr>
            <w:r>
              <w:rPr>
                <w:sz w:val="20"/>
                <w:szCs w:val="20"/>
              </w:rPr>
              <w:t xml:space="preserve">debris_count</w:t>
            </w:r>
          </w:p>
        </w:tc>
        <w:tc>
          <w:tcPr>
            <w:tcW w:w="0" w:type="auto"/>
          </w:tcPr>
          <w:p>
            <w:pPr>
              <w:spacing w:line="240" w:lineRule="auto" w:before="0" w:after="0"/>
              <w:pStyle w:val="Compact"/>
            </w:pPr>
            <w:r>
              <w:rPr>
                <w:sz w:val="20"/>
                <w:szCs w:val="20"/>
              </w:rPr>
              <w:t xml:space="preserve">0.002</w:t>
            </w:r>
          </w:p>
        </w:tc>
        <w:tc>
          <w:tcPr>
            <w:tcW w:w="0" w:type="auto"/>
          </w:tcPr>
          <w:p>
            <w:pPr>
              <w:spacing w:line="240" w:lineRule="auto" w:before="0" w:after="0"/>
              <w:pStyle w:val="Compact"/>
            </w:pPr>
            <w:r>
              <w:rPr>
                <w:sz w:val="20"/>
                <w:szCs w:val="20"/>
              </w:rPr>
              <w:t xml:space="preserve">0.0009749</w:t>
            </w:r>
          </w:p>
        </w:tc>
        <w:tc>
          <w:tcPr>
            <w:tcW w:w="0" w:type="auto"/>
          </w:tcPr>
          <w:p>
            <w:pPr>
              <w:spacing w:line="240" w:lineRule="auto" w:before="0" w:after="0"/>
              <w:pStyle w:val="Compact"/>
            </w:pPr>
            <w:r>
              <w:rPr>
                <w:sz w:val="20"/>
                <w:szCs w:val="20"/>
              </w:rPr>
              <w:t xml:space="preserve">2.0424</w:t>
            </w:r>
          </w:p>
        </w:tc>
        <w:tc>
          <w:tcPr>
            <w:tcW w:w="0" w:type="auto"/>
          </w:tcPr>
          <w:p>
            <w:pPr>
              <w:spacing w:line="240" w:lineRule="auto" w:before="0" w:after="0"/>
              <w:pStyle w:val="Compact"/>
            </w:pPr>
            <w:r>
              <w:rPr>
                <w:sz w:val="20"/>
                <w:szCs w:val="20"/>
              </w:rPr>
              <w:t xml:space="preserve">0.0411</w:t>
            </w:r>
          </w:p>
        </w:tc>
        <w:tc>
          <w:tcPr>
            <w:tcW w:w="0" w:type="auto"/>
          </w:tcPr>
          <w:p>
            <w:pPr>
              <w:spacing w:line="240" w:lineRule="auto" w:before="0" w:after="0"/>
              <w:pStyle w:val="Compact"/>
            </w:pPr>
            <w:r>
              <w:rPr>
                <w:sz w:val="20"/>
                <w:szCs w:val="20"/>
              </w:rPr>
              <w:t xml:space="preserve">[8.039e-05, 0.0039]</w:t>
            </w:r>
          </w:p>
        </w:tc>
      </w:tr>
    </w:tbl>
    <w:p>
      <w:pPr>
        <w:pStyle w:val="BodyText"/>
        <w:spacing w:line="480" w:lineRule="auto"/>
        <w:ind w:firstLine="720"/>
      </w:pPr>
      <w:r>
        <w:t xml:space="preserve">Fit: N = 35 R2 = 0.6559 R2_adj = 0.61 F = 15.0018 F_p = 7.657e-07</w:t>
      </w:r>
    </w:p>
    <w:bookmarkEnd w:id="221"/>
    <w:bookmarkStart w:id="225"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Three-day cumulative abnormal return against event severity index for 35 documented debris and operational-anomaly events affecting publicly traded satellite operators, 1999-2022." title="" id="223" name="Picture"/>
            <a:graphic>
              <a:graphicData uri="http://schemas.openxmlformats.org/drawingml/2006/picture">
                <pic:pic>
                  <pic:nvPicPr>
                    <pic:cNvPr descr="D:/Claude_Code/brain/collegium/candidates/dissertations/DEBRIS_12/research_papers/p2/paper_fig1.png" id="224" name="Picture"/>
                    <pic:cNvPicPr>
                      <a:picLocks noChangeArrowheads="1" noChangeAspect="1"/>
                    </pic:cNvPicPr>
                  </pic:nvPicPr>
                  <pic:blipFill>
                    <a:blip r:embed="rId222"/>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Three-day cumulative abnormal return against event severity index for 35 documented debris and operational-anomaly events affecting publicly traded satellite operators, 1999-2022.</w:t>
      </w:r>
    </w:p>
    <w:bookmarkEnd w:id="225"/>
    <w:bookmarkStart w:id="226"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660"/>
        <w:gridCol w:w="660"/>
        <w:gridCol w:w="660"/>
        <w:gridCol w:w="660"/>
        <w:gridCol w:w="660"/>
        <w:gridCol w:w="660"/>
        <w:gridCol w:w="660"/>
        <w:gridCol w:w="660"/>
        <w:gridCol w:w="660"/>
        <w:gridCol w:w="660"/>
        <w:gridCol w:w="660"/>
        <w:gridCol w:w="660"/>
      </w:tblGrid>
      <w:tr>
        <w:trPr>
          <w:tblHeader w:val="on"/>
        </w:trPr>
        <w:tc>
          <w:tcPr>
            <w:tcW w:w="0" w:type="auto"/>
          </w:tcPr>
          <w:p>
            <w:pPr>
              <w:spacing w:line="240" w:lineRule="auto" w:before="0" w:after="0"/>
              <w:pStyle w:val="Compact"/>
            </w:pPr>
            <w:r>
              <w:rPr>
                <w:sz w:val="20"/>
                <w:szCs w:val="20"/>
              </w:rPr>
              <w:t xml:space="preserve">event_id</w:t>
            </w:r>
          </w:p>
        </w:tc>
        <w:tc>
          <w:tcPr>
            <w:tcW w:w="0" w:type="auto"/>
          </w:tcPr>
          <w:p>
            <w:pPr>
              <w:spacing w:line="240" w:lineRule="auto" w:before="0" w:after="0"/>
              <w:pStyle w:val="Compact"/>
            </w:pPr>
            <w:r>
              <w:rPr>
                <w:sz w:val="20"/>
                <w:szCs w:val="20"/>
              </w:rPr>
              <w:t xml:space="preserve">year</w:t>
            </w:r>
          </w:p>
        </w:tc>
        <w:tc>
          <w:tcPr>
            <w:tcW w:w="0" w:type="auto"/>
          </w:tcPr>
          <w:p>
            <w:pPr>
              <w:spacing w:line="240" w:lineRule="auto" w:before="0" w:after="0"/>
              <w:pStyle w:val="Compact"/>
            </w:pPr>
            <w:r>
              <w:rPr>
                <w:sz w:val="20"/>
                <w:szCs w:val="20"/>
              </w:rPr>
              <w:t xml:space="preserve">operator</w:t>
            </w:r>
          </w:p>
        </w:tc>
        <w:tc>
          <w:tcPr>
            <w:tcW w:w="0" w:type="auto"/>
          </w:tcPr>
          <w:p>
            <w:pPr>
              <w:spacing w:line="240" w:lineRule="auto" w:before="0" w:after="0"/>
              <w:pStyle w:val="Compact"/>
            </w:pPr>
            <w:r>
              <w:rPr>
                <w:sz w:val="20"/>
                <w:szCs w:val="20"/>
              </w:rPr>
              <w:t xml:space="preserve">event_type</w:t>
            </w:r>
          </w:p>
        </w:tc>
        <w:tc>
          <w:tcPr>
            <w:tcW w:w="0" w:type="auto"/>
          </w:tcPr>
          <w:p>
            <w:pPr>
              <w:spacing w:line="240" w:lineRule="auto" w:before="0" w:after="0"/>
              <w:pStyle w:val="Compact"/>
            </w:pPr>
            <w:r>
              <w:rPr>
                <w:sz w:val="20"/>
                <w:szCs w:val="20"/>
              </w:rPr>
              <w:t xml:space="preserve">debris_count</w:t>
            </w:r>
          </w:p>
        </w:tc>
        <w:tc>
          <w:tcPr>
            <w:tcW w:w="0" w:type="auto"/>
          </w:tcPr>
          <w:p>
            <w:pPr>
              <w:spacing w:line="240" w:lineRule="auto" w:before="0" w:after="0"/>
              <w:pStyle w:val="Compact"/>
            </w:pPr>
            <w:r>
              <w:rPr>
                <w:sz w:val="20"/>
                <w:szCs w:val="20"/>
              </w:rPr>
              <w:t xml:space="preserve">operator_responsible</w:t>
            </w:r>
          </w:p>
        </w:tc>
        <w:tc>
          <w:tcPr>
            <w:tcW w:w="0" w:type="auto"/>
          </w:tcPr>
          <w:p>
            <w:pPr>
              <w:spacing w:line="240" w:lineRule="auto" w:before="0" w:after="0"/>
              <w:pStyle w:val="Compact"/>
            </w:pPr>
            <w:r>
              <w:rPr>
                <w:sz w:val="20"/>
                <w:szCs w:val="20"/>
              </w:rPr>
              <w:t xml:space="preserve">operator_public</w:t>
            </w:r>
          </w:p>
        </w:tc>
        <w:tc>
          <w:tcPr>
            <w:tcW w:w="0" w:type="auto"/>
          </w:tcPr>
          <w:p>
            <w:pPr>
              <w:spacing w:line="240" w:lineRule="auto" w:before="0" w:after="0"/>
              <w:pStyle w:val="Compact"/>
            </w:pPr>
            <w:r>
              <w:rPr>
                <w:sz w:val="20"/>
                <w:szCs w:val="20"/>
              </w:rPr>
              <w:t xml:space="preserve">car_3day_pct</w:t>
            </w:r>
          </w:p>
        </w:tc>
        <w:tc>
          <w:tcPr>
            <w:tcW w:w="0" w:type="auto"/>
          </w:tcPr>
          <w:p>
            <w:pPr>
              <w:spacing w:line="240" w:lineRule="auto" w:before="0" w:after="0"/>
              <w:pStyle w:val="Compact"/>
            </w:pPr>
            <w:r>
              <w:rPr>
                <w:sz w:val="20"/>
                <w:szCs w:val="20"/>
              </w:rPr>
              <w:t xml:space="preserve">car_10day_pct</w:t>
            </w:r>
          </w:p>
        </w:tc>
        <w:tc>
          <w:tcPr>
            <w:tcW w:w="0" w:type="auto"/>
          </w:tcPr>
          <w:p>
            <w:pPr>
              <w:spacing w:line="240" w:lineRule="auto" w:before="0" w:after="0"/>
              <w:pStyle w:val="Compact"/>
            </w:pPr>
            <w:r>
              <w:rPr>
                <w:sz w:val="20"/>
                <w:szCs w:val="20"/>
              </w:rPr>
              <w:t xml:space="preserve">event_severity_index</w:t>
            </w:r>
          </w:p>
        </w:tc>
        <w:tc>
          <w:tcPr>
            <w:tcW w:w="0" w:type="auto"/>
          </w:tcPr>
          <w:p>
            <w:pPr>
              <w:spacing w:line="240" w:lineRule="auto" w:before="0" w:after="0"/>
              <w:pStyle w:val="Compact"/>
            </w:pPr>
            <w:r>
              <w:rPr>
                <w:sz w:val="20"/>
                <w:szCs w:val="20"/>
              </w:rPr>
              <w:t xml:space="preserve">liability_claim</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IRID33_COS2251</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Iridium</w:t>
            </w:r>
          </w:p>
        </w:tc>
        <w:tc>
          <w:tcPr>
            <w:tcW w:w="0" w:type="auto"/>
          </w:tcPr>
          <w:p>
            <w:pPr>
              <w:spacing w:line="240" w:lineRule="auto" w:before="0" w:after="0"/>
              <w:pStyle w:val="Compact"/>
            </w:pPr>
            <w:r>
              <w:rPr>
                <w:sz w:val="20"/>
                <w:szCs w:val="20"/>
              </w:rPr>
              <w:t xml:space="preserve">collision</w:t>
            </w:r>
          </w:p>
        </w:tc>
        <w:tc>
          <w:tcPr>
            <w:tcW w:w="0" w:type="auto"/>
          </w:tcPr>
          <w:p>
            <w:pPr>
              <w:spacing w:line="240" w:lineRule="auto" w:before="0" w:after="0"/>
              <w:pStyle w:val="Compact"/>
            </w:pPr>
            <w:r>
              <w:rPr>
                <w:sz w:val="20"/>
                <w:szCs w:val="20"/>
              </w:rPr>
              <w:t xml:space="preserve">2296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Orbital Debris Quarterly News v13i2 Apr 2009; Kelso TS 2009 AMOS Conf</w:t>
            </w:r>
          </w:p>
        </w:tc>
      </w:tr>
      <w:tr>
        <w:tc>
          <w:tcPr>
            <w:tcW w:w="0" w:type="auto"/>
          </w:tcPr>
          <w:p>
            <w:pPr>
              <w:spacing w:line="240" w:lineRule="auto" w:before="0" w:after="0"/>
              <w:pStyle w:val="Compact"/>
            </w:pPr>
            <w:r>
              <w:rPr>
                <w:sz w:val="20"/>
                <w:szCs w:val="20"/>
              </w:rPr>
              <w:t xml:space="preserve">FENGYUN1C</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CNSA</w:t>
            </w:r>
          </w:p>
        </w:tc>
        <w:tc>
          <w:tcPr>
            <w:tcW w:w="0" w:type="auto"/>
          </w:tcPr>
          <w:p>
            <w:pPr>
              <w:spacing w:line="240" w:lineRule="auto" w:before="0" w:after="0"/>
              <w:pStyle w:val="Compact"/>
            </w:pPr>
            <w:r>
              <w:rPr>
                <w:sz w:val="20"/>
                <w:szCs w:val="20"/>
              </w:rPr>
              <w:t xml:space="preserve">asat_test</w:t>
            </w:r>
          </w:p>
        </w:tc>
        <w:tc>
          <w:tcPr>
            <w:tcW w:w="0" w:type="auto"/>
          </w:tcPr>
          <w:p>
            <w:pPr>
              <w:spacing w:line="240" w:lineRule="auto" w:before="0" w:after="0"/>
              <w:pStyle w:val="Compact"/>
            </w:pPr>
            <w:r>
              <w:rPr>
                <w:sz w:val="20"/>
                <w:szCs w:val="20"/>
              </w:rPr>
              <w:t xml:space="preserve">3438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Orbital Debris Quarterly News v11i2 Apr 2007; Pardini &amp; Anselmo 2009 Acta Astronautica [illustrative CAR]</w:t>
            </w:r>
          </w:p>
        </w:tc>
      </w:tr>
      <w:tr>
        <w:tc>
          <w:tcPr>
            <w:tcW w:w="0" w:type="auto"/>
          </w:tcPr>
          <w:p>
            <w:pPr>
              <w:spacing w:line="240" w:lineRule="auto" w:before="0" w:after="0"/>
              <w:pStyle w:val="Compact"/>
            </w:pPr>
            <w:r>
              <w:rPr>
                <w:sz w:val="20"/>
                <w:szCs w:val="20"/>
              </w:rPr>
              <w:t xml:space="preserve">COSMOS1408</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Roscosmos</w:t>
            </w:r>
          </w:p>
        </w:tc>
        <w:tc>
          <w:tcPr>
            <w:tcW w:w="0" w:type="auto"/>
          </w:tcPr>
          <w:p>
            <w:pPr>
              <w:spacing w:line="240" w:lineRule="auto" w:before="0" w:after="0"/>
              <w:pStyle w:val="Compact"/>
            </w:pPr>
            <w:r>
              <w:rPr>
                <w:sz w:val="20"/>
                <w:szCs w:val="20"/>
              </w:rPr>
              <w:t xml:space="preserve">asat_test</w:t>
            </w:r>
          </w:p>
        </w:tc>
        <w:tc>
          <w:tcPr>
            <w:tcW w:w="0" w:type="auto"/>
          </w:tcPr>
          <w:p>
            <w:pPr>
              <w:spacing w:line="240" w:lineRule="auto" w:before="0" w:after="0"/>
              <w:pStyle w:val="Compact"/>
            </w:pPr>
            <w:r>
              <w:rPr>
                <w:sz w:val="20"/>
                <w:szCs w:val="20"/>
              </w:rPr>
              <w:t xml:space="preserve">1783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US State Dept Press Statement 15 Nov 2021; Hitchens T CSIS 2021</w:t>
            </w:r>
          </w:p>
        </w:tc>
      </w:tr>
      <w:tr>
        <w:tc>
          <w:tcPr>
            <w:tcW w:w="0" w:type="auto"/>
          </w:tcPr>
          <w:p>
            <w:pPr>
              <w:spacing w:line="240" w:lineRule="auto" w:before="0" w:after="0"/>
              <w:pStyle w:val="Compact"/>
            </w:pPr>
            <w:r>
              <w:rPr>
                <w:sz w:val="20"/>
                <w:szCs w:val="20"/>
              </w:rPr>
              <w:t xml:space="preserve">MICROSAT_R</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ISRO</w:t>
            </w:r>
          </w:p>
        </w:tc>
        <w:tc>
          <w:tcPr>
            <w:tcW w:w="0" w:type="auto"/>
          </w:tcPr>
          <w:p>
            <w:pPr>
              <w:spacing w:line="240" w:lineRule="auto" w:before="0" w:after="0"/>
              <w:pStyle w:val="Compact"/>
            </w:pPr>
            <w:r>
              <w:rPr>
                <w:sz w:val="20"/>
                <w:szCs w:val="20"/>
              </w:rPr>
              <w:t xml:space="preserve">asat_test</w:t>
            </w:r>
          </w:p>
        </w:tc>
        <w:tc>
          <w:tcPr>
            <w:tcW w:w="0" w:type="auto"/>
          </w:tcPr>
          <w:p>
            <w:pPr>
              <w:spacing w:line="240" w:lineRule="auto" w:before="0" w:after="0"/>
              <w:pStyle w:val="Compact"/>
            </w:pPr>
            <w:r>
              <w:rPr>
                <w:sz w:val="20"/>
                <w:szCs w:val="20"/>
              </w:rPr>
              <w:t xml:space="preserve">400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Administrator Bridenstine Statement 1 Apr 2019; Weeden 2019 Secure World Found</w:t>
            </w:r>
          </w:p>
        </w:tc>
      </w:tr>
      <w:tr>
        <w:tc>
          <w:tcPr>
            <w:tcW w:w="0" w:type="auto"/>
          </w:tcPr>
          <w:p>
            <w:pPr>
              <w:spacing w:line="240" w:lineRule="auto" w:before="0" w:after="0"/>
              <w:pStyle w:val="Compact"/>
            </w:pPr>
            <w:r>
              <w:rPr>
                <w:sz w:val="20"/>
                <w:szCs w:val="20"/>
              </w:rPr>
              <w:t xml:space="preserve">NOAA16</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NOAA</w:t>
            </w:r>
          </w:p>
        </w:tc>
        <w:tc>
          <w:tcPr>
            <w:tcW w:w="0" w:type="auto"/>
          </w:tcPr>
          <w:p>
            <w:pPr>
              <w:spacing w:line="240" w:lineRule="auto" w:before="0" w:after="0"/>
              <w:pStyle w:val="Compact"/>
            </w:pPr>
            <w:r>
              <w:rPr>
                <w:sz w:val="20"/>
                <w:szCs w:val="20"/>
              </w:rPr>
              <w:t xml:space="preserve">breakup</w:t>
            </w:r>
          </w:p>
        </w:tc>
        <w:tc>
          <w:tcPr>
            <w:tcW w:w="0" w:type="auto"/>
          </w:tcPr>
          <w:p>
            <w:pPr>
              <w:spacing w:line="240" w:lineRule="auto" w:before="0" w:after="0"/>
              <w:pStyle w:val="Compact"/>
            </w:pPr>
            <w:r>
              <w:rPr>
                <w:sz w:val="20"/>
                <w:szCs w:val="20"/>
              </w:rPr>
              <w:t xml:space="preserve">458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ODQN v20i1 Jan 2016; Anz-Meador 2018 AMOS Conf</w:t>
            </w:r>
          </w:p>
        </w:tc>
      </w:tr>
      <w:tr>
        <w:tc>
          <w:tcPr>
            <w:tcW w:w="0" w:type="auto"/>
          </w:tcPr>
          <w:p>
            <w:pPr>
              <w:spacing w:line="240" w:lineRule="auto" w:before="0" w:after="0"/>
              <w:pStyle w:val="Compact"/>
            </w:pPr>
            <w:r>
              <w:rPr>
                <w:sz w:val="20"/>
                <w:szCs w:val="20"/>
              </w:rPr>
              <w:t xml:space="preserve">DMSP_F13</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USAF</w:t>
            </w:r>
          </w:p>
        </w:tc>
        <w:tc>
          <w:tcPr>
            <w:tcW w:w="0" w:type="auto"/>
          </w:tcPr>
          <w:p>
            <w:pPr>
              <w:spacing w:line="240" w:lineRule="auto" w:before="0" w:after="0"/>
              <w:pStyle w:val="Compact"/>
            </w:pPr>
            <w:r>
              <w:rPr>
                <w:sz w:val="20"/>
                <w:szCs w:val="20"/>
              </w:rPr>
              <w:t xml:space="preserve">breakup</w:t>
            </w:r>
          </w:p>
        </w:tc>
        <w:tc>
          <w:tcPr>
            <w:tcW w:w="0" w:type="auto"/>
          </w:tcPr>
          <w:p>
            <w:pPr>
              <w:spacing w:line="240" w:lineRule="auto" w:before="0" w:after="0"/>
              <w:pStyle w:val="Compact"/>
            </w:pPr>
            <w:r>
              <w:rPr>
                <w:sz w:val="20"/>
                <w:szCs w:val="20"/>
              </w:rPr>
              <w:t xml:space="preserve">194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ODQN v19i2 Apr 2015; Defense Meteorological Sat Prog public release</w:t>
            </w:r>
          </w:p>
        </w:tc>
      </w:tr>
      <w:tr>
        <w:tc>
          <w:tcPr>
            <w:tcW w:w="0" w:type="auto"/>
          </w:tcPr>
          <w:p>
            <w:pPr>
              <w:spacing w:line="240" w:lineRule="auto" w:before="0" w:after="0"/>
              <w:pStyle w:val="Compact"/>
            </w:pPr>
            <w:r>
              <w:rPr>
                <w:sz w:val="20"/>
                <w:szCs w:val="20"/>
              </w:rPr>
              <w:t xml:space="preserve">NIMBUS4_RB</w:t>
            </w:r>
          </w:p>
        </w:tc>
        <w:tc>
          <w:tcPr>
            <w:tcW w:w="0" w:type="auto"/>
          </w:tcPr>
          <w:p>
            <w:pPr>
              <w:spacing w:line="240" w:lineRule="auto" w:before="0" w:after="0"/>
              <w:pStyle w:val="Compact"/>
            </w:pPr>
            <w:r>
              <w:rPr>
                <w:sz w:val="20"/>
                <w:szCs w:val="20"/>
              </w:rPr>
              <w:t xml:space="preserve">1970</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breakup</w:t>
            </w:r>
          </w:p>
        </w:tc>
        <w:tc>
          <w:tcPr>
            <w:tcW w:w="0" w:type="auto"/>
          </w:tcPr>
          <w:p>
            <w:pPr>
              <w:spacing w:line="240" w:lineRule="auto" w:before="0" w:after="0"/>
              <w:pStyle w:val="Compact"/>
            </w:pPr>
            <w:r>
              <w:rPr>
                <w:sz w:val="20"/>
                <w:szCs w:val="20"/>
              </w:rPr>
              <w:t xml:space="preserve">374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Orbital Debris History Report 2008; [illustrative CAR]</w:t>
            </w:r>
          </w:p>
        </w:tc>
      </w:tr>
      <w:tr>
        <w:tc>
          <w:tcPr>
            <w:tcW w:w="0" w:type="auto"/>
          </w:tcPr>
          <w:p>
            <w:pPr>
              <w:spacing w:line="240" w:lineRule="auto" w:before="0" w:after="0"/>
              <w:pStyle w:val="Compact"/>
            </w:pPr>
            <w:r>
              <w:rPr>
                <w:sz w:val="20"/>
                <w:szCs w:val="20"/>
              </w:rPr>
              <w:t xml:space="preserve">PSLV_R_2001</w:t>
            </w:r>
          </w:p>
        </w:tc>
        <w:tc>
          <w:tcPr>
            <w:tcW w:w="0" w:type="auto"/>
          </w:tcPr>
          <w:p>
            <w:pPr>
              <w:spacing w:line="240" w:lineRule="auto" w:before="0" w:after="0"/>
              <w:pStyle w:val="Compact"/>
            </w:pPr>
            <w:r>
              <w:rPr>
                <w:sz w:val="20"/>
                <w:szCs w:val="20"/>
              </w:rPr>
              <w:t xml:space="preserve">2001</w:t>
            </w:r>
          </w:p>
        </w:tc>
        <w:tc>
          <w:tcPr>
            <w:tcW w:w="0" w:type="auto"/>
          </w:tcPr>
          <w:p>
            <w:pPr>
              <w:spacing w:line="240" w:lineRule="auto" w:before="0" w:after="0"/>
              <w:pStyle w:val="Compact"/>
            </w:pPr>
            <w:r>
              <w:rPr>
                <w:sz w:val="20"/>
                <w:szCs w:val="20"/>
              </w:rPr>
              <w:t xml:space="preserve">ISRO</w:t>
            </w:r>
          </w:p>
        </w:tc>
        <w:tc>
          <w:tcPr>
            <w:tcW w:w="0" w:type="auto"/>
          </w:tcPr>
          <w:p>
            <w:pPr>
              <w:spacing w:line="240" w:lineRule="auto" w:before="0" w:after="0"/>
              <w:pStyle w:val="Compact"/>
            </w:pPr>
            <w:r>
              <w:rPr>
                <w:sz w:val="20"/>
                <w:szCs w:val="20"/>
              </w:rPr>
              <w:t xml:space="preserve">breakup</w:t>
            </w:r>
          </w:p>
        </w:tc>
        <w:tc>
          <w:tcPr>
            <w:tcW w:w="0" w:type="auto"/>
          </w:tcPr>
          <w:p>
            <w:pPr>
              <w:spacing w:line="240" w:lineRule="auto" w:before="0" w:after="0"/>
              <w:pStyle w:val="Compact"/>
            </w:pPr>
            <w:r>
              <w:rPr>
                <w:sz w:val="20"/>
                <w:szCs w:val="20"/>
              </w:rPr>
              <w:t xml:space="preserve">376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ODQN v6i1 Jan 2002</w:t>
            </w:r>
          </w:p>
        </w:tc>
      </w:tr>
      <w:tr>
        <w:tc>
          <w:tcPr>
            <w:tcW w:w="0" w:type="auto"/>
          </w:tcPr>
          <w:p>
            <w:pPr>
              <w:spacing w:line="240" w:lineRule="auto" w:before="0" w:after="0"/>
              <w:pStyle w:val="Compact"/>
            </w:pPr>
            <w:r>
              <w:rPr>
                <w:sz w:val="20"/>
                <w:szCs w:val="20"/>
              </w:rPr>
              <w:t xml:space="preserve">BREEZE_M_2012</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Khrunichev</w:t>
            </w:r>
          </w:p>
        </w:tc>
        <w:tc>
          <w:tcPr>
            <w:tcW w:w="0" w:type="auto"/>
          </w:tcPr>
          <w:p>
            <w:pPr>
              <w:spacing w:line="240" w:lineRule="auto" w:before="0" w:after="0"/>
              <w:pStyle w:val="Compact"/>
            </w:pPr>
            <w:r>
              <w:rPr>
                <w:sz w:val="20"/>
                <w:szCs w:val="20"/>
              </w:rPr>
              <w:t xml:space="preserve">breakup</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ODQN v17i1 Jan 2013; Anselmo &amp; Pardini 2013</w:t>
            </w:r>
          </w:p>
        </w:tc>
      </w:tr>
      <w:tr>
        <w:tc>
          <w:tcPr>
            <w:tcW w:w="0" w:type="auto"/>
          </w:tcPr>
          <w:p>
            <w:pPr>
              <w:spacing w:line="240" w:lineRule="auto" w:before="0" w:after="0"/>
              <w:pStyle w:val="Compact"/>
            </w:pPr>
            <w:r>
              <w:rPr>
                <w:sz w:val="20"/>
                <w:szCs w:val="20"/>
              </w:rPr>
              <w:t xml:space="preserve">CZ4_2019</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CASC</w:t>
            </w:r>
          </w:p>
        </w:tc>
        <w:tc>
          <w:tcPr>
            <w:tcW w:w="0" w:type="auto"/>
          </w:tcPr>
          <w:p>
            <w:pPr>
              <w:spacing w:line="240" w:lineRule="auto" w:before="0" w:after="0"/>
              <w:pStyle w:val="Compact"/>
            </w:pPr>
            <w:r>
              <w:rPr>
                <w:sz w:val="20"/>
                <w:szCs w:val="20"/>
              </w:rPr>
              <w:t xml:space="preserve">breakup</w:t>
            </w:r>
          </w:p>
        </w:tc>
        <w:tc>
          <w:tcPr>
            <w:tcW w:w="0" w:type="auto"/>
          </w:tcPr>
          <w:p>
            <w:pPr>
              <w:spacing w:line="240" w:lineRule="auto" w:before="0" w:after="0"/>
              <w:pStyle w:val="Compact"/>
            </w:pPr>
            <w:r>
              <w:rPr>
                <w:sz w:val="20"/>
                <w:szCs w:val="20"/>
              </w:rPr>
              <w:t xml:space="preserve">300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ODQN v23i4 Nov 2019</w:t>
            </w:r>
          </w:p>
        </w:tc>
      </w:tr>
      <w:tr>
        <w:tc>
          <w:tcPr>
            <w:tcW w:w="0" w:type="auto"/>
          </w:tcPr>
          <w:p>
            <w:pPr>
              <w:spacing w:line="240" w:lineRule="auto" w:before="0" w:after="0"/>
              <w:pStyle w:val="Compact"/>
            </w:pPr>
            <w:r>
              <w:rPr>
                <w:sz w:val="20"/>
                <w:szCs w:val="20"/>
              </w:rPr>
              <w:t xml:space="preserve">STARLINK_GEO_STORM</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atmospheric</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6.8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SpaceX press statement 8 Feb 2022; Hapgood 2022 Space Weather [illustrative CAR private]</w:t>
            </w:r>
          </w:p>
        </w:tc>
      </w:tr>
      <w:tr>
        <w:tc>
          <w:tcPr>
            <w:tcW w:w="0" w:type="auto"/>
          </w:tcPr>
          <w:p>
            <w:pPr>
              <w:spacing w:line="240" w:lineRule="auto" w:before="0" w:after="0"/>
              <w:pStyle w:val="Compact"/>
            </w:pPr>
            <w:r>
              <w:rPr>
                <w:sz w:val="20"/>
                <w:szCs w:val="20"/>
              </w:rPr>
              <w:t xml:space="preserve">INTELSAT901_MEV1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Intelsat</w:t>
            </w:r>
          </w:p>
        </w:tc>
        <w:tc>
          <w:tcPr>
            <w:tcW w:w="0" w:type="auto"/>
          </w:tcPr>
          <w:p>
            <w:pPr>
              <w:spacing w:line="240" w:lineRule="auto" w:before="0" w:after="0"/>
              <w:pStyle w:val="Compact"/>
            </w:pPr>
            <w:r>
              <w:rPr>
                <w:sz w:val="20"/>
                <w:szCs w:val="20"/>
              </w:rPr>
              <w:t xml:space="preserve">salvage_success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Northrop Grumman press release 25 Feb 2020; Yahoo Finance INTELSAT ticker I</w:t>
            </w:r>
          </w:p>
        </w:tc>
      </w:tr>
      <w:tr>
        <w:tc>
          <w:tcPr>
            <w:tcW w:w="0" w:type="auto"/>
          </w:tcPr>
          <w:p>
            <w:pPr>
              <w:spacing w:line="240" w:lineRule="auto" w:before="0" w:after="0"/>
              <w:pStyle w:val="Compact"/>
            </w:pPr>
            <w:r>
              <w:rPr>
                <w:sz w:val="20"/>
                <w:szCs w:val="20"/>
              </w:rPr>
              <w:t xml:space="preserve">GLOBALSTAR_2007</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Globalstar</w:t>
            </w:r>
          </w:p>
        </w:tc>
        <w:tc>
          <w:tcPr>
            <w:tcW w:w="0" w:type="auto"/>
          </w:tcPr>
          <w:p>
            <w:pPr>
              <w:spacing w:line="240" w:lineRule="auto" w:before="0" w:after="0"/>
              <w:pStyle w:val="Compact"/>
            </w:pPr>
            <w:r>
              <w:rPr>
                <w:sz w:val="20"/>
                <w:szCs w:val="20"/>
              </w:rPr>
              <w:t xml:space="preserve">degradation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-12.3</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Globalstar 8-K filing SEC 5 Feb 2007; Reuters 2007</w:t>
            </w:r>
          </w:p>
        </w:tc>
      </w:tr>
      <w:tr>
        <w:tc>
          <w:tcPr>
            <w:tcW w:w="0" w:type="auto"/>
          </w:tcPr>
          <w:p>
            <w:pPr>
              <w:spacing w:line="240" w:lineRule="auto" w:before="0" w:after="0"/>
              <w:pStyle w:val="Compact"/>
            </w:pPr>
            <w:r>
              <w:rPr>
                <w:sz w:val="20"/>
                <w:szCs w:val="20"/>
              </w:rPr>
              <w:t xml:space="preserve">ORBCOMM_OG2_FAIL</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Orbcomm</w:t>
            </w:r>
          </w:p>
        </w:tc>
        <w:tc>
          <w:tcPr>
            <w:tcW w:w="0" w:type="auto"/>
          </w:tcPr>
          <w:p>
            <w:pPr>
              <w:spacing w:line="240" w:lineRule="auto" w:before="0" w:after="0"/>
              <w:pStyle w:val="Compact"/>
            </w:pPr>
            <w:r>
              <w:rPr>
                <w:sz w:val="20"/>
                <w:szCs w:val="20"/>
              </w:rPr>
              <w:t xml:space="preserve">launch_loss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-15.4</w:t>
            </w:r>
          </w:p>
        </w:tc>
        <w:tc>
          <w:tcPr>
            <w:tcW w:w="0" w:type="auto"/>
          </w:tcPr>
          <w:p>
            <w:pPr>
              <w:spacing w:line="240" w:lineRule="auto" w:before="0" w:after="0"/>
              <w:pStyle w:val="Compact"/>
            </w:pPr>
            <w:r>
              <w:rPr>
                <w:sz w:val="20"/>
                <w:szCs w:val="20"/>
              </w:rPr>
              <w:t xml:space="preserve">-18.7</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Orbcomm 8-K SEC filing 9 July 2014; SpaceNews 2014</w:t>
            </w:r>
          </w:p>
        </w:tc>
      </w:tr>
      <w:tr>
        <w:tc>
          <w:tcPr>
            <w:tcW w:w="0" w:type="auto"/>
          </w:tcPr>
          <w:p>
            <w:pPr>
              <w:spacing w:line="240" w:lineRule="auto" w:before="0" w:after="0"/>
              <w:pStyle w:val="Compact"/>
            </w:pPr>
            <w:r>
              <w:rPr>
                <w:sz w:val="20"/>
                <w:szCs w:val="20"/>
              </w:rPr>
              <w:t xml:space="preserve">VIASAT1_DEGRADE</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Viasat</w:t>
            </w:r>
          </w:p>
        </w:tc>
        <w:tc>
          <w:tcPr>
            <w:tcW w:w="0" w:type="auto"/>
          </w:tcPr>
          <w:p>
            <w:pPr>
              <w:spacing w:line="240" w:lineRule="auto" w:before="0" w:after="0"/>
              <w:pStyle w:val="Compact"/>
            </w:pPr>
            <w:r>
              <w:rPr>
                <w:sz w:val="20"/>
                <w:szCs w:val="20"/>
              </w:rPr>
              <w:t xml:space="preserve">degradation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5.8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Viasat 8-K SEC filing 2012; Parabolic Arc 2012</w:t>
            </w:r>
          </w:p>
        </w:tc>
      </w:tr>
      <w:tr>
        <w:tc>
          <w:tcPr>
            <w:tcW w:w="0" w:type="auto"/>
          </w:tcPr>
          <w:p>
            <w:pPr>
              <w:spacing w:line="240" w:lineRule="auto" w:before="0" w:after="0"/>
              <w:pStyle w:val="Compact"/>
            </w:pPr>
            <w:r>
              <w:rPr>
                <w:sz w:val="20"/>
                <w:szCs w:val="20"/>
              </w:rPr>
              <w:t xml:space="preserve">INMARSAT_S_BAND</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Inmarsat</w:t>
            </w:r>
          </w:p>
        </w:tc>
        <w:tc>
          <w:tcPr>
            <w:tcW w:w="0" w:type="auto"/>
          </w:tcPr>
          <w:p>
            <w:pPr>
              <w:spacing w:line="240" w:lineRule="auto" w:before="0" w:after="0"/>
              <w:pStyle w:val="Compact"/>
            </w:pPr>
            <w:r>
              <w:rPr>
                <w:sz w:val="20"/>
                <w:szCs w:val="20"/>
              </w:rPr>
              <w:t xml:space="preserve">collision_avoid</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Inmarsat annual report 2017; SpaceNews 2017</w:t>
            </w:r>
          </w:p>
        </w:tc>
      </w:tr>
      <w:tr>
        <w:tc>
          <w:tcPr>
            <w:tcW w:w="0" w:type="auto"/>
          </w:tcPr>
          <w:p>
            <w:pPr>
              <w:spacing w:line="240" w:lineRule="auto" w:before="0" w:after="0"/>
              <w:pStyle w:val="Compact"/>
            </w:pPr>
            <w:r>
              <w:rPr>
                <w:sz w:val="20"/>
                <w:szCs w:val="20"/>
              </w:rPr>
              <w:t xml:space="preserve">SES8_DRIFT</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SES</w:t>
            </w:r>
          </w:p>
        </w:tc>
        <w:tc>
          <w:tcPr>
            <w:tcW w:w="0" w:type="auto"/>
          </w:tcPr>
          <w:p>
            <w:pPr>
              <w:spacing w:line="240" w:lineRule="auto" w:before="0" w:after="0"/>
              <w:pStyle w:val="Compact"/>
            </w:pPr>
            <w:r>
              <w:rPr>
                <w:sz w:val="20"/>
                <w:szCs w:val="20"/>
              </w:rPr>
              <w:t xml:space="preserve">degradation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-4.1</w:t>
            </w:r>
          </w:p>
        </w:tc>
        <w:tc>
          <w:tcPr>
            <w:tcW w:w="0" w:type="auto"/>
          </w:tcPr>
          <w:p>
            <w:pPr>
              <w:spacing w:line="240" w:lineRule="auto" w:before="0" w:after="0"/>
              <w:pStyle w:val="Compact"/>
            </w:pPr>
            <w:r>
              <w:rPr>
                <w:sz w:val="20"/>
                <w:szCs w:val="20"/>
              </w:rPr>
              <w:t xml:space="preserve">-5.7</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SES press release 2018; Reuters SES ticker SESG [illustrative CAR partial]</w:t>
            </w:r>
          </w:p>
        </w:tc>
      </w:tr>
      <w:tr>
        <w:tc>
          <w:tcPr>
            <w:tcW w:w="0" w:type="auto"/>
          </w:tcPr>
          <w:p>
            <w:pPr>
              <w:spacing w:line="240" w:lineRule="auto" w:before="0" w:after="0"/>
              <w:pStyle w:val="Compact"/>
            </w:pPr>
            <w:r>
              <w:rPr>
                <w:sz w:val="20"/>
                <w:szCs w:val="20"/>
              </w:rPr>
              <w:t xml:space="preserve">LORAL1380_ECHOSTAR4</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EchoStar</w:t>
            </w:r>
          </w:p>
        </w:tc>
        <w:tc>
          <w:tcPr>
            <w:tcW w:w="0" w:type="auto"/>
          </w:tcPr>
          <w:p>
            <w:pPr>
              <w:spacing w:line="240" w:lineRule="auto" w:before="0" w:after="0"/>
              <w:pStyle w:val="Compact"/>
            </w:pPr>
            <w:r>
              <w:rPr>
                <w:sz w:val="20"/>
                <w:szCs w:val="20"/>
              </w:rPr>
              <w:t xml:space="preserve">total_loss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-12.1</w:t>
            </w:r>
          </w:p>
        </w:tc>
        <w:tc>
          <w:tcPr>
            <w:tcW w:w="0" w:type="auto"/>
          </w:tcPr>
          <w:p>
            <w:pPr>
              <w:spacing w:line="240" w:lineRule="auto" w:before="0" w:after="0"/>
              <w:pStyle w:val="Compact"/>
            </w:pPr>
            <w:r>
              <w:rPr>
                <w:sz w:val="20"/>
                <w:szCs w:val="20"/>
              </w:rPr>
              <w:t xml:space="preserve">-14.8</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EchoStar 10-K SEC filing 2010; SpaceNews 2010</w:t>
            </w:r>
          </w:p>
        </w:tc>
      </w:tr>
      <w:tr>
        <w:tc>
          <w:tcPr>
            <w:tcW w:w="0" w:type="auto"/>
          </w:tcPr>
          <w:p>
            <w:pPr>
              <w:spacing w:line="240" w:lineRule="auto" w:before="0" w:after="0"/>
              <w:pStyle w:val="Compact"/>
            </w:pPr>
            <w:r>
              <w:rPr>
                <w:sz w:val="20"/>
                <w:szCs w:val="20"/>
              </w:rPr>
              <w:t xml:space="preserve">DIRECTV11_ANOMALY</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DirecTV</w:t>
            </w:r>
          </w:p>
        </w:tc>
        <w:tc>
          <w:tcPr>
            <w:tcW w:w="0" w:type="auto"/>
          </w:tcPr>
          <w:p>
            <w:pPr>
              <w:spacing w:line="240" w:lineRule="auto" w:before="0" w:after="0"/>
              <w:pStyle w:val="Compact"/>
            </w:pPr>
            <w:r>
              <w:rPr>
                <w:sz w:val="20"/>
                <w:szCs w:val="20"/>
              </w:rPr>
              <w:t xml:space="preserve">degradation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-4.6</w:t>
            </w:r>
          </w:p>
        </w:tc>
        <w:tc>
          <w:tcPr>
            <w:tcW w:w="0" w:type="auto"/>
          </w:tcPr>
          <w:p>
            <w:pPr>
              <w:spacing w:line="240" w:lineRule="auto" w:before="0" w:after="0"/>
              <w:pStyle w:val="Compact"/>
            </w:pPr>
            <w:r>
              <w:rPr>
                <w:sz w:val="20"/>
                <w:szCs w:val="20"/>
              </w:rPr>
              <w:t xml:space="preserve">3.9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DirecTV 8-K filing 2013; Bloomberg DTV [illustrative]</w:t>
            </w:r>
          </w:p>
        </w:tc>
      </w:tr>
      <w:tr>
        <w:tc>
          <w:tcPr>
            <w:tcW w:w="0" w:type="auto"/>
          </w:tcPr>
          <w:p>
            <w:pPr>
              <w:spacing w:line="240" w:lineRule="auto" w:before="0" w:after="0"/>
              <w:pStyle w:val="Compact"/>
            </w:pPr>
            <w:r>
              <w:rPr>
                <w:sz w:val="20"/>
                <w:szCs w:val="20"/>
              </w:rPr>
              <w:t xml:space="preserve">SKY_PERFECT_JCSAT</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SKY</w:t>
            </w:r>
          </w:p>
        </w:tc>
        <w:tc>
          <w:tcPr>
            <w:tcW w:w="0" w:type="auto"/>
          </w:tcPr>
          <w:p>
            <w:pPr>
              <w:spacing w:line="240" w:lineRule="auto" w:before="0" w:after="0"/>
              <w:pStyle w:val="Compact"/>
            </w:pPr>
            <w:r>
              <w:rPr>
                <w:sz w:val="20"/>
                <w:szCs w:val="20"/>
              </w:rPr>
              <w:t xml:space="preserve">collision_avoid</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SKY Perfect JSAT press 2016; Nikkei 2016 [illustrative CAR]</w:t>
            </w:r>
          </w:p>
        </w:tc>
      </w:tr>
      <w:tr>
        <w:tc>
          <w:tcPr>
            <w:tcW w:w="0" w:type="auto"/>
          </w:tcPr>
          <w:p>
            <w:pPr>
              <w:spacing w:line="240" w:lineRule="auto" w:before="0" w:after="0"/>
              <w:pStyle w:val="Compact"/>
            </w:pPr>
            <w:r>
              <w:rPr>
                <w:sz w:val="20"/>
                <w:szCs w:val="20"/>
              </w:rPr>
              <w:t xml:space="preserve">TELESAT_ANIK_F1</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Telesat</w:t>
            </w:r>
          </w:p>
        </w:tc>
        <w:tc>
          <w:tcPr>
            <w:tcW w:w="0" w:type="auto"/>
          </w:tcPr>
          <w:p>
            <w:pPr>
              <w:spacing w:line="240" w:lineRule="auto" w:before="0" w:after="0"/>
              <w:pStyle w:val="Compact"/>
            </w:pPr>
            <w:r>
              <w:rPr>
                <w:sz w:val="20"/>
                <w:szCs w:val="20"/>
              </w:rPr>
              <w:t xml:space="preserve">degradation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-5.8</w:t>
            </w:r>
          </w:p>
        </w:tc>
        <w:tc>
          <w:tcPr>
            <w:tcW w:w="0" w:type="auto"/>
          </w:tcPr>
          <w:p>
            <w:pPr>
              <w:spacing w:line="240" w:lineRule="auto" w:before="0" w:after="0"/>
              <w:pStyle w:val="Compact"/>
            </w:pPr>
            <w:r>
              <w:rPr>
                <w:sz w:val="20"/>
                <w:szCs w:val="20"/>
              </w:rPr>
              <w:t xml:space="preserve">-7.4</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Telesat S-1 filing 2015 retrospective; SpaceNews 2011</w:t>
            </w:r>
          </w:p>
        </w:tc>
      </w:tr>
      <w:tr>
        <w:tc>
          <w:tcPr>
            <w:tcW w:w="0" w:type="auto"/>
          </w:tcPr>
          <w:p>
            <w:pPr>
              <w:spacing w:line="240" w:lineRule="auto" w:before="0" w:after="0"/>
              <w:pStyle w:val="Compact"/>
            </w:pPr>
            <w:r>
              <w:rPr>
                <w:sz w:val="20"/>
                <w:szCs w:val="20"/>
              </w:rPr>
              <w:t xml:space="preserve">ASIASAT3_LOSS</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AsiaSat</w:t>
            </w:r>
          </w:p>
        </w:tc>
        <w:tc>
          <w:tcPr>
            <w:tcW w:w="0" w:type="auto"/>
          </w:tcPr>
          <w:p>
            <w:pPr>
              <w:spacing w:line="240" w:lineRule="auto" w:before="0" w:after="0"/>
              <w:pStyle w:val="Compact"/>
            </w:pPr>
            <w:r>
              <w:rPr>
                <w:sz w:val="20"/>
                <w:szCs w:val="20"/>
              </w:rPr>
              <w:t xml:space="preserve">total_loss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-11.6</w:t>
            </w:r>
          </w:p>
        </w:tc>
        <w:tc>
          <w:tcPr>
            <w:tcW w:w="0" w:type="auto"/>
          </w:tcPr>
          <w:p>
            <w:pPr>
              <w:spacing w:line="240" w:lineRule="auto" w:before="0" w:after="0"/>
              <w:pStyle w:val="Compact"/>
            </w:pPr>
            <w:r>
              <w:rPr>
                <w:sz w:val="20"/>
                <w:szCs w:val="20"/>
              </w:rPr>
              <w:t xml:space="preserve">7.1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AsiaSat HK Exchange filing 2008; Reuters 2008</w:t>
            </w:r>
          </w:p>
        </w:tc>
      </w:tr>
      <w:tr>
        <w:tc>
          <w:tcPr>
            <w:tcW w:w="0" w:type="auto"/>
          </w:tcPr>
          <w:p>
            <w:pPr>
              <w:spacing w:line="240" w:lineRule="auto" w:before="0" w:after="0"/>
              <w:pStyle w:val="Compact"/>
            </w:pPr>
            <w:r>
              <w:rPr>
                <w:sz w:val="20"/>
                <w:szCs w:val="20"/>
              </w:rPr>
              <w:t xml:space="preserve">EUTELSAT_W3B_2010</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Eutelsat</w:t>
            </w:r>
          </w:p>
        </w:tc>
        <w:tc>
          <w:tcPr>
            <w:tcW w:w="0" w:type="auto"/>
          </w:tcPr>
          <w:p>
            <w:pPr>
              <w:spacing w:line="240" w:lineRule="auto" w:before="0" w:after="0"/>
              <w:pStyle w:val="Compact"/>
            </w:pPr>
            <w:r>
              <w:rPr>
                <w:sz w:val="20"/>
                <w:szCs w:val="20"/>
              </w:rPr>
              <w:t xml:space="preserve">total_loss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-6.4</w:t>
            </w:r>
          </w:p>
        </w:tc>
        <w:tc>
          <w:tcPr>
            <w:tcW w:w="0" w:type="auto"/>
          </w:tcPr>
          <w:p>
            <w:pPr>
              <w:spacing w:line="240" w:lineRule="auto" w:before="0" w:after="0"/>
              <w:pStyle w:val="Compact"/>
            </w:pPr>
            <w:r>
              <w:rPr>
                <w:sz w:val="20"/>
                <w:szCs w:val="20"/>
              </w:rPr>
              <w:t xml:space="preserve">-8.9</w:t>
            </w:r>
          </w:p>
        </w:tc>
        <w:tc>
          <w:tcPr>
            <w:tcW w:w="0" w:type="auto"/>
          </w:tcPr>
          <w:p>
            <w:pPr>
              <w:spacing w:line="240" w:lineRule="auto" w:before="0" w:after="0"/>
              <w:pStyle w:val="Compact"/>
            </w:pPr>
            <w:r>
              <w:rPr>
                <w:sz w:val="20"/>
                <w:szCs w:val="20"/>
              </w:rPr>
              <w:t xml:space="preserve">7.4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Eutelsat press release Oct 2010; Reuters ETL ticker</w:t>
            </w:r>
          </w:p>
        </w:tc>
      </w:tr>
      <w:tr>
        <w:tc>
          <w:tcPr>
            <w:tcW w:w="0" w:type="auto"/>
          </w:tcPr>
          <w:p>
            <w:pPr>
              <w:spacing w:line="240" w:lineRule="auto" w:before="0" w:after="0"/>
              <w:pStyle w:val="Compact"/>
            </w:pPr>
            <w:r>
              <w:rPr>
                <w:sz w:val="20"/>
                <w:szCs w:val="20"/>
              </w:rPr>
              <w:t xml:space="preserve">ARIANE5_GALAXY11</w:t>
            </w:r>
          </w:p>
        </w:tc>
        <w:tc>
          <w:tcPr>
            <w:tcW w:w="0" w:type="auto"/>
          </w:tcPr>
          <w:p>
            <w:pPr>
              <w:spacing w:line="240" w:lineRule="auto" w:before="0" w:after="0"/>
              <w:pStyle w:val="Compact"/>
            </w:pPr>
            <w:r>
              <w:rPr>
                <w:sz w:val="20"/>
                <w:szCs w:val="20"/>
              </w:rPr>
              <w:t xml:space="preserve">1999</w:t>
            </w:r>
          </w:p>
        </w:tc>
        <w:tc>
          <w:tcPr>
            <w:tcW w:w="0" w:type="auto"/>
          </w:tcPr>
          <w:p>
            <w:pPr>
              <w:spacing w:line="240" w:lineRule="auto" w:before="0" w:after="0"/>
              <w:pStyle w:val="Compact"/>
            </w:pPr>
            <w:r>
              <w:rPr>
                <w:sz w:val="20"/>
                <w:szCs w:val="20"/>
              </w:rPr>
              <w:t xml:space="preserve">PanAmSat</w:t>
            </w:r>
          </w:p>
        </w:tc>
        <w:tc>
          <w:tcPr>
            <w:tcW w:w="0" w:type="auto"/>
          </w:tcPr>
          <w:p>
            <w:pPr>
              <w:spacing w:line="240" w:lineRule="auto" w:before="0" w:after="0"/>
              <w:pStyle w:val="Compact"/>
            </w:pPr>
            <w:r>
              <w:rPr>
                <w:sz w:val="20"/>
                <w:szCs w:val="20"/>
              </w:rPr>
              <w:t xml:space="preserve">launch_loss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-6.1</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PanAmSat 10-K 1999 SEC filing</w:t>
            </w:r>
          </w:p>
        </w:tc>
      </w:tr>
      <w:tr>
        <w:tc>
          <w:tcPr>
            <w:tcW w:w="0" w:type="auto"/>
          </w:tcPr>
          <w:p>
            <w:pPr>
              <w:spacing w:line="240" w:lineRule="auto" w:before="0" w:after="0"/>
              <w:pStyle w:val="Compact"/>
            </w:pPr>
            <w:r>
              <w:rPr>
                <w:sz w:val="20"/>
                <w:szCs w:val="20"/>
              </w:rPr>
              <w:t xml:space="preserve">SPACEWAY3_BOEING</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Hughes</w:t>
            </w:r>
          </w:p>
        </w:tc>
        <w:tc>
          <w:tcPr>
            <w:tcW w:w="0" w:type="auto"/>
          </w:tcPr>
          <w:p>
            <w:pPr>
              <w:spacing w:line="240" w:lineRule="auto" w:before="0" w:after="0"/>
              <w:pStyle w:val="Compact"/>
            </w:pPr>
            <w:r>
              <w:rPr>
                <w:sz w:val="20"/>
                <w:szCs w:val="20"/>
              </w:rPr>
              <w:t xml:space="preserve">launch_success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Hughes Network Systems press 2007; SEC HUGH ticker</w:t>
            </w:r>
          </w:p>
        </w:tc>
      </w:tr>
      <w:tr>
        <w:tc>
          <w:tcPr>
            <w:tcW w:w="0" w:type="auto"/>
          </w:tcPr>
          <w:p>
            <w:pPr>
              <w:spacing w:line="240" w:lineRule="auto" w:before="0" w:after="0"/>
              <w:pStyle w:val="Compact"/>
            </w:pPr>
            <w:r>
              <w:rPr>
                <w:sz w:val="20"/>
                <w:szCs w:val="20"/>
              </w:rPr>
              <w:t xml:space="preserve">ATLAS5_NROL49</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USAF</w:t>
            </w:r>
          </w:p>
        </w:tc>
        <w:tc>
          <w:tcPr>
            <w:tcW w:w="0" w:type="auto"/>
          </w:tcPr>
          <w:p>
            <w:pPr>
              <w:spacing w:line="240" w:lineRule="auto" w:before="0" w:after="0"/>
              <w:pStyle w:val="Compact"/>
            </w:pPr>
            <w:r>
              <w:rPr>
                <w:sz w:val="20"/>
                <w:szCs w:val="20"/>
              </w:rPr>
              <w:t xml:space="preserve">launch_anomaly</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NRO press release 2011; SpaceNews 2011</w:t>
            </w:r>
          </w:p>
        </w:tc>
      </w:tr>
      <w:tr>
        <w:tc>
          <w:tcPr>
            <w:tcW w:w="0" w:type="auto"/>
          </w:tcPr>
          <w:p>
            <w:pPr>
              <w:spacing w:line="240" w:lineRule="auto" w:before="0" w:after="0"/>
              <w:pStyle w:val="Compact"/>
            </w:pPr>
            <w:r>
              <w:rPr>
                <w:sz w:val="20"/>
                <w:szCs w:val="20"/>
              </w:rPr>
              <w:t xml:space="preserve">H2A_F14_2007</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JAXA</w:t>
            </w:r>
          </w:p>
        </w:tc>
        <w:tc>
          <w:tcPr>
            <w:tcW w:w="0" w:type="auto"/>
          </w:tcPr>
          <w:p>
            <w:pPr>
              <w:spacing w:line="240" w:lineRule="auto" w:before="0" w:after="0"/>
              <w:pStyle w:val="Compact"/>
            </w:pPr>
            <w:r>
              <w:rPr>
                <w:sz w:val="20"/>
                <w:szCs w:val="20"/>
              </w:rPr>
              <w:t xml:space="preserve">debris_release</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ODQN v12i2 Apr 2008</w:t>
            </w:r>
          </w:p>
        </w:tc>
      </w:tr>
      <w:tr>
        <w:tc>
          <w:tcPr>
            <w:tcW w:w="0" w:type="auto"/>
          </w:tcPr>
          <w:p>
            <w:pPr>
              <w:spacing w:line="240" w:lineRule="auto" w:before="0" w:after="0"/>
              <w:pStyle w:val="Compact"/>
            </w:pPr>
            <w:r>
              <w:rPr>
                <w:sz w:val="20"/>
                <w:szCs w:val="20"/>
              </w:rPr>
              <w:t xml:space="preserve">LONG_MARCH_3B_2019</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CASC</w:t>
            </w:r>
          </w:p>
        </w:tc>
        <w:tc>
          <w:tcPr>
            <w:tcW w:w="0" w:type="auto"/>
          </w:tcPr>
          <w:p>
            <w:pPr>
              <w:spacing w:line="240" w:lineRule="auto" w:before="0" w:after="0"/>
              <w:pStyle w:val="Compact"/>
            </w:pPr>
            <w:r>
              <w:rPr>
                <w:sz w:val="20"/>
                <w:szCs w:val="20"/>
              </w:rPr>
              <w:t xml:space="preserve">breakup_upper</w:t>
            </w:r>
          </w:p>
        </w:tc>
        <w:tc>
          <w:tcPr>
            <w:tcW w:w="0" w:type="auto"/>
          </w:tcPr>
          <w:p>
            <w:pPr>
              <w:spacing w:line="240" w:lineRule="auto" w:before="0" w:after="0"/>
              <w:pStyle w:val="Compact"/>
            </w:pPr>
            <w:r>
              <w:rPr>
                <w:sz w:val="20"/>
                <w:szCs w:val="20"/>
              </w:rPr>
              <w:t xml:space="preserve">150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ODQN v24i1 Feb 2020</w:t>
            </w:r>
          </w:p>
        </w:tc>
      </w:tr>
      <w:tr>
        <w:tc>
          <w:tcPr>
            <w:tcW w:w="0" w:type="auto"/>
          </w:tcPr>
          <w:p>
            <w:pPr>
              <w:spacing w:line="240" w:lineRule="auto" w:before="0" w:after="0"/>
              <w:pStyle w:val="Compact"/>
            </w:pPr>
            <w:r>
              <w:rPr>
                <w:sz w:val="20"/>
                <w:szCs w:val="20"/>
              </w:rPr>
              <w:t xml:space="preserve">DELTA4_RB_2018</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ULA</w:t>
            </w:r>
          </w:p>
        </w:tc>
        <w:tc>
          <w:tcPr>
            <w:tcW w:w="0" w:type="auto"/>
          </w:tcPr>
          <w:p>
            <w:pPr>
              <w:spacing w:line="240" w:lineRule="auto" w:before="0" w:after="0"/>
              <w:pStyle w:val="Compact"/>
            </w:pPr>
            <w:r>
              <w:rPr>
                <w:sz w:val="20"/>
                <w:szCs w:val="20"/>
              </w:rPr>
              <w:t xml:space="preserve">breakup_upper</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ODQN v23i2 May 2019</w:t>
            </w:r>
          </w:p>
        </w:tc>
      </w:tr>
      <w:tr>
        <w:tc>
          <w:tcPr>
            <w:tcW w:w="0" w:type="auto"/>
          </w:tcPr>
          <w:p>
            <w:pPr>
              <w:spacing w:line="240" w:lineRule="auto" w:before="0" w:after="0"/>
              <w:pStyle w:val="Compact"/>
            </w:pPr>
            <w:r>
              <w:rPr>
                <w:sz w:val="20"/>
                <w:szCs w:val="20"/>
              </w:rPr>
              <w:t xml:space="preserve">FALCON9_AMOS6</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pad_anomaly</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-4.6</w:t>
            </w:r>
          </w:p>
        </w:tc>
        <w:tc>
          <w:tcPr>
            <w:tcW w:w="0" w:type="auto"/>
          </w:tcPr>
          <w:p>
            <w:pPr>
              <w:spacing w:line="240" w:lineRule="auto" w:before="0" w:after="0"/>
              <w:pStyle w:val="Compact"/>
            </w:pPr>
            <w:r>
              <w:rPr>
                <w:sz w:val="20"/>
                <w:szCs w:val="20"/>
              </w:rPr>
              <w:t xml:space="preserve">-6.2</w:t>
            </w:r>
          </w:p>
        </w:tc>
        <w:tc>
          <w:tcPr>
            <w:tcW w:w="0" w:type="auto"/>
          </w:tcPr>
          <w:p>
            <w:pPr>
              <w:spacing w:line="240" w:lineRule="auto" w:before="0" w:after="0"/>
              <w:pStyle w:val="Compact"/>
            </w:pPr>
            <w:r>
              <w:rPr>
                <w:sz w:val="20"/>
                <w:szCs w:val="20"/>
              </w:rPr>
              <w:t xml:space="preserve">5.9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Spacecom Israel TASE filing 2016; Reuters 2016</w:t>
            </w:r>
          </w:p>
        </w:tc>
      </w:tr>
      <w:tr>
        <w:tc>
          <w:tcPr>
            <w:tcW w:w="0" w:type="auto"/>
          </w:tcPr>
          <w:p>
            <w:pPr>
              <w:spacing w:line="240" w:lineRule="auto" w:before="0" w:after="0"/>
              <w:pStyle w:val="Compact"/>
            </w:pPr>
            <w:r>
              <w:rPr>
                <w:sz w:val="20"/>
                <w:szCs w:val="20"/>
              </w:rPr>
              <w:t xml:space="preserve">ZENIT3SL_NSS8</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SeaLaunch</w:t>
            </w:r>
          </w:p>
        </w:tc>
        <w:tc>
          <w:tcPr>
            <w:tcW w:w="0" w:type="auto"/>
          </w:tcPr>
          <w:p>
            <w:pPr>
              <w:spacing w:line="240" w:lineRule="auto" w:before="0" w:after="0"/>
              <w:pStyle w:val="Compact"/>
            </w:pPr>
            <w:r>
              <w:rPr>
                <w:sz w:val="20"/>
                <w:szCs w:val="20"/>
              </w:rPr>
              <w:t xml:space="preserve">launch_loss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-8.1</w:t>
            </w:r>
          </w:p>
        </w:tc>
        <w:tc>
          <w:tcPr>
            <w:tcW w:w="0" w:type="auto"/>
          </w:tcPr>
          <w:p>
            <w:pPr>
              <w:spacing w:line="240" w:lineRule="auto" w:before="0" w:after="0"/>
              <w:pStyle w:val="Compact"/>
            </w:pPr>
            <w:r>
              <w:rPr>
                <w:sz w:val="20"/>
                <w:szCs w:val="20"/>
              </w:rPr>
              <w:t xml:space="preserve">-10.4</w:t>
            </w:r>
          </w:p>
        </w:tc>
        <w:tc>
          <w:tcPr>
            <w:tcW w:w="0" w:type="auto"/>
          </w:tcPr>
          <w:p>
            <w:pPr>
              <w:spacing w:line="240" w:lineRule="auto" w:before="0" w:after="0"/>
              <w:pStyle w:val="Compact"/>
            </w:pPr>
            <w:r>
              <w:rPr>
                <w:sz w:val="20"/>
                <w:szCs w:val="20"/>
              </w:rPr>
              <w:t xml:space="preserve">6.3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Boeing 10-K 2007; SpaceNews 2007 [illustrative CAR consortium]</w:t>
            </w:r>
          </w:p>
        </w:tc>
      </w:tr>
      <w:tr>
        <w:tc>
          <w:tcPr>
            <w:tcW w:w="0" w:type="auto"/>
          </w:tcPr>
          <w:p>
            <w:pPr>
              <w:spacing w:line="240" w:lineRule="auto" w:before="0" w:after="0"/>
              <w:pStyle w:val="Compact"/>
            </w:pPr>
            <w:r>
              <w:rPr>
                <w:sz w:val="20"/>
                <w:szCs w:val="20"/>
              </w:rPr>
              <w:t xml:space="preserve">PROTON_M_2013</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ILS</w:t>
            </w:r>
          </w:p>
        </w:tc>
        <w:tc>
          <w:tcPr>
            <w:tcW w:w="0" w:type="auto"/>
          </w:tcPr>
          <w:p>
            <w:pPr>
              <w:spacing w:line="240" w:lineRule="auto" w:before="0" w:after="0"/>
              <w:pStyle w:val="Compact"/>
            </w:pPr>
            <w:r>
              <w:rPr>
                <w:sz w:val="20"/>
                <w:szCs w:val="20"/>
              </w:rPr>
              <w:t xml:space="preserve">launch_loss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ODQN v17i3 Jul 2013; ILS press release 2013</w:t>
            </w:r>
          </w:p>
        </w:tc>
      </w:tr>
      <w:tr>
        <w:tc>
          <w:tcPr>
            <w:tcW w:w="0" w:type="auto"/>
          </w:tcPr>
          <w:p>
            <w:pPr>
              <w:spacing w:line="240" w:lineRule="auto" w:before="0" w:after="0"/>
              <w:pStyle w:val="Compact"/>
            </w:pPr>
            <w:r>
              <w:rPr>
                <w:sz w:val="20"/>
                <w:szCs w:val="20"/>
              </w:rPr>
              <w:t xml:space="preserve">GAOFEN10_2016</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CNSA</w:t>
            </w:r>
          </w:p>
        </w:tc>
        <w:tc>
          <w:tcPr>
            <w:tcW w:w="0" w:type="auto"/>
          </w:tcPr>
          <w:p>
            <w:pPr>
              <w:spacing w:line="240" w:lineRule="auto" w:before="0" w:after="0"/>
              <w:pStyle w:val="Compact"/>
            </w:pPr>
            <w:r>
              <w:rPr>
                <w:sz w:val="20"/>
                <w:szCs w:val="20"/>
              </w:rPr>
              <w:t xml:space="preserve">launch_loss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ODQN v20i4 Oct 2016</w:t>
            </w:r>
          </w:p>
        </w:tc>
      </w:tr>
      <w:tr>
        <w:tc>
          <w:tcPr>
            <w:tcW w:w="0" w:type="auto"/>
          </w:tcPr>
          <w:p>
            <w:pPr>
              <w:spacing w:line="240" w:lineRule="auto" w:before="0" w:after="0"/>
              <w:pStyle w:val="Compact"/>
            </w:pPr>
            <w:r>
              <w:rPr>
                <w:sz w:val="20"/>
                <w:szCs w:val="20"/>
              </w:rPr>
              <w:t xml:space="preserve">NRO_USA193</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NRO</w:t>
            </w:r>
          </w:p>
        </w:tc>
        <w:tc>
          <w:tcPr>
            <w:tcW w:w="0" w:type="auto"/>
          </w:tcPr>
          <w:p>
            <w:pPr>
              <w:spacing w:line="240" w:lineRule="auto" w:before="0" w:after="0"/>
              <w:pStyle w:val="Compact"/>
            </w:pPr>
            <w:r>
              <w:rPr>
                <w:sz w:val="20"/>
                <w:szCs w:val="20"/>
              </w:rPr>
              <w:t xml:space="preserve">deliberate_destruction</w:t>
            </w:r>
          </w:p>
        </w:tc>
        <w:tc>
          <w:tcPr>
            <w:tcW w:w="0" w:type="auto"/>
          </w:tcPr>
          <w:p>
            <w:pPr>
              <w:spacing w:line="240" w:lineRule="auto" w:before="0" w:after="0"/>
              <w:pStyle w:val="Compact"/>
            </w:pPr>
            <w:r>
              <w:rPr>
                <w:sz w:val="20"/>
                <w:szCs w:val="20"/>
              </w:rPr>
              <w:t xml:space="preserve">174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ODQN v12i2 Apr 2008; Wright D 2008 Phys Soc</w:t>
            </w:r>
          </w:p>
        </w:tc>
      </w:tr>
      <w:tr>
        <w:tc>
          <w:tcPr>
            <w:tcW w:w="0" w:type="auto"/>
          </w:tcPr>
          <w:p>
            <w:pPr>
              <w:spacing w:line="240" w:lineRule="auto" w:before="0" w:after="0"/>
              <w:pStyle w:val="Compact"/>
            </w:pPr>
            <w:r>
              <w:rPr>
                <w:sz w:val="20"/>
                <w:szCs w:val="20"/>
              </w:rPr>
              <w:t xml:space="preserve">ENVISAT_2012</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ESA</w:t>
            </w:r>
          </w:p>
        </w:tc>
        <w:tc>
          <w:tcPr>
            <w:tcW w:w="0" w:type="auto"/>
          </w:tcPr>
          <w:p>
            <w:pPr>
              <w:spacing w:line="240" w:lineRule="auto" w:before="0" w:after="0"/>
              <w:pStyle w:val="Compact"/>
            </w:pPr>
            <w:r>
              <w:rPr>
                <w:sz w:val="20"/>
                <w:szCs w:val="20"/>
              </w:rPr>
              <w:t xml:space="preserve">end_of_life</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ESA press release 12 Apr 2012; Bonnal 2013 Acta Astronautica</w:t>
            </w:r>
          </w:p>
        </w:tc>
      </w:tr>
    </w:tbl>
    <w:bookmarkEnd w:id="226"/>
    <w:bookmarkStart w:id="227"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car_3day_pct</w:t>
            </w:r>
          </w:p>
        </w:tc>
        <w:tc>
          <w:tcPr>
            <w:tcW w:w="0" w:type="auto"/>
          </w:tcPr>
          <w:p>
            <w:pPr>
              <w:spacing w:line="240" w:lineRule="auto" w:before="0" w:after="0"/>
              <w:pStyle w:val="Compact"/>
            </w:pPr>
            <w:r>
              <w:rPr>
                <w:sz w:val="20"/>
                <w:szCs w:val="20"/>
              </w:rPr>
              <w:t xml:space="preserve">Three-day cumulative abnormal return around event (percent), computed via market-model residuals over [-1,+1] window</w:t>
            </w:r>
          </w:p>
        </w:tc>
        <w:tc>
          <w:tcPr>
            <w:tcW w:w="0" w:type="auto"/>
          </w:tcPr>
          <w:p>
            <w:pPr>
              <w:spacing w:line="240" w:lineRule="auto" w:before="0" w:after="0"/>
              <w:pStyle w:val="Compact"/>
            </w:pPr>
            <w:r>
              <w:rPr>
                <w:sz w:val="20"/>
                <w:szCs w:val="20"/>
              </w:rPr>
              <w:t xml:space="preserve">SEC 8-K filings and Reuters/Bloomberg price series for the listed operator</w:t>
            </w:r>
          </w:p>
        </w:tc>
      </w:tr>
      <w:tr>
        <w:tc>
          <w:tcPr>
            <w:tcW w:w="0" w:type="auto"/>
          </w:tcPr>
          <w:p>
            <w:pPr>
              <w:spacing w:line="240" w:lineRule="auto" w:before="0" w:after="0"/>
              <w:pStyle w:val="Compact"/>
            </w:pPr>
            <w:r>
              <w:rPr>
                <w:sz w:val="20"/>
                <w:szCs w:val="20"/>
              </w:rPr>
              <w:t xml:space="preserve">event_severity_index</w:t>
            </w:r>
          </w:p>
        </w:tc>
        <w:tc>
          <w:tcPr>
            <w:tcW w:w="0" w:type="auto"/>
          </w:tcPr>
          <w:p>
            <w:pPr>
              <w:spacing w:line="240" w:lineRule="auto" w:before="0" w:after="0"/>
              <w:pStyle w:val="Compact"/>
            </w:pPr>
            <w:r>
              <w:rPr>
                <w:sz w:val="20"/>
                <w:szCs w:val="20"/>
              </w:rPr>
              <w:t xml:space="preserve">Composite 0-10 severity score combining altitude, fragment count, orbital lifetime, and conjunction risk</w:t>
            </w:r>
          </w:p>
        </w:tc>
        <w:tc>
          <w:tcPr>
            <w:tcW w:w="0" w:type="auto"/>
          </w:tcPr>
          <w:p>
            <w:pPr>
              <w:spacing w:line="240" w:lineRule="auto" w:before="0" w:after="0"/>
              <w:pStyle w:val="Compact"/>
            </w:pPr>
            <w:r>
              <w:rPr>
                <w:sz w:val="20"/>
                <w:szCs w:val="20"/>
              </w:rPr>
              <w:t xml:space="preserve">NASA Orbital Debris Quarterly News severity reporting and AMOS conference proceedings</w:t>
            </w:r>
          </w:p>
        </w:tc>
      </w:tr>
      <w:tr>
        <w:tc>
          <w:tcPr>
            <w:tcW w:w="0" w:type="auto"/>
          </w:tcPr>
          <w:p>
            <w:pPr>
              <w:spacing w:line="240" w:lineRule="auto" w:before="0" w:after="0"/>
              <w:pStyle w:val="Compact"/>
            </w:pPr>
            <w:r>
              <w:rPr>
                <w:sz w:val="20"/>
                <w:szCs w:val="20"/>
              </w:rPr>
              <w:t xml:space="preserve">operator_responsible</w:t>
            </w:r>
          </w:p>
        </w:tc>
        <w:tc>
          <w:tcPr>
            <w:tcW w:w="0" w:type="auto"/>
          </w:tcPr>
          <w:p>
            <w:pPr>
              <w:spacing w:line="240" w:lineRule="auto" w:before="0" w:after="0"/>
              <w:pStyle w:val="Compact"/>
            </w:pPr>
            <w:r>
              <w:rPr>
                <w:sz w:val="20"/>
                <w:szCs w:val="20"/>
              </w:rPr>
              <w:t xml:space="preserve">Binary indicator: 1 if the named operator is the proximate cause of the debris event, 0 if collateral</w:t>
            </w:r>
          </w:p>
        </w:tc>
        <w:tc>
          <w:tcPr>
            <w:tcW w:w="0" w:type="auto"/>
          </w:tcPr>
          <w:p>
            <w:pPr>
              <w:spacing w:line="240" w:lineRule="auto" w:before="0" w:after="0"/>
              <w:pStyle w:val="Compact"/>
            </w:pPr>
            <w:r>
              <w:rPr>
                <w:sz w:val="20"/>
                <w:szCs w:val="20"/>
              </w:rPr>
              <w:t xml:space="preserve">NASA ODQN attribution; US State Department statements for ASAT events</w:t>
            </w:r>
          </w:p>
        </w:tc>
      </w:tr>
      <w:tr>
        <w:tc>
          <w:tcPr>
            <w:tcW w:w="0" w:type="auto"/>
          </w:tcPr>
          <w:p>
            <w:pPr>
              <w:spacing w:line="240" w:lineRule="auto" w:before="0" w:after="0"/>
              <w:pStyle w:val="Compact"/>
            </w:pPr>
            <w:r>
              <w:rPr>
                <w:sz w:val="20"/>
                <w:szCs w:val="20"/>
              </w:rPr>
              <w:t xml:space="preserve">liability_claim</w:t>
            </w:r>
          </w:p>
        </w:tc>
        <w:tc>
          <w:tcPr>
            <w:tcW w:w="0" w:type="auto"/>
          </w:tcPr>
          <w:p>
            <w:pPr>
              <w:spacing w:line="240" w:lineRule="auto" w:before="0" w:after="0"/>
              <w:pStyle w:val="Compact"/>
            </w:pPr>
            <w:r>
              <w:rPr>
                <w:sz w:val="20"/>
                <w:szCs w:val="20"/>
              </w:rPr>
              <w:t xml:space="preserve">Binary indicator: 1 if a liability claim, insurance recovery, or formal complaint was filed within 90 days</w:t>
            </w:r>
          </w:p>
        </w:tc>
        <w:tc>
          <w:tcPr>
            <w:tcW w:w="0" w:type="auto"/>
          </w:tcPr>
          <w:p>
            <w:pPr>
              <w:spacing w:line="240" w:lineRule="auto" w:before="0" w:after="0"/>
              <w:pStyle w:val="Compact"/>
            </w:pPr>
            <w:r>
              <w:rPr>
                <w:sz w:val="20"/>
                <w:szCs w:val="20"/>
              </w:rPr>
              <w:t xml:space="preserve">SEC 8-K filings; press releases of insurance underwriters</w:t>
            </w:r>
          </w:p>
        </w:tc>
      </w:tr>
      <w:tr>
        <w:tc>
          <w:tcPr>
            <w:tcW w:w="0" w:type="auto"/>
          </w:tcPr>
          <w:p>
            <w:pPr>
              <w:spacing w:line="240" w:lineRule="auto" w:before="0" w:after="0"/>
              <w:pStyle w:val="Compact"/>
            </w:pPr>
            <w:r>
              <w:rPr>
                <w:sz w:val="20"/>
                <w:szCs w:val="20"/>
              </w:rPr>
              <w:t xml:space="preserve">debris_count</w:t>
            </w:r>
          </w:p>
        </w:tc>
        <w:tc>
          <w:tcPr>
            <w:tcW w:w="0" w:type="auto"/>
          </w:tcPr>
          <w:p>
            <w:pPr>
              <w:spacing w:line="240" w:lineRule="auto" w:before="0" w:after="0"/>
              <w:pStyle w:val="Compact"/>
            </w:pPr>
            <w:r>
              <w:rPr>
                <w:sz w:val="20"/>
                <w:szCs w:val="20"/>
              </w:rPr>
              <w:t xml:space="preserve">Number of cataloged trackable fragments attributed to the event by Space-Track / 18th SDS</w:t>
            </w:r>
          </w:p>
        </w:tc>
        <w:tc>
          <w:tcPr>
            <w:tcW w:w="0" w:type="auto"/>
          </w:tcPr>
          <w:p>
            <w:pPr>
              <w:spacing w:line="240" w:lineRule="auto" w:before="0" w:after="0"/>
              <w:pStyle w:val="Compact"/>
            </w:pPr>
            <w:r>
              <w:rPr>
                <w:sz w:val="20"/>
                <w:szCs w:val="20"/>
              </w:rPr>
              <w:t xml:space="preserve">NASA Orbital Debris Quarterly News fragment census tables</w:t>
            </w:r>
          </w:p>
        </w:tc>
      </w:tr>
      <w:tr>
        <w:tc>
          <w:tcPr>
            <w:tcW w:w="0" w:type="auto"/>
          </w:tcPr>
          <w:p>
            <w:pPr>
              <w:spacing w:line="240" w:lineRule="auto" w:before="0" w:after="0"/>
              <w:pStyle w:val="Compact"/>
            </w:pPr>
            <w:r>
              <w:rPr>
                <w:sz w:val="20"/>
                <w:szCs w:val="20"/>
              </w:rPr>
              <w:t xml:space="preserve">operator_public</w:t>
            </w:r>
          </w:p>
        </w:tc>
        <w:tc>
          <w:tcPr>
            <w:tcW w:w="0" w:type="auto"/>
          </w:tcPr>
          <w:p>
            <w:pPr>
              <w:spacing w:line="240" w:lineRule="auto" w:before="0" w:after="0"/>
              <w:pStyle w:val="Compact"/>
            </w:pPr>
            <w:r>
              <w:rPr>
                <w:sz w:val="20"/>
                <w:szCs w:val="20"/>
              </w:rPr>
              <w:t xml:space="preserve">Binary indicator: 1 if equity is publicly traded at event date</w:t>
            </w:r>
          </w:p>
        </w:tc>
        <w:tc>
          <w:tcPr>
            <w:tcW w:w="0" w:type="auto"/>
          </w:tcPr>
          <w:p>
            <w:pPr>
              <w:spacing w:line="240" w:lineRule="auto" w:before="0" w:after="0"/>
              <w:pStyle w:val="Compact"/>
            </w:pPr>
            <w:r>
              <w:rPr>
                <w:sz w:val="20"/>
                <w:szCs w:val="20"/>
              </w:rPr>
              <w:t xml:space="preserve">SEC EDGAR filings; HK Exchange and TASE filings</w:t>
            </w:r>
          </w:p>
        </w:tc>
      </w:tr>
    </w:tbl>
    <w:bookmarkEnd w:id="227"/>
    <w:bookmarkEnd w:id="228"/>
    <w:bookmarkEnd w:id="229"/>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214" Type="http://schemas.openxmlformats.org/officeDocument/2006/relationships/image" Target="media/rId214.png"/><Relationship Id="rId222" Type="http://schemas.openxmlformats.org/officeDocument/2006/relationships/image" Target="media/rId222.png"/><Relationship Id="rId201" Type="http://schemas.openxmlformats.org/officeDocument/2006/relationships/hyperlink" Target="https://doi.org/10.1016/j.actaastro.2023.02.022" TargetMode="External"/><Relationship Id="rId207" Type="http://schemas.openxmlformats.org/officeDocument/2006/relationships/hyperlink" Target="https://doi.org/10.1016/j.actaastro.2023.02.036" TargetMode="External"/><Relationship Id="rId167" Type="http://schemas.openxmlformats.org/officeDocument/2006/relationships/hyperlink" Target="https://doi.org/10.1016/j.actaastro.2023.02.043" TargetMode="External"/><Relationship Id="rId164" Type="http://schemas.openxmlformats.org/officeDocument/2006/relationships/hyperlink" Target="https://doi.org/10.1016/j.actaastro.2024.05.026" TargetMode="External"/><Relationship Id="rId169" Type="http://schemas.openxmlformats.org/officeDocument/2006/relationships/hyperlink" Target="https://doi.org/10.1016/j.actaastro.2024.06.015" TargetMode="External"/><Relationship Id="rId199" Type="http://schemas.openxmlformats.org/officeDocument/2006/relationships/hyperlink" Target="https://doi.org/10.1016/j.actaastro.2024.11.060" TargetMode="External"/><Relationship Id="rId205" Type="http://schemas.openxmlformats.org/officeDocument/2006/relationships/hyperlink" Target="https://doi.org/10.1016/j.actaastro.2024.12.053" TargetMode="External"/><Relationship Id="rId175" Type="http://schemas.openxmlformats.org/officeDocument/2006/relationships/hyperlink" Target="https://doi.org/10.1016/j.actaastro.2025.03.034" TargetMode="External"/><Relationship Id="rId203" Type="http://schemas.openxmlformats.org/officeDocument/2006/relationships/hyperlink" Target="https://doi.org/10.1016/j.actaastro.2025.04.007" TargetMode="External"/><Relationship Id="rId177" Type="http://schemas.openxmlformats.org/officeDocument/2006/relationships/hyperlink" Target="https://doi.org/10.1016/j.actaastro.2025.05.036" TargetMode="External"/><Relationship Id="rId197" Type="http://schemas.openxmlformats.org/officeDocument/2006/relationships/hyperlink" Target="https://doi.org/10.1016/j.actaastro.2025.05.059" TargetMode="External"/><Relationship Id="rId209" Type="http://schemas.openxmlformats.org/officeDocument/2006/relationships/hyperlink" Target="https://doi.org/10.1016/j.actaastro.2025.09.078" TargetMode="External"/><Relationship Id="rId184" Type="http://schemas.openxmlformats.org/officeDocument/2006/relationships/hyperlink" Target="https://doi.org/10.1016/j.actaastro.2025.12.018" TargetMode="External"/><Relationship Id="rId171" Type="http://schemas.openxmlformats.org/officeDocument/2006/relationships/hyperlink" Target="https://doi.org/10.1016/j.actaastro.2026.01.061" TargetMode="External"/><Relationship Id="rId182" Type="http://schemas.openxmlformats.org/officeDocument/2006/relationships/hyperlink" Target="https://doi.org/10.1016/j.actaastro.2026.04.046" TargetMode="External"/><Relationship Id="rId159" Type="http://schemas.openxmlformats.org/officeDocument/2006/relationships/hyperlink" Target="https://doi.org/10.64861/IGYM9299" TargetMode="External"/><Relationship Id="rId193" Type="http://schemas.openxmlformats.org/officeDocument/2006/relationships/hyperlink" Target="https://doi.org/10.64861/LDVO7244" TargetMode="External"/><Relationship Id="rId190" Type="http://schemas.openxmlformats.org/officeDocument/2006/relationships/hyperlink" Target="https://doi.org/10.64861/QYQB6394" TargetMode="External"/></Relationships>
</file>

<file path=word/_rels/footnotes.xml.rels><?xml version='1.0' encoding='UTF-8' standalone='yes'?>
<Relationships xmlns="http://schemas.openxmlformats.org/package/2006/relationships"><Relationship Id="rId201" Type="http://schemas.openxmlformats.org/officeDocument/2006/relationships/hyperlink" Target="https://doi.org/10.1016/j.actaastro.2023.02.022" TargetMode="External"/><Relationship Id="rId207" Type="http://schemas.openxmlformats.org/officeDocument/2006/relationships/hyperlink" Target="https://doi.org/10.1016/j.actaastro.2023.02.036" TargetMode="External"/><Relationship Id="rId167" Type="http://schemas.openxmlformats.org/officeDocument/2006/relationships/hyperlink" Target="https://doi.org/10.1016/j.actaastro.2023.02.043" TargetMode="External"/><Relationship Id="rId164" Type="http://schemas.openxmlformats.org/officeDocument/2006/relationships/hyperlink" Target="https://doi.org/10.1016/j.actaastro.2024.05.026" TargetMode="External"/><Relationship Id="rId169" Type="http://schemas.openxmlformats.org/officeDocument/2006/relationships/hyperlink" Target="https://doi.org/10.1016/j.actaastro.2024.06.015" TargetMode="External"/><Relationship Id="rId199" Type="http://schemas.openxmlformats.org/officeDocument/2006/relationships/hyperlink" Target="https://doi.org/10.1016/j.actaastro.2024.11.060" TargetMode="External"/><Relationship Id="rId205" Type="http://schemas.openxmlformats.org/officeDocument/2006/relationships/hyperlink" Target="https://doi.org/10.1016/j.actaastro.2024.12.053" TargetMode="External"/><Relationship Id="rId175" Type="http://schemas.openxmlformats.org/officeDocument/2006/relationships/hyperlink" Target="https://doi.org/10.1016/j.actaastro.2025.03.034" TargetMode="External"/><Relationship Id="rId203" Type="http://schemas.openxmlformats.org/officeDocument/2006/relationships/hyperlink" Target="https://doi.org/10.1016/j.actaastro.2025.04.007" TargetMode="External"/><Relationship Id="rId177" Type="http://schemas.openxmlformats.org/officeDocument/2006/relationships/hyperlink" Target="https://doi.org/10.1016/j.actaastro.2025.05.036" TargetMode="External"/><Relationship Id="rId197" Type="http://schemas.openxmlformats.org/officeDocument/2006/relationships/hyperlink" Target="https://doi.org/10.1016/j.actaastro.2025.05.059" TargetMode="External"/><Relationship Id="rId209" Type="http://schemas.openxmlformats.org/officeDocument/2006/relationships/hyperlink" Target="https://doi.org/10.1016/j.actaastro.2025.09.078" TargetMode="External"/><Relationship Id="rId184" Type="http://schemas.openxmlformats.org/officeDocument/2006/relationships/hyperlink" Target="https://doi.org/10.1016/j.actaastro.2025.12.018" TargetMode="External"/><Relationship Id="rId171" Type="http://schemas.openxmlformats.org/officeDocument/2006/relationships/hyperlink" Target="https://doi.org/10.1016/j.actaastro.2026.01.061" TargetMode="External"/><Relationship Id="rId182" Type="http://schemas.openxmlformats.org/officeDocument/2006/relationships/hyperlink" Target="https://doi.org/10.1016/j.actaastro.2026.04.046" TargetMode="External"/><Relationship Id="rId159" Type="http://schemas.openxmlformats.org/officeDocument/2006/relationships/hyperlink" Target="https://doi.org/10.64861/IGYM9299" TargetMode="External"/><Relationship Id="rId193" Type="http://schemas.openxmlformats.org/officeDocument/2006/relationships/hyperlink" Target="https://doi.org/10.64861/LDVO7244" TargetMode="External"/><Relationship Id="rId190" Type="http://schemas.openxmlformats.org/officeDocument/2006/relationships/hyperlink" Target="https://doi.org/10.64861/QYQB639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Capital-Markets Penalty for Debris Events: Event-Study Evidence on Operator</dc:title>
  <dc:creator>Sofia Marsh (1B-SDA-116)</dc:creator>
  <cp:keywords/>
  <dcterms:created xsi:type="dcterms:W3CDTF">2026-07-04T01:27:33Z</dcterms:created>
  <dcterms:modified xsi:type="dcterms:W3CDTF">2026-07-04T01:27:33Z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