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BARGAINING OVER A SHARED SHELL: A SCHELLING-GAME MODEL OF COORDINATION FAILURE I</w:t>
      </w:r>
    </w:p>
    <w:p>
      <w:pPr>
        <w:jc w:val="center"/>
      </w:pPr>
    </w:p>
    <w:p>
      <w:pPr>
        <w:jc w:val="center"/>
      </w:pPr>
      <w:r>
        <w:rPr>
          <w:rFonts w:ascii="Times New Roman" w:hAnsi="Times New Roman"/>
          <w:sz w:val="24"/>
        </w:rPr>
        <w:t>by</w:t>
      </w:r>
    </w:p>
    <w:p>
      <w:pPr>
        <w:jc w:val="center"/>
      </w:pPr>
      <w:r>
        <w:rPr>
          <w:rFonts w:ascii="Times New Roman" w:hAnsi="Times New Roman"/>
          <w:b/>
          <w:sz w:val="28"/>
        </w:rPr>
        <w:t>Hassan Sundberg</w:t>
      </w:r>
    </w:p>
    <w:p>
      <w:pPr>
        <w:jc w:val="center"/>
      </w:pPr>
      <w:r>
        <w:rPr>
          <w:rFonts w:ascii="Times New Roman" w:hAnsi="Times New Roman"/>
          <w:sz w:val="24"/>
        </w:rPr>
        <w:t>1B-SDA-176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p>
      <w:pPr>
        <w:pStyle w:val="FirstParagraph"/>
        <w:spacing w:line="480" w:lineRule="auto"/>
      </w:pPr>
      <w:r>
        <w:t xml:space="preserve">Low Earth orbit belongs to no one and is used by everyone. Dozens of operators thread the same altitude bands, hold legal title to none of the volume they occupy, and each new spacecraft one of them lofts nudges upward a hazard the entire population then carries. This dissertation lives inside that arrangement. Its author, Hassan Sundberg, casts the coordination puzzle in Schelling’s idiom, the situation where rivals would jointly welcome escape from a costly result but cannot lock in the joint rule that would deliver the escape, because advance commitment stays beyond any of them individually. Debris is the textbook version of the costly result. That crowding endangers the region is not what puzzles anyone; sensor operators and modelers closed that question years back</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puzzle is the persistent inability of the shell’s users to negotiate a lasting rule for sharing it.</w:t>
      </w:r>
    </w:p>
    <w:p>
      <w:pPr>
        <w:pStyle w:val="BodyText"/>
        <w:spacing w:line="480" w:lineRule="auto"/>
        <w:ind w:firstLine="720"/>
      </w:pPr>
      <w:r>
        <w:t xml:space="preserve">Answering the governance puzzle whole is not the ambition here. The project undertakes a smaller and, for an early-career design piece, more defensible task. Does the coordination-failure claim leave anything a solitary investigator can actually pick up and weigh? The residue it goes looking for lives in documents and their metadata, in how publications spread over calendar years, in the citation traffic a topic pulls, in which families of venues end up hosting it. Were the shared-shell bargain genuinely alive and stiffening into crisis, the pulled literature ought to carry visible order in those readings. Were it not, the readings ought to return faint, jumbled, and shifting</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Framing this correctly is not academic housekeeping; it changes what the dissertation can honestly deliver. Any piece moving through this pipeline owes its reader a continuous route, one that runs from the documents the author gathered, through the measures assembled out of them, into the estimator fed by those measures, and on to the meaning laid over the estimator’s output. Emerging-policy scholarship too often trades that route for assurance. It insists a problem is pressing, parades citations that wave toward pressure, and never surrenders a figure that might have landed differently. This design declines the substitution. Each quantitative sentence downstream is the product of a file anyone can re-run, and each product keeps the right to come back small.</w:t>
      </w:r>
    </w:p>
    <w:p>
      <w:pPr>
        <w:pStyle w:val="BodyText"/>
        <w:spacing w:line="480" w:lineRule="auto"/>
        <w:ind w:firstLine="720"/>
      </w:pPr>
      <w:r>
        <w:t xml:space="preserve">A sharper reason for the discipline attaches to this field specifically. Space governance straddles an uneasy seam. On one side the physics is unyielding, pinned by radar and optical returns, wrapped in orbital mechanics that grant almost no slack. On the other the institutions are pliable, brokered among states and companies that filter identical physics through mismatched strategic interests. Cross from the firm side to the pliable side without flagging the crossing and the reader forfeits any way to sort a measured statement from a wished one. Here the crossing gets flagged wherever it occurs. The firm signals the corpus yields are computed and reported; they are not laundered into governance verdicts the numbers were never strong enough to underwrite.</w:t>
      </w:r>
    </w:p>
    <w:bookmarkStart w:id="61" w:name="the-problem-and-why-it-resists-solution"/>
    <w:p>
      <w:pPr>
        <w:pStyle w:val="Heading2"/>
        <w:spacing w:line="480" w:lineRule="auto"/>
      </w:pPr>
      <w:r>
        <w:t xml:space="preserve">1.1 The problem and why it resists solution</w:t>
      </w:r>
    </w:p>
    <w:p>
      <w:pPr>
        <w:pStyle w:val="FirstParagraph"/>
        <w:spacing w:line="480" w:lineRule="auto"/>
      </w:pPr>
      <w:r>
        <w:t xml:space="preserve">A recurring pattern in this domain is that trouble surfaces before anyone agrees on the rule to hold it back. Sensors register conjunctions climbing; occupancy models flag particular altitude shells loading faster than their neighbors</w:t>
      </w:r>
      <w:r>
        <w:t xml:space="preserve"> </w:t>
      </w:r>
      <w:hyperlink w:anchor="ref-5">
        <w:r>
          <w:rPr>
            <w:rStyle w:val="Hyperlink"/>
          </w:rPr>
          <w:t xml:space="preserve">[5]</w:t>
        </w:r>
      </w:hyperlink>
      <w:r>
        <w:t xml:space="preserve"> </w:t>
      </w:r>
      <w:hyperlink w:anchor="ref-7">
        <w:r>
          <w:rPr>
            <w:rStyle w:val="Hyperlink"/>
          </w:rPr>
          <w:t xml:space="preserve">[7]</w:t>
        </w:r>
      </w:hyperlink>
      <w:r>
        <w:t xml:space="preserve">; break-up studies put figures on how one shattering satellite scatters fragments through several shells at once</w:t>
      </w:r>
      <w:r>
        <w:t xml:space="preserve"> </w:t>
      </w:r>
      <w:hyperlink w:anchor="ref-8">
        <w:r>
          <w:rPr>
            <w:rStyle w:val="Hyperlink"/>
          </w:rPr>
          <w:t xml:space="preserve">[8]</w:t>
        </w:r>
      </w:hyperlink>
      <w:r>
        <w:t xml:space="preserve">. Measurement runs ahead. Institutions lag, sometimes indefinitely. The space between them holds a bargaining puzzle wearing the awkward costume of a commons dilemma cut to look like a coordination game.</w:t>
      </w:r>
    </w:p>
    <w:p>
      <w:pPr>
        <w:pStyle w:val="BodyText"/>
        <w:spacing w:line="480" w:lineRule="auto"/>
        <w:ind w:firstLine="720"/>
      </w:pPr>
      <w:r>
        <w:t xml:space="preserve">So why does the deal never close? Not because anyone is careless. Schelling’s lens offers one reading. The parties agree on where they want to end up. Almost all of them would take a thinly populated, well-tended orbit over a runaway cascade. What eludes them is a rallying point each trusts the rest to head for, backed by machinery that keeps everyone heading there once they start. Every operator, betting the rest will break ranks, breaks ranks ahead of them. Work that tracks this loop through incomplete-information games</w:t>
      </w:r>
      <w:r>
        <w:t xml:space="preserve"> </w:t>
      </w:r>
      <w:hyperlink w:anchor="ref-4">
        <w:r>
          <w:rPr>
            <w:rStyle w:val="Hyperlink"/>
          </w:rPr>
          <w:t xml:space="preserve">[4]</w:t>
        </w:r>
      </w:hyperlink>
      <w:r>
        <w:t xml:space="preserve">, through source-sink environmental accounting that lays the spillover bare</w:t>
      </w:r>
      <w:r>
        <w:t xml:space="preserve"> </w:t>
      </w:r>
      <w:hyperlink w:anchor="ref-3">
        <w:r>
          <w:rPr>
            <w:rStyle w:val="Hyperlink"/>
          </w:rPr>
          <w:t xml:space="preserve">[3]</w:t>
        </w:r>
      </w:hyperlink>
      <w:r>
        <w:t xml:space="preserve">, and through playable renderings of debris rules and space law</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r>
        <w:t xml:space="preserve">keeps circling one absence. The shell’s physics is mapped. The play inside it is not. Sundberg builds the project in that unmapped space.</w:t>
      </w:r>
    </w:p>
    <w:p>
      <w:pPr>
        <w:pStyle w:val="BodyText"/>
        <w:spacing w:line="480" w:lineRule="auto"/>
        <w:ind w:firstLine="720"/>
      </w:pPr>
      <w:r>
        <w:t xml:space="preserve">Sit with the imbalance a moment longer. An occupancy model will tell an operator, credibly, how many craft a band tolerates given a stated fragment environment and a stated dodging capacity</w:t>
      </w:r>
      <w:r>
        <w:t xml:space="preserve"> </w:t>
      </w:r>
      <w:hyperlink w:anchor="ref-5">
        <w:r>
          <w:rPr>
            <w:rStyle w:val="Hyperlink"/>
          </w:rPr>
          <w:t xml:space="preserve">[5]</w:t>
        </w:r>
      </w:hyperlink>
      <w:r>
        <w:t xml:space="preserve">. A graph-driven layout tool will then cram that band to the edge, wringing the last usable slot from it</w:t>
      </w:r>
      <w:r>
        <w:t xml:space="preserve"> </w:t>
      </w:r>
      <w:hyperlink w:anchor="ref-7">
        <w:r>
          <w:rPr>
            <w:rStyle w:val="Hyperlink"/>
          </w:rPr>
          <w:t xml:space="preserve">[7]</w:t>
        </w:r>
      </w:hyperlink>
      <w:r>
        <w:t xml:space="preserve">. Neither instrument reveals what the other operators intend, and that hidden intention, not the occupancy ceiling, is what wrecks the deal. Trusting a common rule, an actor could aim at the physical limit and stop. Distrusting it, the same actor braces for the worst, which means launching sooner and launching heavier, the very conduct that shoves the band toward the ceiling the occupancy model flagged. Hardware and strategy interlock, and the interlock passes through belief, the hardest thing in the system to see.</w:t>
      </w:r>
    </w:p>
    <w:p>
      <w:pPr>
        <w:pStyle w:val="BodyText"/>
        <w:spacing w:line="480" w:lineRule="auto"/>
        <w:ind w:firstLine="720"/>
      </w:pPr>
      <w:r>
        <w:t xml:space="preserve">The imbalance has a second stratum, and the second stratum is what Sundberg can actually put to a test. Being real in orbit and being visible in the literature are separate matters. Visibility admits rough measurement, through freshness, through citation pull, through the shape of venue occupancy. A stiffening problem ought, across time, to gather newer entries, bank citations, and climb toward more consequential outlets. A merely modish one might gather freshness yet bank nothing. A stalled one might manage neither. Sorting these apart is a measurement chore, and it is the chore this study assigns itself.</w:t>
      </w:r>
    </w:p>
    <w:p>
      <w:pPr>
        <w:pStyle w:val="BodyText"/>
        <w:spacing w:line="480" w:lineRule="auto"/>
        <w:ind w:firstLine="720"/>
      </w:pPr>
      <w:r>
        <w:t xml:space="preserve">Running the measurement apart from the governance question earns its keep because the two can part ways. Something can press hard on the physical world while staying dark in the record, if the field has yet to agree on words for it. Something can sit thick with citations and no longer press at all, if attention drifted while the citations stayed put. Interrogating the corpus is one way to ask whether the field itself has gathered around the problem, and gathering is a prerequisite for the coordinated rule the Schelling reading says the operators are missing. Should the scholars charting the shell fail to settle on a common frame, betting the operators overhead will do better is a poor bet.</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By design the contribution narrows to one claim that can be checked, cast as a null against an alternative.</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That is not the governance question. It stands in, at the level of documents, for a single face of it. Checkability is real because the estimators are free to hand back coefficients no different from zero, and where that happens the dissertation prints it rather than tucking it away. Anything that can only agree with itself was never a test. What earns this design its place is that it can, and mostly does, decline to overturn the null across most of its terms, and that declining is itself news about how much a lone investigator can wring from the available evidence.</w:t>
      </w:r>
    </w:p>
    <w:p>
      <w:pPr>
        <w:pStyle w:val="BodyText"/>
        <w:spacing w:line="480" w:lineRule="auto"/>
        <w:ind w:firstLine="720"/>
      </w:pPr>
      <w:r>
        <w:t xml:space="preserve">The checking rides on two empirical papers. Paper one fits an ordinary least squares model of a pooled topic-signal score on publication freshness, logged citation tally, and an ordinal venue-family rank. Paper two fits a log-log learning-curve model of citation build-up on how old a document is. The pair works in tandem. One takes a snapshot across the corpus at one instant; the other watches attention pile up over time. Settling the policy fight is beyond either. Between them they hold it to account, marking off which pieces of the coordination-failure story surface in reachable metadata and which pieces wait on a hand-coding design this project leaves unbuilt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Drawing the contribution this narrow is a decision that charges a price and buys something in return. The charge is that the dissertation forfeits any claim to have gauged the coordination failure; it has gauged only the outline the failure throws. The return is that every claim it does enter can be re-checked. Doubt the freshness coefficient and a reader opens the estimation file, rebuilds the freshness index off the publication years, and re-fits. Doubt the venue rank and a reader reads the ordinal rule and disputes it in plain sight. This is the exchange an early-stage dissertation should accept. Checkability is bought with reach, and reach it does not own is not spent on a claim it could not stand behind.</w:t>
      </w:r>
    </w:p>
    <w:bookmarkEnd w:id="62"/>
    <w:bookmarkStart w:id="63" w:name="what-the-design-deliberately-gives-up"/>
    <w:p>
      <w:pPr>
        <w:pStyle w:val="Heading2"/>
        <w:spacing w:line="480" w:lineRule="auto"/>
      </w:pPr>
      <w:r>
        <w:t xml:space="preserve">1.3 What the design deliberately gives up</w:t>
      </w:r>
    </w:p>
    <w:p>
      <w:pPr>
        <w:pStyle w:val="FirstParagraph"/>
        <w:spacing w:line="480" w:lineRule="auto"/>
      </w:pPr>
      <w:r>
        <w:t xml:space="preserve">Candor about reach is not a preface to the argument; it is the argument. The dissertation abandons any claim to causal identification of governance outcomes. It watches no operator bargain, gauges no adoption of a coordination rule, follows no debris-mitigation compliance. What it watches is the outline a topic throws across a pulled literature, read through two see-through estimators. The pooled signal score tallies theme-word strikes in source metadata, a proxy the author grants is blunt. Citation figures ride on a local index rather than a universal graph, so they run short. Venue rank is ordinal and carries no interval reading</w:t>
      </w:r>
      <w:r>
        <w:t xml:space="preserve"> </w:t>
      </w:r>
      <w:hyperlink w:anchor="ref-1">
        <w:r>
          <w:rPr>
            <w:rStyle w:val="Hyperlink"/>
          </w:rPr>
          <w:t xml:space="preserve">[1]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Not one of these lines is a regret bolted on afterward. Each is a rail the reading of every coefficient runs along. A faint, fuzzy term under this design does not mark a broken model. It marks the ceiling on what the present record can hold up, and the discussion chapters handle it on those terms.</w:t>
      </w:r>
    </w:p>
    <w:p>
      <w:pPr>
        <w:pStyle w:val="BodyText"/>
        <w:spacing w:line="480" w:lineRule="auto"/>
        <w:ind w:firstLine="720"/>
      </w:pPr>
      <w:r>
        <w:t xml:space="preserve">Reach across the corpus is the second thing surrendered, traded for lineage. Thirty entries is a slim sample, and a fatter one drawn from a universal index would pack more statistical muscle. Electing the slim, wholly traced pack over the fat, murky one honors the pipeline’s rank order: from any coefficient a reader should be able to step back to the precise document that fed it. For an early-stage effort out to show a method work and mark where it stops, rather than to hand down a settled governance figure, that ordering earns its place. A later effort can swap some lineage for scale once the method has shown it catches what it says it catches. The commodity-market and occupancy-management strands already outline the fatter corpora such an effort would tap</w:t>
      </w:r>
      <w:r>
        <w:t xml:space="preserve"> </w:t>
      </w:r>
      <w:hyperlink w:anchor="ref-1">
        <w:r>
          <w:rPr>
            <w:rStyle w:val="Hyperlink"/>
          </w:rPr>
          <w:t xml:space="preserve">[1]</w:t>
        </w:r>
      </w:hyperlink>
      <w:r>
        <w:t xml:space="preserve"> </w:t>
      </w:r>
      <w:hyperlink w:anchor="ref-15">
        <w:r>
          <w:rPr>
            <w:rStyle w:val="Hyperlink"/>
          </w:rPr>
          <w:t xml:space="preserve">[15]</w:t>
        </w:r>
      </w:hyperlink>
      <w:r>
        <w:t xml:space="preserve">.</w:t>
      </w:r>
    </w:p>
    <w:bookmarkEnd w:id="63"/>
    <w:bookmarkStart w:id="64" w:name="roadmap"/>
    <w:p>
      <w:pPr>
        <w:pStyle w:val="Heading2"/>
        <w:spacing w:line="480" w:lineRule="auto"/>
      </w:pPr>
      <w:r>
        <w:t xml:space="preserve">1.4 Roadmap</w:t>
      </w:r>
    </w:p>
    <w:p>
      <w:pPr>
        <w:pStyle w:val="FirstParagraph"/>
        <w:spacing w:line="480" w:lineRule="auto"/>
      </w:pPr>
      <w:r>
        <w:t xml:space="preserve">What follows runs seven chapters. Chapter 2 places the work against three literatures: the operational studies of orbital loading and fragments, the strategic-interaction studies that lend the Schelling reading, and the measurement studies of bibliometric prominence</w:t>
      </w:r>
      <w:r>
        <w:t xml:space="preserve"> </w:t>
      </w:r>
      <w:hyperlink w:anchor="ref-4">
        <w:r>
          <w:rPr>
            <w:rStyle w:val="Hyperlink"/>
          </w:rPr>
          <w:t xml:space="preserve">[4]</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Chapter 3 lays out the mechanism and pulls testable predictions from it, tying the coordination-failure logic to the readable signals. Chapter 4 puts down the methods and the identification reasoning for each estimator, and is plain about what either can and cannot fix. Chapter 5 records the dataset in full: the thirty pulled entries, every variable’s build, the sources, the sample count. Chapter 6 prints the exact estimator output for both papers and reads the signs and sizes flat, without swelling them. Chapter 7 weighs what the findings carry, lists the threats to validity, and fixes the line past which the data say nothing. Chapter 8 fixes the contribution, ties it to program and governance stakes, and names the next collection that would firm the design up</w:t>
      </w:r>
      <w:r>
        <w:t xml:space="preserve"> </w:t>
      </w:r>
      <w:hyperlink w:anchor="ref-3">
        <w:r>
          <w:rPr>
            <w:rStyle w:val="Hyperlink"/>
          </w:rPr>
          <w:t xml:space="preserve">[3]</w:t>
        </w:r>
      </w:hyperlink>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One instruction on reading the empirical chapters belongs here, ahead of them. The two papers are not built as a climb toward a triumphant kill of the null. They are built as a candid sieve whose likeliest yield, at this sample, is a run of fuzzy coefficients and a surprise or two that land sharp. When Chapter 6 prints a sharp coefficient whose sign fights the directional call, that is not a writing lapse to be sanded down. That is the finding, and the chapters around it exist to read it responsibly. A reader who wants a dissertation to bless its own hypothesis will find the shape strange. A reader who wants a dissertation to try a hypothesis and report what came back will find it apt. The measurement theory of Chapter 3 makes the split readable, because it pins down beforehand what a kill and a survival each mean, so neither can be re-storied once the coefficient is in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4"/>
    <w:bookmarkStart w:id="65" w:name="why-the-schelling-frame-and-not-another"/>
    <w:p>
      <w:pPr>
        <w:pStyle w:val="Heading2"/>
        <w:spacing w:line="480" w:lineRule="auto"/>
      </w:pPr>
      <w:r>
        <w:t xml:space="preserve">1.5 Why the Schelling frame, and not another</w:t>
      </w:r>
    </w:p>
    <w:p>
      <w:pPr>
        <w:pStyle w:val="FirstParagraph"/>
        <w:spacing w:line="480" w:lineRule="auto"/>
      </w:pPr>
      <w:r>
        <w:t xml:space="preserve">Picking a Schelling game as the organizing lens is not ornament, and the pick deserves a defense against the near alternatives before the argument rests weight on it. Orbital loading most often draws the tragedy-of-the-commons lens, and the shared shell does wear commons features, a rivalrous, non-excludable good spoiled by rational private use</w:t>
      </w:r>
      <w:r>
        <w:t xml:space="preserve"> </w:t>
      </w:r>
      <w:hyperlink w:anchor="ref-3">
        <w:r>
          <w:rPr>
            <w:rStyle w:val="Hyperlink"/>
          </w:rPr>
          <w:t xml:space="preserve">[3]</w:t>
        </w:r>
      </w:hyperlink>
      <w:r>
        <w:t xml:space="preserve">. Yet the pure commons lens drags an implication the shared shell fails to meet, that the parties clash over the good. Operators do not court a cascade. They hold the common aim of a livable shell and miss it anyway, the fingerprint of a coordination snag rather than a clash of aims. The Schelling lens catches that common-aim-without-arrival shape exactly, where the commons lens inflates the clash.</w:t>
      </w:r>
    </w:p>
    <w:p>
      <w:pPr>
        <w:pStyle w:val="BodyText"/>
        <w:spacing w:line="480" w:lineRule="auto"/>
        <w:ind w:firstLine="720"/>
      </w:pPr>
      <w:r>
        <w:t xml:space="preserve">A second candidate is the bare prisoner’s dilemma, where breaking ranks beats cooperating for each side no matter the other. That lens suits some launch calls, and it drops a trait the space-domain writing keeps turning up: operators would cooperate given a rule they could trust, and their bind is the missing rule each expects the rest to keep</w:t>
      </w:r>
      <w:r>
        <w:t xml:space="preserve"> </w:t>
      </w:r>
      <w:hyperlink w:anchor="ref-4">
        <w:r>
          <w:rPr>
            <w:rStyle w:val="Hyperlink"/>
          </w:rPr>
          <w:t xml:space="preserve">[4]</w:t>
        </w:r>
      </w:hyperlink>
      <w:r>
        <w:t xml:space="preserve"> </w:t>
      </w:r>
      <w:hyperlink w:anchor="ref-15">
        <w:r>
          <w:rPr>
            <w:rStyle w:val="Hyperlink"/>
          </w:rPr>
          <w:t xml:space="preserve">[15]</w:t>
        </w:r>
      </w:hyperlink>
      <w:r>
        <w:t xml:space="preserve">. A dilemma has no rallying point to lack; a Schelling game is built around the lacking rallying point. Choosing the Schelling lens is therefore a substantive verdict on the problem, that its hardness sits in arrival and credible commitment rather than in payoffs that cannot be squared, and the measurement design takes on that verdict by asking whether the field has raised the rallying institution the lens declares absent</w:t>
      </w:r>
      <w:r>
        <w:t xml:space="preserve"> </w:t>
      </w:r>
      <w:hyperlink w:anchor="ref-1">
        <w:r>
          <w:rPr>
            <w:rStyle w:val="Hyperlink"/>
          </w:rPr>
          <w:t xml:space="preserve">[1]</w:t>
        </w:r>
      </w:hyperlink>
      <w:r>
        <w:t xml:space="preserve">.</w:t>
      </w:r>
    </w:p>
    <w:p>
      <w:pPr>
        <w:pStyle w:val="BodyText"/>
        <w:spacing w:line="480" w:lineRule="auto"/>
        <w:ind w:firstLine="720"/>
      </w:pPr>
      <w:r>
        <w:t xml:space="preserve">The lens disciplines empirical reach as well. A Schelling game hinges on shared expectation and rallying points, so the natural evidence for whether one is closing is whether the working community has gathered on a common frame, exactly what a corpus sweep can read</w:t>
      </w:r>
      <w:r>
        <w:t xml:space="preserve"> </w:t>
      </w:r>
      <w:hyperlink w:anchor="ref-6">
        <w:r>
          <w:rPr>
            <w:rStyle w:val="Hyperlink"/>
          </w:rPr>
          <w:t xml:space="preserve">[6]</w:t>
        </w:r>
      </w:hyperlink>
      <w:r>
        <w:t xml:space="preserve">. Had the dissertation taken the clash-heavy commons lens, the natural evidence would have been operator conduct and enforcement, past a lone investigator’s reach. Lens and bibliometric method mesh. The lens asks whether gathering is under way; the corpus is where gathering, if it is under way, would show first</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One caveat about the lens belongs here, not deferred. A Schelling game is a model, and models pare things down. Real operators split on scale, capability, and state backing, and a few might court loading if loading shuts out rivals, which pulls at the common-aim premise the lens assumes</w:t>
      </w:r>
      <w:r>
        <w:t xml:space="preserve"> </w:t>
      </w:r>
      <w:hyperlink w:anchor="ref-15">
        <w:r>
          <w:rPr>
            <w:rStyle w:val="Hyperlink"/>
          </w:rPr>
          <w:t xml:space="preserve">[15]</w:t>
        </w:r>
      </w:hyperlink>
      <w:r>
        <w:t xml:space="preserve">. The dissertation takes the lens as the handiest first cut, not as the whole account, and rests no empirical claim on the lens holding literally for every operator. What the lens does is fuel the measurement question about gathering, and that question survives whether or not every operator fits the common-aim cut. A reader should carry the lens loosely, a device that trains the inquiry rather than a law the world is sworn to keep</w:t>
      </w:r>
      <w:r>
        <w:t xml:space="preserve"> </w:t>
      </w:r>
      <w:hyperlink w:anchor="ref-1">
        <w:r>
          <w:rPr>
            <w:rStyle w:val="Hyperlink"/>
          </w:rPr>
          <w:t xml:space="preserve">[1]</w:t>
        </w:r>
      </w:hyperlink>
      <w:r>
        <w:t xml:space="preserve">.</w:t>
      </w:r>
    </w:p>
    <w:bookmarkEnd w:id="65"/>
    <w:bookmarkEnd w:id="66"/>
    <w:bookmarkStart w:id="72" w:name="chapter-2.-literature"/>
    <w:p>
      <w:pPr>
        <w:pStyle w:val="Heading1"/>
        <w:spacing w:line="480" w:lineRule="auto"/>
      </w:pPr>
      <w:r>
        <w:t xml:space="preserve">Chapter 2. Literature</w:t>
      </w:r>
    </w:p>
    <w:p>
      <w:pPr>
        <w:pStyle w:val="FirstParagraph"/>
        <w:spacing w:line="480" w:lineRule="auto"/>
      </w:pPr>
      <w:r>
        <w:t xml:space="preserve">Three strands of scholarship converge on this dissertation. One charts the physical and operational condition of low Earth orbit: its fullness, its rate of loading, the wreckage a single break-up throws across neighboring shells. A second lends the strategic language, reading orbital loading as a bargaining and coordination bind rather than a strictly engineering one. A third is about method, asking how a topic’s prominence can be lifted off a corpus through freshness, citation pull, and outlet. Walking them in turn locates the project and, further, exposes where the standing work halts short of the test this study puts forward.</w:t>
      </w:r>
    </w:p>
    <w:p>
      <w:pPr>
        <w:pStyle w:val="BodyText"/>
        <w:spacing w:line="480" w:lineRule="auto"/>
        <w:ind w:firstLine="720"/>
      </w:pPr>
      <w:r>
        <w:t xml:space="preserve">The three strands do more than lie adjacent. They are arranged so each passes a question along. The operational work fixes the shell as finite and fought over, which opens the question the strategic work takes up, why rational operators decline to hold back. The strategic work fixes the breakdown as a coordination breakdown with no rallying institution, which opens the question the method work is placed to take up, whether the field studying that breakdown has itself gathered around it. Reading the three in sequence is thus reading one argument about one shell, not three surveys stapled together.</w:t>
      </w:r>
    </w:p>
    <w:bookmarkStart w:id="67" w:name="Xcf6d3a3a0bf526f72cf78b0fc0d563ff2cd86ca"/>
    <w:p>
      <w:pPr>
        <w:pStyle w:val="Heading2"/>
        <w:spacing w:line="480" w:lineRule="auto"/>
      </w:pPr>
      <w:r>
        <w:t xml:space="preserve">2.1 The operational picture of a crowded shell</w:t>
      </w:r>
    </w:p>
    <w:p>
      <w:pPr>
        <w:pStyle w:val="FirstParagraph"/>
        <w:spacing w:line="480" w:lineRule="auto"/>
      </w:pPr>
      <w:r>
        <w:t xml:space="preserve">Begin with the shell. Occupancy modeling has grown up. A once-loose collection of collision guesses for low Earth orbit has firmed into a legible subfield sharing premises about fragment environments, dodging capacity, and the collision odds that cap how many craft a band bears. Sturza, Dankberg, and Blount build a sustainable-design occupancy model for large constellations, making collision probability the cap on how many craft a band bears</w:t>
      </w:r>
      <w:r>
        <w:t xml:space="preserve"> </w:t>
      </w:r>
      <w:hyperlink w:anchor="ref-5">
        <w:r>
          <w:rPr>
            <w:rStyle w:val="Hyperlink"/>
          </w:rPr>
          <w:t xml:space="preserve">[5]</w:t>
        </w:r>
      </w:hyperlink>
      <w:r>
        <w:t xml:space="preserve">. Their cut is engineering-first: fix a fragment environment and a dodging capacity, then ask how many operators an altitude holds before the collision rate turns intolerable. Owens-Fahrner and colleagues drive the complementary way, wielding graph optimization to lay out dense constellations that stuff the shell tighter</w:t>
      </w:r>
      <w:r>
        <w:t xml:space="preserve"> </w:t>
      </w:r>
      <w:hyperlink w:anchor="ref-7">
        <w:r>
          <w:rPr>
            <w:rStyle w:val="Hyperlink"/>
          </w:rPr>
          <w:t xml:space="preserve">[7]</w:t>
        </w:r>
      </w:hyperlink>
      <w:r>
        <w:t xml:space="preserve">. The two papers face each other across one coin. One weighs how much loading stays safe. The other engineers more loading without breaching that safety.</w:t>
      </w:r>
    </w:p>
    <w:p>
      <w:pPr>
        <w:pStyle w:val="BodyText"/>
        <w:spacing w:line="480" w:lineRule="auto"/>
        <w:ind w:firstLine="720"/>
      </w:pPr>
      <w:r>
        <w:t xml:space="preserve">The coordination bind sits in the gap between those weighings. An occupancy model draws a ceiling; a packing tool climbs toward it. Should every operator wield the packing tool while none honored the ceiling, the shell would breach the safe cap even as each private call stayed locally shrewd. This is the commons dilemma written in orbital mechanics, and it shows in the writing well ahead of any strategic overlay. The engineering papers sketch a board where safe and reachable split, and that split is the stock the strategic writing works.</w:t>
      </w:r>
    </w:p>
    <w:p>
      <w:pPr>
        <w:pStyle w:val="BodyText"/>
        <w:spacing w:line="480" w:lineRule="auto"/>
        <w:ind w:firstLine="720"/>
      </w:pPr>
      <w:r>
        <w:t xml:space="preserve">Fragmentation scholarship hardens the spillover into something concrete. Wu’s space-safety framework puts a figure on a break-up’s fragment footprint and fixes a multi-shell critical density, the threshold past which a cascade turns self-feeding across adjacent altitudes</w:t>
      </w:r>
      <w:r>
        <w:t xml:space="preserve"> </w:t>
      </w:r>
      <w:hyperlink w:anchor="ref-8">
        <w:r>
          <w:rPr>
            <w:rStyle w:val="Hyperlink"/>
          </w:rPr>
          <w:t xml:space="preserve">[8]</w:t>
        </w:r>
      </w:hyperlink>
      <w:r>
        <w:t xml:space="preserve">. This is the physical route by which a private launch call becomes a shared liability. Let one operator’s craft shatter and its fragments refuse to stay in that operator’s stretch of shell. They drift, and the hazard they raise falls on everyone flying near. Anderson, Cardin, and Grogan fold in the economics of timing, modeling staged, flexible, multi-layer roll-out of mega-constellations under demand uncertainty, where the roll-out call is itself a strategic play against a foggy future</w:t>
      </w:r>
      <w:r>
        <w:t xml:space="preserve"> </w:t>
      </w:r>
      <w:hyperlink w:anchor="ref-9">
        <w:r>
          <w:rPr>
            <w:rStyle w:val="Hyperlink"/>
          </w:rPr>
          <w:t xml:space="preserve">[9]</w:t>
        </w:r>
      </w:hyperlink>
      <w:r>
        <w:t xml:space="preserve">.</w:t>
      </w:r>
    </w:p>
    <w:p>
      <w:pPr>
        <w:pStyle w:val="BodyText"/>
        <w:spacing w:line="480" w:lineRule="auto"/>
        <w:ind w:firstLine="720"/>
      </w:pPr>
      <w:r>
        <w:t xml:space="preserve">The staged-roll-out work repays a longer stay. It carries the temporal grain the rest of the operational writing misses. An operator settles the shell’s loading not once but again and again, under demand uncertainty, weighing whether to lay the next layer now or hold. Real-options logic of the sort Anderson and colleagues render shows the value of holding turns on what rivals are read to do</w:t>
      </w:r>
      <w:r>
        <w:t xml:space="preserve"> </w:t>
      </w:r>
      <w:hyperlink w:anchor="ref-9">
        <w:r>
          <w:rPr>
            <w:rStyle w:val="Hyperlink"/>
          </w:rPr>
          <w:t xml:space="preserve">[9]</w:t>
        </w:r>
      </w:hyperlink>
      <w:r>
        <w:t xml:space="preserve">. Read rivals as moving first and seizing the volume, and holding loses its worth, so the operator lays early to dodge being boxed out. That loop turns an occupancy ceiling into a scramble, and the scramble is exactly the coordination breakdown the dissertation studies. Wu’s spillover is what makes the scramble dangerous</w:t>
      </w:r>
      <w:r>
        <w:t xml:space="preserve"> </w:t>
      </w:r>
      <w:hyperlink w:anchor="ref-8">
        <w:r>
          <w:rPr>
            <w:rStyle w:val="Hyperlink"/>
          </w:rPr>
          <w:t xml:space="preserve">[8]</w:t>
        </w:r>
      </w:hyperlink>
      <w:r>
        <w:t xml:space="preserve">; the staged-roll-out model is what makes it rational.</w:t>
      </w:r>
    </w:p>
    <w:p>
      <w:pPr>
        <w:pStyle w:val="BodyText"/>
        <w:spacing w:line="480" w:lineRule="auto"/>
        <w:ind w:firstLine="720"/>
      </w:pPr>
      <w:r>
        <w:t xml:space="preserve">Nothing in this operational writing is contested here. The shell is a finite, fought-over good; loading lifts systemic hazard; fragmentation externalizes that hazard across altitudes. What the operational writing skips is the conduct of the players. It sketches the board and leaves the game unmodeled.</w:t>
      </w:r>
    </w:p>
    <w:bookmarkEnd w:id="67"/>
    <w:bookmarkStart w:id="68" w:name="from-physics-to-strategy"/>
    <w:p>
      <w:pPr>
        <w:pStyle w:val="Heading2"/>
        <w:spacing w:line="480" w:lineRule="auto"/>
      </w:pPr>
      <w:r>
        <w:t xml:space="preserve">2.2 From physics to strategy</w:t>
      </w:r>
    </w:p>
    <w:p>
      <w:pPr>
        <w:pStyle w:val="FirstParagraph"/>
        <w:spacing w:line="480" w:lineRule="auto"/>
      </w:pPr>
      <w:r>
        <w:t xml:space="preserve">The strategic writing takes over where the physics stops. Once the shell reads as a commons whose decline is driven by shrewd private launch calls, the next question follows on its own: why do operators not simply promise restraint? Becker and Sunberg come at this through incomplete-information games, running counterfactual regret minimization over space domain awareness, where each actor must call its move uncertain about what the rest know and will do</w:t>
      </w:r>
      <w:r>
        <w:t xml:space="preserve"> </w:t>
      </w:r>
      <w:hyperlink w:anchor="ref-4">
        <w:r>
          <w:rPr>
            <w:rStyle w:val="Hyperlink"/>
          </w:rPr>
          <w:t xml:space="preserve">[4]</w:t>
        </w:r>
      </w:hyperlink>
      <w:r>
        <w:t xml:space="preserve">. Their move is to make the information structure internal to the strategic bind, precisely the trait a Schelling reading needs. Coordination collapses not because the players crave the bad end but because none can be sure the rest will step to the good one.</w:t>
      </w:r>
    </w:p>
    <w:p>
      <w:pPr>
        <w:pStyle w:val="BodyText"/>
        <w:spacing w:line="480" w:lineRule="auto"/>
        <w:ind w:firstLine="720"/>
      </w:pPr>
      <w:r>
        <w:t xml:space="preserve">Counterfactual regret minimization warrants a longer look, since it fixes the mechanism with rare exactness. The method models a player forever asking what a different move would have won and drifting toward the moves it now wishes it had made. Turned on space domain awareness, it captures an operator learning, across repeated brushes, that holding back drew punishment whenever rivals declined to answer in kind</w:t>
      </w:r>
      <w:r>
        <w:t xml:space="preserve"> </w:t>
      </w:r>
      <w:hyperlink w:anchor="ref-4">
        <w:r>
          <w:rPr>
            <w:rStyle w:val="Hyperlink"/>
          </w:rPr>
          <w:t xml:space="preserve">[4]</w:t>
        </w:r>
      </w:hyperlink>
      <w:r>
        <w:t xml:space="preserve">. The equilibrium such learning settles into is not the cooperative one. It is the one where each player has quit regretting its own aggression, since aggression was never the error given the rest. That is a formal account of why the shared-shell deal collapses, and it rises from inside the space-domain writing rather than being carried in from textbook game theory.</w:t>
      </w:r>
    </w:p>
    <w:p>
      <w:pPr>
        <w:pStyle w:val="BodyText"/>
        <w:spacing w:line="480" w:lineRule="auto"/>
        <w:ind w:firstLine="720"/>
      </w:pPr>
      <w:r>
        <w:t xml:space="preserve">Lifson, Jang, and Linares throw the span from strategy back to governance through source-sink evolutionary environmental models, which fix the debris spillover as a stock swelling when input beats removal</w:t>
      </w:r>
      <w:r>
        <w:t xml:space="preserve"> </w:t>
      </w:r>
      <w:hyperlink w:anchor="ref-3">
        <w:r>
          <w:rPr>
            <w:rStyle w:val="Hyperlink"/>
          </w:rPr>
          <w:t xml:space="preserve">[3]</w:t>
        </w:r>
      </w:hyperlink>
      <w:r>
        <w:t xml:space="preserve">. Their decision-support slant counts. A source-sink model does more than describe the commons; it flags the intervention seams where a coordinated rule could bend the path. That is the analytical figure of a Schelling game with a policy lever bolted on.</w:t>
      </w:r>
    </w:p>
    <w:p>
      <w:pPr>
        <w:pStyle w:val="BodyText"/>
        <w:spacing w:line="480" w:lineRule="auto"/>
        <w:ind w:firstLine="720"/>
      </w:pPr>
      <w:r>
        <w:t xml:space="preserve">A vivid recent line renders these coordination binds as games proper. Hurova reads space-debris rules as a case where a playable rendering can surface the live snags formal talks bury</w:t>
      </w:r>
      <w:r>
        <w:t xml:space="preserve"> </w:t>
      </w:r>
      <w:hyperlink w:anchor="ref-10">
        <w:r>
          <w:rPr>
            <w:rStyle w:val="Hyperlink"/>
          </w:rPr>
          <w:t xml:space="preserve">[10]</w:t>
        </w:r>
      </w:hyperlink>
      <w:r>
        <w:t xml:space="preserve">, and Hurova, Becker, and Bécu carry the move into space law itself, using game strategy to steer a splintering legal terrain</w:t>
      </w:r>
      <w:r>
        <w:t xml:space="preserve"> </w:t>
      </w:r>
      <w:hyperlink w:anchor="ref-11">
        <w:r>
          <w:rPr>
            <w:rStyle w:val="Hyperlink"/>
          </w:rPr>
          <w:t xml:space="preserve">[11]</w:t>
        </w:r>
      </w:hyperlink>
      <w:r>
        <w:t xml:space="preserve">. This playable-rendering work counts here for a pointed reason. It confirms that serious hands in the field already read orbital coordination as a game, which licenses the Schelling reading rather than importing it from beyond the domain.</w:t>
      </w:r>
    </w:p>
    <w:p>
      <w:pPr>
        <w:pStyle w:val="BodyText"/>
        <w:spacing w:line="480" w:lineRule="auto"/>
        <w:ind w:firstLine="720"/>
      </w:pPr>
      <w:r>
        <w:t xml:space="preserve">There is a further pull to the playable-rendering line. Playable renderings are bids to build the rallying point the strategic setting lacks. By recasting debris rules as a legible game with shared rules and open payoffs, this writing is trying to manufacture the common frame around which operators might gather</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That the field grasps for the device is itself proof the coordination bind is read as one of missing rallying institutions rather than clashing wants. The dissertation reads that grasp as a signal, and its measurement design asks whether the grasp has yet drawn the corpus into a coherent shape.</w:t>
      </w:r>
    </w:p>
    <w:p>
      <w:pPr>
        <w:pStyle w:val="BodyText"/>
        <w:spacing w:line="480" w:lineRule="auto"/>
        <w:ind w:firstLine="720"/>
      </w:pPr>
      <w:r>
        <w:t xml:space="preserve">The Schelling apparatus keeps an even more literal toehold in the neighboring writing. Gahan’s study of an overlooked Schelling-point candidate for optical SETI runs rallying-point logic over a space-domain coordination bind, showing the hunt for a mutually expected arrival point is a live analytical device in the field, not a metaphor on loan from economics</w:t>
      </w:r>
      <w:r>
        <w:t xml:space="preserve"> </w:t>
      </w:r>
      <w:hyperlink w:anchor="ref-13">
        <w:r>
          <w:rPr>
            <w:rStyle w:val="Hyperlink"/>
          </w:rPr>
          <w:t xml:space="preserve">[13]</w:t>
        </w:r>
      </w:hyperlink>
      <w:r>
        <w:t xml:space="preserve">. The candidate topic takes over that device and turns it on the shared shell. The SETI case teaches precisely because it sits so far from debris. It shows rallying-point logic carries across space-domain coordination binds wherever separate actors must gather without talking, the abstract shape the shared shell holds in common with the search for other signals.</w:t>
      </w:r>
    </w:p>
    <w:bookmarkEnd w:id="68"/>
    <w:bookmarkStart w:id="69" w:name="the-commodity-and-market-framing"/>
    <w:p>
      <w:pPr>
        <w:pStyle w:val="Heading2"/>
        <w:spacing w:line="480" w:lineRule="auto"/>
      </w:pPr>
      <w:r>
        <w:t xml:space="preserve">2.3 The commodity and market framing</w:t>
      </w:r>
    </w:p>
    <w:p>
      <w:pPr>
        <w:pStyle w:val="FirstParagraph"/>
        <w:spacing w:line="480" w:lineRule="auto"/>
      </w:pPr>
      <w:r>
        <w:t xml:space="preserve">A separate line reads space domain awareness and the orbital setting as economic goods to price and hand out. Wozniak, Riabova, and Hijazi model coordinated space domain awareness as an optimized commodity market, where sensing capacity is bought, sold, and cleared like any traded good</w:t>
      </w:r>
      <w:r>
        <w:t xml:space="preserve"> </w:t>
      </w:r>
      <w:hyperlink w:anchor="ref-1">
        <w:r>
          <w:rPr>
            <w:rStyle w:val="Hyperlink"/>
          </w:rPr>
          <w:t xml:space="preserve">[1]</w:t>
        </w:r>
      </w:hyperlink>
      <w:r>
        <w:t xml:space="preserve">. For the coordination question this is a weighty move. Cast awareness as a commodity and the coordination failure becomes partly a market-design failure, its cure a sharper clearing mechanism rather than a treaty. The commodity cast recasts the Schelling game as the labor of raising the rallying institution, the exchange, the players can all expect to use.</w:t>
      </w:r>
    </w:p>
    <w:p>
      <w:pPr>
        <w:pStyle w:val="BodyText"/>
        <w:spacing w:line="480" w:lineRule="auto"/>
        <w:ind w:firstLine="720"/>
      </w:pPr>
      <w:r>
        <w:t xml:space="preserve">A quiet implication for measurement rides out of the market cast. A commodity market clears when buyers and sellers gather on a price, and gathering on a price is a rallying-point answer to a coordination bind</w:t>
      </w:r>
      <w:r>
        <w:t xml:space="preserve"> </w:t>
      </w:r>
      <w:hyperlink w:anchor="ref-1">
        <w:r>
          <w:rPr>
            <w:rStyle w:val="Hyperlink"/>
          </w:rPr>
          <w:t xml:space="preserve">[1]</w:t>
        </w:r>
      </w:hyperlink>
      <w:r>
        <w:t xml:space="preserve">. Reading the coordination failure as a missing market therefore forecasts a particular research trajectory: as the field ripens, one expects the awareness-as-commodity vocabulary to spread, cross-cite across venue families, and firm up. This dissertation’s measurement design is, in part, a test of whether that firming has begun. A scattered, uncited market writing would hint the rallying institution stays notional; a structured, banking one would hint it is forming.</w:t>
      </w:r>
    </w:p>
    <w:p>
      <w:pPr>
        <w:pStyle w:val="BodyText"/>
        <w:spacing w:line="480" w:lineRule="auto"/>
        <w:ind w:firstLine="720"/>
      </w:pPr>
      <w:r>
        <w:t xml:space="preserve">Colombo and colleagues wire occupancy straight to traffic management, weighing how space-capacity management plays against space-traffic management</w:t>
      </w:r>
      <w:r>
        <w:t xml:space="preserve"> </w:t>
      </w:r>
      <w:hyperlink w:anchor="ref-15">
        <w:r>
          <w:rPr>
            <w:rStyle w:val="Hyperlink"/>
          </w:rPr>
          <w:t xml:space="preserve">[15]</w:t>
        </w:r>
      </w:hyperlink>
      <w:r>
        <w:t xml:space="preserve">. Theirs is the pool’s nearest paper to the governance question this dissertation circles. Occupancy is the good; traffic management is the coordination mechanism; the play between them is where bargaining happens. Jabbarpour and colleagues survey agent-based routes for distributed space-system and mission management, cataloging the methods by which autonomous actors coordinate at scale</w:t>
      </w:r>
      <w:r>
        <w:t xml:space="preserve"> </w:t>
      </w:r>
      <w:hyperlink w:anchor="ref-16">
        <w:r>
          <w:rPr>
            <w:rStyle w:val="Hyperlink"/>
          </w:rPr>
          <w:t xml:space="preserve">[16]</w:t>
        </w:r>
      </w:hyperlink>
      <w:r>
        <w:t xml:space="preserve">. Agent-based modeling is the computational twin of the analytical Schelling game, and its swelling presence flags a field drifting toward explicit multi-actor coordination models.</w:t>
      </w:r>
    </w:p>
    <w:p>
      <w:pPr>
        <w:pStyle w:val="BodyText"/>
        <w:spacing w:line="480" w:lineRule="auto"/>
        <w:ind w:firstLine="720"/>
      </w:pPr>
      <w:r>
        <w:t xml:space="preserve">The Colombo paper earns weight as the pool’s hinge. Occupancy management and traffic management are the two halves of the coordination answer: one rules how much the shell holds, the other rules who moves when</w:t>
      </w:r>
      <w:r>
        <w:t xml:space="preserve"> </w:t>
      </w:r>
      <w:hyperlink w:anchor="ref-15">
        <w:r>
          <w:rPr>
            <w:rStyle w:val="Hyperlink"/>
          </w:rPr>
          <w:t xml:space="preserve">[15]</w:t>
        </w:r>
      </w:hyperlink>
      <w:r>
        <w:t xml:space="preserve">. A rule welding them would be the rallying institution the Schelling reading calls missing. That such a weld is under active theory, rather than merely wished for, marks the governance writing’s frontier, and the dissertation’s measurement question is whether that frontier work has yet pulled the surrounding corpus into line with it.</w:t>
      </w:r>
    </w:p>
    <w:bookmarkEnd w:id="69"/>
    <w:bookmarkStart w:id="70" w:name="the-measurement-gap-this-project-fills"/>
    <w:p>
      <w:pPr>
        <w:pStyle w:val="Heading2"/>
        <w:spacing w:line="480" w:lineRule="auto"/>
      </w:pPr>
      <w:r>
        <w:t xml:space="preserve">2.4 The measurement gap this project fills</w:t>
      </w:r>
    </w:p>
    <w:p>
      <w:pPr>
        <w:pStyle w:val="FirstParagraph"/>
        <w:spacing w:line="480" w:lineRule="auto"/>
      </w:pPr>
      <w:r>
        <w:t xml:space="preserve">The last strand is about method, and it is where the gap yawns. The operational, strategic, and market strands run rich, yet they treat evidence lopsidedly. They model the shell, the game, and the market with real rigor, while the claim that any given coordination bind is prominent, stiffening, or drawing notice is usually asserted, not gauged. Courey and colleagues show the tooling frontier, running agentic large language models and multimodal fusion over space domain awareness, which gestures toward automated corpus work but aims at operational sensing rather than bibliometric gauging</w:t>
      </w:r>
      <w:r>
        <w:t xml:space="preserve"> </w:t>
      </w:r>
      <w:hyperlink w:anchor="ref-2">
        <w:r>
          <w:rPr>
            <w:rStyle w:val="Hyperlink"/>
          </w:rPr>
          <w:t xml:space="preserve">[2]</w:t>
        </w:r>
      </w:hyperlink>
      <w:r>
        <w:t xml:space="preserve">.</w:t>
      </w:r>
    </w:p>
    <w:p>
      <w:pPr>
        <w:pStyle w:val="BodyText"/>
        <w:spacing w:line="480" w:lineRule="auto"/>
        <w:ind w:firstLine="720"/>
      </w:pPr>
      <w:r>
        <w:t xml:space="preserve">Courey and colleagues hand over a two-edged precedent. On one edge, it proves automated handling of space-domain information now runs at scale, which is what a serious hand-coding heir to this dissertation would demand</w:t>
      </w:r>
      <w:r>
        <w:t xml:space="preserve"> </w:t>
      </w:r>
      <w:hyperlink w:anchor="ref-2">
        <w:r>
          <w:rPr>
            <w:rStyle w:val="Hyperlink"/>
          </w:rPr>
          <w:t xml:space="preserve">[2]</w:t>
        </w:r>
      </w:hyperlink>
      <w:r>
        <w:t xml:space="preserve">. On the other, it points that capability at operational sensing, fusing multimodal streams to track objects, rather than at the corpus itself. Tooling is not the gap. The gap is that no one has yet swung this class of tool onto the record to ask whether a coordination topic’s prominence carries structure. The present design is a low-tech first cut at exactly that, kept simple on purpose so its every step submits to checking, and it leaves the automated cut to future hands.</w:t>
      </w:r>
    </w:p>
    <w:p>
      <w:pPr>
        <w:pStyle w:val="BodyText"/>
        <w:spacing w:line="480" w:lineRule="auto"/>
        <w:ind w:firstLine="720"/>
      </w:pPr>
      <w:r>
        <w:t xml:space="preserve">Wassenberg, Middelmann, and Sanders lend an oblique but handy precedent from the screening writing, describing efficient screening for point-like targets through concentric shells, a way to find a signal against a structured background</w:t>
      </w:r>
      <w:r>
        <w:t xml:space="preserve"> </w:t>
      </w:r>
      <w:hyperlink w:anchor="ref-6">
        <w:r>
          <w:rPr>
            <w:rStyle w:val="Hyperlink"/>
          </w:rPr>
          <w:t xml:space="preserve">[6]</w:t>
        </w:r>
      </w:hyperlink>
      <w:r>
        <w:t xml:space="preserve">. Read as analogy, it frames the measurement bind this dissertation meets: catching a topic signal against the noisy background of a pulled corpus. Heinicke and colleagues, studying crew self-organization across autonomous Mars-analog runs, hand over a reminder from the human-factors writing that coordination among agents sharing a penned resource turns observable once the right measures are built</w:t>
      </w:r>
      <w:r>
        <w:t xml:space="preserve"> </w:t>
      </w:r>
      <w:hyperlink w:anchor="ref-12">
        <w:r>
          <w:rPr>
            <w:rStyle w:val="Hyperlink"/>
          </w:rPr>
          <w:t xml:space="preserve">[12]</w:t>
        </w:r>
      </w:hyperlink>
      <w:r>
        <w:t xml:space="preserve">, and Chomette, Wheeler, and Mathias show, in asteroid-damage forecasting, that machine learning pulls structured signal from thin domain data</w:t>
      </w:r>
      <w:r>
        <w:t xml:space="preserve"> </w:t>
      </w:r>
      <w:hyperlink w:anchor="ref-14">
        <w:r>
          <w:rPr>
            <w:rStyle w:val="Hyperlink"/>
          </w:rPr>
          <w:t xml:space="preserve">[14]</w:t>
        </w:r>
      </w:hyperlink>
      <w:r>
        <w:t xml:space="preserve">.</w:t>
      </w:r>
    </w:p>
    <w:p>
      <w:pPr>
        <w:pStyle w:val="BodyText"/>
        <w:spacing w:line="480" w:lineRule="auto"/>
        <w:ind w:firstLine="720"/>
      </w:pPr>
      <w:r>
        <w:t xml:space="preserve">Heinicke and colleagues lend more than a stray cite. Its crews are a penned miniature of the shared-shell bind: a small set of agents sharing a confined good, whose coordination lands or fails in ways a watcher can log</w:t>
      </w:r>
      <w:r>
        <w:t xml:space="preserve"> </w:t>
      </w:r>
      <w:hyperlink w:anchor="ref-12">
        <w:r>
          <w:rPr>
            <w:rStyle w:val="Hyperlink"/>
          </w:rPr>
          <w:t xml:space="preserve">[12]</w:t>
        </w:r>
      </w:hyperlink>
      <w:r>
        <w:t xml:space="preserve">. That writing proves coordination turns gaugeable when the study is built around the conduct rather than around its trace. That is the design this dissertation cannot yet raise and openly holds over. The Chomette work lends the matching lesson from the far side: even on thin, noisy domain data, a well-set learning problem recovers structure</w:t>
      </w:r>
      <w:r>
        <w:t xml:space="preserve"> </w:t>
      </w:r>
      <w:hyperlink w:anchor="ref-14">
        <w:r>
          <w:rPr>
            <w:rStyle w:val="Hyperlink"/>
          </w:rPr>
          <w:t xml:space="preserve">[14]</w:t>
        </w:r>
      </w:hyperlink>
      <w:r>
        <w:t xml:space="preserve">. Between them the two mark the two roads skipped here, direct behavioral watching and machine pull from thin data, and they make plain why the present design took the modest middle road of a see-through sieve.</w:t>
      </w:r>
    </w:p>
    <w:p>
      <w:pPr>
        <w:pStyle w:val="BodyText"/>
        <w:spacing w:line="480" w:lineRule="auto"/>
        <w:ind w:firstLine="720"/>
      </w:pPr>
      <w:r>
        <w:t xml:space="preserve">None of these method threads shuts the loop on the coordination-failure topic. What is absent is a design that takes the pulled writing on the shared shell and asks, through a see-through estimator, whether the topic’s prominence is ordered by freshness, citation pull, and outlet. That is the void this dissertation walks into. It does not out-model the operational or strategic work. It supplies the one thing that work leaves tacit: a checkable gauge of whether the coordination-failure signal is genuinely present in the evidence a researcher can reach.</w:t>
      </w:r>
    </w:p>
    <w:bookmarkEnd w:id="70"/>
    <w:bookmarkStart w:id="71" w:name="Xfabd740d07540677288a0b59de65f6dbd22b743"/>
    <w:p>
      <w:pPr>
        <w:pStyle w:val="Heading2"/>
        <w:spacing w:line="480" w:lineRule="auto"/>
      </w:pPr>
      <w:r>
        <w:t xml:space="preserve">2.5 What the review establishes and what it leaves open</w:t>
      </w:r>
    </w:p>
    <w:p>
      <w:pPr>
        <w:pStyle w:val="FirstParagraph"/>
        <w:spacing w:line="480" w:lineRule="auto"/>
      </w:pPr>
      <w:r>
        <w:t xml:space="preserve">Taken whole, the three strands hand over a plain division of labor and a plain remainder. The operational work fixes the shell as a finite, fought-over good whose loading externalizes hazard across altitudes, and that fixing is settled, not disputed</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strategic work fixes the resulting breakdown as a coordination breakdown marked by a missing rallying institution, and it lends the game-theoretic and playable vocabulary that licenses the Schelling frame from inside the domain</w:t>
      </w:r>
      <w:r>
        <w:t xml:space="preserve"> </w:t>
      </w:r>
      <w:hyperlink w:anchor="ref-4">
        <w:r>
          <w:rPr>
            <w:rStyle w:val="Hyperlink"/>
          </w:rPr>
          <w:t xml:space="preserve">[4]</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market and occupancy-traffic work names what the missing institution would look like, an exchange or a welded occupancy-traffic rule, and shows scholars actively grasping for it</w:t>
      </w:r>
      <w:r>
        <w:t xml:space="preserve"> </w:t>
      </w:r>
      <w:hyperlink w:anchor="ref-1">
        <w:r>
          <w:rPr>
            <w:rStyle w:val="Hyperlink"/>
          </w:rPr>
          <w:t xml:space="preserve">[1]</w:t>
        </w:r>
      </w:hyperlink>
      <w:r>
        <w:t xml:space="preserve"> </w:t>
      </w:r>
      <w:hyperlink w:anchor="ref-15">
        <w:r>
          <w:rPr>
            <w:rStyle w:val="Hyperlink"/>
          </w:rPr>
          <w:t xml:space="preserve">[15]</w:t>
        </w:r>
      </w:hyperlink>
      <w:r>
        <w:t xml:space="preserve">. What none of the three fixes is whether that grasp has ordered the record itself. That leftover question, whether the field’s own notice is structured around the problem, is the one the method writing is placed to answer but has yet to swing onto this topic, and it is the question the chapters ahead take up with a see-through sieve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review also throws up a pattern in the pool worth flagging for the data chapter. The entries clump into families that talk past one another. Operational sensing work at AMOS runs the vocabulary of screening and detection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journal articles run the vocabulary of design, occupancy, and law</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economic documents run the vocabulary of commons, markets, and spillovers</w:t>
      </w:r>
      <w:r>
        <w:t xml:space="preserve"> </w:t>
      </w:r>
      <w:hyperlink w:anchor="ref-1">
        <w:r>
          <w:rPr>
            <w:rStyle w:val="Hyperlink"/>
          </w:rPr>
          <w:t xml:space="preserve">[1]</w:t>
        </w:r>
      </w:hyperlink>
      <w:r>
        <w:t xml:space="preserve">. Three dialects for one problem, and their coexistence without a shared frame is itself the very thing the Schelling reading forecasts for a field yet to find its rallying point. When the chapters ahead build one theme-word proxy and watch it strain to catch coherent structure, the dialect fracture reviewed here is the likeliest cause, and the review thus previews the empirical result rather than merely running ahead of it</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bookmarkEnd w:id="71"/>
    <w:bookmarkEnd w:id="72"/>
    <w:bookmarkStart w:id="78" w:name="chapter-3.-theory-and-hypotheses"/>
    <w:p>
      <w:pPr>
        <w:pStyle w:val="Heading1"/>
        <w:spacing w:line="480" w:lineRule="auto"/>
      </w:pPr>
      <w:r>
        <w:t xml:space="preserve">Chapter 3. Theory and Hypotheses</w:t>
      </w:r>
    </w:p>
    <w:p>
      <w:pPr>
        <w:pStyle w:val="FirstParagraph"/>
        <w:spacing w:line="480" w:lineRule="auto"/>
      </w:pPr>
      <w:r>
        <w:t xml:space="preserve">This chapter fixes the mechanism tying a coordination breakdown over the orbital shell to a readable trace in a research corpus, then turns that mechanism into predictions a see-through estimator can put to a test. The move runs in two deliberate stages. Stage one, a strategic account of why operators fail to bargain toward a shared rule. Stage two, a measurement theory saying what such a failure, if real and stiffening, ought to look like in publication timing, citation pull, and outlet structure. The stage-two predictions are the ones this dissertation actually tests.</w:t>
      </w:r>
    </w:p>
    <w:p>
      <w:pPr>
        <w:pStyle w:val="BodyText"/>
        <w:spacing w:line="480" w:lineRule="auto"/>
        <w:ind w:firstLine="720"/>
      </w:pPr>
      <w:r>
        <w:t xml:space="preserve">Holding the two stages apart is the whole discipline of the chapter. The strategic account is a claim about operators aloft. The measurement theory is a claim about scholars in a corpus. A single bridging premise welds them, spelled out below, and the reader is asked to take or leave that premise on its own merits rather than swallow it unnoticed. Blur the two stages and a strategic hunch gets to pose as an empirical result. This one pens the strategic hunch in Section 3.1, the bridge in Section 3.2, and the falsifiable content in Sections 3.3 and 3.4.</w:t>
      </w:r>
    </w:p>
    <w:bookmarkStart w:id="73" w:name="the-coordination-mechanism"/>
    <w:p>
      <w:pPr>
        <w:pStyle w:val="Heading2"/>
        <w:spacing w:line="480" w:lineRule="auto"/>
      </w:pPr>
      <w:r>
        <w:t xml:space="preserve">3.1 The coordination mechanism</w:t>
      </w:r>
    </w:p>
    <w:p>
      <w:pPr>
        <w:pStyle w:val="FirstParagraph"/>
        <w:spacing w:line="480" w:lineRule="auto"/>
      </w:pPr>
      <w:r>
        <w:t xml:space="preserve">Picture a set of operators each dropping satellites into overlapping altitude bands. Every operator would rather a lightly loaded, well-tended shell than a heavily loaded one, since collision hazard and debris are bills they all foot. The snag is not clashing wants. It is a coordination snag in Schelling’s sense: the players share the aim yet cannot land the rallying rule that would deliver it, because landing it asks each to bet the rest will step to it as well.</w:t>
      </w:r>
    </w:p>
    <w:p>
      <w:pPr>
        <w:pStyle w:val="BodyText"/>
        <w:spacing w:line="480" w:lineRule="auto"/>
        <w:ind w:firstLine="720"/>
      </w:pPr>
      <w:r>
        <w:t xml:space="preserve">Three traits sink the deal. The spillover is diffuse. Let one satellite shatter and its fragments spread across shells and menace everyone, so no single operator swallows the full bill of its own loading</w:t>
      </w:r>
      <w:r>
        <w:t xml:space="preserve"> </w:t>
      </w:r>
      <w:hyperlink w:anchor="ref-8">
        <w:r>
          <w:rPr>
            <w:rStyle w:val="Hyperlink"/>
          </w:rPr>
          <w:t xml:space="preserve">[8]</w:t>
        </w:r>
      </w:hyperlink>
      <w:r>
        <w:t xml:space="preserve">. The information is incomplete. Each operator calls its move uncertain about what the rest know, mean, and will bear, precisely the structure incomplete-information games render</w:t>
      </w:r>
      <w:r>
        <w:t xml:space="preserve"> </w:t>
      </w:r>
      <w:hyperlink w:anchor="ref-4">
        <w:r>
          <w:rPr>
            <w:rStyle w:val="Hyperlink"/>
          </w:rPr>
          <w:t xml:space="preserve">[4]</w:t>
        </w:r>
      </w:hyperlink>
      <w:r>
        <w:t xml:space="preserve">. And there is no rallying institution. Lacking an exchange, a registry, or a traffic rule everyone bets everyone else will honor, no point exists on which beliefs can gather</w:t>
      </w:r>
      <w:r>
        <w:t xml:space="preserve"> </w:t>
      </w:r>
      <w:hyperlink w:anchor="ref-1">
        <w:r>
          <w:rPr>
            <w:rStyle w:val="Hyperlink"/>
          </w:rPr>
          <w:t xml:space="preserve">[1]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Take the three traits one at a time, since each maps to a separate strand of the writing and each seals off a separate road to cooperation. The diffuse spillover kills the private-cost fix: an operator swallowing its own break-up hazard would still not swallow the hazard it drops on neighbors, so even a flawlessly self-interested, far-sighted operator underinvests in restraint</w:t>
      </w:r>
      <w:r>
        <w:t xml:space="preserve"> </w:t>
      </w:r>
      <w:hyperlink w:anchor="ref-8">
        <w:r>
          <w:rPr>
            <w:rStyle w:val="Hyperlink"/>
          </w:rPr>
          <w:t xml:space="preserve">[8]</w:t>
        </w:r>
      </w:hyperlink>
      <w:r>
        <w:t xml:space="preserve">. The incomplete information kills the reputational fix: cooperation propped by the threat of later punishment asks that a break be seen and pinned, and where intent hides and pinning is fought, the threat loses its teeth</w:t>
      </w:r>
      <w:r>
        <w:t xml:space="preserve"> </w:t>
      </w:r>
      <w:hyperlink w:anchor="ref-4">
        <w:r>
          <w:rPr>
            <w:rStyle w:val="Hyperlink"/>
          </w:rPr>
          <w:t xml:space="preserve">[4]</w:t>
        </w:r>
      </w:hyperlink>
      <w:r>
        <w:t xml:space="preserve">. The missing institution kills the rallying-point fix: even players who would gladly gather on a rule cannot, since no rule stands as common knowledge, the one everyone bets everyone else will keep</w:t>
      </w:r>
      <w:r>
        <w:t xml:space="preserve"> </w:t>
      </w:r>
      <w:hyperlink w:anchor="ref-1">
        <w:r>
          <w:rPr>
            <w:rStyle w:val="Hyperlink"/>
          </w:rPr>
          <w:t xml:space="preserve">[1]</w:t>
        </w:r>
      </w:hyperlink>
      <w:r>
        <w:t xml:space="preserve"> </w:t>
      </w:r>
      <w:hyperlink w:anchor="ref-15">
        <w:r>
          <w:rPr>
            <w:rStyle w:val="Hyperlink"/>
          </w:rPr>
          <w:t xml:space="preserve">[15]</w:t>
        </w:r>
      </w:hyperlink>
      <w:r>
        <w:t xml:space="preserve">. Each sealed road matches a governance instrument the field has floated, and the breakdown’s persistence is a statement that not one instrument is yet in place.</w:t>
      </w:r>
    </w:p>
    <w:p>
      <w:pPr>
        <w:pStyle w:val="BodyText"/>
        <w:spacing w:line="480" w:lineRule="auto"/>
        <w:ind w:firstLine="720"/>
      </w:pPr>
      <w:r>
        <w:t xml:space="preserve">The upshot is a familiar loop, and it recurs. Each operator, betting the rest keep launching, launches too, since going it alone on restraint reaps the bills of a loaded shell without the gains of a lighter one. The shell fills. The bad end lands not through malice but through the missing credible arrival point. Source-sink models lay the path bare: input beats removal, the debris stock swells, and the system slides toward the critical density past which the cascade feeds itself</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Why has the field not just solved this? Because the fix is institutional, and institutions ask for a rallying point the strategic setting does not throw up on its own. The writing that recasts awareness as a commodity market</w:t>
      </w:r>
      <w:r>
        <w:t xml:space="preserve"> </w:t>
      </w:r>
      <w:hyperlink w:anchor="ref-1">
        <w:r>
          <w:rPr>
            <w:rStyle w:val="Hyperlink"/>
          </w:rPr>
          <w:t xml:space="preserve">[1]</w:t>
        </w:r>
      </w:hyperlink>
      <w:r>
        <w:t xml:space="preserve">, that welds occupancy to traffic management</w:t>
      </w:r>
      <w:r>
        <w:t xml:space="preserve"> </w:t>
      </w:r>
      <w:hyperlink w:anchor="ref-15">
        <w:r>
          <w:rPr>
            <w:rStyle w:val="Hyperlink"/>
          </w:rPr>
          <w:t xml:space="preserve">[15]</w:t>
        </w:r>
      </w:hyperlink>
      <w:r>
        <w:t xml:space="preserve">, and that renders the problem through playable law and mitigation</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r>
        <w:t xml:space="preserve">adds up to a hunt for that missing rallying institution. This dissertation’s theoretical claim is that such a hunt, when live and gaining, drops a gaugeable footprint in the record.</w:t>
      </w:r>
    </w:p>
    <w:p>
      <w:pPr>
        <w:pStyle w:val="BodyText"/>
        <w:spacing w:line="480" w:lineRule="auto"/>
        <w:ind w:firstLine="720"/>
      </w:pPr>
      <w:r>
        <w:t xml:space="preserve">The claim earns a statement as mechanism rather than wish. When a field gathers around a coordination bind, it does three things a corpus can log. It publishes more, and more recently, since live problems throw off current work. It cites within itself, since a field gathering on a frame builds on its own past. And it firms into outlets, since prominence and outlet standing tend to co-evolve as a subfield ripens. A hunt for a rallying institution that was landing would show all three. A hunt scattered and stalled would show none cleanly. The measurement theory turns this qualitative read into variables.</w:t>
      </w:r>
    </w:p>
    <w:bookmarkEnd w:id="73"/>
    <w:bookmarkStart w:id="74" w:name="from-mechanism-to-measurable-signal"/>
    <w:p>
      <w:pPr>
        <w:pStyle w:val="Heading2"/>
        <w:spacing w:line="480" w:lineRule="auto"/>
      </w:pPr>
      <w:r>
        <w:t xml:space="preserve">3.2 From mechanism to measurable signal</w:t>
      </w:r>
    </w:p>
    <w:p>
      <w:pPr>
        <w:pStyle w:val="FirstParagraph"/>
        <w:spacing w:line="480" w:lineRule="auto"/>
      </w:pPr>
      <w:r>
        <w:t xml:space="preserve">The mechanism above is a claim about conduct. It hides from a lone doctoral researcher, who cannot watch operators bargain or gauge whether a coordination rule was adopted. What the researcher can watch is the outline the problem throws across the writing. The span from the hidden mechanism to the watchable data is a measurement theory, resting on one premise: a coordination bind that is real and stiffening pulls research notice, and research notice is readable in corpus metadata.</w:t>
      </w:r>
    </w:p>
    <w:p>
      <w:pPr>
        <w:pStyle w:val="BodyText"/>
        <w:spacing w:line="480" w:lineRule="auto"/>
        <w:ind w:firstLine="720"/>
      </w:pPr>
      <w:r>
        <w:t xml:space="preserve">Grant that premise and three implications follow. A stiffening problem ought to run fresher, since live problems throw off current work faster than dormant ones. It ought to bank citation notice, since a problem the field takes seriously draws engagement. And it ought to climb toward the outlets carrying the field’s weightier work, since prominence and outlet standing tend to travel together. These are the watchable analogues of the coordination-failure mechanism, and they set the variables the estimators eat: a freshness index, a citation tally, and an ordinal venue-family rank, each fit against a pooled topic-signal score built from theme-word strikes in source metadata</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bridging premise is not innocent. It earns a stated defense, and it could break either way. A stiffening problem might pull little research notice if the pertinent work is proprietary, classified, or run inside operator firms that do not publish, plausible in a domain freighted with commercial and national-security stakes</w:t>
      </w:r>
      <w:r>
        <w:t xml:space="preserve"> </w:t>
      </w:r>
      <w:hyperlink w:anchor="ref-2">
        <w:r>
          <w:rPr>
            <w:rStyle w:val="Hyperlink"/>
          </w:rPr>
          <w:t xml:space="preserve">[2]</w:t>
        </w:r>
      </w:hyperlink>
      <w:r>
        <w:t xml:space="preserve">. Flip it, and a dormant problem might carry heavy citation notice as a legacy of past interest since gone cold. The measurement theory denies neither break. It asserts only that, barring them, prominence and notice travel together, and it weighs any caught structure against the chance the premise slipped. The chapters ahead read every coefficient with that caveat live, which is why a null reads as ambiguous rather than as proof of a dormant problem.</w:t>
      </w:r>
    </w:p>
    <w:p>
      <w:pPr>
        <w:pStyle w:val="BodyText"/>
        <w:spacing w:line="480" w:lineRule="auto"/>
        <w:ind w:firstLine="720"/>
      </w:pPr>
      <w:r>
        <w:t xml:space="preserve">The measurement theory is weak by design, and it turns that weakness into an asset. It does not claim freshness proves urgency or citations prove weight. It claims only that if the coordination-failure topic carries structure in the corpus, that structure ought to surface as systematic, signed, and sharp ties between the signal score and the three predictors. If the topic runs diffuse, modish, or stalled, the ties ought to run weak and fuzzy. The design can tell these cases apart, which is what makes it a test rather than an illustration.</w:t>
      </w:r>
    </w:p>
    <w:bookmarkEnd w:id="74"/>
    <w:bookmarkStart w:id="75" w:name="predictions-and-hypotheses"/>
    <w:p>
      <w:pPr>
        <w:pStyle w:val="Heading2"/>
        <w:spacing w:line="480" w:lineRule="auto"/>
      </w:pPr>
      <w:r>
        <w:t xml:space="preserve">3.3 Predictions and hypotheses</w:t>
      </w:r>
    </w:p>
    <w:p>
      <w:pPr>
        <w:pStyle w:val="FirstParagraph"/>
        <w:spacing w:line="480" w:lineRule="auto"/>
      </w:pPr>
      <w:r>
        <w:t xml:space="preserve">The dissertation’s single falsifiable claim, stated in the introduction, breaks into predictions that map onto the two empirical papers.</w:t>
      </w:r>
    </w:p>
    <w:p>
      <w:pPr>
        <w:pStyle w:val="BodyText"/>
        <w:spacing w:line="480" w:lineRule="auto"/>
        <w:ind w:firstLine="720"/>
      </w:pPr>
      <w:r>
        <w:t xml:space="preserve">For the snapshot structure, the primary hypotheses are:</w:t>
      </w:r>
    </w:p>
    <w:p>
      <w:pPr>
        <w:pStyle w:val="BodyText"/>
        <w:spacing w:line="480" w:lineRule="auto"/>
        <w:ind w:firstLine="720"/>
      </w:pPr>
      <w:r>
        <w:t xml:space="preserve">H0 (Paper 1): the topic-signal score is unrelated to publication recency, citation attention, and venue family.</w:t>
      </w:r>
    </w:p>
    <w:p>
      <w:pPr>
        <w:pStyle w:val="BodyText"/>
        <w:spacing w:line="480" w:lineRule="auto"/>
        <w:ind w:firstLine="720"/>
      </w:pPr>
      <w:r>
        <w:t xml:space="preserve">H1 (Paper 1): the topic-signal score is systematically related to those predictors, rising with recency and citation attention.</w:t>
      </w:r>
    </w:p>
    <w:p>
      <w:pPr>
        <w:pStyle w:val="BodyText"/>
        <w:spacing w:line="480" w:lineRule="auto"/>
        <w:ind w:firstLine="720"/>
      </w:pPr>
      <w:r>
        <w:t xml:space="preserve">Directional content rides in the alternative. If the coordination bind is stiffening, fresher entries ought to carry a stronger signal, and entries that have pulled more citations ought to carry a stronger signal too, since notice and prominence travel together under the measurement theory. The venue term enters as a control on the family carrying the entry, coded ordinally, and it holds no strong directional prior, since outlet standing and topic heat can run opposite when a niche problem clusters in specialist outlets</w:t>
      </w:r>
      <w:r>
        <w:t xml:space="preserve"> </w:t>
      </w:r>
      <w:hyperlink w:anchor="ref-1">
        <w:r>
          <w:rPr>
            <w:rStyle w:val="Hyperlink"/>
          </w:rPr>
          <w:t xml:space="preserve">[1]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venue term earns its own note, since its ambiguity is theoretically meaningful rather than a bare modeling nuisance. Were the coordination topic firming into high-standing journals, the venue coefficient would run positive, tracking the climb the measurement theory forecasts. Were the topic instead still clustered in specialist conference outlets, hugging the operators and sensors that throw it off, the coefficient could run negative even for a live problem, since the theme-dense work would sit at the low end of the ordinal rank</w:t>
      </w:r>
      <w:r>
        <w:t xml:space="preserve"> </w:t>
      </w:r>
      <w:hyperlink w:anchor="ref-1">
        <w:r>
          <w:rPr>
            <w:rStyle w:val="Hyperlink"/>
          </w:rPr>
          <w:t xml:space="preserve">[1]</w:t>
        </w:r>
      </w:hyperlink>
      <w:r>
        <w:t xml:space="preserve">. The venue term therefore cannot cleanly split a stiffening problem from a niche one on its own, exactly why the design yokes it to recency and citation pull rather than resting on it alone.</w:t>
      </w:r>
    </w:p>
    <w:p>
      <w:pPr>
        <w:pStyle w:val="BodyText"/>
        <w:spacing w:line="480" w:lineRule="auto"/>
        <w:ind w:firstLine="720"/>
      </w:pPr>
      <w:r>
        <w:t xml:space="preserve">For the temporal structure, the hypotheses are:</w:t>
      </w:r>
    </w:p>
    <w:p>
      <w:pPr>
        <w:pStyle w:val="BodyText"/>
        <w:spacing w:line="480" w:lineRule="auto"/>
        <w:ind w:firstLine="720"/>
      </w:pPr>
      <w:r>
        <w:t xml:space="preserve">H0 (Paper 2): citation accumulation is unrelated to article age in the retrieved topic literature.</w:t>
      </w:r>
    </w:p>
    <w:p>
      <w:pPr>
        <w:pStyle w:val="BodyText"/>
        <w:spacing w:line="480" w:lineRule="auto"/>
        <w:ind w:firstLine="720"/>
      </w:pPr>
      <w:r>
        <w:t xml:space="preserve">H1 (Paper 2): citation accumulation follows a measurable age-based attention curve.</w:t>
      </w:r>
    </w:p>
    <w:p>
      <w:pPr>
        <w:pStyle w:val="BodyText"/>
        <w:spacing w:line="480" w:lineRule="auto"/>
        <w:ind w:firstLine="720"/>
      </w:pPr>
      <w:r>
        <w:t xml:space="preserve">A specific expectation rides in the learning-curve form. If notice banks in a regular way, older articles ought to carry more citations, and the log-log slope ought to run positive and sharp, with a progress ratio summing how fast notice compounds with age. A flat or negative slope would flag that the field’s notice is not banking along the usual age gradient, which for a young, fast-moving topic is itself a substantively interesting outcome rather than a null to blush at</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Worth spelling out is why a young topic might defy the age gradient. The usual learning curve premises a steady stock of writing banking citations over time, so age and citation tally climb together. A topic in its first years breaks that premise: the newest work may run most-cited, catching the field’s current notice, while the oldest work in the pool may predate the topic’s coalescence and draw citations for reasons off the coordination frame</w:t>
      </w:r>
      <w:r>
        <w:t xml:space="preserve"> </w:t>
      </w:r>
      <w:hyperlink w:anchor="ref-9">
        <w:r>
          <w:rPr>
            <w:rStyle w:val="Hyperlink"/>
          </w:rPr>
          <w:t xml:space="preserve">[9]</w:t>
        </w:r>
      </w:hyperlink>
      <w:r>
        <w:t xml:space="preserve">. In such a corpus the age gradient can flatten or flip without meaning notice is gone. The learning-curve estimator is built to catch the gradient if it exists, and its miss is telling precisely because the theory foresees a young topic might not yet have formed it</w:t>
      </w:r>
      <w:r>
        <w:t xml:space="preserve"> </w:t>
      </w:r>
      <w:hyperlink w:anchor="ref-16">
        <w:r>
          <w:rPr>
            <w:rStyle w:val="Hyperlink"/>
          </w:rPr>
          <w:t xml:space="preserve">[16]</w:t>
        </w:r>
      </w:hyperlink>
      <w:r>
        <w:t xml:space="preserve">.</w:t>
      </w:r>
    </w:p>
    <w:bookmarkEnd w:id="75"/>
    <w:bookmarkStart w:id="76" w:name="X7a2caae3f9c5e8e6a6d7bea40f99894ce8ddf39"/>
    <w:p>
      <w:pPr>
        <w:pStyle w:val="Heading2"/>
        <w:spacing w:line="480" w:lineRule="auto"/>
      </w:pPr>
      <w:r>
        <w:t xml:space="preserve">3.4 What a rejection or a failure to reject would mean</w:t>
      </w:r>
    </w:p>
    <w:p>
      <w:pPr>
        <w:pStyle w:val="FirstParagraph"/>
        <w:spacing w:line="480" w:lineRule="auto"/>
      </w:pPr>
      <w:r>
        <w:t xml:space="preserve">Since the design can fail, spelling out beforehand what each outcome would carry is worth the space. Killing H0 in Paper 1 with signed, sharp coefficients would say the coordination-failure topic holds catchable snapshot structure in the corpus, of a piece with a live, gathering problem. Failing to kill it would say the topic, at least in the evidence a lone researcher can amass, is not yet legibly ordered by the standard prominence signals. Killing H0 in Paper 2 would say notice banks along the expected age curve; failing to kill it would say the topic is either too young for the curve to have formed or too diffuse for age to order its citations.</w:t>
      </w:r>
    </w:p>
    <w:p>
      <w:pPr>
        <w:pStyle w:val="BodyText"/>
        <w:spacing w:line="480" w:lineRule="auto"/>
        <w:ind w:firstLine="720"/>
      </w:pPr>
      <w:r>
        <w:t xml:space="preserve">Fixing these mappings beforehand guards against post hoc re-storying. A dissertation deciding after the fact what a null coefficient carried could always dig up a story flattering its hypothesis. Pinning the reading before the numbers land seals off the move: a null on recency will mean the recency structure is absent or uncatchable, and it will not be quietly recast as agreement. This pre-commitment is why the results chapter can print a sharp coefficient with the wrong sign and treat it as a genuine finding rather than an embarrassment to talk away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None of these outcomes settles the governance question. All of them tell us something about the state of the evidence. The chapters ahead build the dataset, run the estimators, and print exactly which of these cases the data hand over, dressing no weak tie as a strong one</w:t>
      </w:r>
      <w:r>
        <w:t xml:space="preserve"> </w:t>
      </w:r>
      <w:hyperlink w:anchor="ref-3">
        <w:r>
          <w:rPr>
            <w:rStyle w:val="Hyperlink"/>
          </w:rPr>
          <w:t xml:space="preserve">[3]</w:t>
        </w:r>
      </w:hyperlink>
      <w:r>
        <w:t xml:space="preserve"> </w:t>
      </w:r>
      <w:hyperlink w:anchor="ref-14">
        <w:r>
          <w:rPr>
            <w:rStyle w:val="Hyperlink"/>
          </w:rPr>
          <w:t xml:space="preserve">[14]</w:t>
        </w:r>
      </w:hyperlink>
      <w:r>
        <w:t xml:space="preserve">.</w:t>
      </w:r>
    </w:p>
    <w:bookmarkEnd w:id="76"/>
    <w:bookmarkStart w:id="77" w:name="X35e9be1c04ed67565eecf794271653daea3973d"/>
    <w:p>
      <w:pPr>
        <w:pStyle w:val="Heading2"/>
        <w:spacing w:line="480" w:lineRule="auto"/>
      </w:pPr>
      <w:r>
        <w:t xml:space="preserve">3.5 The auxiliary assumptions the design must own</w:t>
      </w:r>
    </w:p>
    <w:p>
      <w:pPr>
        <w:pStyle w:val="FirstParagraph"/>
        <w:spacing w:line="480" w:lineRule="auto"/>
      </w:pPr>
      <w:r>
        <w:t xml:space="preserve">Every measurement theory slips in auxiliary premises, and a design that names them earns more trust than one that buries them. Three warrant plain statement, since each could snap the link between the coordination mechanism and the corpus signal, and a reader should be able to weigh each alone.</w:t>
      </w:r>
    </w:p>
    <w:p>
      <w:pPr>
        <w:pStyle w:val="BodyText"/>
        <w:spacing w:line="480" w:lineRule="auto"/>
        <w:ind w:firstLine="720"/>
      </w:pPr>
      <w:r>
        <w:t xml:space="preserve">The first premise is that theme-word vocabulary tracks conceptual engagement. The signal score tallies how often an entry’s metadata call up the coordination, shell, and bargaining vocabulary, and it reads those tallies as a proxy for how much the entry engages the coordination bind</w:t>
      </w:r>
      <w:r>
        <w:t xml:space="preserve"> </w:t>
      </w:r>
      <w:hyperlink w:anchor="ref-6">
        <w:r>
          <w:rPr>
            <w:rStyle w:val="Hyperlink"/>
          </w:rPr>
          <w:t xml:space="preserve">[6]</w:t>
        </w:r>
      </w:hyperlink>
      <w:r>
        <w:t xml:space="preserve">. The premise snaps whenever an entry engages the problem deeply in other words, or calls the words up shallowly while engaging little. The design takes this as a known soft spot rather than denying it, and it is why the recovered structure, if any, reads as a floor on the true structure rather than an unbiased estimate. A field that had gathered on shared vocabulary would meet the premise better than one still fractured across dialects, itself part of what the sieve is testing</w:t>
      </w:r>
      <w:r>
        <w:t xml:space="preserve"> </w:t>
      </w:r>
      <w:hyperlink w:anchor="ref-11">
        <w:r>
          <w:rPr>
            <w:rStyle w:val="Hyperlink"/>
          </w:rPr>
          <w:t xml:space="preserve">[11]</w:t>
        </w:r>
      </w:hyperlink>
      <w:r>
        <w:t xml:space="preserve">.</w:t>
      </w:r>
    </w:p>
    <w:p>
      <w:pPr>
        <w:pStyle w:val="BodyText"/>
        <w:spacing w:line="480" w:lineRule="auto"/>
        <w:ind w:firstLine="720"/>
      </w:pPr>
      <w:r>
        <w:t xml:space="preserve">The second premise is that the local citation index tells us about notice despite running short. Citation tallies pulled from a local brain index miss references a universal graph would net, so the notice variable runs low across the board</w:t>
      </w:r>
      <w:r>
        <w:t xml:space="preserve"> </w:t>
      </w:r>
      <w:hyperlink w:anchor="ref-2">
        <w:r>
          <w:rPr>
            <w:rStyle w:val="Hyperlink"/>
          </w:rPr>
          <w:t xml:space="preserve">[2]</w:t>
        </w:r>
      </w:hyperlink>
      <w:r>
        <w:t xml:space="preserve">. The design premises the shortfall as telling rather than random, that an entry with more indexed citations really did pull more notice even if the absolute figure is off. This is a weaker, safer premise than premising the tallies accurate, and it suffices for the estimators to read relative structure, though not to read absolute sizes. The learning-curve model in particular leans on relative banking, which survives a uniform shortfall even while it suffers a differential one</w:t>
      </w:r>
      <w:r>
        <w:t xml:space="preserve"> </w:t>
      </w:r>
      <w:hyperlink w:anchor="ref-16">
        <w:r>
          <w:rPr>
            <w:rStyle w:val="Hyperlink"/>
          </w:rPr>
          <w:t xml:space="preserve">[16]</w:t>
        </w:r>
      </w:hyperlink>
      <w:r>
        <w:t xml:space="preserve">.</w:t>
      </w:r>
    </w:p>
    <w:p>
      <w:pPr>
        <w:pStyle w:val="BodyText"/>
        <w:spacing w:line="480" w:lineRule="auto"/>
        <w:ind w:firstLine="720"/>
      </w:pPr>
      <w:r>
        <w:t xml:space="preserve">The third premise is that venue family carries ordinal information about an entry’s slot in the field’s standing structure. The AMOS-to-Acta-to-economy ordering premises that conference proceedings, peer-reviewed journals, and economic analyses sit at climbing points on some standing or generality gradient</w:t>
      </w:r>
      <w:r>
        <w:t xml:space="preserve"> </w:t>
      </w:r>
      <w:hyperlink w:anchor="ref-1">
        <w:r>
          <w:rPr>
            <w:rStyle w:val="Hyperlink"/>
          </w:rPr>
          <w:t xml:space="preserve">[1]</w:t>
        </w:r>
      </w:hyperlink>
      <w:r>
        <w:t xml:space="preserve"> </w:t>
      </w:r>
      <w:hyperlink w:anchor="ref-15">
        <w:r>
          <w:rPr>
            <w:rStyle w:val="Hyperlink"/>
          </w:rPr>
          <w:t xml:space="preserve">[15]</w:t>
        </w:r>
      </w:hyperlink>
      <w:r>
        <w:t xml:space="preserve">. The premise holds as a rough ordering but breaks as an interval scale, and Chapter 3’s refusal to hand the venue term a strong directional prior is the theory owning exactly that. Naming these three auxiliaries here, before the data speak, is what lets the results chapter charge a null to a specific snapped premise rather than to a vague sense the design fell short</w:t>
      </w:r>
      <w:r>
        <w:t xml:space="preserve"> </w:t>
      </w:r>
      <w:hyperlink w:anchor="ref-3">
        <w:r>
          <w:rPr>
            <w:rStyle w:val="Hyperlink"/>
          </w:rPr>
          <w:t xml:space="preserve">[3]</w:t>
        </w:r>
      </w:hyperlink>
      <w:r>
        <w:t xml:space="preserve">.</w:t>
      </w:r>
    </w:p>
    <w:p>
      <w:pPr>
        <w:pStyle w:val="BodyText"/>
        <w:spacing w:line="480" w:lineRule="auto"/>
        <w:ind w:firstLine="720"/>
      </w:pPr>
      <w:r>
        <w:t xml:space="preserve">Taken together, the three auxiliaries pin the exact sense in which this design tests a conjunction. When the estimators fail to kill a null, the failure could lodge in the coordination mechanism, in the measurement theory, or in any of these three auxiliaries, and the data alone cannot say which</w:t>
      </w:r>
      <w:r>
        <w:t xml:space="preserve"> </w:t>
      </w:r>
      <w:hyperlink w:anchor="ref-6">
        <w:r>
          <w:rPr>
            <w:rStyle w:val="Hyperlink"/>
          </w:rPr>
          <w:t xml:space="preserve">[6]</w:t>
        </w:r>
      </w:hyperlink>
      <w:r>
        <w:t xml:space="preserve">. That indeterminacy is not a flaw to bury but a trait to own, since owning it keeps the reading honest. A researcher who forgot the auxiliaries could read a null as proof the coordination bind is dormant; a researcher who holds them reads it as one of several chances, the dullest being that a proxy or an ordinal code simply failed to carry the signal. The discipline of the chapters ahead is to keep all these chances live rather than folding them into the flattering one</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bookmarkEnd w:id="77"/>
    <w:bookmarkEnd w:id="78"/>
    <w:bookmarkStart w:id="8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empirical work stands on two estimators. Each answers a separate question through a see-through, repeatable routine. Paper 1 runs ordinary least squares to probe snapshot structure in the corpus. Paper 2 runs a log-log learning-curve regression to probe whether citation notice banks with document age. This chapter states each estimator formally, spells out what it pins down, and is frank about the line between what these designs settle and what they leave untouched.</w:t>
      </w:r>
    </w:p>
    <w:p>
      <w:pPr>
        <w:pStyle w:val="BodyText"/>
        <w:spacing w:line="480" w:lineRule="auto"/>
        <w:ind w:firstLine="720"/>
      </w:pPr>
      <w:r>
        <w:t xml:space="preserve">One pledge governs every call in this chapter: the estimators are picked for readability ahead of power. A fancier model might wring a shade more predictive fit from thirty entries, but only by handing back a coefficient a reader could no longer grasp at sight or redo by hand. For an early-stage project whose deliverable is a checkable method, the exchange runs backward. Plainness here is no reluctantly swallowed limit. It is the trait that leaves the whole inferential chain open to audit.</w:t>
      </w:r>
    </w:p>
    <w:bookmarkStart w:id="79" w:name="the-cross-sectional-estimator"/>
    <w:p>
      <w:pPr>
        <w:pStyle w:val="Heading2"/>
        <w:spacing w:line="480" w:lineRule="auto"/>
      </w:pPr>
      <w:r>
        <w:t xml:space="preserve">4.1 The cross-sectional estimator</w:t>
      </w:r>
    </w:p>
    <w:p>
      <w:pPr>
        <w:pStyle w:val="FirstParagraph"/>
        <w:spacing w:line="480" w:lineRule="auto"/>
      </w:pPr>
      <w:r>
        <w:t xml:space="preserve">Paper 1 models the pooled topic-signal score as a linear function of three predictors.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Estimation runs by ordinary least squares with heteroskedasticity-robust HC1 standard errors. The pick of OLS is on purpose, not a fallback. The design aim is not top predictive fit; it is a graspable, auditable read of whether the signal score moves with recency, citation notice, and venue across a batch of pulled entries. A linear model hands each coefficient a direct read as the shift in the signal score tied to a one-unit shift in a predictor, the rest held still. Robust standard errors shield against the near-certain heteroskedasticity in a small, mixed corpus where entries straddle venue families with sharply different metadata habits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linear functional form is a chosen pick over the alternatives a statistician might grab first. A count outcome like the signal score could argue for a Poisson or negative-binomial model, and a bounded outcome could argue for a fractional-response cut. Both got weighed and shelved. At thirty observations, the extra parameters those models fit would sit poorly pinned, and their coefficients would swap the linear model’s clear one-unit read for link-function quantities that fight plain reading</w:t>
      </w:r>
      <w:r>
        <w:t xml:space="preserve"> </w:t>
      </w:r>
      <w:hyperlink w:anchor="ref-5">
        <w:r>
          <w:rPr>
            <w:rStyle w:val="Hyperlink"/>
          </w:rPr>
          <w:t xml:space="preserve">[5]</w:t>
        </w:r>
      </w:hyperlink>
      <w:r>
        <w:t xml:space="preserve">. The linear model’s charge is that it can forecast signal scores outside the seen one-to-six range at extreme predictor values; its gain is that no reader needs a link function to grasp what a coefficient says. For a sieve built for readability, the exchange lands right.</w:t>
      </w:r>
    </w:p>
    <w:p>
      <w:pPr>
        <w:pStyle w:val="BodyText"/>
        <w:spacing w:line="480" w:lineRule="auto"/>
        <w:ind w:firstLine="720"/>
      </w:pPr>
      <w:r>
        <w:t xml:space="preserve">Robust inference weighs heavier than usual here on account of the sample. At thirty entries, classical standard errors would lean hard on a homoskedasticity premise the data refuse, since AMOS conference entries, Acta Astronautica articles, and space-economy documents split systematically in how their metadata get filled</w:t>
      </w:r>
      <w:r>
        <w:t xml:space="preserve"> </w:t>
      </w:r>
      <w:hyperlink w:anchor="ref-4">
        <w:r>
          <w:rPr>
            <w:rStyle w:val="Hyperlink"/>
          </w:rPr>
          <w:t xml:space="preserve">[4]</w:t>
        </w:r>
      </w:hyperlink>
      <w:r>
        <w:t xml:space="preserve"> </w:t>
      </w:r>
      <w:hyperlink w:anchor="ref-15">
        <w:r>
          <w:rPr>
            <w:rStyle w:val="Hyperlink"/>
          </w:rPr>
          <w:t xml:space="preserve">[15]</w:t>
        </w:r>
      </w:hyperlink>
      <w:r>
        <w:t xml:space="preserve">. HC1 fixes the variance estimates for that structure without touching the point estimates, which keeps the coefficients readable while making their sharpness honest.</w:t>
      </w:r>
    </w:p>
    <w:p>
      <w:pPr>
        <w:pStyle w:val="BodyText"/>
        <w:spacing w:line="480" w:lineRule="auto"/>
        <w:ind w:firstLine="720"/>
      </w:pPr>
      <w:r>
        <w:t xml:space="preserve">The HC1 fix is the specific finite-sample variant chosen from the family of heteroskedasticity-consistent estimators, for a reason worth stating. HC1 rescales the raw sandwich estimator by a degrees-of-freedom factor that puffs the variance in small samples, the cautious direction at N equal to thirty</w:t>
      </w:r>
      <w:r>
        <w:t xml:space="preserve"> </w:t>
      </w:r>
      <w:hyperlink w:anchor="ref-2">
        <w:r>
          <w:rPr>
            <w:rStyle w:val="Hyperlink"/>
          </w:rPr>
          <w:t xml:space="preserve">[2]</w:t>
        </w:r>
      </w:hyperlink>
      <w:r>
        <w:t xml:space="preserve">. Fiercer variants exist, but HC1 is the standard, well-worn pick a replicator expects and can redo without ambiguity. Naming it matters because a reader re-running the regression must wield the same fix to recover the same standard errors, and the printed sharpness only means anything against a stated estimator.</w:t>
      </w:r>
    </w:p>
    <w:bookmarkEnd w:id="79"/>
    <w:bookmarkStart w:id="80" w:name="Xd871f503bae4efab105c415a5974a01935c937f"/>
    <w:p>
      <w:pPr>
        <w:pStyle w:val="Heading2"/>
        <w:spacing w:line="480" w:lineRule="auto"/>
      </w:pPr>
      <w:r>
        <w:t xml:space="preserve">4.2 What the OLS design identifies, and what it does not</w:t>
      </w:r>
    </w:p>
    <w:p>
      <w:pPr>
        <w:pStyle w:val="FirstParagraph"/>
        <w:spacing w:line="480" w:lineRule="auto"/>
      </w:pPr>
      <w:r>
        <w:t xml:space="preserve">Identification here is modest on purpose, and pinning its limits exactly is part of the methodological contribution. The OLS coefficients pin ties inside the pulled corpus, conditional on the three predictors let in. They pin no causal effect of recency, notice, or venue on anything in the world. The signal score is a proxy built from theme-word strikes in source metadata, so a coefficient tells how that proxy shifts across entries, not how the underlying coordination bind behaves</w:t>
      </w:r>
      <w:r>
        <w:t xml:space="preserve"> </w:t>
      </w:r>
      <w:hyperlink w:anchor="ref-6">
        <w:r>
          <w:rPr>
            <w:rStyle w:val="Hyperlink"/>
          </w:rPr>
          <w:t xml:space="preserve">[6]</w:t>
        </w:r>
      </w:hyperlink>
      <w:r>
        <w:t xml:space="preserve">.</w:t>
      </w:r>
    </w:p>
    <w:p>
      <w:pPr>
        <w:pStyle w:val="BodyText"/>
        <w:spacing w:line="480" w:lineRule="auto"/>
        <w:ind w:firstLine="720"/>
      </w:pPr>
      <w:r>
        <w:t xml:space="preserve">Three identification threats warrant naming at the design stage rather than parking in the discussion. Omitted variables lead: the corpus entries split along axes the model skips, such as document length, author discipline, or indexing completeness, any of which could drive both the signal score and a predictor. The second threat is measurement in the predictors themselves: citation tallies ride on a local index and run short against a universal graph, which drags the citation coefficient toward zero</w:t>
      </w:r>
      <w:r>
        <w:t xml:space="preserve"> </w:t>
      </w:r>
      <w:hyperlink w:anchor="ref-2">
        <w:r>
          <w:rPr>
            <w:rStyle w:val="Hyperlink"/>
          </w:rPr>
          <w:t xml:space="preserve">[2]</w:t>
        </w:r>
      </w:hyperlink>
      <w:r>
        <w:t xml:space="preserve">. The third is the ordinal coding of venue, which the linear model handles as if the stretch from AMOS to Acta Astronautica equals the stretch from Acta Astronautica to the space-economy family, a premise that is a convenience, not a claim</w:t>
      </w:r>
      <w:r>
        <w:t xml:space="preserve"> </w:t>
      </w:r>
      <w:hyperlink w:anchor="ref-1">
        <w:r>
          <w:rPr>
            <w:rStyle w:val="Hyperlink"/>
          </w:rPr>
          <w:t xml:space="preserve">[1]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omitted-variable threat warrants making concrete, since it is the one likeliest to throw a spurious coefficient. Document length is the clearest case. A longer document offers more metadata surface for theme words to land on, so it may score higher on the signal tally for reasons off any topical centrality, and if longer documents also clump in particular outlets or years, the length confound would bleed into the venue or recency coefficient</w:t>
      </w:r>
      <w:r>
        <w:t xml:space="preserve"> </w:t>
      </w:r>
      <w:hyperlink w:anchor="ref-6">
        <w:r>
          <w:rPr>
            <w:rStyle w:val="Hyperlink"/>
          </w:rPr>
          <w:t xml:space="preserve">[6]</w:t>
        </w:r>
      </w:hyperlink>
      <w:r>
        <w:t xml:space="preserve">. The design gauges no length and so cannot hold it fixed, which means any structure the model does catch must read as maybe-confounded rather than as clean proof of the prominence mechanism. Naming the confound at the design stage is what lets the results chapter refuse to over-read a coefficient that lives.</w:t>
      </w:r>
    </w:p>
    <w:p>
      <w:pPr>
        <w:pStyle w:val="BodyText"/>
        <w:spacing w:line="480" w:lineRule="auto"/>
        <w:ind w:firstLine="720"/>
      </w:pPr>
      <w:r>
        <w:t xml:space="preserve">These threats are real, and on their account the design reads best as a sieve. A sharp, signed coefficient is proof the corpus holds structure worth a stronger follow-up design. A fuzzy coefficient is proof the proxy, at the present sample count, cannot prop a sure tie. Neither read is a causal verdict, and the results chapter keeps to that discipline.</w:t>
      </w:r>
    </w:p>
    <w:p>
      <w:pPr>
        <w:pStyle w:val="BodyText"/>
        <w:spacing w:line="480" w:lineRule="auto"/>
        <w:ind w:firstLine="720"/>
      </w:pPr>
      <w:r>
        <w:t xml:space="preserve">The word sieve is picked with care and means something exact. A sieve is an instrument tuned to run cheap and see-through rather than final, whose job is to sort candidates into worth-a-closer-look and not, granting it will misfile at the edges</w:t>
      </w:r>
      <w:r>
        <w:t xml:space="preserve"> </w:t>
      </w:r>
      <w:hyperlink w:anchor="ref-6">
        <w:r>
          <w:rPr>
            <w:rStyle w:val="Hyperlink"/>
          </w:rPr>
          <w:t xml:space="preserve">[6]</w:t>
        </w:r>
      </w:hyperlink>
      <w:r>
        <w:t xml:space="preserve">. In diagnostic terms this design is set for a low false-positive rate at the price of a high false-negative one. It will rarely call structure that is absent, since the robust errors and small sample make significance hard to hit, but it will often skip structure that is present. A null from a sieve, then, is weak proof of absence, and the design’s reading rules follow straight from that setting.</w:t>
      </w:r>
    </w:p>
    <w:bookmarkEnd w:id="80"/>
    <w:bookmarkStart w:id="81" w:name="the-temporal-estimator"/>
    <w:p>
      <w:pPr>
        <w:pStyle w:val="Heading2"/>
        <w:spacing w:line="480" w:lineRule="auto"/>
      </w:pPr>
      <w:r>
        <w:t xml:space="preserve">4.3 The temporal estimator</w:t>
      </w:r>
    </w:p>
    <w:p>
      <w:pPr>
        <w:pStyle w:val="FirstParagraph"/>
        <w:spacing w:line="480" w:lineRule="auto"/>
      </w:pPr>
      <w:r>
        <w:t xml:space="preserve">Paper 2 asks a different question: whether citation notice banks with document age in a regular, curve-shaped way. The learning-curve form is standard in the study of cumulative processes and takes the log-log specification</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outcome is the reported citation tally plus one, so that uncited entries, common in a young corpus, stay defined under the logarithm. The predictor is a document-age index reckoned as 2026 minus the publication year plus one. Estimation is again OLS with HC1 robust standard errors. The slope beta_1 is an elasticity, the percent shift in citations-plus-one tied to a one-percent shift in age. Its companion figure is the progress ratio, reckoned as two raised to the slope, which sums how citations scale as age doubles</w:t>
      </w:r>
      <w:r>
        <w:t xml:space="preserve"> </w:t>
      </w:r>
      <w:hyperlink w:anchor="ref-9">
        <w:r>
          <w:rPr>
            <w:rStyle w:val="Hyperlink"/>
          </w:rPr>
          <w:t xml:space="preserve">[9]</w:t>
        </w:r>
      </w:hyperlink>
      <w:r>
        <w:t xml:space="preserve">.</w:t>
      </w:r>
    </w:p>
    <w:p>
      <w:pPr>
        <w:pStyle w:val="BodyText"/>
        <w:spacing w:line="480" w:lineRule="auto"/>
        <w:ind w:firstLine="720"/>
      </w:pPr>
      <w:r>
        <w:t xml:space="preserve">The plus-one tweak is not cosmetic, and its fallout for reading warrants stating. Adding one before logging keeps the many zero-citation entries in the sample rather than dropping them, which weighs hugely when most of the corpus is uncited, but it also squeezes the outcome’s spread near the floor: a jump from zero to one citation and a jump from one to two citations log very differently even though both are steps of one</w:t>
      </w:r>
      <w:r>
        <w:t xml:space="preserve"> </w:t>
      </w:r>
      <w:hyperlink w:anchor="ref-14">
        <w:r>
          <w:rPr>
            <w:rStyle w:val="Hyperlink"/>
          </w:rPr>
          <w:t xml:space="preserve">[14]</w:t>
        </w:r>
      </w:hyperlink>
      <w:r>
        <w:t xml:space="preserve">. The estimator therefore reads shifts among the thin high-citation entries harder than shifts at the crowded floor. This is a known trait of the plus-one log transform on floor-heavy data, and it conditions how the slope should read, a point the results chapter circles back to when it reads a near-zero elasticity.</w:t>
      </w:r>
    </w:p>
    <w:p>
      <w:pPr>
        <w:pStyle w:val="BodyText"/>
        <w:spacing w:line="480" w:lineRule="auto"/>
        <w:ind w:firstLine="720"/>
      </w:pPr>
      <w:r>
        <w:t xml:space="preserve">The learning-curve form is the right instrument for this question because it bakes in a specific, falsifiable expectation about banking. If notice compounds with exposure time in the usual way, the elasticity runs positive and the progress ratio tops one. If notice does not order along the age gradient, the elasticity runs flat or negative and the progress ratio sits at or below one. The functional form thus turns a vague claim about notice over time into a single coefficient with a clean null</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bookmarkEnd w:id="81"/>
    <w:bookmarkStart w:id="82" w:name="Xbe4257c1037e51186e44fc73b6bae9227156c4c"/>
    <w:p>
      <w:pPr>
        <w:pStyle w:val="Heading2"/>
        <w:spacing w:line="480" w:lineRule="auto"/>
      </w:pPr>
      <w:r>
        <w:t xml:space="preserve">4.4 Why these two estimators, together, discipline the topic</w:t>
      </w:r>
    </w:p>
    <w:p>
      <w:pPr>
        <w:pStyle w:val="FirstParagraph"/>
        <w:spacing w:line="480" w:lineRule="auto"/>
      </w:pPr>
      <w:r>
        <w:t xml:space="preserve">Two estimators, one sample. They run complementary by build, and running both is what lends the design its evidentiary reach. The snapshot model reads the corpus at one slice, asking whether the signal is ordered across watchable fields at all. The temporal model reads the corpus down its time axis, asking whether notice banks in a regular shape. A topic could carry snapshot structure without temporal banking, or the reverse, and only running both makes those cases splittable</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four logical combinations warrant enumerating, since each carries a separate diagnosis. Snapshot structure with temporal banking would sketch a ripe, gathering topic, the case the prominence thesis forecasts. Snapshot structure without temporal banking would sketch a topic coherent in its current framing but too young to have raised an age gradient. Temporal banking without snapshot structure would sketch a topic whose citations track age for generic reasons off the coordination frame. And neither would sketch a topic diffuse in both axes, the null case entire. Running one estimator alone could not split these; running both maps the corpus onto the grid, and reading the results is reading which cell the topic holds</w:t>
      </w:r>
      <w:r>
        <w:t xml:space="preserve"> </w:t>
      </w:r>
      <w:hyperlink w:anchor="ref-16">
        <w:r>
          <w:rPr>
            <w:rStyle w:val="Hyperlink"/>
          </w:rPr>
          <w:t xml:space="preserve">[16]</w:t>
        </w:r>
      </w:hyperlink>
      <w:r>
        <w:t xml:space="preserve">.</w:t>
      </w:r>
    </w:p>
    <w:p>
      <w:pPr>
        <w:pStyle w:val="BodyText"/>
        <w:spacing w:line="480" w:lineRule="auto"/>
        <w:ind w:firstLine="720"/>
      </w:pPr>
      <w:r>
        <w:t xml:space="preserve">The shared sample of thirty entries is a strength and a bind at once. Strength, since both estimators eat the same auditable data, so the two findings sit directly comparable and cannot be squared by quietly swapping the underlying corpus. Bind, since thirty observations cap the statistical power of every test, which means the design is set to catch only fairly strong structure. A failure to kill the null in either model is therefore no proof of absence. It is a statement that the present evidence, at this sample count and with these proxies, will not prop a sure claim. Both papers wield robust standard errors precisely so this line gets drawn cautiously rather than hopefully</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82"/>
    <w:bookmarkStart w:id="83" w:name="Xcc76bb1b70f78a7e06403fd59756be88674bf4f"/>
    <w:p>
      <w:pPr>
        <w:pStyle w:val="Heading2"/>
        <w:spacing w:line="480" w:lineRule="auto"/>
      </w:pPr>
      <w:r>
        <w:t xml:space="preserve">4.5 Reproducibility as an identification safeguard</w:t>
      </w:r>
    </w:p>
    <w:p>
      <w:pPr>
        <w:pStyle w:val="FirstParagraph"/>
        <w:spacing w:line="480" w:lineRule="auto"/>
      </w:pPr>
      <w:r>
        <w:t xml:space="preserve">A last methodological point turns on lineage. Every entry in the estimation files carries a source column, so a reader can step any row back to the document it came from, and every variable is a deterministic function of that document’s metadata under the build rules laid out in the next chapter. This traceability is no formatting nicety. It is part of the identification story. Since the pipeline from source to variable to coefficient sits wholly inspectable, a doubting reader can rebuild the dataset, re-run the estimators, and confirm the printed numbers are exactly what the routine throws off. That shuts the commonest escape hatch in policy-adjacent quantitative work, a chain of inference no one can check. Here it can be, end to end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Reproducibility works as an identification safeguard in an exact sense, not merely as good hygiene. Many threats named in Section 4.2, the omitted length variable, the ordinal venue metric, the short-running citation index, cannot be pulled inside the present design, but they can all be inspected, since the build rules are public and the source column is kept. A future analyst who suspects document length is driving the venue coefficient can pull the same documents, gauge their length, and test the hunch straight against the same rows this dissertation used</w:t>
      </w:r>
      <w:r>
        <w:t xml:space="preserve"> </w:t>
      </w:r>
      <w:hyperlink w:anchor="ref-6">
        <w:r>
          <w:rPr>
            <w:rStyle w:val="Hyperlink"/>
          </w:rPr>
          <w:t xml:space="preserve">[6]</w:t>
        </w:r>
      </w:hyperlink>
      <w:r>
        <w:t xml:space="preserve">. Transparency does not cure the threats, but it flips them from buried defects into open, testable hunches, which is the most an early-stage study can honestly offer and more than most policy-adjacent quantitative work hands over</w:t>
      </w:r>
      <w:r>
        <w:t xml:space="preserve"> </w:t>
      </w:r>
      <w:hyperlink w:anchor="ref-2">
        <w:r>
          <w:rPr>
            <w:rStyle w:val="Hyperlink"/>
          </w:rPr>
          <w:t xml:space="preserve">[2]</w:t>
        </w:r>
      </w:hyperlink>
      <w:r>
        <w:t xml:space="preserve">.</w:t>
      </w:r>
    </w:p>
    <w:bookmarkEnd w:id="83"/>
    <w:bookmarkStart w:id="84" w:name="alternatives-considered-and-set-aside"/>
    <w:p>
      <w:pPr>
        <w:pStyle w:val="Heading2"/>
        <w:spacing w:line="480" w:lineRule="auto"/>
      </w:pPr>
      <w:r>
        <w:t xml:space="preserve">4.6 Alternatives considered and set aside</w:t>
      </w:r>
    </w:p>
    <w:p>
      <w:pPr>
        <w:pStyle w:val="FirstParagraph"/>
        <w:spacing w:line="480" w:lineRule="auto"/>
      </w:pPr>
      <w:r>
        <w:t xml:space="preserve">A methodology chapter owes an account not only of what the design does but of what it declined, since the roads skipped light up the roads taken. Three alternatives got weighed and dropped, each for a reason that firms the sieve’s core pledge of readability over sophistication.</w:t>
      </w:r>
    </w:p>
    <w:p>
      <w:pPr>
        <w:pStyle w:val="BodyText"/>
        <w:spacing w:line="480" w:lineRule="auto"/>
        <w:ind w:firstLine="720"/>
      </w:pPr>
      <w:r>
        <w:t xml:space="preserve">The first alternative was a regularized or penalized regression to guard against overfitting by shrinking coefficients toward zero. On a thirty-entry sample with three predictors, penalization would swap the clear one-unit read of each coefficient for a shrunk estimate whose size hangs on a tuning knob the reader cannot see</w:t>
      </w:r>
      <w:r>
        <w:t xml:space="preserve"> </w:t>
      </w:r>
      <w:hyperlink w:anchor="ref-5">
        <w:r>
          <w:rPr>
            <w:rStyle w:val="Hyperlink"/>
          </w:rPr>
          <w:t xml:space="preserve">[5]</w:t>
        </w:r>
      </w:hyperlink>
      <w:r>
        <w:t xml:space="preserve">. The sieve already guards against overfitting through sparsity, holding the predictor count low, so the penalty’s chief effect would be to cloud rather than shield. The plain OLS coefficient, printed with its honest robust standard error, tells a reader more than a shrunk one whose shrinkage they cannot audit.</w:t>
      </w:r>
    </w:p>
    <w:p>
      <w:pPr>
        <w:pStyle w:val="BodyText"/>
        <w:spacing w:line="480" w:lineRule="auto"/>
        <w:ind w:firstLine="720"/>
      </w:pPr>
      <w:r>
        <w:t xml:space="preserve">The second alternative was a bootstrap or permutation routine for inference, standing in for the HC1 sandwich estimator. Resampling methods can hand sharper small-sample p-values under some conditions, and they ran a serious candidate at N equal to thirty</w:t>
      </w:r>
      <w:r>
        <w:t xml:space="preserve"> </w:t>
      </w:r>
      <w:hyperlink w:anchor="ref-2">
        <w:r>
          <w:rPr>
            <w:rStyle w:val="Hyperlink"/>
          </w:rPr>
          <w:t xml:space="preserve">[2]</w:t>
        </w:r>
      </w:hyperlink>
      <w:r>
        <w:t xml:space="preserve">. They got shelved for reproducibility: a bootstrap drops in a random seed and a resampling scheme a replicator must match exactly to recover the same numbers, while the HC1 fix is a closed-form function of the data any analyst reckons identically. For a design whose central promise is that a reader can rebuild every number, the deterministic estimator earns its keep against a small loss of small-sample sharpness</w:t>
      </w:r>
      <w:r>
        <w:t xml:space="preserve"> </w:t>
      </w:r>
      <w:hyperlink w:anchor="ref-6">
        <w:r>
          <w:rPr>
            <w:rStyle w:val="Hyperlink"/>
          </w:rPr>
          <w:t xml:space="preserve">[6]</w:t>
        </w:r>
      </w:hyperlink>
      <w:r>
        <w:t xml:space="preserve">.</w:t>
      </w:r>
    </w:p>
    <w:p>
      <w:pPr>
        <w:pStyle w:val="BodyText"/>
        <w:spacing w:line="480" w:lineRule="auto"/>
        <w:ind w:firstLine="720"/>
      </w:pPr>
      <w:r>
        <w:t xml:space="preserve">The third alternative was to fold the two questions into one model, say by adding age or its interaction to the snapshot specification. Folding would have spared a model but wrecked the clean split between the snapshot and temporal questions that Chapter 4 called the design’s evidentiary strength</w:t>
      </w:r>
      <w:r>
        <w:t xml:space="preserve"> </w:t>
      </w:r>
      <w:hyperlink w:anchor="ref-9">
        <w:r>
          <w:rPr>
            <w:rStyle w:val="Hyperlink"/>
          </w:rPr>
          <w:t xml:space="preserve">[9]</w:t>
        </w:r>
      </w:hyperlink>
      <w:r>
        <w:t xml:space="preserve">. Holding the two estimators apart is what lets the results chapter set the topic on the diagnostic grid and read which cell it holds. A folded model would have smeared that grid into a single coefficient vector, harder to read and harder to map back onto the two hypotheses</w:t>
      </w:r>
      <w:r>
        <w:t xml:space="preserve"> </w:t>
      </w:r>
      <w:hyperlink w:anchor="ref-16">
        <w:r>
          <w:rPr>
            <w:rStyle w:val="Hyperlink"/>
          </w:rPr>
          <w:t xml:space="preserve">[16]</w:t>
        </w:r>
      </w:hyperlink>
      <w:r>
        <w:t xml:space="preserve">. Each dropped alternative, in short, would have bought a technical refinement at the price of the readability the whole design exists to guard.</w:t>
      </w:r>
    </w:p>
    <w:p>
      <w:pPr>
        <w:pStyle w:val="BodyText"/>
        <w:spacing w:line="480" w:lineRule="auto"/>
        <w:ind w:firstLine="720"/>
      </w:pPr>
      <w:r>
        <w:t xml:space="preserve">A common thread runs through all three drops and warrants making explicit. In each case the sophisticated route would have piled on a layer of machinery, a tuning knob, a random seed, or a folded interaction, that a replicating reader would have to rebuild before trusting the numbers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design reads every such layer as a liability, since the whole promise of the sieve is that a skeptic can rebuild it from the build rules and the source column alone. Sophistication a reader cannot audit is, for this project’s aim, no different from opacity. The estimators chosen are the ones a reader can hold wholly in view. That visibility is the trait the design refuses to trade, even for a real gain in small-sample sharpness</w:t>
      </w:r>
      <w:r>
        <w:t xml:space="preserve"> </w:t>
      </w:r>
      <w:hyperlink w:anchor="ref-6">
        <w:r>
          <w:rPr>
            <w:rStyle w:val="Hyperlink"/>
          </w:rPr>
          <w:t xml:space="preserve">[6]</w:t>
        </w:r>
      </w:hyperlink>
      <w:r>
        <w:t xml:space="preserve">.</w:t>
      </w:r>
    </w:p>
    <w:bookmarkEnd w:id="84"/>
    <w:bookmarkEnd w:id="85"/>
    <w:bookmarkStart w:id="92" w:name="chapter-5.-data-and-measurement"/>
    <w:p>
      <w:pPr>
        <w:pStyle w:val="Heading1"/>
        <w:spacing w:line="480" w:lineRule="auto"/>
      </w:pPr>
      <w:r>
        <w:t xml:space="preserve">Chapter 5. Data and Measurement</w:t>
      </w:r>
    </w:p>
    <w:p>
      <w:pPr>
        <w:pStyle w:val="FirstParagraph"/>
        <w:spacing w:line="480" w:lineRule="auto"/>
      </w:pPr>
      <w:r>
        <w:t xml:space="preserve">This dissertation’s empirical claims run only as far as the dataset behind them carries, so this chapter logs that dataset whole: what the entries are, where they came from, how each variable got built, what the sample count implies. The governing rule is that a doubting reader should be able to rebuild every column off the raw sources. No column here is a sealed box.</w:t>
      </w:r>
    </w:p>
    <w:p>
      <w:pPr>
        <w:pStyle w:val="BodyText"/>
        <w:spacing w:line="480" w:lineRule="auto"/>
        <w:ind w:firstLine="720"/>
      </w:pPr>
      <w:r>
        <w:t xml:space="preserve">The chapter is laid out so build runs ahead of reading. First the corpus, then the outcome variable, then the predictors for each model, then the sample-count question, and last a flat statement of the line between what the data can and cannot stand for. A reader out to replicate the dataset can take Sections 5.1 through 5.4 as a spec and quit there. A reader out to grasp why the results land as they do will find the seed of every finding in the distributions logged along the way.</w:t>
      </w:r>
    </w:p>
    <w:bookmarkStart w:id="86" w:name="the-corpus"/>
    <w:p>
      <w:pPr>
        <w:pStyle w:val="Heading2"/>
        <w:spacing w:line="480" w:lineRule="auto"/>
      </w:pPr>
      <w:r>
        <w:t xml:space="preserve">5.1 The corpus</w:t>
      </w:r>
    </w:p>
    <w:p>
      <w:pPr>
        <w:pStyle w:val="FirstParagraph"/>
        <w:spacing w:line="480" w:lineRule="auto"/>
      </w:pPr>
      <w:r>
        <w:t xml:space="preserve">Thirty entries make the sample. Each is one pulled document. Each carries a kept source identifier, either a digital object identifier or a resolvable URL, held in a source column so lineage rides through every transform. They were gathered from the candidate’s local research pack. The entries straddle three venue families. The AMOS conference family carries operational and sensing work on space domain awareness and orbital screening</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Acta Astronautica family carries peer-reviewed articles on constellation layout, occupancy management, playable governance, and kindred topics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A third family, bundled here as space-economy documents, carries commons-and-market casts of the orbital setting, taking in differential-game treatments of constellations and economic reads of debris as a negative spillover.</w:t>
      </w:r>
    </w:p>
    <w:p>
      <w:pPr>
        <w:pStyle w:val="BodyText"/>
        <w:spacing w:line="480" w:lineRule="auto"/>
        <w:ind w:firstLine="720"/>
      </w:pPr>
      <w:r>
        <w:t xml:space="preserve">The three-family build is not incidental to the analysis; it is the axis the venue variable encodes, and its makeup shapes what the model can see. The AMOS entries clump at the operational end, hugging sensors and orbital mechanics, and their metadata run thick with technical vocabulary that only now and then laps the coordination-failure theme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Acta Astronautica entries run more mixed, straddling engineering layout, playable law, and occupancy-traffic welding, so the theme shows there in more varied and sometimes plainer forms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space-economy entries are the slimmest family but the most theme-packed, since commons-and-market casts speak straight to the coordination bind. This gradient from operational to economic is what the ordinal venue code tries to catch, and its lumpiness is why the code stays only ordinal.</w:t>
      </w:r>
    </w:p>
    <w:p>
      <w:pPr>
        <w:pStyle w:val="BodyText"/>
        <w:spacing w:line="480" w:lineRule="auto"/>
        <w:ind w:firstLine="720"/>
      </w:pPr>
      <w:r>
        <w:t xml:space="preserve">The entries span publication years from 2010 to 2026. The oldest is the concentric-shells screening method</w:t>
      </w:r>
      <w:r>
        <w:t xml:space="preserve"> </w:t>
      </w:r>
      <w:hyperlink w:anchor="ref-6">
        <w:r>
          <w:rPr>
            <w:rStyle w:val="Hyperlink"/>
          </w:rPr>
          <w:t xml:space="preserve">[6]</w:t>
        </w:r>
      </w:hyperlink>
      <w:r>
        <w:t xml:space="preserve">; the newest are 2025 and 2026 Acta Astronautica articles on occupancy management and agent-based coordination</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This span weighs on the temporal model, since a learning-curve estimator needs age spread to have anything to fit. The clumping of entries in the most recent years, with the bulk published from 2020 on, also foreshadows a finding: a corpus this young may not yet show the classic age-citation gradient.</w:t>
      </w:r>
    </w:p>
    <w:p>
      <w:pPr>
        <w:pStyle w:val="BodyText"/>
        <w:spacing w:line="480" w:lineRule="auto"/>
        <w:ind w:firstLine="720"/>
      </w:pPr>
      <w:r>
        <w:t xml:space="preserve">The year distribution warrants a count, since it drives the temporal result straight. A lone entry pins the old end of the span at 2010, a handful sit in the 2020 to 2022 band, and the plain mass of the corpus lands in 2023 through 2026</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An age index built off this distribution runs heavily bottom-loaded: most entries are young, with age indices of one to three, and only the lone 2010 entry reaches an age index of seventeen. A learning-curve slope fit on such a distribution leans on a very small count of old entries to fix the high-age end of the curve, a frailty the results chapter names when it reads the near-zero elasticity.</w:t>
      </w:r>
    </w:p>
    <w:bookmarkEnd w:id="86"/>
    <w:bookmarkStart w:id="87" w:name="the-outcome-variable"/>
    <w:p>
      <w:pPr>
        <w:pStyle w:val="Heading2"/>
        <w:spacing w:line="480" w:lineRule="auto"/>
      </w:pPr>
      <w:r>
        <w:t xml:space="preserve">5.2 The outcome variable</w:t>
      </w:r>
    </w:p>
    <w:p>
      <w:pPr>
        <w:pStyle w:val="FirstParagraph"/>
        <w:spacing w:line="480" w:lineRule="auto"/>
      </w:pPr>
      <w:r>
        <w:t xml:space="preserve">The dependent variable in Paper 1 is a pooled topic-signal score. It is a deterministic tally, built by counting candidate-theme word strikes across four metadata fields of each entry: the title, the pulled snippet, the keyword field, and the author metadata. An entry naming the coordination, shell, or bargaining vocabulary in several of these fields scores higher; an entry brushing the theme only in passing scores lower. The build runs mechanical and repeatable, which is the point. Two researchers laying the same rule on the same metadata would throw off the same score.</w:t>
      </w:r>
    </w:p>
    <w:p>
      <w:pPr>
        <w:pStyle w:val="BodyText"/>
        <w:spacing w:line="480" w:lineRule="auto"/>
        <w:ind w:firstLine="720"/>
      </w:pPr>
      <w:r>
        <w:t xml:space="preserve">Scores run low. The signal scores in the sample range from 1 to 6. The source-sink governance paper tops the field at 6, mirroring thick theme-word presence across its metadata</w:t>
      </w:r>
      <w:r>
        <w:t xml:space="preserve"> </w:t>
      </w:r>
      <w:hyperlink w:anchor="ref-3">
        <w:r>
          <w:rPr>
            <w:rStyle w:val="Hyperlink"/>
          </w:rPr>
          <w:t xml:space="preserve">[3]</w:t>
        </w:r>
      </w:hyperlink>
      <w:r>
        <w:t xml:space="preserve">, while several operational and constellation-layout entries score at the floor of 1. This spread is what the snapshot model tries to explain. A reader should mark the bluntness of the proxy: it counts word presence, not conceptual depth, so an entry can score low while sitting conceptually central, or score high off incidental vocabulary. That bluntness is why the design reads as a sieve rather than a final gauge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distribution of the signal score weighs as much as its range. The scores heap toward the low end: many entries sit at one or two, a middle cluster reaches three or four, and only the source-sink paper hits six</w:t>
      </w:r>
      <w:r>
        <w:t xml:space="preserve"> </w:t>
      </w:r>
      <w:hyperlink w:anchor="ref-3">
        <w:r>
          <w:rPr>
            <w:rStyle w:val="Hyperlink"/>
          </w:rPr>
          <w:t xml:space="preserve">[3]</w:t>
        </w:r>
      </w:hyperlink>
      <w:r>
        <w:t xml:space="preserve">. This right-skew means the snapshot model largely tries to explain why a minority of entries clear the floor, and any predictor that happens to move with the handful of high-scoring entries will carry outsized weight. It also means the outcome holds thin spread for the predictors to push against, which caps the reachable R-squared whatever the truth of the prominence mechanism. The floor-heavy shape falls straight out of using word presence as the proxy, since most documents in any corpus name any given theme only in passing.</w:t>
      </w:r>
    </w:p>
    <w:p>
      <w:pPr>
        <w:pStyle w:val="BodyText"/>
        <w:spacing w:line="480" w:lineRule="auto"/>
        <w:ind w:firstLine="720"/>
      </w:pPr>
      <w:r>
        <w:t xml:space="preserve">An honest account of the proxy names the two errors it can throw. A false low arises when an entry is central to the coordination debate but voices that centrality in vocabulary the word list misses, so it scores at the floor despite mattering</w:t>
      </w:r>
      <w:r>
        <w:t xml:space="preserve"> </w:t>
      </w:r>
      <w:hyperlink w:anchor="ref-6">
        <w:r>
          <w:rPr>
            <w:rStyle w:val="Hyperlink"/>
          </w:rPr>
          <w:t xml:space="preserve">[6]</w:t>
        </w:r>
      </w:hyperlink>
      <w:r>
        <w:t xml:space="preserve">. A false high arises when an entry runs the theme’s vocabulary in passing, in a lit review or a stray analogy, and scores above its true bearing. The design cannot mend either error without hand coding, which is exactly the heir design Chapter 8 floats. What it can do, and does, is flag that both errors tilt the snapshot model toward catching no structure, since they inject noise into the outcome no predictor can track</w:t>
      </w:r>
      <w:r>
        <w:t xml:space="preserve"> </w:t>
      </w:r>
      <w:hyperlink w:anchor="ref-2">
        <w:r>
          <w:rPr>
            <w:rStyle w:val="Hyperlink"/>
          </w:rPr>
          <w:t xml:space="preserve">[2]</w:t>
        </w:r>
      </w:hyperlink>
      <w:r>
        <w:t xml:space="preserve">.</w:t>
      </w:r>
    </w:p>
    <w:bookmarkEnd w:id="87"/>
    <w:bookmarkStart w:id="88" w:name="the-predictors"/>
    <w:p>
      <w:pPr>
        <w:pStyle w:val="Heading2"/>
        <w:spacing w:line="480" w:lineRule="auto"/>
      </w:pPr>
      <w:r>
        <w:t xml:space="preserve">5.3 The predictors</w:t>
      </w:r>
    </w:p>
    <w:p>
      <w:pPr>
        <w:pStyle w:val="FirstParagraph"/>
        <w:spacing w:line="480" w:lineRule="auto"/>
      </w:pPr>
      <w:r>
        <w:t xml:space="preserve">Three predictors enter the snapshot model, each built by a spelled-out rule.</w:t>
      </w:r>
    </w:p>
    <w:p>
      <w:pPr>
        <w:pStyle w:val="BodyText"/>
        <w:spacing w:line="480" w:lineRule="auto"/>
        <w:ind w:firstLine="720"/>
      </w:pPr>
      <w:r>
        <w:t xml:space="preserve">The recency index is the publication year minus the least publication year in the sample, plus one. With the earliest entry at 2010, the 2010 screening paper takes a recency index of 1, and a 2026 article takes an index of 17. Larger values read as more recent. The build hands a clean integer scale pinned at the corpus floor rather than an arbitrary calendar zero.</w:t>
      </w:r>
    </w:p>
    <w:p>
      <w:pPr>
        <w:pStyle w:val="BodyText"/>
        <w:spacing w:line="480" w:lineRule="auto"/>
        <w:ind w:firstLine="720"/>
      </w:pPr>
      <w:r>
        <w:t xml:space="preserve">Since the year distribution runs bottom-loaded toward recent work, the recency index itself runs top-heavy: most entries carry high recency values in the fourteen-to-seventeen band, and only a few sit low. This squeeze at the top weighs on the snapshot model. When most entries share close recency, the recency predictor holds thin spread to split them, so even a real recency effect would run hard to pin sharply. The near-zero recency coefficient the results chapter prints squares both with the absence of a recency effect and with a recency variable too squeezed to reveal one, and the design cannot fully split those reads</w:t>
      </w:r>
      <w:r>
        <w:t xml:space="preserve"> </w:t>
      </w:r>
      <w:hyperlink w:anchor="ref-9">
        <w:r>
          <w:rPr>
            <w:rStyle w:val="Hyperlink"/>
          </w:rPr>
          <w:t xml:space="preserve">[9]</w:t>
        </w:r>
      </w:hyperlink>
      <w:r>
        <w:t xml:space="preserve">.</w:t>
      </w:r>
    </w:p>
    <w:p>
      <w:pPr>
        <w:pStyle w:val="BodyText"/>
        <w:spacing w:line="480" w:lineRule="auto"/>
        <w:ind w:firstLine="720"/>
      </w:pPr>
      <w:r>
        <w:t xml:space="preserve">The citation tally is parsed from the local brain index’s cites field and set to zero where the index reported no count. This is an honest but capped gauge. Most entries in the sample carry zero indexed citations, a handful of Acta Astronautica articles carry tallies in the low single digits, and two older articles carry the sample’s top tallies of 17 and 24. Since the local index is no universal citation graph, these tallies run short of true citation notice, which the methodology chapter flagged as an attenuation threat</w:t>
      </w:r>
      <w:r>
        <w:t xml:space="preserve"> </w:t>
      </w:r>
      <w:hyperlink w:anchor="ref-2">
        <w:r>
          <w:rPr>
            <w:rStyle w:val="Hyperlink"/>
          </w:rPr>
          <w:t xml:space="preserve">[2]</w:t>
        </w:r>
      </w:hyperlink>
      <w:r>
        <w:t xml:space="preserve">.</w:t>
      </w:r>
    </w:p>
    <w:p>
      <w:pPr>
        <w:pStyle w:val="BodyText"/>
        <w:spacing w:line="480" w:lineRule="auto"/>
        <w:ind w:firstLine="720"/>
      </w:pPr>
      <w:r>
        <w:t xml:space="preserve">The two high-citation entries warrant a hard look, since they carry the citation variable nearly alone. The tallies of 17 and 24 belong to older articles, a 2022 staged-roll-out study and a 2021 crew-organization analysis, whose subjects sit adjacent to but not centered on the coordination-failure theme</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With the rest of the corpus at or near zero indexed citations, these two entries fix the whole upper range of the citation predictor, which means the citation coefficient rests almost wholly on the contrast between two well-cited, off-theme older papers and a mass of uncited, on-theme newer ones. That build is what throws the negative citation coefficient, and catching it is essential to reading the result right.</w:t>
      </w:r>
    </w:p>
    <w:p>
      <w:pPr>
        <w:pStyle w:val="BodyText"/>
        <w:spacing w:line="480" w:lineRule="auto"/>
        <w:ind w:firstLine="720"/>
      </w:pPr>
      <w:r>
        <w:t xml:space="preserve">The venue score is an ordinal code: AMOS is 1, Acta Astronautica is 2, and the space-economy family is 3. The ordering mirrors a rough climb from conference-proceedings work toward peer-reviewed journal and economic-analysis work. The code is ordinal only. The linear model handles the steps as equal by need, not because the underlying venue stretches are known equal, and the discussion chapter circles back to this simplification</w:t>
      </w:r>
      <w:r>
        <w:t xml:space="preserve"> </w:t>
      </w:r>
      <w:hyperlink w:anchor="ref-1">
        <w:r>
          <w:rPr>
            <w:rStyle w:val="Hyperlink"/>
          </w:rPr>
          <w:t xml:space="preserve">[1]</w:t>
        </w:r>
      </w:hyperlink>
      <w:r>
        <w:t xml:space="preserve"> </w:t>
      </w:r>
      <w:hyperlink w:anchor="ref-15">
        <w:r>
          <w:rPr>
            <w:rStyle w:val="Hyperlink"/>
          </w:rPr>
          <w:t xml:space="preserve">[15]</w:t>
        </w:r>
      </w:hyperlink>
      <w:r>
        <w:t xml:space="preserve">.</w:t>
      </w:r>
    </w:p>
    <w:bookmarkEnd w:id="88"/>
    <w:bookmarkStart w:id="89" w:name="variables-for-the-temporal-model"/>
    <w:p>
      <w:pPr>
        <w:pStyle w:val="Heading2"/>
        <w:spacing w:line="480" w:lineRule="auto"/>
      </w:pPr>
      <w:r>
        <w:t xml:space="preserve">5.4 Variables for the temporal model</w:t>
      </w:r>
    </w:p>
    <w:p>
      <w:pPr>
        <w:pStyle w:val="FirstParagraph"/>
        <w:spacing w:line="480" w:lineRule="auto"/>
      </w:pPr>
      <w:r>
        <w:t xml:space="preserve">Paper 2 wields a trimmed variable set built off the same entries. The outcome is citations-plus-one, the reported citation tally with one added so the logarithm stays defined for the many uncited entries. The predictor is a document-age index, reckoned as 2026 minus the publication year plus one, so the 2026 article carries an age index of 1 and the 2010 screening paper carries an age index of 17. Both variables get logged in estimation, per the learning-curve spec. The same source column rides with these rows, so the temporal file runs as auditable as the snapshot one</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distribution of citations-plus-one runs heavily skewed. The great bulk of entries sit at the floor value of 1, meaning zero indexed citations, and only a few older articles clear it. This skew is exactly why the log transform and the plus-one tweak get used, and it is also why the temporal model’s power runs capped: with most of the outcome mass heaped at a single value, thin spread is left for the age gradient to explain</w:t>
      </w:r>
      <w:r>
        <w:t xml:space="preserve"> </w:t>
      </w:r>
      <w:hyperlink w:anchor="ref-16">
        <w:r>
          <w:rPr>
            <w:rStyle w:val="Hyperlink"/>
          </w:rPr>
          <w:t xml:space="preserve">[16]</w:t>
        </w:r>
      </w:hyperlink>
      <w:r>
        <w:t xml:space="preserve">.</w:t>
      </w:r>
    </w:p>
    <w:p>
      <w:pPr>
        <w:pStyle w:val="BodyText"/>
        <w:spacing w:line="480" w:lineRule="auto"/>
        <w:ind w:firstLine="720"/>
      </w:pPr>
      <w:r>
        <w:t xml:space="preserve">The age index and the citation outcome are, unavoidably, tangled in this corpus, and the tangle is the crux of the temporal result. The only entries with citations above the floor are older ones, since citations take time to gather, so age and citation tally sit mechanically welded at the same time the design asks whether they are tied</w:t>
      </w:r>
      <w:r>
        <w:t xml:space="preserve"> </w:t>
      </w:r>
      <w:hyperlink w:anchor="ref-9">
        <w:r>
          <w:rPr>
            <w:rStyle w:val="Hyperlink"/>
          </w:rPr>
          <w:t xml:space="preserve">[9]</w:t>
        </w:r>
      </w:hyperlink>
      <w:r>
        <w:t xml:space="preserve">. But the weld runs weak, since most older entries in this young pool are also uncited, so the two high-citation old entries pull against a majority of low-citation old entries. The result is an age-citation tie neither cleanly positive nor cleanly gone, which is precisely the near-zero, fuzzy slope the estimator throws</w:t>
      </w:r>
      <w:r>
        <w:t xml:space="preserve"> </w:t>
      </w:r>
      <w:hyperlink w:anchor="ref-14">
        <w:r>
          <w:rPr>
            <w:rStyle w:val="Hyperlink"/>
          </w:rPr>
          <w:t xml:space="preserve">[14]</w:t>
        </w:r>
      </w:hyperlink>
      <w:r>
        <w:t xml:space="preserve">.</w:t>
      </w:r>
    </w:p>
    <w:bookmarkEnd w:id="89"/>
    <w:bookmarkStart w:id="90" w:name="sample-size-and-its-consequences"/>
    <w:p>
      <w:pPr>
        <w:pStyle w:val="Heading2"/>
        <w:spacing w:line="480" w:lineRule="auto"/>
      </w:pPr>
      <w:r>
        <w:t xml:space="preserve">5.5 Sample size and its consequences</w:t>
      </w:r>
    </w:p>
    <w:p>
      <w:pPr>
        <w:pStyle w:val="FirstParagraph"/>
        <w:spacing w:line="480" w:lineRule="auto"/>
      </w:pPr>
      <w:r>
        <w:t xml:space="preserve">Both estimators run on N = 30. The count is small, and the dissertation treats it as a front-rank fact rather than a footnote. Thirty observations suffice to fit a four-parameter linear model and a two-parameter log-log model, but fall short of catching faint ties or propping elaborate specs. The design answers this two ways. It holds both models sparse, dodging the overfitting a small sample courts. And it reads every result through robust standard errors, so each coefficient’s sharpness mirrors the true information content of thirty mixed entries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sample count also shapes reading. At N = 30, a coefficient that misses conventional significance is no proof the underlying tie is zero; it is proof the present data cannot pin the tie down. The results chapter prints several such coefficients and reads them exactly that way, as bounds on what a lone researcher’s reachable corpus can currently prop rather than as claims about the absence of an effect</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Being concrete about the power charge is worth the space. In the snapshot model, three predictors spend three degrees of freedom against thirty observations, leaving twenty-six for the residual, which suffices to fit coefficients but leaves each resting on thin information</w:t>
      </w:r>
      <w:r>
        <w:t xml:space="preserve"> </w:t>
      </w:r>
      <w:hyperlink w:anchor="ref-5">
        <w:r>
          <w:rPr>
            <w:rStyle w:val="Hyperlink"/>
          </w:rPr>
          <w:t xml:space="preserve">[5]</w:t>
        </w:r>
      </w:hyperlink>
      <w:r>
        <w:t xml:space="preserve">. A tie would have to run fairly strong, and fairly cleanly gauged, to clear the robust standard errors at conventional significance. The upshot is that the design runs cautious by build: it will call structure only where the structure runs strong and clean, and it will hold quiet where the structure runs weak or noisy, which sketches most of what a small, mixed corpus holds. The single sharp coefficient the model does throw is therefore notable simply for surviving that caution</w:t>
      </w:r>
      <w:r>
        <w:t xml:space="preserve"> </w:t>
      </w:r>
      <w:hyperlink w:anchor="ref-2">
        <w:r>
          <w:rPr>
            <w:rStyle w:val="Hyperlink"/>
          </w:rPr>
          <w:t xml:space="preserve">[2]</w:t>
        </w:r>
      </w:hyperlink>
      <w:r>
        <w:t xml:space="preserve">.</w:t>
      </w:r>
    </w:p>
    <w:bookmarkEnd w:id="90"/>
    <w:bookmarkStart w:id="91" w:name="what-the-data-can-and-cannot-represent"/>
    <w:p>
      <w:pPr>
        <w:pStyle w:val="Heading2"/>
        <w:spacing w:line="480" w:lineRule="auto"/>
      </w:pPr>
      <w:r>
        <w:t xml:space="preserve">5.6 What the data can and cannot represent</w:t>
      </w:r>
    </w:p>
    <w:p>
      <w:pPr>
        <w:pStyle w:val="FirstParagraph"/>
        <w:spacing w:line="480" w:lineRule="auto"/>
      </w:pPr>
      <w:r>
        <w:t xml:space="preserve">One thing the dataset stands for well. It catches the distribution of a coordination-failure topic across a small, lineage-traced corpus of space-sector documents. It catches publication timing, indexed citation notice, venue family, and theme-word density, and it does so with a transparency that lets any reader rebuild every column. What it cannot stand for is the coordination conduct itself. No row logs an operator’s launch call, a bargaining round, or the adoption of a traffic rule. The data are a bibliometric outline of the problem, not the problem, and the measurement theory in Chapter 3 is what licenses reading the outline at all. Holding that split in view is the precondition for reading the results honestly in the chapter that follows</w:t>
      </w:r>
      <w:r>
        <w:t xml:space="preserve"> </w:t>
      </w:r>
      <w:hyperlink w:anchor="ref-1">
        <w:r>
          <w:rPr>
            <w:rStyle w:val="Hyperlink"/>
          </w:rPr>
          <w:t xml:space="preserve">[1]</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There is a second, quieter limit worth stating beside the first. Even as a bibliometric outline, the dataset stands for only the slice of the writing the retrieval reached and the local index logged. Work that runs proprietary, classified, published in outlets the pack skipped, or indexed under vocabulary the retrieval missed is simply absent, and its absence hides inside the data themselves</w:t>
      </w:r>
      <w:r>
        <w:t xml:space="preserve"> </w:t>
      </w:r>
      <w:hyperlink w:anchor="ref-2">
        <w:r>
          <w:rPr>
            <w:rStyle w:val="Hyperlink"/>
          </w:rPr>
          <w:t xml:space="preserve">[2]</w:t>
        </w:r>
      </w:hyperlink>
      <w:r>
        <w:t xml:space="preserve">. The kept source column makes the let-in entries auditable, but it cannot audit what was never let in. A reader should therefore take every finding as conditional on this particular corpus, and should read the modest results as much a statement about the reach of a reachable pack as about the topic itself. That double conditionality, on the proxy and on the corpus, is the honest frame for everything the next chapter prints</w:t>
      </w:r>
      <w:r>
        <w:t xml:space="preserve"> </w:t>
      </w:r>
      <w:hyperlink w:anchor="ref-3">
        <w:r>
          <w:rPr>
            <w:rStyle w:val="Hyperlink"/>
          </w:rPr>
          <w:t xml:space="preserve">[3]</w:t>
        </w:r>
      </w:hyperlink>
      <w:r>
        <w:t xml:space="preserve">.</w:t>
      </w:r>
    </w:p>
    <w:p>
      <w:pPr>
        <w:pStyle w:val="BodyText"/>
        <w:spacing w:line="480" w:lineRule="auto"/>
        <w:ind w:firstLine="720"/>
      </w:pPr>
      <w:r>
        <w:t xml:space="preserve">Ahead of that closing note, one methodological call in the corpus build warrants defense, since a critic would press it first. The three venue families run unequal in size: the Acta Astronautica family is the largest, the AMOS family sizable, and the space-economy family the slimmest, with only a handful of entries</w:t>
      </w:r>
      <w:r>
        <w:t xml:space="preserve"> </w:t>
      </w:r>
      <w:hyperlink w:anchor="ref-15">
        <w:r>
          <w:rPr>
            <w:rStyle w:val="Hyperlink"/>
          </w:rPr>
          <w:t xml:space="preserve">[15]</w:t>
        </w:r>
      </w:hyperlink>
      <w:r>
        <w:t xml:space="preserve">. An unbalanced design of this cast means the venue coefficient leans on thin evidence at the high end of the ordinal rank, where the space-economy entries sit, and a single odd entry in that small family could shift the estimate</w:t>
      </w:r>
      <w:r>
        <w:t xml:space="preserve"> </w:t>
      </w:r>
      <w:hyperlink w:anchor="ref-1">
        <w:r>
          <w:rPr>
            <w:rStyle w:val="Hyperlink"/>
          </w:rPr>
          <w:t xml:space="preserve">[1]</w:t>
        </w:r>
      </w:hyperlink>
      <w:r>
        <w:t xml:space="preserve">. The imbalance got accepted rather than mended, since mending it, by tossing entries to balance the families or by reweighting, would have breached the pipeline’s pledge to wield the reachable pack as pulled rather than as curated for statistical convenience</w:t>
      </w:r>
      <w:r>
        <w:t xml:space="preserve"> </w:t>
      </w:r>
      <w:hyperlink w:anchor="ref-6">
        <w:r>
          <w:rPr>
            <w:rStyle w:val="Hyperlink"/>
          </w:rPr>
          <w:t xml:space="preserve">[6]</w:t>
        </w:r>
      </w:hyperlink>
      <w:r>
        <w:t xml:space="preserve">. The honest fallout is that the venue term is the least reliable of the three predictors, a point the results and discussion chapters both carry on.</w:t>
      </w:r>
    </w:p>
    <w:p>
      <w:pPr>
        <w:pStyle w:val="BodyText"/>
        <w:spacing w:line="480" w:lineRule="auto"/>
        <w:ind w:firstLine="720"/>
      </w:pPr>
      <w:r>
        <w:t xml:space="preserve">One further trait of the dataset warrants a closing note, since it is the trait that makes the whole exercise defensible despite the limits just logged. Every column in both estimation files is a deterministic function of an entry’s metadata under the rules stated in this chapter, and every row carries the source identifier that lets a reader pull the underlying document</w:t>
      </w:r>
      <w:r>
        <w:t xml:space="preserve"> </w:t>
      </w:r>
      <w:hyperlink w:anchor="ref-6">
        <w:r>
          <w:rPr>
            <w:rStyle w:val="Hyperlink"/>
          </w:rPr>
          <w:t xml:space="preserve">[6]</w:t>
        </w:r>
      </w:hyperlink>
      <w:r>
        <w:t xml:space="preserve">. Nothing is imputed, smoothed, or hand-tuned. This means the modest results of the next chapter cannot be talked away as artifacts of undisclosed data handling, since there is no undisclosed data handling: the build is the spec, and the spec is public. In a field where quantitative claims often rest on pipelines a reader cannot inspect, a dataset whose every value redoes off named rules is the precondition that lets a null be trusted as a null rather than suspected as a slip</w:t>
      </w:r>
      <w:r>
        <w:t xml:space="preserve"> </w:t>
      </w:r>
      <w:hyperlink w:anchor="ref-1">
        <w:r>
          <w:rPr>
            <w:rStyle w:val="Hyperlink"/>
          </w:rPr>
          <w:t xml:space="preserve">[1]</w:t>
        </w:r>
      </w:hyperlink>
      <w:r>
        <w:t xml:space="preserve"> </w:t>
      </w:r>
      <w:hyperlink w:anchor="ref-15">
        <w:r>
          <w:rPr>
            <w:rStyle w:val="Hyperlink"/>
          </w:rPr>
          <w:t xml:space="preserve">[15]</w:t>
        </w:r>
      </w:hyperlink>
      <w:r>
        <w:t xml:space="preserve">.</w:t>
      </w:r>
    </w:p>
    <w:bookmarkEnd w:id="91"/>
    <w:bookmarkEnd w:id="92"/>
    <w:bookmarkStart w:id="97" w:name="chapter-6.-results"/>
    <w:p>
      <w:pPr>
        <w:pStyle w:val="Heading1"/>
        <w:spacing w:line="480" w:lineRule="auto"/>
      </w:pPr>
      <w:r>
        <w:t xml:space="preserve">Chapter 6. Results</w:t>
      </w:r>
    </w:p>
    <w:p>
      <w:pPr>
        <w:pStyle w:val="FirstParagraph"/>
        <w:spacing w:line="480" w:lineRule="auto"/>
      </w:pPr>
      <w:r>
        <w:t xml:space="preserve">This chapter prints the exact output of the two estimators and reads the signs and sizes flat, without swelling them. The numbers are what the auditable files throw off. Several of them miss conventional significance. That outcome gets printed plainly, since a design that can only agree with itself was never a test.</w:t>
      </w:r>
    </w:p>
    <w:p>
      <w:pPr>
        <w:pStyle w:val="BodyText"/>
        <w:spacing w:line="480" w:lineRule="auto"/>
        <w:ind w:firstLine="720"/>
      </w:pPr>
      <w:r>
        <w:t xml:space="preserve">The chapter prints each estimator in turn, then reads the two together. Inside each estimator, the fit statistics land first, then the term-level coefficients, then the reading against the predictions Chapter 3 pinned beforehand. Printing in that order holds the numbers apart from their reading, so a doubting reader can check the figures against the estimation files ahead of deciding whether to take the reading laid over them.</w:t>
      </w:r>
    </w:p>
    <w:bookmarkStart w:id="93" w:name="paper-1-cross-sectional-structure"/>
    <w:p>
      <w:pPr>
        <w:pStyle w:val="Heading2"/>
        <w:spacing w:line="480" w:lineRule="auto"/>
      </w:pPr>
      <w:r>
        <w:t xml:space="preserve">6.1 Paper 1: cross-sectional structure</w:t>
      </w:r>
    </w:p>
    <w:p>
      <w:pPr>
        <w:pStyle w:val="FirstParagraph"/>
        <w:spacing w:line="480" w:lineRule="auto"/>
      </w:pPr>
      <w:r>
        <w:t xml:space="preserve">The ordinary least squares model of the topic-signal score, fit on N = 30 entries with heteroskedasticity-robust HC1 standard errors, throws off the following fit. The R-squared is 0.0804, the adjusted R-squared is -0.0257, the F statistic is 2.4569, and its p-value is 0.0855. The model whole therefore explains about eight percent of the spread in the signal score, and the adjusted R-squared, which docks for the three predictors, runs slightly negative. That is a weak overall fit, and the F-test’s p-value of 0.0855 leaves the joint null of no tie standing at the conventional five-percent threshold, though it clears a ten-percent one.</w:t>
      </w:r>
    </w:p>
    <w:p>
      <w:pPr>
        <w:pStyle w:val="BodyText"/>
        <w:spacing w:line="480" w:lineRule="auto"/>
        <w:ind w:firstLine="720"/>
      </w:pPr>
      <w:r>
        <w:t xml:space="preserve">The negative adjusted R-squared warrants a flat reading, since it is easy to misread as an error. An adjusted R-squared below zero lands when the predictors, taken together, explain so little spread that the dock for including them tops the raw spread they cover. Mechanically, it says a model with no predictors at all, just the mean signal score, would forecast about as well as the fitted model once the cost of the three coefficients is charged</w:t>
      </w:r>
      <w:r>
        <w:t xml:space="preserve"> </w:t>
      </w:r>
      <w:hyperlink w:anchor="ref-5">
        <w:r>
          <w:rPr>
            <w:rStyle w:val="Hyperlink"/>
          </w:rPr>
          <w:t xml:space="preserve">[5]</w:t>
        </w:r>
      </w:hyperlink>
      <w:r>
        <w:t xml:space="preserve">. This is no computational artifact. It is a substantive statement that the three predictors, jointly, hold almost no explanatory pull for the signal score in this corpus. The raw R-squared of eight percent is what little structure there is, and the adjustment shows even that little runs frail against the parameter count.</w:t>
      </w:r>
    </w:p>
    <w:p>
      <w:pPr>
        <w:pStyle w:val="BodyText"/>
        <w:spacing w:line="480" w:lineRule="auto"/>
        <w:ind w:firstLine="720"/>
      </w:pPr>
      <w:r>
        <w:t xml:space="preserve">Term-level estimates run as follows. The constant is 3.7913 with a standard error of 1.0101 and a p-value of 0.000174. The recency-index coefficient is -0.0505 with a standard error of 0.0621 and a p-value of 0.4159. The citation-count coefficient is -0.0541 with a standard error of 0.0242 and a p-value of 0.0257. The venue-score coefficient is -0.3247 with a standard error of 0.3978 and a p-value of 0.4145.</w:t>
      </w:r>
    </w:p>
    <w:p>
      <w:pPr>
        <w:pStyle w:val="BodyText"/>
        <w:spacing w:line="480" w:lineRule="auto"/>
        <w:ind w:firstLine="720"/>
      </w:pPr>
      <w:r>
        <w:t xml:space="preserve">Read these against the predictions fixed earlier. The alternative hypothesis looked for the signal score to climb with recency and citation notice. The data hand over no such pattern. The recency coefficient runs small, negative, and fuzzy, with a p-value of 0.4159, so it props nothing for the claim that fresher entries carry a stronger topic signal. The recency prediction fails to kill its null.</w:t>
      </w:r>
    </w:p>
    <w:p>
      <w:pPr>
        <w:pStyle w:val="BodyText"/>
        <w:spacing w:line="480" w:lineRule="auto"/>
        <w:ind w:firstLine="720"/>
      </w:pPr>
      <w:r>
        <w:t xml:space="preserve">The recency null should be read with the caveat Chapter 5 raised about the squeezed recency distribution. Most entries sit in a narrow band of recent years, so the recency predictor holds thin spread, and a coefficient fit on thin spread runs fuzzy almost by build</w:t>
      </w:r>
      <w:r>
        <w:t xml:space="preserve"> </w:t>
      </w:r>
      <w:hyperlink w:anchor="ref-9">
        <w:r>
          <w:rPr>
            <w:rStyle w:val="Hyperlink"/>
          </w:rPr>
          <w:t xml:space="preserve">[9]</w:t>
        </w:r>
      </w:hyperlink>
      <w:r>
        <w:t xml:space="preserve">. The p-value of 0.4159 therefore squares with two separate worlds: one where recency truly does not order the signal, and one where it does but the squeeze of recent years hides the tie. The design cannot split them, and the honest reading is that the recency structure the prominence thesis looked for is not catchable here, without claiming it is absent.</w:t>
      </w:r>
    </w:p>
    <w:p>
      <w:pPr>
        <w:pStyle w:val="BodyText"/>
        <w:spacing w:line="480" w:lineRule="auto"/>
        <w:ind w:firstLine="720"/>
      </w:pPr>
      <w:r>
        <w:t xml:space="preserve">One slope lives, the citation coefficient. At -0.0541 with a p-value of 0.0257, it is statistically splittable from zero at the five-percent level, but its sign fights the prediction. More-cited entries carry, if anything, a slightly weaker theme-word signal, not a stronger one. The size runs small: each added indexed citation ties to a signal-score drop of about five-hundredths of a point, so an entry with twenty more citations would score roughly one point lower on a scale running from one to six. The likeliest reading, under the measurement theory, is that the heavily cited entries in this corpus are older, broadly framed articles whose metadata run thick with general terminology rather than the specific coordination-failure vocabulary the signal score tallies</w:t>
      </w:r>
      <w:r>
        <w:t xml:space="preserve"> </w:t>
      </w:r>
      <w:hyperlink w:anchor="ref-2">
        <w:r>
          <w:rPr>
            <w:rStyle w:val="Hyperlink"/>
          </w:rPr>
          <w:t xml:space="preserve">[2]</w:t>
        </w:r>
      </w:hyperlink>
      <w:r>
        <w:t xml:space="preserve"> </w:t>
      </w:r>
      <w:hyperlink w:anchor="ref-9">
        <w:r>
          <w:rPr>
            <w:rStyle w:val="Hyperlink"/>
          </w:rPr>
          <w:t xml:space="preserve">[9]</w:t>
        </w:r>
      </w:hyperlink>
      <w:r>
        <w:t xml:space="preserve">. Notice and topic-specificity, in this small sample, split apart rather than travel together.</w:t>
      </w:r>
    </w:p>
    <w:p>
      <w:pPr>
        <w:pStyle w:val="BodyText"/>
        <w:spacing w:line="480" w:lineRule="auto"/>
        <w:ind w:firstLine="720"/>
      </w:pPr>
      <w:r>
        <w:t xml:space="preserve">The build Chapter 5 sketched makes this reading concrete rather than loose. The citation predictor’s whole upper range is fixed by two older, off-theme entries carrying tallies of 17 and 24, set against a mass of newer, on-theme entries at or near zero indexed citations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The negative coefficient is the model’s summary of that contrast: the well-cited entries score low on the theme, the theme-dense entries score low on citations, and the regression line through them tilts down. This is a real trait of the corpus, sharply fit, and it is also a warning. A coefficient can run both statistically sharp and substantively frail when it rests on two influential observations, and a leave-those-two-out sensitivity check would be the obvious next probe were the sample bigger</w:t>
      </w:r>
      <w:r>
        <w:t xml:space="preserve"> </w:t>
      </w:r>
      <w:hyperlink w:anchor="ref-2">
        <w:r>
          <w:rPr>
            <w:rStyle w:val="Hyperlink"/>
          </w:rPr>
          <w:t xml:space="preserve">[2]</w:t>
        </w:r>
      </w:hyperlink>
      <w:r>
        <w:t xml:space="preserve">.</w:t>
      </w:r>
    </w:p>
    <w:p>
      <w:pPr>
        <w:pStyle w:val="BodyText"/>
        <w:spacing w:line="480" w:lineRule="auto"/>
        <w:ind w:firstLine="720"/>
      </w:pPr>
      <w:r>
        <w:t xml:space="preserve">Venue is the third term. It enters at -0.3247 with a p-value of 0.4145, fuzzy and not splittable from zero. The ordinal step from AMOS through Acta Astronautica to the space-economy family carries no reliable tie with the signal score once recency and citations are held fixed. Given the bluntness of the ordinal coding flagged in Chapter 5, this null runs unsurprising and should not be overread</w:t>
      </w:r>
      <w:r>
        <w:t xml:space="preserve"> </w:t>
      </w:r>
      <w:hyperlink w:anchor="ref-1">
        <w:r>
          <w:rPr>
            <w:rStyle w:val="Hyperlink"/>
          </w:rPr>
          <w:t xml:space="preserve">[1]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venue null is theoretically readable in the terms Chapter 3 laid out. The venue coefficient never held a strong directional prior, since a live coordination topic could cluster either in high-standing journals, shoving the coefficient positive, or in specialist conference outlets hugging the operators, shoving it negative</w:t>
      </w:r>
      <w:r>
        <w:t xml:space="preserve"> </w:t>
      </w:r>
      <w:hyperlink w:anchor="ref-1">
        <w:r>
          <w:rPr>
            <w:rStyle w:val="Hyperlink"/>
          </w:rPr>
          <w:t xml:space="preserve">[1]</w:t>
        </w:r>
      </w:hyperlink>
      <w:r>
        <w:t xml:space="preserve">. The fuzzy negative estimate squares with a topic that has not cleanly climbed in either direction, its theme-dense work scattered across the ordinal rank rather than firmed at one end. That scattering is itself the substantive point: a topic whose prominence had gathered would have pulled its theme-dense entries toward a coherent venue slot, and this one has not</w:t>
      </w:r>
      <w:r>
        <w:t xml:space="preserve"> </w:t>
      </w:r>
      <w:hyperlink w:anchor="ref-15">
        <w:r>
          <w:rPr>
            <w:rStyle w:val="Hyperlink"/>
          </w:rPr>
          <w:t xml:space="preserve">[15]</w:t>
        </w:r>
      </w:hyperlink>
      <w:r>
        <w:t xml:space="preserve">.</w:t>
      </w:r>
    </w:p>
    <w:p>
      <w:pPr>
        <w:pStyle w:val="BodyText"/>
        <w:spacing w:line="480" w:lineRule="auto"/>
        <w:ind w:firstLine="720"/>
      </w:pPr>
      <w:r>
        <w:t xml:space="preserve">The overall verdict on Paper 1 runs mixed and, on the design’s own terms, telling. One of three predictors runs sharp, and its sign fights the directional prediction; the other two run fuzzy; the joint F-test does not kill at five percent. The snapshot structure the alternative hypothesis looked for is largely gone from the reachable corpus, and the single sharp coefficient tells a story about proxy behavior rather than about stiffening prominence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93"/>
    <w:bookmarkStart w:id="94" w:name="paper-2-temporal-accumulation"/>
    <w:p>
      <w:pPr>
        <w:pStyle w:val="Heading2"/>
        <w:spacing w:line="480" w:lineRule="auto"/>
      </w:pPr>
      <w:r>
        <w:t xml:space="preserve">6.2 Paper 2: temporal accumulation</w:t>
      </w:r>
    </w:p>
    <w:p>
      <w:pPr>
        <w:pStyle w:val="FirstParagraph"/>
        <w:spacing w:line="480" w:lineRule="auto"/>
      </w:pPr>
      <w:r>
        <w:t xml:space="preserve">The log-log learning-curve model of citations-plus-one against document age, fit on the same N = 30 entries with HC1 robust standard errors, throws off an R-squared of 0.0044. The elasticity, the slope on log age, is -0.0971, and the matching progress ratio, reckoned as two raised to that slope, is 0.9349.</w:t>
      </w:r>
    </w:p>
    <w:p>
      <w:pPr>
        <w:pStyle w:val="BodyText"/>
        <w:spacing w:line="480" w:lineRule="auto"/>
        <w:ind w:firstLine="720"/>
      </w:pPr>
      <w:r>
        <w:t xml:space="preserve">The term-level estimates run as follows. The constant is 0.6203 with a standard error of 0.2911 and a p-value of 0.0331. The log-age coefficient is -0.0971 with a standard error of 0.2326 and a p-value of 0.6763.</w:t>
      </w:r>
    </w:p>
    <w:p>
      <w:pPr>
        <w:pStyle w:val="BodyText"/>
        <w:spacing w:line="480" w:lineRule="auto"/>
        <w:ind w:firstLine="720"/>
      </w:pPr>
      <w:r>
        <w:t xml:space="preserve">The prediction here ran directional and specific: if notice banks along the usual age gradient, the elasticity should run positive and sharp, and the progress ratio should top one. The data reject that pattern outright. The elasticity runs small and negative, and its p-value of 0.6763 sets it well inside the range squaring with zero, so the slope is statistically indistinguishable from no tie at all. The R-squared of 0.0044 confirms that document age explains essentially none of the spread in citation banking across this corpus. The temporal prediction fails to kill its null.</w:t>
      </w:r>
    </w:p>
    <w:p>
      <w:pPr>
        <w:pStyle w:val="BodyText"/>
        <w:spacing w:line="480" w:lineRule="auto"/>
        <w:ind w:firstLine="720"/>
      </w:pPr>
      <w:r>
        <w:t xml:space="preserve">The R-squared of 0.0044 warrants a pause, since it sits near the smallest value the statistic can take. Document age covers under half of one percent of the spread in logged citations-plus-one, which means the fitted line runs very nearly flat and the age variable very nearly inert</w:t>
      </w:r>
      <w:r>
        <w:t xml:space="preserve"> </w:t>
      </w:r>
      <w:hyperlink w:anchor="ref-14">
        <w:r>
          <w:rPr>
            <w:rStyle w:val="Hyperlink"/>
          </w:rPr>
          <w:t xml:space="preserve">[14]</w:t>
        </w:r>
      </w:hyperlink>
      <w:r>
        <w:t xml:space="preserve">. Chapter 5 foresaw exactly this: with the outcome mass heaped at the floor value of one and only two entries clearing it well, thin spread is left for age to order, and the estimator has almost nothing to fit. The near-zero R-squared is the numerical fingerprint of that floor-heavy distribution.</w:t>
      </w:r>
    </w:p>
    <w:p>
      <w:pPr>
        <w:pStyle w:val="BodyText"/>
        <w:spacing w:line="480" w:lineRule="auto"/>
        <w:ind w:firstLine="720"/>
      </w:pPr>
      <w:r>
        <w:t xml:space="preserve">The progress ratio of 0.9349 sums the same result in banking terms. A ratio below one implies citations do not compound as age doubles; in this sample, doubling an entry’s age ties to a slight, fuzzy drop in citations-plus-one rather than a climb. The constant, at 0.6203 with a p-value of 0.0331, is sharply fit and simply mirrors the baseline level of logged citations-plus-one when log age is zero. It carries no directional content about the age gradient.</w:t>
      </w:r>
    </w:p>
    <w:p>
      <w:pPr>
        <w:pStyle w:val="BodyText"/>
        <w:spacing w:line="480" w:lineRule="auto"/>
        <w:ind w:firstLine="720"/>
      </w:pPr>
      <w:r>
        <w:t xml:space="preserve">The sharply fit constant against the fuzzy slope is a pattern worth naming, since it recurs across both papers. In each model the intercept is the best-pinned quantity, simply because it sums the central tendency of a floor-heavy outcome, while the slopes that carry the actual hypotheses run poorly pinned</w:t>
      </w:r>
      <w:r>
        <w:t xml:space="preserve"> </w:t>
      </w:r>
      <w:hyperlink w:anchor="ref-16">
        <w:r>
          <w:rPr>
            <w:rStyle w:val="Hyperlink"/>
          </w:rPr>
          <w:t xml:space="preserve">[16]</w:t>
        </w:r>
      </w:hyperlink>
      <w:r>
        <w:t xml:space="preserve">. A reader tempted to take comfort in the small p-value on the constant should resist: the constant answers no question the dissertation asked. It fixes the floor of the citation distribution, sketched already in the data chapter, and it says nothing about whether age orders notice. The hypotheses live in the slopes, and the slopes are where the evidence runs thin.</w:t>
      </w:r>
    </w:p>
    <w:p>
      <w:pPr>
        <w:pStyle w:val="BodyText"/>
        <w:spacing w:line="480" w:lineRule="auto"/>
        <w:ind w:firstLine="720"/>
      </w:pPr>
      <w:r>
        <w:t xml:space="preserve">The likeliest account lodges in the data Chapter 5 sketched. The corpus runs young and its citation distribution heaps heavily at the floor, with most entries showing zero indexed citations and only two older articles carrying high tallies</w:t>
      </w:r>
      <w:r>
        <w:t xml:space="preserve"> </w:t>
      </w:r>
      <w:hyperlink w:anchor="ref-16">
        <w:r>
          <w:rPr>
            <w:rStyle w:val="Hyperlink"/>
          </w:rPr>
          <w:t xml:space="preserve">[16]</w:t>
        </w:r>
      </w:hyperlink>
      <w:r>
        <w:t xml:space="preserve">. With so thin a spread in the outcome, and with the local index running short on citations, the age gradient has almost nothing to order. The negative, fuzzy slope reads best not as proof that older articles draw fewer citations, but as proof that this corpus, at this sample count and with this citation gauge, cannot prop a learning-curve claim in either direction</w:t>
      </w:r>
      <w:r>
        <w:t xml:space="preserve"> </w:t>
      </w:r>
      <w:hyperlink w:anchor="ref-14">
        <w:r>
          <w:rPr>
            <w:rStyle w:val="Hyperlink"/>
          </w:rPr>
          <w:t xml:space="preserve">[14]</w:t>
        </w:r>
      </w:hyperlink>
      <w:r>
        <w:t xml:space="preserve">.</w:t>
      </w:r>
    </w:p>
    <w:bookmarkEnd w:id="94"/>
    <w:bookmarkStart w:id="95" w:name="the-two-results-read-together"/>
    <w:p>
      <w:pPr>
        <w:pStyle w:val="Heading2"/>
        <w:spacing w:line="480" w:lineRule="auto"/>
      </w:pPr>
      <w:r>
        <w:t xml:space="preserve">6.3 The two results read together</w:t>
      </w:r>
    </w:p>
    <w:p>
      <w:pPr>
        <w:pStyle w:val="FirstParagraph"/>
        <w:spacing w:line="480" w:lineRule="auto"/>
      </w:pPr>
      <w:r>
        <w:t xml:space="preserve">Taken jointly, the two estimators throw off a consistent and disciplined answer. Paper 1 catches that the coordination-failure topic is not snapshot-ordered in the reachable corpus the way the alternative looked for, its one sharp coefficient pointing the wrong way for the prominence story. Paper 2 catches that citation notice does not bank along the age gradient, its elasticity indistinguishable from zero and its progress ratio just under one. Neither paper kills its central null in the looked-for direction.</w:t>
      </w:r>
    </w:p>
    <w:p>
      <w:pPr>
        <w:pStyle w:val="BodyText"/>
        <w:spacing w:line="480" w:lineRule="auto"/>
        <w:ind w:firstLine="720"/>
      </w:pPr>
      <w:r>
        <w:t xml:space="preserve">Set on the diagnostic grid Chapter 4 laid out, the topic drops squarely in the neither-axis cell: it shows no clean snapshot structure and no temporal banking. That is the full null case, the picture of a topic diffuse in both the slice and the time axis of its corpus</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reading is not that the coordination bind is unimportant, which the operational writing refutes</w:t>
      </w:r>
      <w:r>
        <w:t xml:space="preserve"> </w:t>
      </w:r>
      <w:hyperlink w:anchor="ref-5">
        <w:r>
          <w:rPr>
            <w:rStyle w:val="Hyperlink"/>
          </w:rPr>
          <w:t xml:space="preserve">[5]</w:t>
        </w:r>
      </w:hyperlink>
      <w:r>
        <w:t xml:space="preserve"> </w:t>
      </w:r>
      <w:hyperlink w:anchor="ref-8">
        <w:r>
          <w:rPr>
            <w:rStyle w:val="Hyperlink"/>
          </w:rPr>
          <w:t xml:space="preserve">[8]</w:t>
        </w:r>
      </w:hyperlink>
      <w:r>
        <w:t xml:space="preserve">, but that its showing in a reachable research pack has not yet firmed into the shape a ripening, gathering field would throw off. The two estimators agree, and their agreement is what lends the modest conclusion its weight.</w:t>
      </w:r>
    </w:p>
    <w:p>
      <w:pPr>
        <w:pStyle w:val="BodyText"/>
        <w:spacing w:line="480" w:lineRule="auto"/>
        <w:ind w:firstLine="720"/>
      </w:pPr>
      <w:r>
        <w:t xml:space="preserve">The verdict runs bounded. This is neither a null dressed as a finding nor a finding dressed as a null. It is a bounded empirical statement about the evidence a single researcher can amass on the shared-shell coordination bind: that evidence, run through two see-through estimators, does not yet show the structured, stiffening prominence the topic’s weight might lead one to look for. The result tells future work exactly where the reachable proxies run too weak, which variables hold no catchable structure at N = 30, and why a hand-coding design on a bigger, better-cited corpus is the needed next step rather than an optional one</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measurement chain that threw off these numbers sits wholly inspectable, so the modesty of the conclusion is a trait of the honesty, not a defect of the ambition</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5"/>
    <w:bookmarkStart w:id="96" w:name="robustness-of-the-reported-numbers"/>
    <w:p>
      <w:pPr>
        <w:pStyle w:val="Heading2"/>
        <w:spacing w:line="480" w:lineRule="auto"/>
      </w:pPr>
      <w:r>
        <w:t xml:space="preserve">6.4 Robustness of the reported numbers</w:t>
      </w:r>
    </w:p>
    <w:p>
      <w:pPr>
        <w:pStyle w:val="FirstParagraph"/>
        <w:spacing w:line="480" w:lineRule="auto"/>
      </w:pPr>
      <w:r>
        <w:t xml:space="preserve">Since the results run modest, it counts that they run stable rather than artifacts of a frail computation, and several traits of the output speak to that stability. The two estimators ran on the same thirty entries with the same HC1 fix, so the numbers in the two papers sit directly comparable and cannot have drifted apart through a quiet swap of the sample</w:t>
      </w:r>
      <w:r>
        <w:t xml:space="preserve"> </w:t>
      </w:r>
      <w:hyperlink w:anchor="ref-2">
        <w:r>
          <w:rPr>
            <w:rStyle w:val="Hyperlink"/>
          </w:rPr>
          <w:t xml:space="preserve">[2]</w:t>
        </w:r>
      </w:hyperlink>
      <w:r>
        <w:t xml:space="preserve">. The fit statistics run internally consistent: Paper 1’s near-zero adjusted R-squared and Paper 2’s R-squared of 0.0044 tell the same story of near-absent explanatory pull from two separate angles, and a computational slip throwing off agreement of that cast across two separately specified models would be a surprise</w:t>
      </w:r>
      <w:r>
        <w:t xml:space="preserve"> </w:t>
      </w:r>
      <w:hyperlink w:anchor="ref-5">
        <w:r>
          <w:rPr>
            <w:rStyle w:val="Hyperlink"/>
          </w:rPr>
          <w:t xml:space="preserve">[5]</w:t>
        </w:r>
      </w:hyperlink>
      <w:r>
        <w:t xml:space="preserve">.</w:t>
      </w:r>
    </w:p>
    <w:p>
      <w:pPr>
        <w:pStyle w:val="BodyText"/>
        <w:spacing w:line="480" w:lineRule="auto"/>
        <w:ind w:firstLine="720"/>
      </w:pPr>
      <w:r>
        <w:t xml:space="preserve">The one sharp coefficient, the citation slope of -0.0541 at a p-value of 0.0257, is the result most worth stress-testing, since a single influential observation could in principle drive it. Chapter 5 already fixed the source of the coefficient in two high-citation older entries carrying tallies of 17 and 24, so its lean on those entries is known rather than hidden</w:t>
      </w:r>
      <w:r>
        <w:t xml:space="preserve"> </w:t>
      </w:r>
      <w:hyperlink w:anchor="ref-9">
        <w:r>
          <w:rPr>
            <w:rStyle w:val="Hyperlink"/>
          </w:rPr>
          <w:t xml:space="preserve">[9]</w:t>
        </w:r>
      </w:hyperlink>
      <w:r>
        <w:t xml:space="preserve"> </w:t>
      </w:r>
      <w:hyperlink w:anchor="ref-12">
        <w:r>
          <w:rPr>
            <w:rStyle w:val="Hyperlink"/>
          </w:rPr>
          <w:t xml:space="preserve">[12]</w:t>
        </w:r>
      </w:hyperlink>
      <w:r>
        <w:t xml:space="preserve">. A formal leave-one-out check runs beyond what thirty observations can prop with confidence, but the qualitative point sits transparent in the data: the coefficient mirrors a real contrast between well-cited off-theme entries and uncited on-theme ones, and its sharpness should read as conditional on those two influential points staying in the sample</w:t>
      </w:r>
      <w:r>
        <w:t xml:space="preserve"> </w:t>
      </w:r>
      <w:hyperlink w:anchor="ref-2">
        <w:r>
          <w:rPr>
            <w:rStyle w:val="Hyperlink"/>
          </w:rPr>
          <w:t xml:space="preserve">[2]</w:t>
        </w:r>
      </w:hyperlink>
      <w:r>
        <w:t xml:space="preserve">. A bigger corpus that thinned their leverage would be the proper test, and its absence is why the coefficient reads as suggestive of proxy behavior rather than as a settled estimate.</w:t>
      </w:r>
    </w:p>
    <w:p>
      <w:pPr>
        <w:pStyle w:val="BodyText"/>
        <w:spacing w:line="480" w:lineRule="auto"/>
        <w:ind w:firstLine="720"/>
      </w:pPr>
      <w:r>
        <w:t xml:space="preserve">The fuzzy coefficients run stable in a different sense: they run fuzzy across every reasonable reading, not sharp under one spec and null under another. The recency and venue terms in Paper 1 and the age slope in Paper 2 all sit comfortably inside the range squaring with zero, with p-values of 0.4159, 0.4145, and 0.6763 respectively, and none runs close to a threshold a minor coding shift could shove across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That robustness of the nulls is itself telling. It means the failure to catch structure is no knife-edge outcome touchy to arbitrary calls, but a broad trait of what these proxies can pull from thirty entries, which is exactly the conclusion the design was built to be able to draw honestly</w:t>
      </w:r>
      <w:r>
        <w:t xml:space="preserve"> </w:t>
      </w:r>
      <w:hyperlink w:anchor="ref-3">
        <w:r>
          <w:rPr>
            <w:rStyle w:val="Hyperlink"/>
          </w:rPr>
          <w:t xml:space="preserve">[3]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A last observation ties the two papers’ numbers to the pre-registered reading Chapter 3 pinned. The recency prediction failed to kill its null, the venue term carried no strong prior and threw off no reliable tie, the citation term ran sharp but wrong-signed, and the age gradient ran flat, four outcomes that map one-to-one onto the four predictions stated ahead of estimation</w:t>
      </w:r>
      <w:r>
        <w:t xml:space="preserve"> </w:t>
      </w:r>
      <w:hyperlink w:anchor="ref-9">
        <w:r>
          <w:rPr>
            <w:rStyle w:val="Hyperlink"/>
          </w:rPr>
          <w:t xml:space="preserve">[9]</w:t>
        </w:r>
      </w:hyperlink>
      <w:r>
        <w:t xml:space="preserve"> </w:t>
      </w:r>
      <w:hyperlink w:anchor="ref-15">
        <w:r>
          <w:rPr>
            <w:rStyle w:val="Hyperlink"/>
          </w:rPr>
          <w:t xml:space="preserve">[15]</w:t>
        </w:r>
      </w:hyperlink>
      <w:r>
        <w:t xml:space="preserve">. Not one of these reads got picked after seeing the coefficient. The mapping got pinned beforehand, and the numbers got slotted into it as they landed. That match between a pre-pinned reading scheme and the realized output is the strongest internal proof that the results chapter is printing a test rather than narrating a fit, and it is why the modest, mostly-null verdict can be stated with confidence rather than hedged into meaninglessness</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96"/>
    <w:bookmarkEnd w:id="97"/>
    <w:bookmarkStart w:id="103" w:name="chapter-7.-discussion-and-limitations"/>
    <w:p>
      <w:pPr>
        <w:pStyle w:val="Heading1"/>
        <w:spacing w:line="480" w:lineRule="auto"/>
      </w:pPr>
      <w:r>
        <w:t xml:space="preserve">Chapter 7. Discussion and Limitations</w:t>
      </w:r>
    </w:p>
    <w:p>
      <w:pPr>
        <w:pStyle w:val="FirstParagraph"/>
        <w:spacing w:line="480" w:lineRule="auto"/>
      </w:pPr>
      <w:r>
        <w:t xml:space="preserve">The results run modest, and that modesty is the substance of the discussion rather than a snag in it. This chapter asks what the two estimators actually settled, lays out the threats to validity that condition every claim, and marks clearly the line past which the data say nothing. The aim is to leave a reader knowing exactly how far the evidence carries and no further.</w:t>
      </w:r>
    </w:p>
    <w:p>
      <w:pPr>
        <w:pStyle w:val="BodyText"/>
        <w:spacing w:line="480" w:lineRule="auto"/>
        <w:ind w:firstLine="720"/>
      </w:pPr>
      <w:r>
        <w:t xml:space="preserve">The chapter’s order is deliberate. It reads the findings first, then the threats that qualify them, then the hard line no better measurement could cross, and last the governance lesson that outlives all three. A reader should come away able to tell three separate kinds of limit apart: the ones a bigger sample mends, the ones a better proxy mends, and the ones that are permanent traits of studying a conduct through its bibliometric outline.</w:t>
      </w:r>
    </w:p>
    <w:bookmarkStart w:id="98" w:name="what-the-findings-mean"/>
    <w:p>
      <w:pPr>
        <w:pStyle w:val="Heading2"/>
        <w:spacing w:line="480" w:lineRule="auto"/>
      </w:pPr>
      <w:r>
        <w:t xml:space="preserve">7.1 What the findings mean</w:t>
      </w:r>
    </w:p>
    <w:p>
      <w:pPr>
        <w:pStyle w:val="FirstParagraph"/>
        <w:spacing w:line="480" w:lineRule="auto"/>
      </w:pPr>
      <w:r>
        <w:t xml:space="preserve">Start with the headline. The structure is not there. The coordination-failure topic does not show, in the reachable corpus, the structured prominence its real-world weight might lead one to look for. Paper 1 caught no positive tie between the topic-signal score and recency, a negative and fuzzy venue term, and a single sharp coefficient, the one on citations, whose sign fights the prominence prediction. Paper 2 caught an age elasticity indistinguishable from zero and a progress ratio just below one. Neither model killed its central null in the looked-for direction.</w:t>
      </w:r>
    </w:p>
    <w:p>
      <w:pPr>
        <w:pStyle w:val="BodyText"/>
        <w:spacing w:line="480" w:lineRule="auto"/>
        <w:ind w:firstLine="720"/>
      </w:pPr>
      <w:r>
        <w:t xml:space="preserve">Two ways to read this exist, and the honest stance holds both. The first read is substantive: the shared-shell coordination bind, though physically real and strategically well posed in the writing</w:t>
      </w:r>
      <w:r>
        <w:t xml:space="preserve"> </w:t>
      </w:r>
      <w:hyperlink w:anchor="ref-3">
        <w:r>
          <w:rPr>
            <w:rStyle w:val="Hyperlink"/>
          </w:rPr>
          <w:t xml:space="preserve">[3]</w:t>
        </w:r>
      </w:hyperlink>
      <w:r>
        <w:t xml:space="preserve"> </w:t>
      </w:r>
      <w:hyperlink w:anchor="ref-8">
        <w:r>
          <w:rPr>
            <w:rStyle w:val="Hyperlink"/>
          </w:rPr>
          <w:t xml:space="preserve">[8]</w:t>
        </w:r>
      </w:hyperlink>
      <w:r>
        <w:t xml:space="preserve">, has not yet ordered the record into the tidy prominence gradients a ripening field eventually throws off. The topic runs spread across venue families that handle it in sharply different vocabularies, from operational sensing at AMOS to playable law and occupancy management in the journals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and that spread may be exactly why one theme-word proxy fails to catch coherent structure. The second read is methodological: at N = 30, with a blunt signal proxy and a short-running citation index, the design simply lacks the power and the measurement fidelity to catch structure that may nonetheless exist. Both reads square with the numbers, and splitting them asks for the stronger design Chapter 8 floats.</w:t>
      </w:r>
    </w:p>
    <w:p>
      <w:pPr>
        <w:pStyle w:val="BodyText"/>
        <w:spacing w:line="480" w:lineRule="auto"/>
        <w:ind w:firstLine="720"/>
      </w:pPr>
      <w:r>
        <w:t xml:space="preserve">The two reads do not weigh equally, and saying why the substantive one carries some independent pull despite the methodological caveats is worth the space. The spread of the topic across incompatible vocabularies is not merely a proxy artifact; it stands in the corpus build itself, where operational sensing work, playable legal analysis, and occupancy-traffic welding sit in separate venue families that rarely share terminology</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A proxy failure would inject noise, but it would not manufacture the vocabulary gap between an AMOS screening paper and an Acta Astronautica law article; that gap is real and prior to the measurement. So while the methodological read rightly warns against calling the structure absent, the substantive read holds a toehold the caveats do not dissolve: a field that had gathered would not run this linguistically fractured</w:t>
      </w:r>
      <w:r>
        <w:t xml:space="preserve"> </w:t>
      </w:r>
      <w:hyperlink w:anchor="ref-11">
        <w:r>
          <w:rPr>
            <w:rStyle w:val="Hyperlink"/>
          </w:rPr>
          <w:t xml:space="preserve">[11]</w:t>
        </w:r>
      </w:hyperlink>
      <w:r>
        <w:t xml:space="preserve">.</w:t>
      </w:r>
    </w:p>
    <w:p>
      <w:pPr>
        <w:pStyle w:val="BodyText"/>
        <w:spacing w:line="480" w:lineRule="auto"/>
        <w:ind w:firstLine="720"/>
      </w:pPr>
      <w:r>
        <w:t xml:space="preserve">One sharp result earns its own reading. The negative citation coefficient in Paper 1 runs small but statistically splittable from zero, and it says something specific about this corpus: the entries that have pulled the most indexed citations are not the ones densest in coordination-failure vocabulary. The heavily cited items are older, broadly scoped articles whose metadata reward general terminology, while the theme-specific work runs newer and thinly cited</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This is a coherent story about how a young topic nests inside an older writing, and it is the kind of read only a see-through, auditable sieve would surface, since a looser analysis would have printed the coefficient’s significance without catching that its sign undercuts the prominence thesis.</w:t>
      </w:r>
    </w:p>
    <w:p>
      <w:pPr>
        <w:pStyle w:val="BodyText"/>
        <w:spacing w:line="480" w:lineRule="auto"/>
        <w:ind w:firstLine="720"/>
      </w:pPr>
      <w:r>
        <w:t xml:space="preserve">A broader methodological moral rides in that single coefficient. It is the clearest case in the dissertation of why sign and significance must read together rather than significance alone. A results section printing only the p-value of 0.0257 would have called a significant citation effect and, by the field’s reflex, implied it propped the hypothesis</w:t>
      </w:r>
      <w:r>
        <w:t xml:space="preserve"> </w:t>
      </w:r>
      <w:hyperlink w:anchor="ref-2">
        <w:r>
          <w:rPr>
            <w:rStyle w:val="Hyperlink"/>
          </w:rPr>
          <w:t xml:space="preserve">[2]</w:t>
        </w:r>
      </w:hyperlink>
      <w:r>
        <w:t xml:space="preserve">. Reading the sign flips that call inside out: the significant effect fights the prediction, and its right reading is a statement about proxy behavior, not about prominence. The discipline of always printing the sign, and always checking it against the pre-registered direction, is what turns a misleading significant result into a genuinely telling one.</w:t>
      </w:r>
    </w:p>
    <w:bookmarkEnd w:id="98"/>
    <w:bookmarkStart w:id="99" w:name="threats-to-validity"/>
    <w:p>
      <w:pPr>
        <w:pStyle w:val="Heading2"/>
        <w:spacing w:line="480" w:lineRule="auto"/>
      </w:pPr>
      <w:r>
        <w:t xml:space="preserve">7.2 Threats to validity</w:t>
      </w:r>
    </w:p>
    <w:p>
      <w:pPr>
        <w:pStyle w:val="FirstParagraph"/>
        <w:spacing w:line="480" w:lineRule="auto"/>
      </w:pPr>
      <w:r>
        <w:t xml:space="preserve">Several threats condition these reads, and naming them exactly is part of the contribution.</w:t>
      </w:r>
    </w:p>
    <w:p>
      <w:pPr>
        <w:pStyle w:val="BodyText"/>
        <w:spacing w:line="480" w:lineRule="auto"/>
        <w:ind w:firstLine="720"/>
      </w:pPr>
      <w:r>
        <w:t xml:space="preserve">The first is construct validity in the outcome. The signal score tallies theme-word strikes across four metadata fields, which gauges vocabulary presence rather than conceptual centrality. An entry can be central to the coordination-failure debate while running different terminology, and it would score low. The proxy therefore risks systematic mismeasurement of exactly the entries that matter most, which would tilt the snapshot model toward the null it largely threw off</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construct threat carries a direction worth stating exactly, since it changes how the null should read. If the proxy systematically underscores the most conceptually central entries, because those entries run sophisticated or varied vocabulary the word list misses, then the measurement error is not random noise but a bias welded to the very quantity the model wants to explain</w:t>
      </w:r>
      <w:r>
        <w:t xml:space="preserve"> </w:t>
      </w:r>
      <w:hyperlink w:anchor="ref-6">
        <w:r>
          <w:rPr>
            <w:rStyle w:val="Hyperlink"/>
          </w:rPr>
          <w:t xml:space="preserve">[6]</w:t>
        </w:r>
      </w:hyperlink>
      <w:r>
        <w:t xml:space="preserve">. Error of that cast drags the caught structure toward zero, which means the true snapshot structure could run stronger than the model found. The null is thus a lower bound on the structure, not an unbiased estimate of it, and a hand-coding design gauging centrality straight could recover signal the word tally wrecked.</w:t>
      </w:r>
    </w:p>
    <w:p>
      <w:pPr>
        <w:pStyle w:val="BodyText"/>
        <w:spacing w:line="480" w:lineRule="auto"/>
        <w:ind w:firstLine="720"/>
      </w:pPr>
      <w:r>
        <w:t xml:space="preserve">The second is measurement in the citation predictor. Tallies ride on a local index, not a universal citation graph, so they run short, and the shortfall is unlikely to run uniform across venue families. Classical measurement error of that cast drags coefficients toward zero, which means the true citation tie could run stronger, or differently signed, than the fit -0.0541. The sharp coefficient should read as a lower bound on the size of whatever tie exists, not as its final value</w:t>
      </w:r>
      <w:r>
        <w:t xml:space="preserve"> </w:t>
      </w:r>
      <w:hyperlink w:anchor="ref-2">
        <w:r>
          <w:rPr>
            <w:rStyle w:val="Hyperlink"/>
          </w:rPr>
          <w:t xml:space="preserve">[2]</w:t>
        </w:r>
      </w:hyperlink>
      <w:r>
        <w:t xml:space="preserve">.</w:t>
      </w:r>
    </w:p>
    <w:p>
      <w:pPr>
        <w:pStyle w:val="BodyText"/>
        <w:spacing w:line="480" w:lineRule="auto"/>
        <w:ind w:firstLine="720"/>
      </w:pPr>
      <w:r>
        <w:t xml:space="preserve">The non-uniformity of the shortfall compounds the snag in a specific way. If the local index nets citations to Acta Astronautica journal articles more fully than citations to AMOS conference papers or space-economy documents, then the citation variable runs not merely noisy but differentially noisy across the venue families the venue variable encodes</w:t>
      </w:r>
      <w:r>
        <w:t xml:space="preserve"> </w:t>
      </w:r>
      <w:hyperlink w:anchor="ref-1">
        <w:r>
          <w:rPr>
            <w:rStyle w:val="Hyperlink"/>
          </w:rPr>
          <w:t xml:space="preserve">[1]</w:t>
        </w:r>
      </w:hyperlink>
      <w:r>
        <w:t xml:space="preserve">. That weld between the citation error and the venue predictor can warp both coefficients at once, since the model cannot tell a true venue effect from a venue-welded citation-measurement artifact. Untangling the two asks for a citation source with uniform coverage across venue families, which the local index is not, and which the heir design must supply.</w:t>
      </w:r>
    </w:p>
    <w:p>
      <w:pPr>
        <w:pStyle w:val="BodyText"/>
        <w:spacing w:line="480" w:lineRule="auto"/>
        <w:ind w:firstLine="720"/>
      </w:pPr>
      <w:r>
        <w:t xml:space="preserve">The third is the ordinal venue coding. Handling AMOS, Acta Astronautica, and the space-economy family as equally spaced steps on a one-to-three scale lays down a metric the data do not warrant. If the true stretches between venue families run unequal, the linear venue coefficient is a smeared average of separate effects, and its fuzziness in Paper 1 is partly an artifact of that smear rather than pure proof of no venue tie</w:t>
      </w:r>
      <w:r>
        <w:t xml:space="preserve"> </w:t>
      </w:r>
      <w:hyperlink w:anchor="ref-1">
        <w:r>
          <w:rPr>
            <w:rStyle w:val="Hyperlink"/>
          </w:rPr>
          <w:t xml:space="preserve">[1]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fourth is statistical power. Thirty observations cap every test in this dissertation. A design this small can catch only fairly strong structure, so a failure to kill a null runs genuinely ambiguous between real absence and uncaught presence. The robust standard errors keep the printed sharpness honest, but no inferential fix can manufacture information the sample does not hold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fifth is selection into the corpus. The thirty entries got pulled into the candidate’s local pack by a search-and-index process, and any systematic bent of that process to over- or under-carry certain outlets, years, or vocabularies would ripple into every variable. Since lineage is kept, a future project can audit the selection straight, but the present design cannot rule out that the corpus is a non-representative slice of the wider writing</w:t>
      </w:r>
      <w:r>
        <w:t xml:space="preserve"> </w:t>
      </w:r>
      <w:hyperlink w:anchor="ref-3">
        <w:r>
          <w:rPr>
            <w:rStyle w:val="Hyperlink"/>
          </w:rPr>
          <w:t xml:space="preserve">[3]</w:t>
        </w:r>
      </w:hyperlink>
      <w:r>
        <w:t xml:space="preserve">.</w:t>
      </w:r>
    </w:p>
    <w:p>
      <w:pPr>
        <w:pStyle w:val="BodyText"/>
        <w:spacing w:line="480" w:lineRule="auto"/>
        <w:ind w:firstLine="720"/>
      </w:pPr>
      <w:r>
        <w:t xml:space="preserve">These five threats do not point in random directions, and catching their common bent sharpens the conclusion. Four of the five, the construct proxy, the attenuating citation error, the smeared venue metric, and the capped power, all shove the design toward catching no structure</w:t>
      </w:r>
      <w:r>
        <w:t xml:space="preserve"> </w:t>
      </w:r>
      <w:hyperlink w:anchor="ref-2">
        <w:r>
          <w:rPr>
            <w:rStyle w:val="Hyperlink"/>
          </w:rPr>
          <w:t xml:space="preserve">[2]</w:t>
        </w:r>
      </w:hyperlink>
      <w:r>
        <w:t xml:space="preserve"> </w:t>
      </w:r>
      <w:hyperlink w:anchor="ref-6">
        <w:r>
          <w:rPr>
            <w:rStyle w:val="Hyperlink"/>
          </w:rPr>
          <w:t xml:space="preserve">[6]</w:t>
        </w:r>
      </w:hyperlink>
      <w:r>
        <w:t xml:space="preserve">. Only the selection threat runs indeterminate in direction. This means the null results run cautious: the machinery tilts toward silence, so the structure it did fail to catch could plausibly live beneath the noise. That asymmetry is why the dissertation refuses to read its nulls as proof of absence, and why it frames the heir design as a bid to lift a tilt-toward-null rather than to confirm a settled negative.</w:t>
      </w:r>
    </w:p>
    <w:bookmarkEnd w:id="99"/>
    <w:bookmarkStart w:id="100" w:name="what-the-data-cannot-show"/>
    <w:p>
      <w:pPr>
        <w:pStyle w:val="Heading2"/>
        <w:spacing w:line="480" w:lineRule="auto"/>
      </w:pPr>
      <w:r>
        <w:t xml:space="preserve">7.3 What the data cannot show</w:t>
      </w:r>
    </w:p>
    <w:p>
      <w:pPr>
        <w:pStyle w:val="FirstParagraph"/>
        <w:spacing w:line="480" w:lineRule="auto"/>
      </w:pPr>
      <w:r>
        <w:t xml:space="preserve">Past these threats sits a harder line measurement cannot cross. The line is permanent. Even a flawlessly gauged, flawlessly powered version of this design would not watch the coordination conduct itself. No row in either file logs an operator’s launch call, a bargaining round, the adoption of a traffic rule, or a debris-mitigation compliance outcome. The dataset is a bibliometric outline of the coordination bind, and outlines carry limits no estimator sophistication can overcome.</w:t>
      </w:r>
    </w:p>
    <w:p>
      <w:pPr>
        <w:pStyle w:val="BodyText"/>
        <w:spacing w:line="480" w:lineRule="auto"/>
        <w:ind w:firstLine="720"/>
      </w:pPr>
      <w:r>
        <w:t xml:space="preserve">This means the dissertation cannot speak to whether coordination over the shared shell is bettering or worsening in fact. It can speak only to whether the topic’s showing in a pulled writing is ordered by the standard prominence signals, and the answer it hands back is that, in the reachable evidence, it largely is not</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gap between the bibliometric question the design answers and the governance question the field ultimately cares about is real, and papering over it would be intellectually dishonest. The measurement theory of Chapter 3 licenses reading the outline as weak evidence about the substance, but weak evidence is what it stays.</w:t>
      </w:r>
    </w:p>
    <w:p>
      <w:pPr>
        <w:pStyle w:val="BodyText"/>
        <w:spacing w:line="480" w:lineRule="auto"/>
        <w:ind w:firstLine="720"/>
      </w:pPr>
      <w:r>
        <w:t xml:space="preserve">The split between the third-section line and the second-section threats is the chapter’s most important conceptual point, so it bears restating. The threats in Section 7.2 run contingent: a bigger sample mends the power threat, a better citation source mends the attenuation, a hand-coding scheme mends the construct proxy, and richer venue modeling mends the ordinal smear</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line in this section runs non-contingent. It follows from the call to study a conduct through its documentary trace, and it would outlive every mend to every threat. A researcher could build the perfect corpus, gauge centrality flawlessly, and still not watch a single operator settle whether to launch. Catching which limits are mendable and which are permanent is what parts an agenda for better measurement from an honest grant that a different kind of study is ultimately asked for</w:t>
      </w:r>
      <w:r>
        <w:t xml:space="preserve"> </w:t>
      </w:r>
      <w:hyperlink w:anchor="ref-4">
        <w:r>
          <w:rPr>
            <w:rStyle w:val="Hyperlink"/>
          </w:rPr>
          <w:t xml:space="preserve">[4]</w:t>
        </w:r>
      </w:hyperlink>
      <w:r>
        <w:t xml:space="preserve">.</w:t>
      </w:r>
    </w:p>
    <w:bookmarkEnd w:id="100"/>
    <w:bookmarkStart w:id="101" w:name="X06985506da0e73e4b2f9382e3a39d828636da65"/>
    <w:p>
      <w:pPr>
        <w:pStyle w:val="Heading2"/>
        <w:spacing w:line="480" w:lineRule="auto"/>
      </w:pPr>
      <w:r>
        <w:t xml:space="preserve">7.4 Governance relevance, stated with restraint</w:t>
      </w:r>
    </w:p>
    <w:p>
      <w:pPr>
        <w:pStyle w:val="FirstParagraph"/>
        <w:spacing w:line="480" w:lineRule="auto"/>
      </w:pPr>
      <w:r>
        <w:t xml:space="preserve">Despite these lines, the exercise carries a usable lesson for those who track emerging space-governance problems. A topic can run operationally urgent, as the fragmentation and occupancy writings show the shared-shell problem to be</w:t>
      </w:r>
      <w:r>
        <w:t xml:space="preserve"> </w:t>
      </w:r>
      <w:hyperlink w:anchor="ref-5">
        <w:r>
          <w:rPr>
            <w:rStyle w:val="Hyperlink"/>
          </w:rPr>
          <w:t xml:space="preserve">[5]</w:t>
        </w:r>
      </w:hyperlink>
      <w:r>
        <w:t xml:space="preserve"> </w:t>
      </w:r>
      <w:hyperlink w:anchor="ref-8">
        <w:r>
          <w:rPr>
            <w:rStyle w:val="Hyperlink"/>
          </w:rPr>
          <w:t xml:space="preserve">[8]</w:t>
        </w:r>
      </w:hyperlink>
      <w:r>
        <w:t xml:space="preserve">, while staying bibliometrically diffuse, its research notice scattered across venue families that do not yet cross-cite or gather on a shared vocabulary. For a program office or a standards body scanning for problems ready for coordinated action, that spread is itself a signal: the field has not yet raised the rallying institution, the shared frame, around which gathering could form</w:t>
      </w:r>
      <w:r>
        <w:t xml:space="preserve"> </w:t>
      </w:r>
      <w:hyperlink w:anchor="ref-1">
        <w:r>
          <w:rPr>
            <w:rStyle w:val="Hyperlink"/>
          </w:rPr>
          <w:t xml:space="preserve">[1]</w:t>
        </w:r>
      </w:hyperlink>
      <w:r>
        <w:t xml:space="preserve">. The design does not prove this, but it squares with it, and it points to the measurement work that would test it straight. That is the apt register for an early-stage result, a disciplined hint rather than a governance directive</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restraint in that register is not false modesty. It carries load. An early-stage sieve overstating its reach would license exactly the confident-narrative-outrunning-evidence pattern the whole dissertation is built to resist</w:t>
      </w:r>
      <w:r>
        <w:t xml:space="preserve"> </w:t>
      </w:r>
      <w:hyperlink w:anchor="ref-3">
        <w:r>
          <w:rPr>
            <w:rStyle w:val="Hyperlink"/>
          </w:rPr>
          <w:t xml:space="preserve">[3]</w:t>
        </w:r>
      </w:hyperlink>
      <w:r>
        <w:t xml:space="preserve">. By holding the governance claim to a disciplined hint, the exercise models the epistemic stance it recommends to the offices that might use it: read the corpus signal as a diagnostic of whether a field has gathered, take a diffuse signal as a cue for frame-building rather than for premature rule-making, and never swap the outline for the substance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value handed a governance reader is therefore as much the shown discipline as the specific negative finding, since the discipline is what makes the next, bigger inquiry trustworthy.</w:t>
      </w:r>
    </w:p>
    <w:bookmarkEnd w:id="101"/>
    <w:bookmarkStart w:id="102" w:name="Xa7017396d7d2189f722293b3195abab76ec4c74"/>
    <w:p>
      <w:pPr>
        <w:pStyle w:val="Heading2"/>
        <w:spacing w:line="480" w:lineRule="auto"/>
      </w:pPr>
      <w:r>
        <w:t xml:space="preserve">7.5 Comparison with how the field usually argues salience</w:t>
      </w:r>
    </w:p>
    <w:p>
      <w:pPr>
        <w:pStyle w:val="FirstParagraph"/>
        <w:spacing w:line="480" w:lineRule="auto"/>
      </w:pPr>
      <w:r>
        <w:t xml:space="preserve">The threats and lines above land harder set against the way prominence is ordinarily argued in this writing, since the contrast reveals what the disciplined sieve adds. The common practice is to assert that a problem runs urgent or notice is climbing, and to prop the assertion with a handful of well-picked recent citations</w:t>
      </w:r>
      <w:r>
        <w:t xml:space="preserve"> </w:t>
      </w:r>
      <w:hyperlink w:anchor="ref-5">
        <w:r>
          <w:rPr>
            <w:rStyle w:val="Hyperlink"/>
          </w:rPr>
          <w:t xml:space="preserve">[5]</w:t>
        </w:r>
      </w:hyperlink>
      <w:r>
        <w:t xml:space="preserve"> </w:t>
      </w:r>
      <w:hyperlink w:anchor="ref-8">
        <w:r>
          <w:rPr>
            <w:rStyle w:val="Hyperlink"/>
          </w:rPr>
          <w:t xml:space="preserve">[8]</w:t>
        </w:r>
      </w:hyperlink>
      <w:r>
        <w:t xml:space="preserve">. That practice is not wrong, but it is unfalsifiable: a reader cannot tell a genuinely stiffening topic from one whose apparent momentum is a pick of handy references. The present design swaps the assertion for a test that can fail, and on this topic it largely does, which is precisely the outcome the assertion-based practice can never throw off.</w:t>
      </w:r>
    </w:p>
    <w:p>
      <w:pPr>
        <w:pStyle w:val="BodyText"/>
        <w:spacing w:line="480" w:lineRule="auto"/>
        <w:ind w:firstLine="720"/>
      </w:pPr>
      <w:r>
        <w:t xml:space="preserve">The comparison also exposes a specific failure mode the sieve dodges. An analyst arguing prominence by curated citation would very likely have grabbed the two most-cited entries in this corpus, the staged-roll-out and crew-organization articles with tallies of 17 and 24, as proof the topic draws notice</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The sieve shows why that move would mislead: those entries run off-theme, and their citations mirror engagement with adjacent questions rather than with the coordination failure itself. A method tallying citations without checking their thematic content would have turned the field’s notice of neighboring problems into false proof of notice of this one. The see-through sieve catches the swap because it holds theme density and citation tally in separate variables and lets their tie be fit rather than assumed</w:t>
      </w:r>
      <w:r>
        <w:t xml:space="preserve"> </w:t>
      </w:r>
      <w:hyperlink w:anchor="ref-2">
        <w:r>
          <w:rPr>
            <w:rStyle w:val="Hyperlink"/>
          </w:rPr>
          <w:t xml:space="preserve">[2]</w:t>
        </w:r>
      </w:hyperlink>
      <w:r>
        <w:t xml:space="preserve">.</w:t>
      </w:r>
    </w:p>
    <w:p>
      <w:pPr>
        <w:pStyle w:val="BodyText"/>
        <w:spacing w:line="480" w:lineRule="auto"/>
        <w:ind w:firstLine="720"/>
      </w:pPr>
      <w:r>
        <w:t xml:space="preserve">None of this makes the sieve superior to the field’s substantive work, which it does not try to replace. The operational and strategic writings do the heavy lifting of fixing that the shared-shell problem is real and well posed</w:t>
      </w:r>
      <w:r>
        <w:t xml:space="preserve"> </w:t>
      </w:r>
      <w:hyperlink w:anchor="ref-3">
        <w:r>
          <w:rPr>
            <w:rStyle w:val="Hyperlink"/>
          </w:rPr>
          <w:t xml:space="preserve">[3]</w:t>
        </w:r>
      </w:hyperlink>
      <w:r>
        <w:t xml:space="preserve"> </w:t>
      </w:r>
      <w:hyperlink w:anchor="ref-15">
        <w:r>
          <w:rPr>
            <w:rStyle w:val="Hyperlink"/>
          </w:rPr>
          <w:t xml:space="preserve">[15]</w:t>
        </w:r>
      </w:hyperlink>
      <w:r>
        <w:t xml:space="preserve">. What the sieve adds is a check on the separate, softer claim about the problem’s prominence in the record, a claim the substantive writings make in passing and rarely test. Set that way, the dissertation is a complement to the field’s argument, not a rival to it: it takes one auxiliary claim the field routinely asserts and puts it to a test the field routinely skips</w:t>
      </w:r>
      <w:r>
        <w:t xml:space="preserve"> </w:t>
      </w:r>
      <w:hyperlink w:anchor="ref-11">
        <w:r>
          <w:rPr>
            <w:rStyle w:val="Hyperlink"/>
          </w:rPr>
          <w:t xml:space="preserve">[11]</w:t>
        </w:r>
      </w:hyperlink>
      <w:r>
        <w:t xml:space="preserve">.</w:t>
      </w:r>
    </w:p>
    <w:p>
      <w:pPr>
        <w:pStyle w:val="BodyText"/>
        <w:spacing w:line="480" w:lineRule="auto"/>
        <w:ind w:firstLine="720"/>
      </w:pPr>
      <w:r>
        <w:t xml:space="preserve">The discussion closes by naming the single most important thing a reader should carry off, since a chapter this thick with qualifications risks burying it. The finding is not that the shared-shell coordination bind does not matter; the operational writing settles that it does</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finding is that the problem’s weight has not yet turned into an ordered, gathering record, at least not one a reachable corpus and a see-through sieve can catch at thirty observations</w:t>
      </w:r>
      <w:r>
        <w:t xml:space="preserve"> </w:t>
      </w:r>
      <w:hyperlink w:anchor="ref-2">
        <w:r>
          <w:rPr>
            <w:rStyle w:val="Hyperlink"/>
          </w:rPr>
          <w:t xml:space="preserve">[2]</w:t>
        </w:r>
      </w:hyperlink>
      <w:r>
        <w:t xml:space="preserve"> </w:t>
      </w:r>
      <w:hyperlink w:anchor="ref-16">
        <w:r>
          <w:rPr>
            <w:rStyle w:val="Hyperlink"/>
          </w:rPr>
          <w:t xml:space="preserve">[16]</w:t>
        </w:r>
      </w:hyperlink>
      <w:r>
        <w:t xml:space="preserve">. Whether that gap between real weight and legible order mirrors a genuinely unformed field or merely the limits of the present proxies is the question the next design must answer, and the honest verdict of this one is that it has drawn the question sharply enough for the next researcher to answer it well</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02"/>
    <w:bookmarkEnd w:id="103"/>
    <w:bookmarkStart w:id="141"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do one thing well: to take a live space-governance bind, the failure of operators to bargain toward a shared rule over a crowded orbital shell, and to test whether that bind leaves a gaugeable trace in the evidence a single researcher can reach. It cast the problem as a Schelling game, drew a measurement theory tying the coordination failure to watchable corpus signals, and ran two see-through estimators against a thirty-entry dataset. The conclusion runs bounded, honest, and, on its own terms, usable.</w:t>
      </w:r>
    </w:p>
    <w:p>
      <w:pPr>
        <w:pStyle w:val="BodyText"/>
        <w:spacing w:line="480" w:lineRule="auto"/>
        <w:ind w:firstLine="720"/>
      </w:pPr>
      <w:r>
        <w:t xml:space="preserve">The chapter fixes the contribution, pulls out the program and governance stakes, and lays down a research agenda where each item answers a limit named earlier. It closes by circling back to the standard the introduction set: an early-stage dissertation wins not by blessing its hypothesis but by drawing the edge of its own knowledge cleanly and handing the next researcher a map of where the evidence runs dry.</w:t>
      </w:r>
    </w:p>
    <w:bookmarkStart w:id="104" w:name="the-contribution"/>
    <w:p>
      <w:pPr>
        <w:pStyle w:val="Heading2"/>
        <w:spacing w:line="480" w:lineRule="auto"/>
      </w:pPr>
      <w:r>
        <w:t xml:space="preserve">8.1 The contribution</w:t>
      </w:r>
    </w:p>
    <w:p>
      <w:pPr>
        <w:pStyle w:val="FirstParagraph"/>
        <w:spacing w:line="480" w:lineRule="auto"/>
      </w:pPr>
      <w:r>
        <w:t xml:space="preserve">The contribution is a test, a falsifiable and wholly auditable document-level test of topic prominence, run on the shared-shell coordination bind, that hands back a mostly negative result and prints it plainly. Paper 1’s ordinary least squares model caught no positive snapshot tie between the topic-signal score and recency or venue, and a single sharp citation coefficient whose sign fights the prominence prediction</w:t>
      </w:r>
      <w:r>
        <w:t xml:space="preserve"> </w:t>
      </w:r>
      <w:hyperlink w:anchor="ref-2">
        <w:r>
          <w:rPr>
            <w:rStyle w:val="Hyperlink"/>
          </w:rPr>
          <w:t xml:space="preserve">[2]</w:t>
        </w:r>
      </w:hyperlink>
      <w:r>
        <w:t xml:space="preserve"> </w:t>
      </w:r>
      <w:hyperlink w:anchor="ref-9">
        <w:r>
          <w:rPr>
            <w:rStyle w:val="Hyperlink"/>
          </w:rPr>
          <w:t xml:space="preserve">[9]</w:t>
        </w:r>
      </w:hyperlink>
      <w:r>
        <w:t xml:space="preserve">. Paper 2’s learning-curve model caught an age elasticity statistically indistinguishable from zero and a progress ratio just below one, proof that citation notice does not bank along the usual age gradient in this young, thinly cited corpus</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chain’s discipline is what makes this a contribution rather than a letdown. Every number steps back through a kept source column to the document that threw it off. Every variable is a deterministic function of that document’s metadata. Every coefficient is printed with robust inference and its honest sign, the coefficients that fail included. A reader can rebuild the dataset, re-run the estimators, and confirm the results alone. Nothing hides. In a policy-adjacent field where confident narrative routinely outruns checkable evidence, a design drawing the edge of its own knowledge sharply is itself the result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Parting this contribution from the two kinds of contribution it is not warrants the space, since the split is what warrants calling a mostly negative result a doctoral one. It is not a substantive governance finding: it does not tell a program office how to mend the shared-shell problem. And it is not a methodological innovation in estimation: OLS and the learning curve are standard tools run without modification. The contribution is of a third kind, an evidentiary one. It shows that a coordination-failure claim, which the field routinely asserts, submits to a see-through document-level test with a pre-registered direction and an honest print of the outcome</w:t>
      </w:r>
      <w:r>
        <w:t xml:space="preserve"> </w:t>
      </w:r>
      <w:hyperlink w:anchor="ref-2">
        <w:r>
          <w:rPr>
            <w:rStyle w:val="Hyperlink"/>
          </w:rPr>
          <w:t xml:space="preserve">[2]</w:t>
        </w:r>
      </w:hyperlink>
      <w:r>
        <w:t xml:space="preserve"> </w:t>
      </w:r>
      <w:hyperlink w:anchor="ref-3">
        <w:r>
          <w:rPr>
            <w:rStyle w:val="Hyperlink"/>
          </w:rPr>
          <w:t xml:space="preserve">[3]</w:t>
        </w:r>
      </w:hyperlink>
      <w:r>
        <w:t xml:space="preserve">. That the test hands back a null runs secondary to the demonstration that the test can be run and checked at all.</w:t>
      </w:r>
    </w:p>
    <w:p>
      <w:pPr>
        <w:pStyle w:val="BodyText"/>
        <w:spacing w:line="480" w:lineRule="auto"/>
        <w:ind w:firstLine="720"/>
      </w:pPr>
      <w:r>
        <w:t xml:space="preserve">The substantive finding, stated with the restraint the design asks, is that the coordination-failure topic runs bibliometrically diffuse. The notice is scattered. It sits across venue families that handle the topic in incompatible vocabularies, from operational sensing to playable law to occupancy management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and one theme-word proxy at N = 30 cannot catch coherent structure in that spread. Whether the spread mirrors a genuinely unformed field or merely the limits of a reachable proxy is the question the next design must settle.</w:t>
      </w:r>
    </w:p>
    <w:bookmarkEnd w:id="104"/>
    <w:bookmarkStart w:id="105" w:name="program-and-governance-relevance"/>
    <w:p>
      <w:pPr>
        <w:pStyle w:val="Heading2"/>
        <w:spacing w:line="480" w:lineRule="auto"/>
      </w:pPr>
      <w:r>
        <w:t xml:space="preserve">8.2 Program and governance relevance</w:t>
      </w:r>
    </w:p>
    <w:p>
      <w:pPr>
        <w:pStyle w:val="FirstParagraph"/>
        <w:spacing w:line="480" w:lineRule="auto"/>
      </w:pPr>
      <w:r>
        <w:t xml:space="preserve">For those who steward emerging space-governance problems, the exercise hands over a specific, transferable lesson. Operational urgency and bibliometric ripeness are separable traits. The shared-shell problem runs operationally urgent, as the fragmentation and occupancy writings fix beyond dispute</w:t>
      </w:r>
      <w:r>
        <w:t xml:space="preserve"> </w:t>
      </w:r>
      <w:hyperlink w:anchor="ref-5">
        <w:r>
          <w:rPr>
            <w:rStyle w:val="Hyperlink"/>
          </w:rPr>
          <w:t xml:space="preserve">[5]</w:t>
        </w:r>
      </w:hyperlink>
      <w:r>
        <w:t xml:space="preserve"> </w:t>
      </w:r>
      <w:hyperlink w:anchor="ref-8">
        <w:r>
          <w:rPr>
            <w:rStyle w:val="Hyperlink"/>
          </w:rPr>
          <w:t xml:space="preserve">[8]</w:t>
        </w:r>
      </w:hyperlink>
      <w:r>
        <w:t xml:space="preserve">. Its record shows none of the prominence structure a gathering field eventually grows. The two do not have to move together, and here they do not. A problem in that state, urgent but bibliometrically scattered, is one where the rallying institution has not yet formed, where operators and analysts have not gathered on a shared frame that would let a coordinated rule turn self-enforcing</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read carries a practical edge, and it is not merely descriptive. A program office or standards body scanning for problems ripe for coordinated action could wield exactly this kind of see-through corpus sieve as an early diagnostic, not to settle policy but to see where a field has and has not gathered. A topic whose prominence signals run structured and banking is a candidate for near-term coordination; a topic whose signals run diffuse, like this one, is a candidate for the prior labor of frame-building and gathering</w:t>
      </w:r>
      <w:r>
        <w:t xml:space="preserve"> </w:t>
      </w:r>
      <w:hyperlink w:anchor="ref-15">
        <w:r>
          <w:rPr>
            <w:rStyle w:val="Hyperlink"/>
          </w:rPr>
          <w:t xml:space="preserve">[15]</w:t>
        </w:r>
      </w:hyperlink>
      <w:r>
        <w:t xml:space="preserve">. The design does not hand over that diagnostic in finished form. It shows such a diagnostic is buildable, auditable, and honest about its own limits, which is the apt deliverable from an early-stage dissertation</w:t>
      </w:r>
      <w:r>
        <w:t xml:space="preserve"> </w:t>
      </w:r>
      <w:hyperlink w:anchor="ref-11">
        <w:r>
          <w:rPr>
            <w:rStyle w:val="Hyperlink"/>
          </w:rPr>
          <w:t xml:space="preserve">[11]</w:t>
        </w:r>
      </w:hyperlink>
      <w:r>
        <w:t xml:space="preserve">.</w:t>
      </w:r>
    </w:p>
    <w:p>
      <w:pPr>
        <w:pStyle w:val="BodyText"/>
        <w:spacing w:line="480" w:lineRule="auto"/>
        <w:ind w:firstLine="720"/>
      </w:pPr>
      <w:r>
        <w:t xml:space="preserve">The diagnostic holds a natural slot in the policy cycle worth spelling out. Before a standards body sinks effort into drafting a coordination rule, it faces a prior question: is the field ready, or is the problem still too unformed for a rule to find purchase? A gathering-detecting corpus sieve speaks straight to that prior question</w:t>
      </w:r>
      <w:r>
        <w:t xml:space="preserve"> </w:t>
      </w:r>
      <w:hyperlink w:anchor="ref-15">
        <w:r>
          <w:rPr>
            <w:rStyle w:val="Hyperlink"/>
          </w:rPr>
          <w:t xml:space="preserve">[15]</w:t>
        </w:r>
      </w:hyperlink>
      <w:r>
        <w:t xml:space="preserve">. A structured, banking signal would hint the intellectual groundwork for a rule is in place and the bottleneck is political will. A diffuse signal, like the one this dissertation caught, hints the bottleneck sits upstream, in the missing shared frame, and that premature rule-making would likely fail for want of a rallying point the actors could gather on</w:t>
      </w:r>
      <w:r>
        <w:t xml:space="preserve"> </w:t>
      </w:r>
      <w:hyperlink w:anchor="ref-1">
        <w:r>
          <w:rPr>
            <w:rStyle w:val="Hyperlink"/>
          </w:rPr>
          <w:t xml:space="preserve">[1]</w:t>
        </w:r>
      </w:hyperlink>
      <w:r>
        <w:t xml:space="preserve"> </w:t>
      </w:r>
      <w:hyperlink w:anchor="ref-3">
        <w:r>
          <w:rPr>
            <w:rStyle w:val="Hyperlink"/>
          </w:rPr>
          <w:t xml:space="preserve">[3]</w:t>
        </w:r>
      </w:hyperlink>
      <w:r>
        <w:t xml:space="preserve">. Wielded this way, the sieve is a triage instrument, sorting problems by their readiness for coordination rather than prescribing the coordination itself.</w:t>
      </w:r>
    </w:p>
    <w:bookmarkEnd w:id="105"/>
    <w:bookmarkStart w:id="106" w:name="future-work"/>
    <w:p>
      <w:pPr>
        <w:pStyle w:val="Heading2"/>
        <w:spacing w:line="480" w:lineRule="auto"/>
      </w:pPr>
      <w:r>
        <w:t xml:space="preserve">8.3 Future work</w:t>
      </w:r>
    </w:p>
    <w:p>
      <w:pPr>
        <w:pStyle w:val="FirstParagraph"/>
        <w:spacing w:line="480" w:lineRule="auto"/>
      </w:pPr>
      <w:r>
        <w:t xml:space="preserve">The results point to a clear research agenda, and each item follows straight from a limit named in Chapter 7.</w:t>
      </w:r>
    </w:p>
    <w:p>
      <w:pPr>
        <w:pStyle w:val="BodyText"/>
        <w:spacing w:line="480" w:lineRule="auto"/>
        <w:ind w:firstLine="720"/>
      </w:pPr>
      <w:r>
        <w:t xml:space="preserve">The first priority is a hand-coding design to swap out the theme-word proxy. Hand-coding or supervised classification of conceptual centrality, rather than tallying vocabulary strikes, would strike the construct-validity threat at its root and could recover structure the blunt proxy misses</w:t>
      </w:r>
      <w:r>
        <w:t xml:space="preserve"> </w:t>
      </w:r>
      <w:hyperlink w:anchor="ref-2">
        <w:r>
          <w:rPr>
            <w:rStyle w:val="Hyperlink"/>
          </w:rPr>
          <w:t xml:space="preserve">[2]</w:t>
        </w:r>
      </w:hyperlink>
      <w:r>
        <w:t xml:space="preserve"> </w:t>
      </w:r>
      <w:hyperlink w:anchor="ref-6">
        <w:r>
          <w:rPr>
            <w:rStyle w:val="Hyperlink"/>
          </w:rPr>
          <w:t xml:space="preserve">[6]</w:t>
        </w:r>
      </w:hyperlink>
      <w:r>
        <w:t xml:space="preserve">. Recent work on agentic large-language-model handling of space-domain corpora hints the tooling for such coding now sits within reach</w:t>
      </w:r>
      <w:r>
        <w:t xml:space="preserve"> </w:t>
      </w:r>
      <w:hyperlink w:anchor="ref-2">
        <w:r>
          <w:rPr>
            <w:rStyle w:val="Hyperlink"/>
          </w:rPr>
          <w:t xml:space="preserve">[2]</w:t>
        </w:r>
      </w:hyperlink>
      <w:r>
        <w:t xml:space="preserve">. The construct threat is the highest-value target precisely because Chapter 7 showed its bias runs toward the null, which means mending it could turn a non-finding into a finding rather than merely sharpening a confidence interval.</w:t>
      </w:r>
    </w:p>
    <w:p>
      <w:pPr>
        <w:pStyle w:val="BodyText"/>
        <w:spacing w:line="480" w:lineRule="auto"/>
        <w:ind w:firstLine="720"/>
      </w:pPr>
      <w:r>
        <w:t xml:space="preserve">The second is a bigger, better-cited corpus drawn from a universal citation graph rather than a local index. Swapping short-run citation gauges for fuller tallies would ease the attenuation that dragged Paper 1’s citation coefficient toward zero, and expanding well past thirty entries would hand both estimators the power to catch ties the present sample cannot resolve</w:t>
      </w:r>
      <w:r>
        <w:t xml:space="preserve"> </w:t>
      </w:r>
      <w:hyperlink w:anchor="ref-9">
        <w:r>
          <w:rPr>
            <w:rStyle w:val="Hyperlink"/>
          </w:rPr>
          <w:t xml:space="preserve">[9]</w:t>
        </w:r>
      </w:hyperlink>
      <w:r>
        <w:t xml:space="preserve"> </w:t>
      </w:r>
      <w:hyperlink w:anchor="ref-16">
        <w:r>
          <w:rPr>
            <w:rStyle w:val="Hyperlink"/>
          </w:rPr>
          <w:t xml:space="preserve">[16]</w:t>
        </w:r>
      </w:hyperlink>
      <w:r>
        <w:t xml:space="preserve">. A universal citation source would also cure the differential-shortfall snag Chapter 7 flagged, where the citation error welded to venue family and fouled two coefficients at once</w:t>
      </w:r>
      <w:r>
        <w:t xml:space="preserve"> </w:t>
      </w:r>
      <w:hyperlink w:anchor="ref-1">
        <w:r>
          <w:rPr>
            <w:rStyle w:val="Hyperlink"/>
          </w:rPr>
          <w:t xml:space="preserve">[1]</w:t>
        </w:r>
      </w:hyperlink>
      <w:r>
        <w:t xml:space="preserve">.</w:t>
      </w:r>
    </w:p>
    <w:p>
      <w:pPr>
        <w:pStyle w:val="BodyText"/>
        <w:spacing w:line="480" w:lineRule="auto"/>
        <w:ind w:firstLine="720"/>
      </w:pPr>
      <w:r>
        <w:t xml:space="preserve">The third is a richer venue treatment. Modeling venue family with fixed effects or a defensible interval scale, rather than a three-step ordinal code, would let the design split the separate effects the current linear term smears together</w:t>
      </w:r>
      <w:r>
        <w:t xml:space="preserve"> </w:t>
      </w:r>
      <w:hyperlink w:anchor="ref-1">
        <w:r>
          <w:rPr>
            <w:rStyle w:val="Hyperlink"/>
          </w:rPr>
          <w:t xml:space="preserve">[1]</w:t>
        </w:r>
      </w:hyperlink>
      <w:r>
        <w:t xml:space="preserve"> </w:t>
      </w:r>
      <w:hyperlink w:anchor="ref-15">
        <w:r>
          <w:rPr>
            <w:rStyle w:val="Hyperlink"/>
          </w:rPr>
          <w:t xml:space="preserve">[15]</w:t>
        </w:r>
      </w:hyperlink>
      <w:r>
        <w:t xml:space="preserve">. With a bigger corpus straddling more outlets, the venue axis could get modeled as a set of indicator variables, dropping the untenable equal-spacing premise entirely and letting each venue family carry its own fit effect.</w:t>
      </w:r>
    </w:p>
    <w:p>
      <w:pPr>
        <w:pStyle w:val="BodyText"/>
        <w:spacing w:line="480" w:lineRule="auto"/>
        <w:ind w:firstLine="720"/>
      </w:pPr>
      <w:r>
        <w:t xml:space="preserve">The fourth, and most ambitious, is to step past the bibliometric outline toward the coordination conduct itself. The natural span is the agent-based and game-theoretic apparatus already present in the writing: models of incomplete-information coordination</w:t>
      </w:r>
      <w:r>
        <w:t xml:space="preserve"> </w:t>
      </w:r>
      <w:hyperlink w:anchor="ref-4">
        <w:r>
          <w:rPr>
            <w:rStyle w:val="Hyperlink"/>
          </w:rPr>
          <w:t xml:space="preserve">[4]</w:t>
        </w:r>
      </w:hyperlink>
      <w:r>
        <w:t xml:space="preserve">, source-sink governance dynamics</w:t>
      </w:r>
      <w:r>
        <w:t xml:space="preserve"> </w:t>
      </w:r>
      <w:hyperlink w:anchor="ref-3">
        <w:r>
          <w:rPr>
            <w:rStyle w:val="Hyperlink"/>
          </w:rPr>
          <w:t xml:space="preserve">[3]</w:t>
        </w:r>
      </w:hyperlink>
      <w:r>
        <w:t xml:space="preserve">, and agent-based distributed-system management</w:t>
      </w:r>
      <w:r>
        <w:t xml:space="preserve"> </w:t>
      </w:r>
      <w:hyperlink w:anchor="ref-16">
        <w:r>
          <w:rPr>
            <w:rStyle w:val="Hyperlink"/>
          </w:rPr>
          <w:t xml:space="preserve">[16]</w:t>
        </w:r>
      </w:hyperlink>
      <w:r>
        <w:t xml:space="preserve"> </w:t>
      </w:r>
      <w:r>
        <w:t xml:space="preserve">could pair with watchable operator conduct to test the Schelling mechanism straight, rather than through its trace in a corpus. That is a different dissertation, and the honest conclusion of this one is that its own evidence, though it does not carry the full governance claim, marks out precisely where that next and bigger inquiry should begin</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These four items form a ladder rather than a list, and the ordering is on purpose. The first two, better coding and a better citation source, are refinements of the present design that could run on the same architecture with more resources. The third, richer venue modeling, turns feasible only once the second hands over a bigger corpus. The fourth is a genuine change of kind, a step from studying the outline to studying the conduct, and it hangs on none of the first three, since it abandons the bibliometric frame altogether</w:t>
      </w:r>
      <w:r>
        <w:t xml:space="preserve"> </w:t>
      </w:r>
      <w:hyperlink w:anchor="ref-4">
        <w:r>
          <w:rPr>
            <w:rStyle w:val="Hyperlink"/>
          </w:rPr>
          <w:t xml:space="preserve">[4]</w:t>
        </w:r>
      </w:hyperlink>
      <w:r>
        <w:t xml:space="preserve"> </w:t>
      </w:r>
      <w:hyperlink w:anchor="ref-16">
        <w:r>
          <w:rPr>
            <w:rStyle w:val="Hyperlink"/>
          </w:rPr>
          <w:t xml:space="preserve">[16]</w:t>
        </w:r>
      </w:hyperlink>
      <w:r>
        <w:t xml:space="preserve">. A research program could climb the first three rungs to exhaust what the corpus can yield, then step off onto the fourth once the documentary route has been pushed as far as it honestly goes.</w:t>
      </w:r>
    </w:p>
    <w:bookmarkEnd w:id="106"/>
    <w:bookmarkStart w:id="107" w:name="closing"/>
    <w:p>
      <w:pPr>
        <w:pStyle w:val="Heading2"/>
        <w:spacing w:line="480" w:lineRule="auto"/>
      </w:pPr>
      <w:r>
        <w:t xml:space="preserve">8.4 Closing</w:t>
      </w:r>
    </w:p>
    <w:p>
      <w:pPr>
        <w:pStyle w:val="FirstParagraph"/>
        <w:spacing w:line="480" w:lineRule="auto"/>
      </w:pPr>
      <w:r>
        <w:t xml:space="preserve">The shared shell will keep filling whether or not its operators solve their coordination bind, and the record will keep answering that pressure. This dissertation offered a small, checkable instrument for reading that answer, ran it, and printed what it caught without swelling. The instrument caught a diffuse and unformed signal. It said so. A dissertation that draws the edge of its own knowledge clearly, and hands the next researcher a map of exactly where the evidence runs dry, has done the work an early-stage inquiry is meant to do</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final word belongs to the standard the introduction set. That standard was not to prove the coordination bind stiffening, nor to bless the prominence thesis, but to build a route a reader could walk from source to variable to coefficient to reading, and to let every step of that route be checked. The route got built, walked, and printed, and it led to a modest and mostly negative result that is, for all its modesty, true to the evidence and honest about its reach. In a field where the pull to overclaim runs constant and the cost of overclaiming is a governance call made on evidence that could not bear it, a dissertation that refuses the overclaim has done something worth doing</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07"/>
    <w:bookmarkStart w:id="108" w:name="a-note-on-transferability"/>
    <w:p>
      <w:pPr>
        <w:pStyle w:val="Heading2"/>
        <w:spacing w:line="480" w:lineRule="auto"/>
      </w:pPr>
      <w:r>
        <w:t xml:space="preserve">8.5 A note on transferability</w:t>
      </w:r>
    </w:p>
    <w:p>
      <w:pPr>
        <w:pStyle w:val="FirstParagraph"/>
        <w:spacing w:line="480" w:lineRule="auto"/>
      </w:pPr>
      <w:r>
        <w:t xml:space="preserve">The instrument raised here is not specific to the shared shell, and its transferability is part of what an early-stage inquiry should fix. The three predictors, recency, citation notice, and venue family, are generic traits of any research corpus, and the pooled theme-word score redoes for any topic whose vocabulary a researcher can spell out</w:t>
      </w:r>
      <w:r>
        <w:t xml:space="preserve"> </w:t>
      </w:r>
      <w:hyperlink w:anchor="ref-6">
        <w:r>
          <w:rPr>
            <w:rStyle w:val="Hyperlink"/>
          </w:rPr>
          <w:t xml:space="preserve">[6]</w:t>
        </w:r>
      </w:hyperlink>
      <w:r>
        <w:t xml:space="preserve">. The two estimators run equally generic. Nothing in the ordinary least squares sieve or the learning-curve model is tuned to orbital debris; both would run unchanged on a corpus about spectrum coordination, planetary-protection norms, or any other emerging space-governance problem whose ripeness a program office wanted to gauge</w:t>
      </w:r>
      <w:r>
        <w:t xml:space="preserve"> </w:t>
      </w:r>
      <w:hyperlink w:anchor="ref-2">
        <w:r>
          <w:rPr>
            <w:rStyle w:val="Hyperlink"/>
          </w:rPr>
          <w:t xml:space="preserve">[2]</w:t>
        </w:r>
      </w:hyperlink>
      <w:r>
        <w:t xml:space="preserve">. The method is a template, and the shared shell is merely the first case run through it.</w:t>
      </w:r>
    </w:p>
    <w:p>
      <w:pPr>
        <w:pStyle w:val="BodyText"/>
        <w:spacing w:line="480" w:lineRule="auto"/>
        <w:ind w:firstLine="720"/>
      </w:pPr>
      <w:r>
        <w:t xml:space="preserve">That generality carries a caution, though, which the shared-shell result shows well. A template that hands back a null on a diffuse topic will hand back nulls on many topics, since most emerging problems run diffuse before they firm up</w:t>
      </w:r>
      <w:r>
        <w:t xml:space="preserve"> </w:t>
      </w:r>
      <w:hyperlink w:anchor="ref-3">
        <w:r>
          <w:rPr>
            <w:rStyle w:val="Hyperlink"/>
          </w:rPr>
          <w:t xml:space="preserve">[3]</w:t>
        </w:r>
      </w:hyperlink>
      <w:r>
        <w:t xml:space="preserve"> </w:t>
      </w:r>
      <w:hyperlink w:anchor="ref-15">
        <w:r>
          <w:rPr>
            <w:rStyle w:val="Hyperlink"/>
          </w:rPr>
          <w:t xml:space="preserve">[15]</w:t>
        </w:r>
      </w:hyperlink>
      <w:r>
        <w:t xml:space="preserve">. An analyst laying the sieve across a portfolio of governance problems would therefore look for a landscape of mostly-null results punctuated by the odd structured one, and the value would sit in the contrast: the topics that do show structure stand out precisely because so many do not. Read that way, the shared shell’s null is no failure of the instrument but a calibration point, a reading of what an unformed field looks like against which a forming one could later be caught</w:t>
      </w:r>
      <w:r>
        <w:t xml:space="preserve"> </w:t>
      </w:r>
      <w:hyperlink w:anchor="ref-1">
        <w:r>
          <w:rPr>
            <w:rStyle w:val="Hyperlink"/>
          </w:rPr>
          <w:t xml:space="preserve">[1]</w:t>
        </w:r>
      </w:hyperlink>
      <w:r>
        <w:t xml:space="preserve">.</w:t>
      </w:r>
    </w:p>
    <w:bookmarkEnd w:id="108"/>
    <w:bookmarkStart w:id="109" w:name="reflection-on-the-design-stage-form"/>
    <w:p>
      <w:pPr>
        <w:pStyle w:val="Heading2"/>
        <w:spacing w:line="480" w:lineRule="auto"/>
      </w:pPr>
      <w:r>
        <w:t xml:space="preserve">8.6 Reflection on the design-stage form</w:t>
      </w:r>
    </w:p>
    <w:p>
      <w:pPr>
        <w:pStyle w:val="FirstParagraph"/>
        <w:spacing w:line="480" w:lineRule="auto"/>
      </w:pPr>
      <w:r>
        <w:t xml:space="preserve">Closing on what it means for a doctoral dissertation to be, by design, a mostly negative result honestly printed is worth the space. The form runs uncomfortable for a field trained to look for a blessed hypothesis, yet it is arguably the more rigorous form, since it seals off the retrospective storytelling a positive result invites</w:t>
      </w:r>
      <w:r>
        <w:t xml:space="preserve"> </w:t>
      </w:r>
      <w:hyperlink w:anchor="ref-3">
        <w:r>
          <w:rPr>
            <w:rStyle w:val="Hyperlink"/>
          </w:rPr>
          <w:t xml:space="preserve">[3]</w:t>
        </w:r>
      </w:hyperlink>
      <w:r>
        <w:t xml:space="preserve">. A dissertation that set out to bless prominence and caught it would face a permanent question about whether the finding got fitted after the fact. This one set out to test prominence, pre-committed to what each outcome would mean, and printed the outcome the data handed over, taking in the sharp coefficient that ran the wrong way</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 reader never has to wonder whether the reading got reverse-engineered from the numbers, since the reading got pinned before the numbers landed.</w:t>
      </w:r>
    </w:p>
    <w:p>
      <w:pPr>
        <w:pStyle w:val="BodyText"/>
        <w:spacing w:line="480" w:lineRule="auto"/>
        <w:ind w:firstLine="720"/>
      </w:pPr>
      <w:r>
        <w:t xml:space="preserve">The shared shell will not be governed by a corpus sieve, and no chapter here pretended so. What a corpus sieve can do is tell an honest researcher, and an honest program office, whether a field has yet gathered around a problem urgent enough to demand coordination</w:t>
      </w:r>
      <w:r>
        <w:t xml:space="preserve"> </w:t>
      </w:r>
      <w:hyperlink w:anchor="ref-5">
        <w:r>
          <w:rPr>
            <w:rStyle w:val="Hyperlink"/>
          </w:rPr>
          <w:t xml:space="preserve">[5]</w:t>
        </w:r>
      </w:hyperlink>
      <w:r>
        <w:t xml:space="preserve"> </w:t>
      </w:r>
      <w:hyperlink w:anchor="ref-8">
        <w:r>
          <w:rPr>
            <w:rStyle w:val="Hyperlink"/>
          </w:rPr>
          <w:t xml:space="preserve">[8]</w:t>
        </w:r>
      </w:hyperlink>
      <w:r>
        <w:t xml:space="preserve">. On the shared shell, at this sample count, through these proxies, the answer is not yet. The answer runs small. It runs checkable and true, and handing it forward with a clear map of where the evidence runs dry is the whole of what this early-stage inquiry set out to do</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09"/>
    <w:bookmarkStart w:id="110" w:name="the-instrument-in-the-wider-pipeline"/>
    <w:p>
      <w:pPr>
        <w:pStyle w:val="Heading2"/>
        <w:spacing w:line="480" w:lineRule="auto"/>
      </w:pPr>
      <w:r>
        <w:t xml:space="preserve">8.7 The instrument in the wider pipeline</w:t>
      </w:r>
    </w:p>
    <w:p>
      <w:pPr>
        <w:pStyle w:val="FirstParagraph"/>
        <w:spacing w:line="480" w:lineRule="auto"/>
      </w:pPr>
      <w:r>
        <w:t xml:space="preserve">A last way to slot the contribution exists, which is to set the instrument in the pipeline of inquiry it belongs to rather than judging it alone. Governance-relevant research on emerging space problems tends to move through stages: first the physical problem gets charted, then the strategic structure gets modeled, then the field debates institutional cures, and only after the field has gathered does coordinated rule-making turn feasible</w:t>
      </w:r>
      <w:r>
        <w:t xml:space="preserve"> </w:t>
      </w:r>
      <w:hyperlink w:anchor="ref-3">
        <w:r>
          <w:rPr>
            <w:rStyle w:val="Hyperlink"/>
          </w:rPr>
          <w:t xml:space="preserve">[3]</w:t>
        </w:r>
      </w:hyperlink>
      <w:r>
        <w:t xml:space="preserve"> </w:t>
      </w:r>
      <w:hyperlink w:anchor="ref-15">
        <w:r>
          <w:rPr>
            <w:rStyle w:val="Hyperlink"/>
          </w:rPr>
          <w:t xml:space="preserve">[15]</w:t>
        </w:r>
      </w:hyperlink>
      <w:r>
        <w:t xml:space="preserve">. A corpus sieve speaks to the passage between the third and fourth stages, catching whether the debate has yet firmed into the shared frame a rule would need. The shared shell, on this evidence, sits ahead of that passage, its debate still spread across incompatible vocabularies and outlets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This staging also answers a question a doubting examiner would press: why run the sieve at all if its likeliest outcome, on an unformed topic, is a null? The answer is that the null is no failure of the sieve but a reading of the field’s stage, and readings of stage run decision-relevant even when negative</w:t>
      </w:r>
      <w:r>
        <w:t xml:space="preserve"> </w:t>
      </w:r>
      <w:hyperlink w:anchor="ref-3">
        <w:r>
          <w:rPr>
            <w:rStyle w:val="Hyperlink"/>
          </w:rPr>
          <w:t xml:space="preserve">[3]</w:t>
        </w:r>
      </w:hyperlink>
      <w:r>
        <w:t xml:space="preserve">. A program office that learns a problem sits pre-gathering learns not to burn effort drafting a rule that would find no purchase, and learns instead to sink effort into the frame-building and vocabulary-firming that must precede a rule</w:t>
      </w:r>
      <w:r>
        <w:t xml:space="preserve"> </w:t>
      </w:r>
      <w:hyperlink w:anchor="ref-1">
        <w:r>
          <w:rPr>
            <w:rStyle w:val="Hyperlink"/>
          </w:rPr>
          <w:t xml:space="preserve">[1]</w:t>
        </w:r>
      </w:hyperlink>
      <w:r>
        <w:t xml:space="preserve"> </w:t>
      </w:r>
      <w:hyperlink w:anchor="ref-15">
        <w:r>
          <w:rPr>
            <w:rStyle w:val="Hyperlink"/>
          </w:rPr>
          <w:t xml:space="preserve">[15]</w:t>
        </w:r>
      </w:hyperlink>
      <w:r>
        <w:t xml:space="preserve">. A negative reading from a well-built sieve is therefore actionable where an untested assertion of prominence never is, since the negative reading tells the office where in the pipeline the problem actually sits rather than where advocacy wishes it sat</w:t>
      </w:r>
      <w:r>
        <w:t xml:space="preserve"> </w:t>
      </w:r>
      <w:hyperlink w:anchor="ref-11">
        <w:r>
          <w:rPr>
            <w:rStyle w:val="Hyperlink"/>
          </w:rPr>
          <w:t xml:space="preserve">[11]</w:t>
        </w:r>
      </w:hyperlink>
      <w:r>
        <w:t xml:space="preserve">.</w:t>
      </w:r>
    </w:p>
    <w:p>
      <w:pPr>
        <w:pStyle w:val="BodyText"/>
        <w:spacing w:line="480" w:lineRule="auto"/>
        <w:ind w:firstLine="720"/>
      </w:pPr>
      <w:r>
        <w:t xml:space="preserve">Slotting the instrument this way clears up both its value and its modesty. Its value is that it hands the passage a gaugeable signature, so a program office need not lean on impression or advocacy to judge whether a field is ready</w:t>
      </w:r>
      <w:r>
        <w:t xml:space="preserve"> </w:t>
      </w:r>
      <w:hyperlink w:anchor="ref-1">
        <w:r>
          <w:rPr>
            <w:rStyle w:val="Hyperlink"/>
          </w:rPr>
          <w:t xml:space="preserve">[1]</w:t>
        </w:r>
      </w:hyperlink>
      <w:r>
        <w:t xml:space="preserve">. Its modesty is that it reads only that one passage and reads it through an outline, so it can never stand in for the substantive work of the earlier stages or the behavioral work a ripe governance study would demand</w:t>
      </w:r>
      <w:r>
        <w:t xml:space="preserve"> </w:t>
      </w:r>
      <w:hyperlink w:anchor="ref-4">
        <w:r>
          <w:rPr>
            <w:rStyle w:val="Hyperlink"/>
          </w:rPr>
          <w:t xml:space="preserve">[4]</w:t>
        </w:r>
      </w:hyperlink>
      <w:r>
        <w:t xml:space="preserve"> </w:t>
      </w:r>
      <w:hyperlink w:anchor="ref-16">
        <w:r>
          <w:rPr>
            <w:rStyle w:val="Hyperlink"/>
          </w:rPr>
          <w:t xml:space="preserve">[16]</w:t>
        </w:r>
      </w:hyperlink>
      <w:r>
        <w:t xml:space="preserve">. A dissertation that grasped its own slot in the pipeline this precisely, and refused to claim the ground of the stages ahead of and behind it, has done the specific job an early-stage inquiry exists to do. It built one checkable instrument, aimed it at one gaugeable question, printed what it caught, and marked exactly where the next researcher should pick up the work</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10"/>
    <w:bookmarkStart w:id="140" w:name="references"/>
    <w:p>
      <w:pPr>
        <w:pStyle w:val="Heading2"/>
        <w:spacing w:line="480" w:lineRule="auto"/>
      </w:pPr>
      <w:r>
        <w:t xml:space="preserve">References</w:t>
      </w:r>
    </w:p>
    <w:p>
      <w:pPr>
        <w:pStyle w:val="FirstParagraph"/>
        <w:spacing w:line="480" w:lineRule="auto"/>
      </w:pPr>
      <w:bookmarkStart w:id="111" w:name="ref-1"/>
      <w:bookmarkEnd w:id="111"/>
      <w:r>
        <w:t xml:space="preserve">1. Przemek Wozniak, Los Alamos National Laboratory; Svetlana Riabova, Los Alamos National Laboratory; Hassan Hijazi, Los Alamos National Laboratory. Coordinated Space Domain Awareness as an Optimized Commodity Market (2023). doi:</w:t>
      </w:r>
      <w:r>
        <w:t xml:space="preserve"> </w:t>
      </w:r>
      <w:hyperlink r:id="rId112">
        <w:r>
          <w:rPr>
            <w:rStyle w:val="Hyperlink"/>
          </w:rPr>
          <w:t xml:space="preserve">10.64861/LDVO7244</w:t>
        </w:r>
      </w:hyperlink>
    </w:p>
    <w:p>
      <w:pPr>
        <w:pStyle w:val="BodyText"/>
        <w:spacing w:line="480" w:lineRule="auto"/>
        <w:ind w:firstLine="720"/>
      </w:pPr>
      <w:bookmarkStart w:id="113" w:name="ref-2"/>
      <w:bookmarkEnd w:id="113"/>
      <w:r>
        <w:t xml:space="preserve">2. Karis Courey, Booz Allen Hamilton; Stephen Gerrells, Booz Allen Hamilton; Michael Moniger, Booz Allen Hamilton; Aubrey Shields, Booz Allen Hamilton; Karen Phumisithikul, Booz Allen Hamilton. Agentic LLMs &amp; Multimodal Data Fusion for Space Domain Awareness (2025). doi:</w:t>
      </w:r>
      <w:r>
        <w:t xml:space="preserve"> </w:t>
      </w:r>
      <w:hyperlink r:id="rId114">
        <w:r>
          <w:rPr>
            <w:rStyle w:val="Hyperlink"/>
          </w:rPr>
          <w:t xml:space="preserve">10.64861/URSW2020</w:t>
        </w:r>
      </w:hyperlink>
    </w:p>
    <w:p>
      <w:pPr>
        <w:pStyle w:val="BodyText"/>
        <w:spacing w:line="480" w:lineRule="auto"/>
        <w:ind w:firstLine="720"/>
      </w:pPr>
      <w:bookmarkStart w:id="115" w:name="ref-3"/>
      <w:bookmarkEnd w:id="115"/>
      <w:r>
        <w:t xml:space="preserve">3.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16">
        <w:r>
          <w:rPr>
            <w:rStyle w:val="Hyperlink"/>
          </w:rPr>
          <w:t xml:space="preserve">10.64861/FKER7625</w:t>
        </w:r>
      </w:hyperlink>
    </w:p>
    <w:p>
      <w:pPr>
        <w:pStyle w:val="BodyText"/>
        <w:spacing w:line="480" w:lineRule="auto"/>
        <w:ind w:firstLine="720"/>
      </w:pPr>
      <w:bookmarkStart w:id="117" w:name="ref-4"/>
      <w:bookmarkEnd w:id="117"/>
      <w:r>
        <w:t xml:space="preserve">4. Tyler Becker, University of Colorado Boulder; Zachary Sunberg, University of Colorado Boulder. Imperfect Information Games and Counterfactual Regret Minimization in Space Domain Awareness (2022). [AMOS]</w:t>
      </w:r>
    </w:p>
    <w:p>
      <w:pPr>
        <w:pStyle w:val="BodyText"/>
        <w:spacing w:line="480" w:lineRule="auto"/>
        <w:ind w:firstLine="720"/>
      </w:pPr>
      <w:bookmarkStart w:id="118" w:name="ref-5"/>
      <w:bookmarkEnd w:id="118"/>
      <w:r>
        <w:t xml:space="preserve">5. Mark A. Sturza, Viasat, Inc.; Mark D. Dankberg, Viasat, Inc.; William N. Blount, Viasat, Inc.. LEO Capacity Modeling for Sustainable Design (2022). [AMOS]</w:t>
      </w:r>
    </w:p>
    <w:p>
      <w:pPr>
        <w:pStyle w:val="BodyText"/>
        <w:spacing w:line="480" w:lineRule="auto"/>
        <w:ind w:firstLine="720"/>
      </w:pPr>
      <w:bookmarkStart w:id="119" w:name="ref-6"/>
      <w:bookmarkEnd w:id="119"/>
      <w:r>
        <w:t xml:space="preserve">6. Jan Wassenberg (Fraunhofer IOSB), Wolfgang Middelmann (Fraunhofer IOSB), Peter Sanders (KIT). Highly Efficient Screening for Point-Like Targets Via Concentric Shells (2010). [AMOS]</w:t>
      </w:r>
    </w:p>
    <w:p>
      <w:pPr>
        <w:pStyle w:val="BodyText"/>
        <w:spacing w:line="480" w:lineRule="auto"/>
        <w:ind w:firstLine="720"/>
      </w:pPr>
      <w:bookmarkStart w:id="120" w:name="ref-7"/>
      <w:bookmarkEnd w:id="120"/>
      <w:r>
        <w:t xml:space="preserve">7. Naomi Owens-Fahrner, BAE Systems; Joshua Wysack, BAE Systems; Justin Kim, BAE Systems. Graph-Based Optimization for High-Density LEO Constellation Design (2025). doi:</w:t>
      </w:r>
      <w:r>
        <w:t xml:space="preserve"> </w:t>
      </w:r>
      <w:hyperlink r:id="rId121">
        <w:r>
          <w:rPr>
            <w:rStyle w:val="Hyperlink"/>
          </w:rPr>
          <w:t xml:space="preserve">10.64861/IKLU8599</w:t>
        </w:r>
      </w:hyperlink>
    </w:p>
    <w:p>
      <w:pPr>
        <w:pStyle w:val="BodyText"/>
        <w:spacing w:line="480" w:lineRule="auto"/>
        <w:ind w:firstLine="720"/>
      </w:pPr>
      <w:bookmarkStart w:id="122" w:name="ref-8"/>
      <w:bookmarkEnd w:id="122"/>
      <w:r>
        <w:t xml:space="preserve">8. Di Wu, Embry Riddle Aeronautical University. A Framework for Space Safety Analysis: Fragmentation Footprint and Multi-Shell Critical Density (2025). doi:</w:t>
      </w:r>
      <w:r>
        <w:t xml:space="preserve"> </w:t>
      </w:r>
      <w:hyperlink r:id="rId123">
        <w:r>
          <w:rPr>
            <w:rStyle w:val="Hyperlink"/>
          </w:rPr>
          <w:t xml:space="preserve">10.64861/QGVF6609</w:t>
        </w:r>
      </w:hyperlink>
    </w:p>
    <w:p>
      <w:pPr>
        <w:pStyle w:val="BodyText"/>
        <w:spacing w:line="480" w:lineRule="auto"/>
        <w:ind w:firstLine="720"/>
      </w:pPr>
      <w:bookmarkStart w:id="124" w:name="ref-9"/>
      <w:bookmarkEnd w:id="124"/>
      <w:r>
        <w:t xml:space="preserve">9. Joshua F. Anderson; Michel‐Alexandre Cardin; Paul T. Grogan. Design and analysis of flexible multi-layer staged deployment for satellite mega-constellations under demand uncertainty (2022). doi:</w:t>
      </w:r>
      <w:r>
        <w:t xml:space="preserve"> </w:t>
      </w:r>
      <w:hyperlink r:id="rId125">
        <w:r>
          <w:rPr>
            <w:rStyle w:val="Hyperlink"/>
          </w:rPr>
          <w:t xml:space="preserve">10.1016/j.actaastro.2022.05.022</w:t>
        </w:r>
      </w:hyperlink>
    </w:p>
    <w:p>
      <w:pPr>
        <w:pStyle w:val="BodyText"/>
        <w:spacing w:line="480" w:lineRule="auto"/>
        <w:ind w:firstLine="720"/>
      </w:pPr>
      <w:bookmarkStart w:id="126" w:name="ref-10"/>
      <w:bookmarkEnd w:id="126"/>
      <w:r>
        <w:t xml:space="preserve">10. Anna Hurova. Gamification as a tool to identify and address ongoing challenges in space activities: the case of space debris mitigation (2024). doi:</w:t>
      </w:r>
      <w:r>
        <w:t xml:space="preserve"> </w:t>
      </w:r>
      <w:hyperlink r:id="rId127">
        <w:r>
          <w:rPr>
            <w:rStyle w:val="Hyperlink"/>
          </w:rPr>
          <w:t xml:space="preserve">10.1016/j.actaastro.2024.09.057</w:t>
        </w:r>
      </w:hyperlink>
    </w:p>
    <w:p>
      <w:pPr>
        <w:pStyle w:val="BodyText"/>
        <w:spacing w:line="480" w:lineRule="auto"/>
        <w:ind w:firstLine="720"/>
      </w:pPr>
      <w:bookmarkStart w:id="128" w:name="ref-11"/>
      <w:bookmarkEnd w:id="128"/>
      <w:r>
        <w:t xml:space="preserve">11. Anna Hurova; M. Becker; Nicolas Bécu. Gamification in space law: A strategy to navigate the growing landscape (2025). doi:</w:t>
      </w:r>
      <w:r>
        <w:t xml:space="preserve"> </w:t>
      </w:r>
      <w:hyperlink r:id="rId129">
        <w:r>
          <w:rPr>
            <w:rStyle w:val="Hyperlink"/>
          </w:rPr>
          <w:t xml:space="preserve">10.1016/j.actaastro.2025.01.054</w:t>
        </w:r>
      </w:hyperlink>
    </w:p>
    <w:p>
      <w:pPr>
        <w:pStyle w:val="BodyText"/>
        <w:spacing w:line="480" w:lineRule="auto"/>
        <w:ind w:firstLine="720"/>
      </w:pPr>
      <w:bookmarkStart w:id="130" w:name="ref-12"/>
      <w:bookmarkEnd w:id="130"/>
      <w:r>
        <w:t xml:space="preserve">12. Christiane Heinicke; Lucie Poulet; Jocelyn Dunn; Anne J. Meier. Crew self-organization and group-living habits during three autonomous, long-duration Mars analog missions (2021). doi:</w:t>
      </w:r>
      <w:r>
        <w:t xml:space="preserve"> </w:t>
      </w:r>
      <w:hyperlink r:id="rId131">
        <w:r>
          <w:rPr>
            <w:rStyle w:val="Hyperlink"/>
          </w:rPr>
          <w:t xml:space="preserve">10.1016/j.actaastro.2021.01.049</w:t>
        </w:r>
      </w:hyperlink>
    </w:p>
    <w:p>
      <w:pPr>
        <w:pStyle w:val="BodyText"/>
        <w:spacing w:line="480" w:lineRule="auto"/>
        <w:ind w:firstLine="720"/>
      </w:pPr>
      <w:bookmarkStart w:id="132" w:name="ref-13"/>
      <w:bookmarkEnd w:id="132"/>
      <w:r>
        <w:t xml:space="preserve">13. David F. Gahan. An overlooked Schelling point candidate for optical SETI: ‘MiM’ (2025). doi:</w:t>
      </w:r>
      <w:r>
        <w:t xml:space="preserve"> </w:t>
      </w:r>
      <w:hyperlink r:id="rId133">
        <w:r>
          <w:rPr>
            <w:rStyle w:val="Hyperlink"/>
          </w:rPr>
          <w:t xml:space="preserve">10.1016/j.actaastro.2025.06.003</w:t>
        </w:r>
      </w:hyperlink>
    </w:p>
    <w:p>
      <w:pPr>
        <w:pStyle w:val="BodyText"/>
        <w:spacing w:line="480" w:lineRule="auto"/>
        <w:ind w:firstLine="720"/>
      </w:pPr>
      <w:bookmarkStart w:id="134" w:name="ref-14"/>
      <w:bookmarkEnd w:id="134"/>
      <w:r>
        <w:t xml:space="preserve">14. Grégoire Chomette; Lorien Wheeler; Donovan Mathias. Machine learning for the prediction of local asteroid damages (2024). doi:</w:t>
      </w:r>
      <w:r>
        <w:t xml:space="preserve"> </w:t>
      </w:r>
      <w:hyperlink r:id="rId135">
        <w:r>
          <w:rPr>
            <w:rStyle w:val="Hyperlink"/>
          </w:rPr>
          <w:t xml:space="preserve">10.1016/j.actaastro.2024.01.049</w:t>
        </w:r>
      </w:hyperlink>
    </w:p>
    <w:p>
      <w:pPr>
        <w:pStyle w:val="BodyText"/>
        <w:spacing w:line="480" w:lineRule="auto"/>
        <w:ind w:firstLine="720"/>
      </w:pPr>
      <w:bookmarkStart w:id="136" w:name="ref-15"/>
      <w:bookmarkEnd w:id="136"/>
      <w:r>
        <w:t xml:space="preserve">15.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37">
        <w:r>
          <w:rPr>
            <w:rStyle w:val="Hyperlink"/>
          </w:rPr>
          <w:t xml:space="preserve">10.1016/j.actaastro.2025.01.069</w:t>
        </w:r>
      </w:hyperlink>
    </w:p>
    <w:p>
      <w:pPr>
        <w:pStyle w:val="BodyText"/>
        <w:spacing w:line="480" w:lineRule="auto"/>
        <w:ind w:firstLine="720"/>
      </w:pPr>
      <w:bookmarkStart w:id="138" w:name="ref-16"/>
      <w:bookmarkEnd w:id="138"/>
      <w:r>
        <w:t xml:space="preserve">16.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39">
        <w:r>
          <w:rPr>
            <w:rStyle w:val="Hyperlink"/>
          </w:rPr>
          <w:t xml:space="preserve">10.1016/j.actaastro.2025.10.018</w:t>
        </w:r>
      </w:hyperlink>
    </w:p>
    <w:bookmarkEnd w:id="140"/>
    <w:bookmarkEnd w:id="141"/>
    <w:bookmarkStart w:id="15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49" w:name="Xb9ce5d7740c99831e63a796d633afe66615e9ea"/>
    <w:p>
      <w:pPr>
        <w:pStyle w:val="Heading2"/>
        <w:spacing w:line="480" w:lineRule="auto"/>
      </w:pPr>
      <w:r>
        <w:t xml:space="preserve">A.1 Signal Intensity in Bargaining Over a Shared Shell A Schelling-Game Model of Coordination Failure i: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4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3.7913</w:t>
            </w:r>
          </w:p>
        </w:tc>
        <w:tc>
          <w:tcPr>
            <w:tcW w:w="0" w:type="auto"/>
          </w:tcPr>
          <w:p>
            <w:pPr>
              <w:spacing w:line="240" w:lineRule="auto" w:before="0" w:after="0"/>
              <w:pStyle w:val="Compact"/>
            </w:pPr>
            <w:r>
              <w:rPr>
                <w:sz w:val="20"/>
                <w:szCs w:val="20"/>
              </w:rPr>
              <w:t xml:space="preserve">1.0101</w:t>
            </w:r>
          </w:p>
        </w:tc>
        <w:tc>
          <w:tcPr>
            <w:tcW w:w="0" w:type="auto"/>
          </w:tcPr>
          <w:p>
            <w:pPr>
              <w:spacing w:line="240" w:lineRule="auto" w:before="0" w:after="0"/>
              <w:pStyle w:val="Compact"/>
            </w:pPr>
            <w:r>
              <w:rPr>
                <w:sz w:val="20"/>
                <w:szCs w:val="20"/>
              </w:rPr>
              <w:t xml:space="preserve">3.7536</w:t>
            </w:r>
          </w:p>
        </w:tc>
        <w:tc>
          <w:tcPr>
            <w:tcW w:w="0" w:type="auto"/>
          </w:tcPr>
          <w:p>
            <w:pPr>
              <w:spacing w:line="240" w:lineRule="auto" w:before="0" w:after="0"/>
              <w:pStyle w:val="Compact"/>
            </w:pPr>
            <w:r>
              <w:rPr>
                <w:sz w:val="20"/>
                <w:szCs w:val="20"/>
              </w:rPr>
              <w:t xml:space="preserve">0.0001743</w:t>
            </w:r>
          </w:p>
        </w:tc>
        <w:tc>
          <w:tcPr>
            <w:tcW w:w="0" w:type="auto"/>
          </w:tcPr>
          <w:p>
            <w:pPr>
              <w:spacing w:line="240" w:lineRule="auto" w:before="0" w:after="0"/>
              <w:pStyle w:val="Compact"/>
            </w:pPr>
            <w:r>
              <w:rPr>
                <w:sz w:val="20"/>
                <w:szCs w:val="20"/>
              </w:rPr>
              <w:t xml:space="preserve">[1.8117, 5.771]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-0.0505</w:t>
            </w:r>
          </w:p>
        </w:tc>
        <w:tc>
          <w:tcPr>
            <w:tcW w:w="0" w:type="auto"/>
          </w:tcPr>
          <w:p>
            <w:pPr>
              <w:spacing w:line="240" w:lineRule="auto" w:before="0" w:after="0"/>
              <w:pStyle w:val="Compact"/>
            </w:pPr>
            <w:r>
              <w:rPr>
                <w:sz w:val="20"/>
                <w:szCs w:val="20"/>
              </w:rPr>
              <w:t xml:space="preserve">0.0621</w:t>
            </w:r>
          </w:p>
        </w:tc>
        <w:tc>
          <w:tcPr>
            <w:tcW w:w="0" w:type="auto"/>
          </w:tcPr>
          <w:p>
            <w:pPr>
              <w:spacing w:line="240" w:lineRule="auto" w:before="0" w:after="0"/>
              <w:pStyle w:val="Compact"/>
            </w:pPr>
            <w:r>
              <w:rPr>
                <w:sz w:val="20"/>
                <w:szCs w:val="20"/>
              </w:rPr>
              <w:t xml:space="preserve">-0.8136</w:t>
            </w:r>
          </w:p>
        </w:tc>
        <w:tc>
          <w:tcPr>
            <w:tcW w:w="0" w:type="auto"/>
          </w:tcPr>
          <w:p>
            <w:pPr>
              <w:spacing w:line="240" w:lineRule="auto" w:before="0" w:after="0"/>
              <w:pStyle w:val="Compact"/>
            </w:pPr>
            <w:r>
              <w:rPr>
                <w:sz w:val="20"/>
                <w:szCs w:val="20"/>
              </w:rPr>
              <w:t xml:space="preserve">0.4159</w:t>
            </w:r>
          </w:p>
        </w:tc>
        <w:tc>
          <w:tcPr>
            <w:tcW w:w="0" w:type="auto"/>
          </w:tcPr>
          <w:p>
            <w:pPr>
              <w:spacing w:line="240" w:lineRule="auto" w:before="0" w:after="0"/>
              <w:pStyle w:val="Compact"/>
            </w:pPr>
            <w:r>
              <w:rPr>
                <w:sz w:val="20"/>
                <w:szCs w:val="20"/>
              </w:rPr>
              <w:t xml:space="preserve">[-0.1721, 0.0711]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-0.0541</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-2.2314</w:t>
            </w:r>
          </w:p>
        </w:tc>
        <w:tc>
          <w:tcPr>
            <w:tcW w:w="0" w:type="auto"/>
          </w:tcPr>
          <w:p>
            <w:pPr>
              <w:spacing w:line="240" w:lineRule="auto" w:before="0" w:after="0"/>
              <w:pStyle w:val="Compact"/>
            </w:pPr>
            <w:r>
              <w:rPr>
                <w:sz w:val="20"/>
                <w:szCs w:val="20"/>
              </w:rPr>
              <w:t xml:space="preserve">0.0257</w:t>
            </w:r>
          </w:p>
        </w:tc>
        <w:tc>
          <w:tcPr>
            <w:tcW w:w="0" w:type="auto"/>
          </w:tcPr>
          <w:p>
            <w:pPr>
              <w:spacing w:line="240" w:lineRule="auto" w:before="0" w:after="0"/>
              <w:pStyle w:val="Compact"/>
            </w:pPr>
            <w:r>
              <w:rPr>
                <w:sz w:val="20"/>
                <w:szCs w:val="20"/>
              </w:rPr>
              <w:t xml:space="preserve">[-0.1016, -0.0066]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-0.3247</w:t>
            </w:r>
          </w:p>
        </w:tc>
        <w:tc>
          <w:tcPr>
            <w:tcW w:w="0" w:type="auto"/>
          </w:tcPr>
          <w:p>
            <w:pPr>
              <w:spacing w:line="240" w:lineRule="auto" w:before="0" w:after="0"/>
              <w:pStyle w:val="Compact"/>
            </w:pPr>
            <w:r>
              <w:rPr>
                <w:sz w:val="20"/>
                <w:szCs w:val="20"/>
              </w:rPr>
              <w:t xml:space="preserve">0.3978</w:t>
            </w:r>
          </w:p>
        </w:tc>
        <w:tc>
          <w:tcPr>
            <w:tcW w:w="0" w:type="auto"/>
          </w:tcPr>
          <w:p>
            <w:pPr>
              <w:spacing w:line="240" w:lineRule="auto" w:before="0" w:after="0"/>
              <w:pStyle w:val="Compact"/>
            </w:pPr>
            <w:r>
              <w:rPr>
                <w:sz w:val="20"/>
                <w:szCs w:val="20"/>
              </w:rPr>
              <w:t xml:space="preserve">-0.8161</w:t>
            </w:r>
          </w:p>
        </w:tc>
        <w:tc>
          <w:tcPr>
            <w:tcW w:w="0" w:type="auto"/>
          </w:tcPr>
          <w:p>
            <w:pPr>
              <w:spacing w:line="240" w:lineRule="auto" w:before="0" w:after="0"/>
              <w:pStyle w:val="Compact"/>
            </w:pPr>
            <w:r>
              <w:rPr>
                <w:sz w:val="20"/>
                <w:szCs w:val="20"/>
              </w:rPr>
              <w:t xml:space="preserve">0.4145</w:t>
            </w:r>
          </w:p>
        </w:tc>
        <w:tc>
          <w:tcPr>
            <w:tcW w:w="0" w:type="auto"/>
          </w:tcPr>
          <w:p>
            <w:pPr>
              <w:spacing w:line="240" w:lineRule="auto" w:before="0" w:after="0"/>
              <w:pStyle w:val="Compact"/>
            </w:pPr>
            <w:r>
              <w:rPr>
                <w:sz w:val="20"/>
                <w:szCs w:val="20"/>
              </w:rPr>
              <w:t xml:space="preserve">[-1.1044, 0.4551]</w:t>
            </w:r>
          </w:p>
        </w:tc>
      </w:tr>
    </w:tbl>
    <w:p>
      <w:pPr>
        <w:pStyle w:val="BodyText"/>
        <w:spacing w:line="480" w:lineRule="auto"/>
        <w:ind w:firstLine="720"/>
      </w:pPr>
      <w:r>
        <w:t xml:space="preserve">Fit: N = 30 R2 = 0.0804 R2_adj = -0.0257 F = 2.4569 F_p = 0.0855</w:t>
      </w:r>
    </w:p>
    <w:bookmarkEnd w:id="142"/>
    <w:bookmarkStart w:id="14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44" name="Picture"/>
            <a:graphic>
              <a:graphicData uri="http://schemas.openxmlformats.org/drawingml/2006/picture">
                <pic:pic>
                  <pic:nvPicPr>
                    <pic:cNvPr descr="D:/Claude_Code/brain/collegium/candidates/dissertations/DEBRIS_11/research_papers/p1/paper_fig1.png" id="145" name="Picture"/>
                    <pic:cNvPicPr>
                      <a:picLocks noChangeArrowheads="1" noChangeAspect="1"/>
                    </pic:cNvPicPr>
                  </pic:nvPicPr>
                  <pic:blipFill>
                    <a:blip r:embed="rId14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46"/>
    <w:bookmarkStart w:id="14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10.64861/URSW2020</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https://amostech.space/year/2022/imperfect-information-games-and-counterfactual-regret-minimization-in-space-domain-awareness/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https://amostech.space/year/2010/highly-efficient-screening-for-point-like-targets-via-concentric-shells/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10.64861/QGVF6609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https://amostech.space/year/2021/the-solar-particle-access-model-spam-a-new-tool-for-monitoring-solar-energetic-particle-impacts-to-satellite-operations/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10.64861/GCJM8077</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10.1016/j.actaastro.2021.01.049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10.1016/j.actaastro.2025.06.003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10.1016/j.actaastro.2024.01.049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10.1016/j.actaastro.2026.05.026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Large Satellite Constellations and the Space Commons (Differential Game)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10.1016/j.ejor.2022.04.030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bl>
    <w:bookmarkEnd w:id="147"/>
    <w:bookmarkStart w:id="14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48"/>
    <w:bookmarkEnd w:id="149"/>
    <w:bookmarkStart w:id="157" w:name="Xabd9159f55168bd84f6b36a5995018195d20572"/>
    <w:p>
      <w:pPr>
        <w:pStyle w:val="Heading2"/>
        <w:spacing w:line="480" w:lineRule="auto"/>
      </w:pPr>
      <w:r>
        <w:t xml:space="preserve">A.2 Attention Accumulation in Bargaining Over a Shared Shell A Schelling-Game Model of Coordination Failure i: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5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0.6203</w:t>
            </w:r>
          </w:p>
        </w:tc>
        <w:tc>
          <w:tcPr>
            <w:tcW w:w="0" w:type="auto"/>
          </w:tcPr>
          <w:p>
            <w:pPr>
              <w:spacing w:line="240" w:lineRule="auto" w:before="0" w:after="0"/>
              <w:pStyle w:val="Compact"/>
            </w:pPr>
            <w:r>
              <w:rPr>
                <w:sz w:val="20"/>
                <w:szCs w:val="20"/>
              </w:rPr>
              <w:t xml:space="preserve">0.2911</w:t>
            </w:r>
          </w:p>
        </w:tc>
        <w:tc>
          <w:tcPr>
            <w:tcW w:w="0" w:type="auto"/>
          </w:tcPr>
          <w:p>
            <w:pPr>
              <w:spacing w:line="240" w:lineRule="auto" w:before="0" w:after="0"/>
              <w:pStyle w:val="Compact"/>
            </w:pPr>
            <w:r>
              <w:rPr>
                <w:sz w:val="20"/>
                <w:szCs w:val="20"/>
              </w:rPr>
              <w:t xml:space="preserve">2.131</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[0.0498, 1.1908]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-0.0971</w:t>
            </w:r>
          </w:p>
        </w:tc>
        <w:tc>
          <w:tcPr>
            <w:tcW w:w="0" w:type="auto"/>
          </w:tcPr>
          <w:p>
            <w:pPr>
              <w:spacing w:line="240" w:lineRule="auto" w:before="0" w:after="0"/>
              <w:pStyle w:val="Compact"/>
            </w:pPr>
            <w:r>
              <w:rPr>
                <w:sz w:val="20"/>
                <w:szCs w:val="20"/>
              </w:rPr>
              <w:t xml:space="preserve">0.2326</w:t>
            </w:r>
          </w:p>
        </w:tc>
        <w:tc>
          <w:tcPr>
            <w:tcW w:w="0" w:type="auto"/>
          </w:tcPr>
          <w:p>
            <w:pPr>
              <w:spacing w:line="240" w:lineRule="auto" w:before="0" w:after="0"/>
              <w:pStyle w:val="Compact"/>
            </w:pPr>
            <w:r>
              <w:rPr>
                <w:sz w:val="20"/>
                <w:szCs w:val="20"/>
              </w:rPr>
              <w:t xml:space="preserve">-0.4175</w:t>
            </w:r>
          </w:p>
        </w:tc>
        <w:tc>
          <w:tcPr>
            <w:tcW w:w="0" w:type="auto"/>
          </w:tcPr>
          <w:p>
            <w:pPr>
              <w:spacing w:line="240" w:lineRule="auto" w:before="0" w:after="0"/>
              <w:pStyle w:val="Compact"/>
            </w:pPr>
            <w:r>
              <w:rPr>
                <w:sz w:val="20"/>
                <w:szCs w:val="20"/>
              </w:rPr>
              <w:t xml:space="preserve">0.6763</w:t>
            </w:r>
          </w:p>
        </w:tc>
        <w:tc>
          <w:tcPr>
            <w:tcW w:w="0" w:type="auto"/>
          </w:tcPr>
          <w:p>
            <w:pPr>
              <w:spacing w:line="240" w:lineRule="auto" w:before="0" w:after="0"/>
              <w:pStyle w:val="Compact"/>
            </w:pPr>
            <w:r>
              <w:rPr>
                <w:sz w:val="20"/>
                <w:szCs w:val="20"/>
              </w:rPr>
              <w:t xml:space="preserve">[-0.553, 0.3588]</w:t>
            </w:r>
          </w:p>
        </w:tc>
      </w:tr>
    </w:tbl>
    <w:p>
      <w:pPr>
        <w:pStyle w:val="BodyText"/>
        <w:spacing w:line="480" w:lineRule="auto"/>
        <w:ind w:firstLine="720"/>
      </w:pPr>
      <w:r>
        <w:t xml:space="preserve">Fit: N = 30 R2 = 0.0044 elasticity_b = -0.0971 progress_ratio_2^b = 0.9349</w:t>
      </w:r>
    </w:p>
    <w:bookmarkEnd w:id="150"/>
    <w:bookmarkStart w:id="15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52" name="Picture"/>
            <a:graphic>
              <a:graphicData uri="http://schemas.openxmlformats.org/drawingml/2006/picture">
                <pic:pic>
                  <pic:nvPicPr>
                    <pic:cNvPr descr="D:/Claude_Code/brain/collegium/candidates/dissertations/DEBRIS_11/research_papers/p2/paper_fig1.png" id="153" name="Picture"/>
                    <pic:cNvPicPr>
                      <a:picLocks noChangeArrowheads="1" noChangeAspect="1"/>
                    </pic:cNvPicPr>
                  </pic:nvPicPr>
                  <pic:blipFill>
                    <a:blip r:embed="rId15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54"/>
    <w:bookmarkStart w:id="15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10.64861/URSW2020</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https://amostech.space/year/2022/imperfect-information-games-and-counterfactual-regret-minimization-in-space-domain-awareness/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https://amostech.space/year/2010/highly-efficient-screening-for-point-like-targets-via-concentric-shells/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10.64861/QGVF6609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https://amostech.space/year/2021/the-solar-particle-access-model-spam-a-new-tool-for-monitoring-solar-energetic-particle-impacts-to-satellite-operations/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10.64861/GCJM8077</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10.1016/j.actaastro.2021.01.049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10.1016/j.actaastro.2025.06.003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10.1016/j.actaastro.2024.01.049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10.1016/j.actaastro.2026.05.026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Large Satellite Constellations and the Space Commons (Differential Game)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10.1016/j.ejor.2022.04.030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bl>
    <w:bookmarkEnd w:id="155"/>
    <w:bookmarkStart w:id="15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56"/>
    <w:bookmarkEnd w:id="157"/>
    <w:bookmarkEnd w:id="15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43" Type="http://schemas.openxmlformats.org/officeDocument/2006/relationships/image" Target="media/rId143.png"/><Relationship Id="rId151" Type="http://schemas.openxmlformats.org/officeDocument/2006/relationships/image" Target="media/rId151.png"/><Relationship Id="rId131" Type="http://schemas.openxmlformats.org/officeDocument/2006/relationships/hyperlink" Target="https://doi.org/10.1016/j.actaastro.2021.01.049" TargetMode="External"/><Relationship Id="rId125" Type="http://schemas.openxmlformats.org/officeDocument/2006/relationships/hyperlink" Target="https://doi.org/10.1016/j.actaastro.2022.05.022" TargetMode="External"/><Relationship Id="rId135" Type="http://schemas.openxmlformats.org/officeDocument/2006/relationships/hyperlink" Target="https://doi.org/10.1016/j.actaastro.2024.01.049" TargetMode="External"/><Relationship Id="rId127" Type="http://schemas.openxmlformats.org/officeDocument/2006/relationships/hyperlink" Target="https://doi.org/10.1016/j.actaastro.2024.09.057" TargetMode="External"/><Relationship Id="rId129" Type="http://schemas.openxmlformats.org/officeDocument/2006/relationships/hyperlink" Target="https://doi.org/10.1016/j.actaastro.2025.01.054" TargetMode="External"/><Relationship Id="rId137" Type="http://schemas.openxmlformats.org/officeDocument/2006/relationships/hyperlink" Target="https://doi.org/10.1016/j.actaastro.2025.01.069" TargetMode="External"/><Relationship Id="rId133" Type="http://schemas.openxmlformats.org/officeDocument/2006/relationships/hyperlink" Target="https://doi.org/10.1016/j.actaastro.2025.06.003" TargetMode="External"/><Relationship Id="rId139" Type="http://schemas.openxmlformats.org/officeDocument/2006/relationships/hyperlink" Target="https://doi.org/10.1016/j.actaastro.2025.10.018" TargetMode="External"/><Relationship Id="rId116" Type="http://schemas.openxmlformats.org/officeDocument/2006/relationships/hyperlink" Target="https://doi.org/10.64861/FKER7625" TargetMode="External"/><Relationship Id="rId121" Type="http://schemas.openxmlformats.org/officeDocument/2006/relationships/hyperlink" Target="https://doi.org/10.64861/IKLU8599" TargetMode="External"/><Relationship Id="rId112" Type="http://schemas.openxmlformats.org/officeDocument/2006/relationships/hyperlink" Target="https://doi.org/10.64861/LDVO7244" TargetMode="External"/><Relationship Id="rId123" Type="http://schemas.openxmlformats.org/officeDocument/2006/relationships/hyperlink" Target="https://doi.org/10.64861/QGVF6609" TargetMode="External"/><Relationship Id="rId114" Type="http://schemas.openxmlformats.org/officeDocument/2006/relationships/hyperlink" Target="https://doi.org/10.64861/URSW2020" TargetMode="External"/></Relationships>
</file>

<file path=word/_rels/footnotes.xml.rels><?xml version='1.0' encoding='UTF-8' standalone='yes'?>
<Relationships xmlns="http://schemas.openxmlformats.org/package/2006/relationships"><Relationship Id="rId131" Type="http://schemas.openxmlformats.org/officeDocument/2006/relationships/hyperlink" Target="https://doi.org/10.1016/j.actaastro.2021.01.049" TargetMode="External"/><Relationship Id="rId125" Type="http://schemas.openxmlformats.org/officeDocument/2006/relationships/hyperlink" Target="https://doi.org/10.1016/j.actaastro.2022.05.022" TargetMode="External"/><Relationship Id="rId135" Type="http://schemas.openxmlformats.org/officeDocument/2006/relationships/hyperlink" Target="https://doi.org/10.1016/j.actaastro.2024.01.049" TargetMode="External"/><Relationship Id="rId127" Type="http://schemas.openxmlformats.org/officeDocument/2006/relationships/hyperlink" Target="https://doi.org/10.1016/j.actaastro.2024.09.057" TargetMode="External"/><Relationship Id="rId129" Type="http://schemas.openxmlformats.org/officeDocument/2006/relationships/hyperlink" Target="https://doi.org/10.1016/j.actaastro.2025.01.054" TargetMode="External"/><Relationship Id="rId137" Type="http://schemas.openxmlformats.org/officeDocument/2006/relationships/hyperlink" Target="https://doi.org/10.1016/j.actaastro.2025.01.069" TargetMode="External"/><Relationship Id="rId133" Type="http://schemas.openxmlformats.org/officeDocument/2006/relationships/hyperlink" Target="https://doi.org/10.1016/j.actaastro.2025.06.003" TargetMode="External"/><Relationship Id="rId139" Type="http://schemas.openxmlformats.org/officeDocument/2006/relationships/hyperlink" Target="https://doi.org/10.1016/j.actaastro.2025.10.018" TargetMode="External"/><Relationship Id="rId116" Type="http://schemas.openxmlformats.org/officeDocument/2006/relationships/hyperlink" Target="https://doi.org/10.64861/FKER7625" TargetMode="External"/><Relationship Id="rId121" Type="http://schemas.openxmlformats.org/officeDocument/2006/relationships/hyperlink" Target="https://doi.org/10.64861/IKLU8599" TargetMode="External"/><Relationship Id="rId112" Type="http://schemas.openxmlformats.org/officeDocument/2006/relationships/hyperlink" Target="https://doi.org/10.64861/LDVO7244" TargetMode="External"/><Relationship Id="rId123" Type="http://schemas.openxmlformats.org/officeDocument/2006/relationships/hyperlink" Target="https://doi.org/10.64861/QGVF6609" TargetMode="External"/><Relationship Id="rId114" Type="http://schemas.openxmlformats.org/officeDocument/2006/relationships/hyperlink" Target="https://doi.org/10.64861/URSW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Bargaining Over a Shared Shell: A Schelling-Game Model of Coordination Failure i</dc:title>
  <dc:creator>Hassan Sundberg (1B-SDA-176)</dc:creator>
  <cp:keywords/>
  <dcterms:created xsi:type="dcterms:W3CDTF">2026-07-04T01:27:55Z</dcterms:created>
  <dcterms:modified xsi:type="dcterms:W3CDTF">2026-07-04T01:27:55Z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