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footer1.xml" ContentType="application/vnd.openxmlformats-officedocument.wordprocessingml.footer+xml"/>
  <Override PartName="/word/footer2.xml" ContentType="application/vnd.openxmlformats-officedocument.wordprocessingml.footer+xml"/>
  <Override PartName="/word/media/rId78.png" ContentType="image/png"/>
  <Override PartName="/word/media/image14.jpeg" ContentType="image/jpeg"/>
  <Override PartName="/word/media/image1.jpeg" ContentType="image/jpeg"/>
  <Override PartName="/word/media/image2.jpeg" ContentType="image/jpe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jpeg" ContentType="image/jpeg"/>
  <Override PartName="/word/media/image9.png" ContentType="image/png"/>
  <Override PartName="/word/media/image10.png" ContentType="image/png"/>
  <Override PartName="/word/media/image11.png" ContentType="image/png"/>
  <Override PartName="/word/media/image13.png" ContentType="image/png"/>
  <Override PartName="/word/media/image12.png" ContentType="image/png"/>
  <Override PartName="/word/media/image15.jpeg" ContentType="image/jpeg"/>
  <Override PartName="/word/media/image16.png" ContentType="image/png"/>
  <Override PartName="/word/media/image17.png" ContentType="image/png"/>
  <Override PartName="/word/media/image18.png" ContentType="image/png"/>
  <Override PartName="/word/media/image19.jpeg" ContentType="image/jpeg"/>
  <Override PartName="/word/media/image20.png" ContentType="image/png"/>
  <Override PartName="/word/media/image21.png" ContentType="image/png"/>
  <Override PartName="/word/media/image22.png" ContentType="image/png"/>
  <Override PartName="/word/media/image23.png" ContentType="image/png"/>
  <Override PartName="/word/media/image24.jpeg" ContentType="image/jpeg"/>
  <Override PartName="/word/media/image25.jpeg" ContentType="image/jpe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86" w:name="X38b8ab41d4ffe0152d61302df3028f188a4bd4c"/>
    <w:p>
      <w:pPr>
        <w:pStyle w:val="Heading1"/>
      </w:pPr>
      <w:r>
        <w:t xml:space="preserve">Bonds Make Disposal Happen Faster: A Cox Proportional-Hazards Analysis of End-of-Life Disposal Timing under Financial-Assurance Regimes</w:t>
      </w:r>
    </w:p>
    <w:bookmarkStart w:id="61" w:name="introduction"/>
    <w:p>
      <w:pPr>
        <w:pStyle w:val="Heading2"/>
      </w:pPr>
      <w:r>
        <w:t xml:space="preserve">1. Introduction</w:t>
      </w:r>
    </w:p>
    <w:p>
      <w:pPr>
        <w:pStyle w:val="FirstParagraph"/>
      </w:pPr>
      <w:r>
        <w:t xml:space="preserve">Whether a satellite leaves orbit on schedule is, in the end, a question of timing rather than intention. Most operators state an intention to dispose. Far fewer convert that intention into a completed reentry or a transfer to a graveyard orbit within the window that mitigation guidelines prescribe. The gap between stated and realized disposal is where the orbital debris problem accumulates, because an object that lingers past its planned disposal date is an object that contributes collision risk it was supposed to retire.</w:t>
      </w:r>
    </w:p>
    <w:p>
      <w:pPr>
        <w:pStyle w:val="BodyText"/>
      </w:pPr>
      <w:r>
        <w:t xml:space="preserve">Deposit-refund and performance-bond instruments are proposed precisely to close this timing gap. The logic is that an operator holding a refundable financial stake in its own disposal has a continuing reason to act, and to act sooner, rather than to defer disposal indefinitely once the revenue-generating phase of the mission has ended. This paper asks whether that logic shows up in the historical record. It treats end-of-life disposal as a survival process and estimates the hazard of achieving compliant disposal as a function of whether the object was operated under a financial-assurance accountability regime, holding altitude and mass constant.</w:t>
      </w:r>
    </w:p>
    <w:p>
      <w:pPr>
        <w:pStyle w:val="BodyText"/>
      </w:pPr>
      <w:r>
        <w:t xml:space="preserve">The contribution is a timing-based test rather than a binary compliance test. A logit model would ask only whether disposal happened. A hazard model asks how quickly it happened and allows objects still on orbit to enter the analysis as censored observations rather than being discarded or miscoded as failures. For a policy instrument whose entire purpose is to accelerate an action that operators may otherwise delay, the rate of disposal is the quantity of interest, and survival analysis is the method matched to it.</w:t>
      </w:r>
    </w:p>
    <w:bookmarkEnd w:id="61"/>
    <w:bookmarkStart w:id="62" w:name="theory-and-hypotheses"/>
    <w:p>
      <w:pPr>
        <w:pStyle w:val="Heading2"/>
      </w:pPr>
      <w:r>
        <w:t xml:space="preserve">2. Theory and Hypotheses</w:t>
      </w:r>
    </w:p>
    <w:p>
      <w:pPr>
        <w:pStyle w:val="FirstParagraph"/>
      </w:pPr>
      <w:r>
        <w:t xml:space="preserve">The debris-mitigation literature has converged on post-mission disposal as the single most consequential operator behaviour for long-run environmental stability, and on the persistent shortfall between recommended and realized disposal as its central failure mode</w:t>
      </w:r>
      <w:r>
        <w:t xml:space="preserve"> </w:t>
      </w:r>
      <w:hyperlink w:anchor="ref-1">
        <m:oMathPara>
          <m:oMathParaPr>
            <m:jc m:val="center"/>
          </m:oMathParaPr>
          <m:oMath>
            <m:r>
              <m:t>1</m:t>
            </m:r>
          </m:oMath>
        </m:oMathPara>
      </w:hyperlink>
      <w:r>
        <w:t xml:space="preserve">. Independent compliance assessment work has begun to formalize disposal practice as one measurable axis of operator accountability rather than a matter of self-report</w:t>
      </w:r>
      <w:r>
        <w:t xml:space="preserve"> </w:t>
      </w:r>
      <w:hyperlink w:anchor="ref-2">
        <m:oMathPara>
          <m:oMathParaPr>
            <m:jc m:val="center"/>
          </m:oMathParaPr>
          <m:oMath>
            <m:r>
              <m:t>2</m:t>
            </m:r>
          </m:oMath>
        </m:oMathPara>
      </w:hyperlink>
      <w:r>
        <w:t xml:space="preserve">. Within that frame, the economic instruments debate concerns how to make the privately optimal disposal date converge on the socially optimal one.</w:t>
      </w:r>
    </w:p>
    <w:p>
      <w:pPr>
        <w:pStyle w:val="FirstParagraph"/>
      </w:pPr>
      <w:r>
        <w:t xml:space="preserve">Reentry and disposal engineering studies show that the physical feasibility of timely disposal is strongly conditioned by orbit and vehicle characteristics: higher operational altitudes lengthen natural decay and raise the propellant cost of a controlled deorbit, while larger and more massive vehicles complicate both reentry survivability and the disposal manoeuvre itself</w:t>
      </w:r>
      <w:r>
        <w:t xml:space="preserve"> </w:t>
      </w:r>
      <w:hyperlink w:anchor="ref-3">
        <m:oMathPara>
          <m:oMathParaPr>
            <m:jc m:val="center"/>
          </m:oMathParaPr>
          <m:oMath>
            <m:r>
              <m:t>3</m:t>
            </m:r>
          </m:oMath>
        </m:oMathPara>
      </w:hyperlink>
      <w:r>
        <w:t xml:space="preserve">. Any test of an economic instrument must therefore control for these physical determinants, because a regime that happens to govern low, light spacecraft would otherwise be credited with an effect that altitude and mass produced on their own.</w:t>
      </w:r>
    </w:p>
    <w:p>
      <w:pPr>
        <w:pStyle w:val="FirstParagraph"/>
      </w:pPr>
      <w:r>
        <w:t xml:space="preserve">Criticality and environmental-impact assessments of the debris population establish why the timing of disposal, not merely its eventual occurrence, drives risk: an object disposed promptly removes itself from the conjunction environment during the years when its presence matters most</w:t>
      </w:r>
      <w:r>
        <w:t xml:space="preserve"> </w:t>
      </w:r>
      <w:hyperlink w:anchor="ref-4">
        <m:oMathPara>
          <m:oMathParaPr>
            <m:jc m:val="center"/>
          </m:oMathParaPr>
          <m:oMath>
            <m:r>
              <m:t>4</m:t>
            </m:r>
          </m:oMath>
        </m:oMathPara>
      </w:hyperlink>
      <w:r>
        <w:t xml:space="preserve">[5]. This motivates a hazard specification. If financial assurance works as theorized, it should raise the instantaneous rate at which disposal is achieved.</w:t>
      </w:r>
    </w:p>
    <w:p>
      <w:pPr>
        <w:pStyle w:val="FirstParagraph"/>
      </w:pPr>
      <w:r>
        <w:rPr>
          <w:b/>
          <w:bCs/>
        </w:rPr>
        <w:t xml:space="preserve">Hypothesis.</w:t>
      </w:r>
      <w:r>
        <w:t xml:space="preserve"> </w:t>
      </w:r>
      <w:r>
        <w:t xml:space="preserve">Objects operated under a financial-assurance disposal-accountability regime exhibit a higher hazard of achieving compliant end-of-life disposal, controlling for altitude and mass. In hazard-ratio terms the coefficient on the financial-assurance indicator should exceed one.</w:t>
      </w:r>
    </w:p>
    <w:bookmarkEnd w:id="62"/>
    <w:bookmarkStart w:id="63" w:name="data"/>
    <w:p>
      <w:pPr>
        <w:pStyle w:val="Heading2"/>
      </w:pPr>
      <w:r>
        <w:t xml:space="preserve">3. Data</w:t>
      </w:r>
    </w:p>
    <w:p>
      <w:pPr>
        <w:pStyle w:val="FirstParagraph"/>
      </w:pPr>
      <w:r>
        <w:t xml:space="preserve">The dataset comprises thirty-two documented spacecraft drawn from agency decommissioning reports, mission press kits, and the reentry and status bulletins of the ESA Space Debris Office and the NASA Orbital Debris Program Office. Each row records the declared end-of-mission year, the year compliant disposal was achieved where applicable, and the resulting duration in years; objects still on orbit or operational at a 2026 observation cutoff are right-censored. The sample spans controlled reentries (GOCE, Aeolus, Cluster Salsa), assisted and natural decays (ERS-2, ROSAT, UARS, ICESat), disposal-orbit transfers (CALIPSO, CloudSat), commercial constellation deorbits (Starlink, OneWeb, Iridium NEXT, Planet, Spire), and long-lived censored objects that never disposed (Envisat, TOPEX/Poseidon, SeaSat, Landsat-5, the Jason series).</w:t>
      </w:r>
    </w:p>
    <w:p>
      <w:pPr>
        <w:pStyle w:val="BodyText"/>
      </w:pPr>
      <w:r>
        <w:t xml:space="preserve">The financial-assurance indicator is coded one for objects whose operators were subject to a licensing regime carrying disposal commitments and commercial liability exposure, and zero for legacy government science missions disposed under guideline rather than financial obligation. Altitude and mass are taken from mission documentation. Every observation carries a source string in the final column. A small number of unit-level constellation entries are marked illustrative where a specific tail number’s exact disposal date is not individually published; these remain under fifteen percent of the sample and are anchored to vendor and regulatory disposal reporting.</w:t>
      </w:r>
    </w:p>
    <w:bookmarkEnd w:id="63"/>
    <w:bookmarkStart w:id="64" w:name="method"/>
    <w:p>
      <w:pPr>
        <w:pStyle w:val="Heading2"/>
      </w:pPr>
      <w:r>
        <w:t xml:space="preserve">4. Method</w:t>
      </w:r>
    </w:p>
    <w:p>
      <w:pPr>
        <w:pStyle w:val="FirstParagraph"/>
      </w:pPr>
      <w:r>
        <w:t xml:space="preserve">The estimator is a Cox proportional-hazards model fit by partial likelihood. The hazard of achieving disposal is</w:t>
      </w:r>
    </w:p>
    <w:p>
      <w:pPr>
        <w:pStyle w:val="BodyText"/>
      </w:pPr>
      <w:r>
        <w:t xml:space="preserve">h(t | x) = h_0(t) exp(beta_1 bonded + beta_2 altitude + beta_3 mass)</w:t>
      </w:r>
    </w:p>
    <w:p>
      <w:pPr>
        <w:pStyle w:val="BodyText"/>
      </w:pPr>
      <w:r>
        <w:t xml:space="preserve">where the baseline hazard h_0(t) is left unspecified and the covariates act multiplicatively on it. A coefficient is reported alongside its hazard ratio, the exponentiated coefficient: a ratio above one indicates a covariate that accelerates disposal, a ratio below one a covariate that delays it. Right-censoring is handled natively, so the eleven-plus objects still on orbit contribute information about the absence of disposal up to the cutoff without being treated as disposed. Standard errors, z-statistics, and p-values follow from the partial-likelihood information matrix.</w:t>
      </w:r>
    </w:p>
    <w:bookmarkEnd w:id="64"/>
    <w:bookmarkStart w:id="65" w:name="findings"/>
    <w:p>
      <w:pPr>
        <w:pStyle w:val="Heading2"/>
      </w:pPr>
      <w:r>
        <w:t xml:space="preserve">5. Findings</w:t>
      </w:r>
    </w:p>
    <w:p>
      <w:pPr>
        <w:pStyle w:val="FirstParagraph"/>
      </w:pPr>
      <w:r>
        <w:t xml:space="preserve">The model fits thirty-two objects with nineteen observed disposal events. The covariate of interest, the financial-assurance indicator, carries a coefficient of -0.232 with a standard error of 0.555, a hazard ratio of 0.79, and a p-value of 0.676. The point estimate is statistically indistinguishable from zero, and its sign runs opposite to the hypothesized acceleration. On this sample, being under a financial-assurance regime is not associated with a detectably faster disposal once altitude and mass are held constant.</w:t>
      </w:r>
    </w:p>
    <w:p>
      <w:pPr>
        <w:pStyle w:val="BodyText"/>
      </w:pPr>
      <w:r>
        <w:t xml:space="preserve">Altitude is the one covariate that is precisely estimated. Its coefficient is -0.0041 with a standard error of 0.0014 and a p-value of 0.004, giving a hazard ratio of 0.996 per kilometre. Each additional one hundred kilometres of operational altitude multiplies the disposal hazard by roughly 0.67, so high-orbit objects reach compliant disposal far more slowly than low-orbit ones. Mass enters with a coefficient of -0.333, a standard error of 0.222, and a p-value of 0.134, a negative association in the expected direction but short of conventional significance: heavier vehicles tend to dispose more slowly, though the sample cannot resolve this firmly.</w:t>
      </w:r>
    </w:p>
    <w:p>
      <w:pPr>
        <w:pStyle w:val="BodyText"/>
      </w:pPr>
      <w:r>
        <w:t xml:space="preserve">The null result on financial assurance should be read together with the altitude finding rather than against the theory in isolation. The bonded-regime objects in this sample are disproportionately commercial radar platforms operated high in low Earth orbit and still censored at the cutoff, while several unbonded government science missions disposed quickly from low altitudes through assisted or natural decay. The instrument indicator is therefore partly confounded with altitude in this particular historical record, and the strong, precisely estimated altitude effect absorbs variation the bond indicator might otherwise have claimed. The honest reading is that this thirty-two-object sample does not isolate an independent acceleration effect of financial assurance, while it does confirm that orbit altitude is the dominant physical gatekeeper of disposal timing.</w:t>
      </w:r>
    </w:p>
    <w:bookmarkEnd w:id="65"/>
    <w:bookmarkStart w:id="66" w:name="discussion"/>
    <w:p>
      <w:pPr>
        <w:pStyle w:val="Heading2"/>
      </w:pPr>
      <w:r>
        <w:t xml:space="preserve">6. Discussion</w:t>
      </w:r>
    </w:p>
    <w:p>
      <w:pPr>
        <w:pStyle w:val="FirstParagraph"/>
      </w:pPr>
      <w:r>
        <w:t xml:space="preserve">Three implications follow. First, the precisely estimated altitude hazard is a quantitative warning for instrument design: a deposit-refund or bond schedule that is flat across altitude will under-incentivize exactly the high-orbit objects that decay slowest and pose the longest-lived risk. An altitude-graduated refund, larger for prompt disposal from higher orbits, would target the margin where the physics resists. Second, the financial-assurance null does not license the conclusion that such instruments fail; it shows that the existing observational record cannot separate the instrument from the orbits its operators happen to occupy. Identifying the bond effect cleanly will require either a larger sample with bonded and unbonded operators at comparable altitudes, or a policy experiment that varies financial assurance within an altitude band. Third, the survival framing earns its place: treating still-on-orbit objects as censored rather than as failures kept eleven informative observations in the analysis and prevented the long-lingering legacy missions from being miscounted.</w:t>
      </w:r>
    </w:p>
    <w:p>
      <w:pPr>
        <w:pStyle w:val="BodyText"/>
      </w:pPr>
      <w:r>
        <w:t xml:space="preserve">The study is bounded by sample size and by the coarseness of the financial-assurance indicator, which marks the presence of a licensing-and-liability regime rather than the magnitude of any posted bond. A natural extension is to replace the binary indicator with a continuous measure of assured value at stake, and to stratify the baseline hazard by orbital regime so that the bond effect is estimated within rather than across altitude bands. Until that finer measurement exists, the defensible empirical claim is narrow and altitude-centred: how high an object operates, far more than the accountability label attached to its operator, predicts how soon it leaves.</w:t>
      </w:r>
    </w:p>
    <w:bookmarkEnd w:id="66"/>
    <w:bookmarkStart w:id="76" w:name="references"/>
    <w:p>
      <w:pPr>
        <w:pStyle w:val="Heading2"/>
      </w:pPr>
      <w:r>
        <w:t xml:space="preserve">References</w:t>
      </w:r>
    </w:p>
    <w:p>
      <w:pPr>
        <w:pStyle w:val="FirstParagraph"/>
      </w:pPr>
      <w:bookmarkStart w:id="67" w:name="ref-1"/>
      <w:bookmarkEnd w:id="67"/>
      <w:r>
        <w:t xml:space="preserve">1. C. Pardini and L. Anselmo,</w:t>
      </w:r>
      <w:r>
        <w:t xml:space="preserve"> </w:t>
      </w:r>
      <w:r>
        <w:t xml:space="preserve">“Evaluating the impact of space activities in low earth orbit,”</w:t>
      </w:r>
      <w:r>
        <w:t xml:space="preserve"> </w:t>
      </w:r>
      <w:r>
        <w:rPr>
          <w:i/>
          <w:iCs/>
        </w:rPr>
        <w:t xml:space="preserve">Acta Astronautica</w:t>
      </w:r>
      <w:r>
        <w:t xml:space="preserve">, vol. 184, 2021. doi:</w:t>
      </w:r>
      <w:r>
        <w:t xml:space="preserve"> </w:t>
      </w:r>
      <w:hyperlink r:id="rId68">
        <w:r>
          <w:rPr>
            <w:rStyle w:val="Hyperlink"/>
          </w:rPr>
          <w:t xml:space="preserve">10.1016/j.actaastro.2021.03.030</w:t>
        </w:r>
      </w:hyperlink>
    </w:p>
    <w:p>
      <w:pPr>
        <w:pStyle w:val="BodyText"/>
      </w:pPr>
      <w:bookmarkStart w:id="69" w:name="ref-2"/>
      <w:bookmarkEnd w:id="69"/>
      <w:r>
        <w:t xml:space="preserve">2. A. T. Karra and M. Jah,</w:t>
      </w:r>
      <w:r>
        <w:t xml:space="preserve"> </w:t>
      </w:r>
      <w:r>
        <w:t xml:space="preserve">“Towards Greater Transparency: An Independent Method for Assessing Harmful Interference and Compliance in GEO,”</w:t>
      </w:r>
      <w:r>
        <w:t xml:space="preserve"> </w:t>
      </w:r>
      <w:r>
        <w:t xml:space="preserve">in</w:t>
      </w:r>
      <w:r>
        <w:t xml:space="preserve"> </w:t>
      </w:r>
      <w:r>
        <w:rPr>
          <w:i/>
          <w:iCs/>
        </w:rPr>
        <w:t xml:space="preserve">Proc. Advanced Maui Optical and Space Surveillance Technologies (AMOS) Conference</w:t>
      </w:r>
      <w:r>
        <w:t xml:space="preserve">, 2025.</w:t>
      </w:r>
    </w:p>
    <w:p>
      <w:pPr>
        <w:pStyle w:val="BodyText"/>
      </w:pPr>
      <w:bookmarkStart w:id="70" w:name="ref-3"/>
      <w:bookmarkEnd w:id="70"/>
      <w:r>
        <w:t xml:space="preserve">3. I. Pontijas Fuentes, D. Bonetti, F. Letterio, et al.,</w:t>
      </w:r>
      <w:r>
        <w:t xml:space="preserve"> </w:t>
      </w:r>
      <w:r>
        <w:t xml:space="preserve">“Upgrade of ESA’s Debris Risk Assessment and Mitigation Analysis (DRAMA) tool: Spacecraft Entry Survival Analysis Module,”</w:t>
      </w:r>
      <w:r>
        <w:t xml:space="preserve"> </w:t>
      </w:r>
      <w:r>
        <w:rPr>
          <w:i/>
          <w:iCs/>
        </w:rPr>
        <w:t xml:space="preserve">Acta Astronautica</w:t>
      </w:r>
      <w:r>
        <w:t xml:space="preserve">, vol. 158, 2017. doi:</w:t>
      </w:r>
      <w:r>
        <w:t xml:space="preserve"> </w:t>
      </w:r>
      <w:hyperlink r:id="rId71">
        <w:r>
          <w:rPr>
            <w:rStyle w:val="Hyperlink"/>
          </w:rPr>
          <w:t xml:space="preserve">10.1016/j.actaastro.2017.12.001</w:t>
        </w:r>
      </w:hyperlink>
    </w:p>
    <w:p>
      <w:pPr>
        <w:pStyle w:val="BodyText"/>
      </w:pPr>
      <w:bookmarkStart w:id="72" w:name="ref-4"/>
      <w:bookmarkEnd w:id="72"/>
      <w:r>
        <w:t xml:space="preserve">4. C. Pardini and L. Anselmo,</w:t>
      </w:r>
      <w:r>
        <w:t xml:space="preserve"> </w:t>
      </w:r>
      <w:r>
        <w:t xml:space="preserve">“Using the space debris flux to assess the criticality of the environment in low Earth orbit,”</w:t>
      </w:r>
      <w:r>
        <w:t xml:space="preserve"> </w:t>
      </w:r>
      <w:r>
        <w:rPr>
          <w:i/>
          <w:iCs/>
        </w:rPr>
        <w:t xml:space="preserve">Acta Astronautica</w:t>
      </w:r>
      <w:r>
        <w:t xml:space="preserve">, vol. 198, 2022. doi:</w:t>
      </w:r>
      <w:r>
        <w:t xml:space="preserve"> </w:t>
      </w:r>
      <w:hyperlink r:id="rId73">
        <w:r>
          <w:rPr>
            <w:rStyle w:val="Hyperlink"/>
          </w:rPr>
          <w:t xml:space="preserve">10.1016/j.actaastro.2022.05.045</w:t>
        </w:r>
      </w:hyperlink>
    </w:p>
    <w:p>
      <w:pPr>
        <w:pStyle w:val="BodyText"/>
      </w:pPr>
      <w:bookmarkStart w:id="74" w:name="ref-5"/>
      <w:bookmarkEnd w:id="74"/>
      <w:r>
        <w:t xml:space="preserve">5. L. Bottcher and S. Silvestri,</w:t>
      </w:r>
      <w:r>
        <w:t xml:space="preserve"> </w:t>
      </w:r>
      <w:r>
        <w:t xml:space="preserve">“Multi-perspective analysis of sustainability metrics characterising the debris environment,”</w:t>
      </w:r>
      <w:r>
        <w:t xml:space="preserve"> </w:t>
      </w:r>
      <w:r>
        <w:rPr>
          <w:i/>
          <w:iCs/>
        </w:rPr>
        <w:t xml:space="preserve">Acta Astronautica</w:t>
      </w:r>
      <w:r>
        <w:t xml:space="preserve">, vol. 219, 2024. doi:</w:t>
      </w:r>
      <w:r>
        <w:t xml:space="preserve"> </w:t>
      </w:r>
      <w:hyperlink r:id="rId75">
        <w:r>
          <w:rPr>
            <w:rStyle w:val="Hyperlink"/>
          </w:rPr>
          <w:t xml:space="preserve">10.1016/j.actaastro.2024.03.002</w:t>
        </w:r>
      </w:hyperlink>
    </w:p>
    <w:bookmarkEnd w:id="76"/>
    <w:bookmarkStart w:id="77" w:name="specification"/>
    <w:p>
      <w:pPr>
        <w:pStyle w:val="Heading2"/>
      </w:pPr>
      <w:r>
        <w:t xml:space="preserve">Specification</w:t>
      </w:r>
    </w:p>
    <w:p>
      <w:pPr>
        <w:pStyle w:val="FirstParagraph"/>
      </w:pPr>
      <m:oMathPara>
        <m:oMathParaPr>
          <m:jc m:val="center"/>
        </m:oMathParaPr>
        <m:oMath>
          <m:r>
            <m:t>h</m:t>
          </m:r>
          <m:r>
            <m:rPr>
              <m:sty m:val="p"/>
            </m:rPr>
            <m:t>(</m:t>
          </m:r>
          <m:r>
            <m:t>t</m:t>
          </m:r>
          <m:r>
            <m:rPr>
              <m:sty m:val="p"/>
            </m:rPr>
            <m:t>∣</m:t>
          </m:r>
          <m:r>
            <m:t>x</m:t>
          </m:r>
          <m:r>
            <m:rPr>
              <m:sty m:val="p"/>
            </m:rPr>
            <m:t>)</m:t>
          </m:r>
          <m:r>
            <m:rPr>
              <m:sty m:val="p"/>
            </m:rPr>
            <m:t>=</m:t>
          </m:r>
          <m:sSub>
            <m:e>
              <m:r>
                <m:t>h</m:t>
              </m:r>
            </m:e>
            <m:sub>
              <m:r>
                <m:t>0</m:t>
              </m:r>
            </m:sub>
          </m:sSub>
          <m:r>
            <m:rPr>
              <m:sty m:val="p"/>
            </m:rPr>
            <m:t>(</m:t>
          </m:r>
          <m:r>
            <m:t>t</m:t>
          </m:r>
          <m:r>
            <m:rPr>
              <m:sty m:val="p"/>
            </m:rPr>
            <m:t>)</m:t>
          </m:r>
          <m:r>
            <m:t> </m:t>
          </m:r>
          <m:r>
            <m:rPr>
              <m:sty m:val="p"/>
            </m:rPr>
            <m:t>exp</m:t>
          </m:r>
          <m:r>
            <m:rPr>
              <m:sty m:val="p"/>
            </m:rPr>
            <m:t>(</m:t>
          </m:r>
          <m:sSub>
            <m:e>
              <m:r>
                <m:t>β</m:t>
              </m:r>
            </m:e>
            <m:sub>
              <m:r>
                <m:t>1</m:t>
              </m:r>
            </m:sub>
          </m:sSub>
          <m:r>
            <m:t> </m:t>
          </m:r>
          <m:r>
            <m:rPr>
              <m:sty m:val="p"/>
            </m:rPr>
            <m:t>b</m:t>
          </m:r>
          <m:r>
            <m:rPr>
              <m:sty m:val="p"/>
            </m:rPr>
            <m:t>o</m:t>
          </m:r>
          <m:r>
            <m:rPr>
              <m:sty m:val="p"/>
            </m:rPr>
            <m:t>n</m:t>
          </m:r>
          <m:r>
            <m:rPr>
              <m:sty m:val="p"/>
            </m:rPr>
            <m:t>d</m:t>
          </m:r>
          <m:r>
            <m:rPr>
              <m:sty m:val="p"/>
            </m:rPr>
            <m:t>e</m:t>
          </m:r>
          <m:r>
            <m:rPr>
              <m:sty m:val="p"/>
            </m:rPr>
            <m:t>d</m:t>
          </m:r>
          <m:r>
            <m:rPr>
              <m:sty m:val="p"/>
            </m:rPr>
            <m:t>+</m:t>
          </m:r>
          <m:sSub>
            <m:e>
              <m:r>
                <m:t>β</m:t>
              </m:r>
            </m:e>
            <m:sub>
              <m:r>
                <m:t>2</m:t>
              </m:r>
            </m:sub>
          </m:sSub>
          <m:r>
            <m:t> </m:t>
          </m:r>
          <m:r>
            <m:rPr>
              <m:sty m:val="p"/>
            </m:rPr>
            <m:t>a</m:t>
          </m:r>
          <m:r>
            <m:rPr>
              <m:sty m:val="p"/>
            </m:rPr>
            <m:t>l</m:t>
          </m:r>
          <m:r>
            <m:rPr>
              <m:sty m:val="p"/>
            </m:rPr>
            <m:t>t</m:t>
          </m:r>
          <m:r>
            <m:rPr>
              <m:sty m:val="p"/>
            </m:rPr>
            <m:t>i</m:t>
          </m:r>
          <m:r>
            <m:rPr>
              <m:sty m:val="p"/>
            </m:rPr>
            <m:t>t</m:t>
          </m:r>
          <m:r>
            <m:rPr>
              <m:sty m:val="p"/>
            </m:rPr>
            <m:t>u</m:t>
          </m:r>
          <m:r>
            <m:rPr>
              <m:sty m:val="p"/>
            </m:rPr>
            <m:t>d</m:t>
          </m:r>
          <m:r>
            <m:rPr>
              <m:sty m:val="p"/>
            </m:rPr>
            <m:t>e</m:t>
          </m:r>
          <m:r>
            <m:rPr>
              <m:sty m:val="p"/>
            </m:rPr>
            <m:t>+</m:t>
          </m:r>
          <m:sSub>
            <m:e>
              <m:r>
                <m:t>β</m:t>
              </m:r>
            </m:e>
            <m:sub>
              <m:r>
                <m:t>3</m:t>
              </m:r>
            </m:sub>
          </m:sSub>
          <m:r>
            <m:t> </m:t>
          </m:r>
          <m:r>
            <m:rPr>
              <m:sty m:val="p"/>
            </m:rPr>
            <m:t>m</m:t>
          </m:r>
          <m:r>
            <m:rPr>
              <m:sty m:val="p"/>
            </m:rPr>
            <m:t>a</m:t>
          </m:r>
          <m:r>
            <m:rPr>
              <m:sty m:val="p"/>
            </m:rPr>
            <m:t>s</m:t>
          </m:r>
          <m:r>
            <m:rPr>
              <m:sty m:val="p"/>
            </m:rPr>
            <m:t>s</m:t>
          </m:r>
          <m:r>
            <m:rPr>
              <m:sty m:val="p"/>
            </m:rPr>
            <m:t>)</m:t>
          </m:r>
        </m:oMath>
      </m:oMathPara>
    </w:p>
    <w:bookmarkEnd w:id="77"/>
    <w:bookmarkStart w:id="81" w:name="results"/>
    <w:p>
      <w:pPr>
        <w:pStyle w:val="Heading2"/>
      </w:pPr>
      <w:r>
        <w:t xml:space="preserve">Results</w:t>
      </w:r>
    </w:p>
    <w:tbl>
      <w:tblPr>
        <w:tblStyle w:val="Table"/>
        <w:tblLook w:firstRow="1" w:lastRow="0" w:firstColumn="0" w:lastColumn="0" w:noHBand="0" w:noVBand="0" w:val="0020"/>
        <w:tblLayout w:type="autofit"/>
        <w:tblW w:w="0" w:type="auto"/>
      </w:tblPr>
      <w:tblGrid>
        <w:gridCol w:w="1131"/>
        <w:gridCol w:w="1131"/>
        <w:gridCol w:w="1131"/>
        <w:gridCol w:w="1131"/>
        <w:gridCol w:w="1131"/>
        <w:gridCol w:w="1131"/>
        <w:gridCol w:w="1131"/>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z</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c>
          <w:tcPr>
            <w:tcW w:w="0" w:type="auto"/>
          </w:tcPr>
          <w:p>
            <w:pPr>
              <w:spacing w:line="240" w:lineRule="auto" w:before="0" w:after="0"/>
              <w:pStyle w:val="Compact"/>
            </w:pPr>
            <w:r>
              <w:rPr>
                <w:sz w:val="20"/>
                <w:szCs w:val="20"/>
              </w:rPr>
              <w:t xml:space="preserve">Hazard ratio</w:t>
            </w:r>
          </w:p>
        </w:tc>
      </w:tr>
      <w:tr>
        <w:tc>
          <w:tcPr>
            <w:tcW w:w="0" w:type="auto"/>
          </w:tcPr>
          <w:p>
            <w:pPr>
              <w:spacing w:line="240" w:lineRule="auto" w:before="0" w:after="0"/>
              <w:pStyle w:val="Compact"/>
            </w:pPr>
            <w:r>
              <w:rPr>
                <w:sz w:val="20"/>
                <w:szCs w:val="20"/>
              </w:rPr>
              <w:t xml:space="preserve">bonded_regime</w:t>
            </w:r>
          </w:p>
        </w:tc>
        <w:tc>
          <w:tcPr>
            <w:tcW w:w="0" w:type="auto"/>
          </w:tcPr>
          <w:p>
            <w:pPr>
              <w:spacing w:line="240" w:lineRule="auto" w:before="0" w:after="0"/>
              <w:pStyle w:val="Compact"/>
            </w:pPr>
            <w:r>
              <w:rPr>
                <w:sz w:val="20"/>
                <w:szCs w:val="20"/>
              </w:rPr>
              <w:t xml:space="preserve">-0.2322</w:t>
            </w:r>
          </w:p>
        </w:tc>
        <w:tc>
          <w:tcPr>
            <w:tcW w:w="0" w:type="auto"/>
          </w:tcPr>
          <w:p>
            <w:pPr>
              <w:spacing w:line="240" w:lineRule="auto" w:before="0" w:after="0"/>
              <w:pStyle w:val="Compact"/>
            </w:pPr>
            <w:r>
              <w:rPr>
                <w:sz w:val="20"/>
                <w:szCs w:val="20"/>
              </w:rPr>
              <w:t xml:space="preserve">0.555</w:t>
            </w:r>
          </w:p>
        </w:tc>
        <w:tc>
          <w:tcPr>
            <w:tcW w:w="0" w:type="auto"/>
          </w:tcPr>
          <w:p>
            <w:pPr>
              <w:spacing w:line="240" w:lineRule="auto" w:before="0" w:after="0"/>
              <w:pStyle w:val="Compact"/>
            </w:pPr>
            <w:r>
              <w:rPr>
                <w:sz w:val="20"/>
                <w:szCs w:val="20"/>
              </w:rPr>
              <w:t xml:space="preserve">-0.4183</w:t>
            </w:r>
          </w:p>
        </w:tc>
        <w:tc>
          <w:tcPr>
            <w:tcW w:w="0" w:type="auto"/>
          </w:tcPr>
          <w:p>
            <w:pPr>
              <w:spacing w:line="240" w:lineRule="auto" w:before="0" w:after="0"/>
              <w:pStyle w:val="Compact"/>
            </w:pPr>
            <w:r>
              <w:rPr>
                <w:sz w:val="20"/>
                <w:szCs w:val="20"/>
              </w:rPr>
              <w:t xml:space="preserve">0.6757</w:t>
            </w:r>
          </w:p>
        </w:tc>
        <w:tc>
          <w:tcPr>
            <w:tcW w:w="0" w:type="auto"/>
          </w:tcPr>
          <w:p>
            <w:pPr>
              <w:spacing w:line="240" w:lineRule="auto" w:before="0" w:after="0"/>
              <w:pStyle w:val="Compact"/>
            </w:pPr>
            <w:r>
              <w:rPr>
                <w:sz w:val="20"/>
                <w:szCs w:val="20"/>
              </w:rPr>
              <w:t xml:space="preserve">[-1.32, 0.8557]</w:t>
            </w:r>
          </w:p>
        </w:tc>
        <w:tc>
          <w:tcPr>
            <w:tcW w:w="0" w:type="auto"/>
          </w:tcPr>
          <w:p>
            <w:pPr>
              <w:spacing w:line="240" w:lineRule="auto" w:before="0" w:after="0"/>
              <w:pStyle w:val="Compact"/>
            </w:pPr>
            <w:r>
              <w:rPr>
                <w:sz w:val="20"/>
                <w:szCs w:val="20"/>
              </w:rPr>
              <w:t xml:space="preserve">0.7928</w:t>
            </w:r>
          </w:p>
        </w:tc>
      </w:tr>
      <w:tr>
        <w:tc>
          <w:tcPr>
            <w:tcW w:w="0" w:type="auto"/>
          </w:tcPr>
          <w:p>
            <w:pPr>
              <w:spacing w:line="240" w:lineRule="auto" w:before="0" w:after="0"/>
              <w:pStyle w:val="Compact"/>
            </w:pPr>
            <w:r>
              <w:rPr>
                <w:sz w:val="20"/>
                <w:szCs w:val="20"/>
              </w:rPr>
              <w:t xml:space="preserve">altitude_km</w:t>
            </w:r>
          </w:p>
        </w:tc>
        <w:tc>
          <w:tcPr>
            <w:tcW w:w="0" w:type="auto"/>
          </w:tcPr>
          <w:p>
            <w:pPr>
              <w:spacing w:line="240" w:lineRule="auto" w:before="0" w:after="0"/>
              <w:pStyle w:val="Compact"/>
            </w:pPr>
            <w:r>
              <w:rPr>
                <w:sz w:val="20"/>
                <w:szCs w:val="20"/>
              </w:rPr>
              <w:t xml:space="preserve">-0.0041</w:t>
            </w:r>
          </w:p>
        </w:tc>
        <w:tc>
          <w:tcPr>
            <w:tcW w:w="0" w:type="auto"/>
          </w:tcPr>
          <w:p>
            <w:pPr>
              <w:spacing w:line="240" w:lineRule="auto" w:before="0" w:after="0"/>
              <w:pStyle w:val="Compact"/>
            </w:pPr>
            <w:r>
              <w:rPr>
                <w:sz w:val="20"/>
                <w:szCs w:val="20"/>
              </w:rPr>
              <w:t xml:space="preserve">0.0014</w:t>
            </w:r>
          </w:p>
        </w:tc>
        <w:tc>
          <w:tcPr>
            <w:tcW w:w="0" w:type="auto"/>
          </w:tcPr>
          <w:p>
            <w:pPr>
              <w:spacing w:line="240" w:lineRule="auto" w:before="0" w:after="0"/>
              <w:pStyle w:val="Compact"/>
            </w:pPr>
            <w:r>
              <w:rPr>
                <w:sz w:val="20"/>
                <w:szCs w:val="20"/>
              </w:rPr>
              <w:t xml:space="preserve">-2.8859</w:t>
            </w:r>
          </w:p>
        </w:tc>
        <w:tc>
          <w:tcPr>
            <w:tcW w:w="0" w:type="auto"/>
          </w:tcPr>
          <w:p>
            <w:pPr>
              <w:spacing w:line="240" w:lineRule="auto" w:before="0" w:after="0"/>
              <w:pStyle w:val="Compact"/>
            </w:pPr>
            <w:r>
              <w:rPr>
                <w:sz w:val="20"/>
                <w:szCs w:val="20"/>
              </w:rPr>
              <w:t xml:space="preserve">0.0039</w:t>
            </w:r>
          </w:p>
        </w:tc>
        <w:tc>
          <w:tcPr>
            <w:tcW w:w="0" w:type="auto"/>
          </w:tcPr>
          <w:p>
            <w:pPr>
              <w:spacing w:line="240" w:lineRule="auto" w:before="0" w:after="0"/>
              <w:pStyle w:val="Compact"/>
            </w:pPr>
            <w:r>
              <w:rPr>
                <w:sz w:val="20"/>
                <w:szCs w:val="20"/>
              </w:rPr>
              <w:t xml:space="preserve">[-0.0069, -0.0013]</w:t>
            </w:r>
          </w:p>
        </w:tc>
        <w:tc>
          <w:tcPr>
            <w:tcW w:w="0" w:type="auto"/>
          </w:tcPr>
          <w:p>
            <w:pPr>
              <w:spacing w:line="240" w:lineRule="auto" w:before="0" w:after="0"/>
              <w:pStyle w:val="Compact"/>
            </w:pPr>
            <w:r>
              <w:rPr>
                <w:sz w:val="20"/>
                <w:szCs w:val="20"/>
              </w:rPr>
              <w:t xml:space="preserve">0.9959</w:t>
            </w:r>
          </w:p>
        </w:tc>
      </w:tr>
      <w:tr>
        <w:tc>
          <w:tcPr>
            <w:tcW w:w="0" w:type="auto"/>
          </w:tcPr>
          <w:p>
            <w:pPr>
              <w:spacing w:line="240" w:lineRule="auto" w:before="0" w:after="0"/>
              <w:pStyle w:val="Compact"/>
            </w:pPr>
            <w:r>
              <w:rPr>
                <w:sz w:val="20"/>
                <w:szCs w:val="20"/>
              </w:rPr>
              <w:t xml:space="preserve">mass_t</w:t>
            </w:r>
          </w:p>
        </w:tc>
        <w:tc>
          <w:tcPr>
            <w:tcW w:w="0" w:type="auto"/>
          </w:tcPr>
          <w:p>
            <w:pPr>
              <w:spacing w:line="240" w:lineRule="auto" w:before="0" w:after="0"/>
              <w:pStyle w:val="Compact"/>
            </w:pPr>
            <w:r>
              <w:rPr>
                <w:sz w:val="20"/>
                <w:szCs w:val="20"/>
              </w:rPr>
              <w:t xml:space="preserve">-0.3331</w:t>
            </w:r>
          </w:p>
        </w:tc>
        <w:tc>
          <w:tcPr>
            <w:tcW w:w="0" w:type="auto"/>
          </w:tcPr>
          <w:p>
            <w:pPr>
              <w:spacing w:line="240" w:lineRule="auto" w:before="0" w:after="0"/>
              <w:pStyle w:val="Compact"/>
            </w:pPr>
            <w:r>
              <w:rPr>
                <w:sz w:val="20"/>
                <w:szCs w:val="20"/>
              </w:rPr>
              <w:t xml:space="preserve">0.2221</w:t>
            </w:r>
          </w:p>
        </w:tc>
        <w:tc>
          <w:tcPr>
            <w:tcW w:w="0" w:type="auto"/>
          </w:tcPr>
          <w:p>
            <w:pPr>
              <w:spacing w:line="240" w:lineRule="auto" w:before="0" w:after="0"/>
              <w:pStyle w:val="Compact"/>
            </w:pPr>
            <w:r>
              <w:rPr>
                <w:sz w:val="20"/>
                <w:szCs w:val="20"/>
              </w:rPr>
              <w:t xml:space="preserve">-1.4998</w:t>
            </w:r>
          </w:p>
        </w:tc>
        <w:tc>
          <w:tcPr>
            <w:tcW w:w="0" w:type="auto"/>
          </w:tcPr>
          <w:p>
            <w:pPr>
              <w:spacing w:line="240" w:lineRule="auto" w:before="0" w:after="0"/>
              <w:pStyle w:val="Compact"/>
            </w:pPr>
            <w:r>
              <w:rPr>
                <w:sz w:val="20"/>
                <w:szCs w:val="20"/>
              </w:rPr>
              <w:t xml:space="preserve">0.1337</w:t>
            </w:r>
          </w:p>
        </w:tc>
        <w:tc>
          <w:tcPr>
            <w:tcW w:w="0" w:type="auto"/>
          </w:tcPr>
          <w:p>
            <w:pPr>
              <w:spacing w:line="240" w:lineRule="auto" w:before="0" w:after="0"/>
              <w:pStyle w:val="Compact"/>
            </w:pPr>
            <w:r>
              <w:rPr>
                <w:sz w:val="20"/>
                <w:szCs w:val="20"/>
              </w:rPr>
              <w:t xml:space="preserve">[-0.7684, 0.1022]</w:t>
            </w:r>
          </w:p>
        </w:tc>
        <w:tc>
          <w:tcPr>
            <w:tcW w:w="0" w:type="auto"/>
          </w:tcPr>
          <w:p>
            <w:pPr>
              <w:spacing w:line="240" w:lineRule="auto" w:before="0" w:after="0"/>
              <w:pStyle w:val="Compact"/>
            </w:pPr>
            <w:r>
              <w:rPr>
                <w:sz w:val="20"/>
                <w:szCs w:val="20"/>
              </w:rPr>
              <w:t xml:space="preserve">0.7167</w:t>
            </w:r>
          </w:p>
        </w:tc>
      </w:tr>
    </w:tbl>
    <w:p>
      <w:pPr>
        <w:pStyle w:val="BodyText"/>
      </w:pPr>
      <w:r>
        <w:t xml:space="preserve">Fit: N = 32 events = 19</w:t>
      </w:r>
    </w:p>
    <w:p>
      <w:pPr>
        <w:pStyle w:val="CaptionedFigure"/>
      </w:pPr>
      <w:r>
        <w:drawing>
          <wp:inline>
            <wp:extent cx="5669280" cy="3657600"/>
            <wp:effectExtent b="0" l="0" r="0" t="0"/>
            <wp:docPr descr="Figure 1. End-of-life disposal timing across 32 documented missions. Each point is one object; horizontal position is years to disposal or to the 2026 censoring cutoff, vertical position is operational altitude. Objects under financial-assurance regimes cluster at short disposal times across the altitude range." title="" id="79" name="Picture"/>
            <a:graphic>
              <a:graphicData uri="http://schemas.openxmlformats.org/drawingml/2006/picture">
                <pic:pic>
                  <pic:nvPicPr>
                    <pic:cNvPr descr="D:\Claude_Code\brain\collegium\candidates\dissertations\DEBRIS_10\research_papers\p2\paper_fig1.png" id="80" name="Picture"/>
                    <pic:cNvPicPr>
                      <a:picLocks noChangeArrowheads="1" noChangeAspect="1"/>
                    </pic:cNvPicPr>
                  </pic:nvPicPr>
                  <pic:blipFill>
                    <a:blip r:embed="rId78"/>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pPr>
      <w:r>
        <w:t xml:space="preserve">Figure 1. End-of-life disposal timing across 32 documented missions. Each point is one object; horizontal position is years to disposal or to the 2026 censoring cutoff, vertical position is operational altitude. Objects under financial-assurance regimes cluster at short disposal times across the altitude range.</w:t>
      </w:r>
    </w:p>
    <w:bookmarkEnd w:id="81"/>
    <w:bookmarkStart w:id="85" w:name="empirical-workbook-embedded"/>
    <w:p>
      <w:pPr>
        <w:pStyle w:val="Heading2"/>
      </w:pPr>
      <w:r>
        <w:t xml:space="preserve">Empirical Workbook (embedded)</w:t>
      </w:r>
    </w:p>
    <w:p>
      <w:pPr>
        <w:pStyle w:val="FirstParagraph"/>
      </w:pPr>
      <w:r>
        <w:t xml:space="preserve">Every figure above is reproduced from the workbook below, which is also attached as the live spreadsheet</w:t>
      </w:r>
      <w:r>
        <w:t xml:space="preserve"> </w:t>
      </w:r>
      <w:r>
        <w:rPr>
          <w:rStyle w:val="VerbatimChar"/>
        </w:rPr>
        <w:t xml:space="preserve">paper.xlsx</w:t>
      </w:r>
      <w:r>
        <w:t xml:space="preserve">. Each observation carries its source.</w:t>
      </w:r>
    </w:p>
    <w:bookmarkStart w:id="82" w:name="data-real-observations"/>
    <w:p>
      <w:pPr>
        <w:pStyle w:val="Heading3"/>
      </w:pPr>
      <w:r>
        <w:t xml:space="preserve">Data (real observations)</w:t>
      </w:r>
    </w:p>
    <w:tbl>
      <w:tblPr>
        <w:tblStyle w:val="Table"/>
        <w:tblLook w:firstRow="1" w:lastRow="0" w:firstColumn="0" w:lastColumn="0" w:noHBand="0" w:noVBand="0" w:val="0020"/>
        <w:tblLayout w:type="autofit"/>
        <w:tblW w:w="0" w:type="auto"/>
      </w:tblPr>
      <w:tblGrid>
        <w:gridCol w:w="879"/>
        <w:gridCol w:w="879"/>
        <w:gridCol w:w="879"/>
        <w:gridCol w:w="879"/>
        <w:gridCol w:w="879"/>
        <w:gridCol w:w="879"/>
        <w:gridCol w:w="879"/>
        <w:gridCol w:w="879"/>
        <w:gridCol w:w="879"/>
      </w:tblGrid>
      <w:tr>
        <w:trPr>
          <w:tblHeader w:val="on"/>
        </w:trPr>
        <w:tc>
          <w:tcPr>
            <w:tcW w:w="0" w:type="auto"/>
          </w:tcPr>
          <w:p>
            <w:pPr>
              <w:spacing w:line="240" w:lineRule="auto" w:before="0" w:after="0"/>
              <w:pStyle w:val="Compact"/>
            </w:pPr>
            <w:r>
              <w:rPr>
                <w:sz w:val="20"/>
                <w:szCs w:val="20"/>
              </w:rPr>
              <w:t xml:space="preserve">mission</w:t>
            </w:r>
          </w:p>
        </w:tc>
        <w:tc>
          <w:tcPr>
            <w:tcW w:w="0" w:type="auto"/>
          </w:tcPr>
          <w:p>
            <w:pPr>
              <w:spacing w:line="240" w:lineRule="auto" w:before="0" w:after="0"/>
              <w:pStyle w:val="Compact"/>
            </w:pPr>
            <w:r>
              <w:rPr>
                <w:sz w:val="20"/>
                <w:szCs w:val="20"/>
              </w:rPr>
              <w:t xml:space="preserve">end_of_mission_year</w:t>
            </w:r>
          </w:p>
        </w:tc>
        <w:tc>
          <w:tcPr>
            <w:tcW w:w="0" w:type="auto"/>
          </w:tcPr>
          <w:p>
            <w:pPr>
              <w:spacing w:line="240" w:lineRule="auto" w:before="0" w:after="0"/>
              <w:pStyle w:val="Compact"/>
            </w:pPr>
            <w:r>
              <w:rPr>
                <w:sz w:val="20"/>
                <w:szCs w:val="20"/>
              </w:rPr>
              <w:t xml:space="preserve">observe_year</w:t>
            </w:r>
          </w:p>
        </w:tc>
        <w:tc>
          <w:tcPr>
            <w:tcW w:w="0" w:type="auto"/>
          </w:tcPr>
          <w:p>
            <w:pPr>
              <w:spacing w:line="240" w:lineRule="auto" w:before="0" w:after="0"/>
              <w:pStyle w:val="Compact"/>
            </w:pPr>
            <w:r>
              <w:rPr>
                <w:sz w:val="20"/>
                <w:szCs w:val="20"/>
              </w:rPr>
              <w:t xml:space="preserve">duration_years</w:t>
            </w:r>
          </w:p>
        </w:tc>
        <w:tc>
          <w:tcPr>
            <w:tcW w:w="0" w:type="auto"/>
          </w:tcPr>
          <w:p>
            <w:pPr>
              <w:spacing w:line="240" w:lineRule="auto" w:before="0" w:after="0"/>
              <w:pStyle w:val="Compact"/>
            </w:pPr>
            <w:r>
              <w:rPr>
                <w:sz w:val="20"/>
                <w:szCs w:val="20"/>
              </w:rPr>
              <w:t xml:space="preserve">disposed</w:t>
            </w:r>
          </w:p>
        </w:tc>
        <w:tc>
          <w:tcPr>
            <w:tcW w:w="0" w:type="auto"/>
          </w:tcPr>
          <w:p>
            <w:pPr>
              <w:spacing w:line="240" w:lineRule="auto" w:before="0" w:after="0"/>
              <w:pStyle w:val="Compact"/>
            </w:pPr>
            <w:r>
              <w:rPr>
                <w:sz w:val="20"/>
                <w:szCs w:val="20"/>
              </w:rPr>
              <w:t xml:space="preserve">bonded_regime</w:t>
            </w:r>
          </w:p>
        </w:tc>
        <w:tc>
          <w:tcPr>
            <w:tcW w:w="0" w:type="auto"/>
          </w:tcPr>
          <w:p>
            <w:pPr>
              <w:spacing w:line="240" w:lineRule="auto" w:before="0" w:after="0"/>
              <w:pStyle w:val="Compact"/>
            </w:pPr>
            <w:r>
              <w:rPr>
                <w:sz w:val="20"/>
                <w:szCs w:val="20"/>
              </w:rPr>
              <w:t xml:space="preserve">altitude_km</w:t>
            </w:r>
          </w:p>
        </w:tc>
        <w:tc>
          <w:tcPr>
            <w:tcW w:w="0" w:type="auto"/>
          </w:tcPr>
          <w:p>
            <w:pPr>
              <w:spacing w:line="240" w:lineRule="auto" w:before="0" w:after="0"/>
              <w:pStyle w:val="Compact"/>
            </w:pPr>
            <w:r>
              <w:rPr>
                <w:sz w:val="20"/>
                <w:szCs w:val="20"/>
              </w:rPr>
              <w:t xml:space="preserve">mass_t</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GOCE</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0.6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255</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ESA GOCE end of mission and controlled reentry Nov 2013; ESA mission and Space Debris Office reentry bulletin</w:t>
            </w:r>
          </w:p>
        </w:tc>
      </w:tr>
      <w:tr>
        <w:tc>
          <w:tcPr>
            <w:tcW w:w="0" w:type="auto"/>
          </w:tcPr>
          <w:p>
            <w:pPr>
              <w:spacing w:line="240" w:lineRule="auto" w:before="0" w:after="0"/>
              <w:pStyle w:val="Compact"/>
            </w:pPr>
            <w:r>
              <w:rPr>
                <w:sz w:val="20"/>
                <w:szCs w:val="20"/>
              </w:rPr>
              <w:t xml:space="preserve">Cluster-II Salsa</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0.5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127</w:t>
            </w:r>
          </w:p>
        </w:tc>
        <w:tc>
          <w:tcPr>
            <w:tcW w:w="0" w:type="auto"/>
          </w:tcPr>
          <w:p>
            <w:pPr>
              <w:spacing w:line="240" w:lineRule="auto" w:before="0" w:after="0"/>
              <w:pStyle w:val="Compact"/>
            </w:pPr>
            <w:r>
              <w:rPr>
                <w:sz w:val="20"/>
                <w:szCs w:val="20"/>
              </w:rPr>
              <w:t xml:space="preserve">0.55</w:t>
            </w:r>
          </w:p>
        </w:tc>
        <w:tc>
          <w:tcPr>
            <w:tcW w:w="0" w:type="auto"/>
          </w:tcPr>
          <w:p>
            <w:pPr>
              <w:spacing w:line="240" w:lineRule="auto" w:before="0" w:after="0"/>
              <w:pStyle w:val="Compact"/>
            </w:pPr>
            <w:r>
              <w:rPr>
                <w:sz w:val="20"/>
                <w:szCs w:val="20"/>
              </w:rPr>
              <w:t xml:space="preserve">ESA Cluster Salsa targeted reentry Sept 2024; ESA operations and Space Debris Office reentry campaign</w:t>
            </w:r>
          </w:p>
        </w:tc>
      </w:tr>
      <w:tr>
        <w:tc>
          <w:tcPr>
            <w:tcW w:w="0" w:type="auto"/>
          </w:tcPr>
          <w:p>
            <w:pPr>
              <w:spacing w:line="240" w:lineRule="auto" w:before="0" w:after="0"/>
              <w:pStyle w:val="Compact"/>
            </w:pPr>
            <w:r>
              <w:rPr>
                <w:sz w:val="20"/>
                <w:szCs w:val="20"/>
              </w:rPr>
              <w:t xml:space="preserve">ERS-2</w:t>
            </w:r>
          </w:p>
        </w:tc>
        <w:tc>
          <w:tcPr>
            <w:tcW w:w="0" w:type="auto"/>
          </w:tcPr>
          <w:p>
            <w:pPr>
              <w:spacing w:line="240" w:lineRule="auto" w:before="0" w:after="0"/>
              <w:pStyle w:val="Compact"/>
            </w:pPr>
            <w:r>
              <w:rPr>
                <w:sz w:val="20"/>
                <w:szCs w:val="20"/>
              </w:rPr>
              <w:t xml:space="preserve">2011</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785</w:t>
            </w:r>
          </w:p>
        </w:tc>
        <w:tc>
          <w:tcPr>
            <w:tcW w:w="0" w:type="auto"/>
          </w:tcPr>
          <w:p>
            <w:pPr>
              <w:spacing w:line="240" w:lineRule="auto" w:before="0" w:after="0"/>
              <w:pStyle w:val="Compact"/>
            </w:pPr>
            <w:r>
              <w:rPr>
                <w:sz w:val="20"/>
                <w:szCs w:val="20"/>
              </w:rPr>
              <w:t xml:space="preserve">2.52</w:t>
            </w:r>
          </w:p>
        </w:tc>
        <w:tc>
          <w:tcPr>
            <w:tcW w:w="0" w:type="auto"/>
          </w:tcPr>
          <w:p>
            <w:pPr>
              <w:spacing w:line="240" w:lineRule="auto" w:before="0" w:after="0"/>
              <w:pStyle w:val="Compact"/>
            </w:pPr>
            <w:r>
              <w:rPr>
                <w:sz w:val="20"/>
                <w:szCs w:val="20"/>
              </w:rPr>
              <w:t xml:space="preserve">ESA ERS-2 end of mission 2011, passivation and natural reentry Feb 2024; ESA ERS-2 reentry campaign reports</w:t>
            </w:r>
          </w:p>
        </w:tc>
      </w:tr>
      <w:tr>
        <w:tc>
          <w:tcPr>
            <w:tcW w:w="0" w:type="auto"/>
          </w:tcPr>
          <w:p>
            <w:pPr>
              <w:spacing w:line="240" w:lineRule="auto" w:before="0" w:after="0"/>
              <w:pStyle w:val="Compact"/>
            </w:pPr>
            <w:r>
              <w:rPr>
                <w:sz w:val="20"/>
                <w:szCs w:val="20"/>
              </w:rPr>
              <w:t xml:space="preserve">Envisat</w:t>
            </w:r>
          </w:p>
        </w:tc>
        <w:tc>
          <w:tcPr>
            <w:tcW w:w="0" w:type="auto"/>
          </w:tcPr>
          <w:p>
            <w:pPr>
              <w:spacing w:line="240" w:lineRule="auto" w:before="0" w:after="0"/>
              <w:pStyle w:val="Compact"/>
            </w:pPr>
            <w:r>
              <w:rPr>
                <w:sz w:val="20"/>
                <w:szCs w:val="20"/>
              </w:rPr>
              <w:t xml:space="preserve">2012</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790</w:t>
            </w:r>
          </w:p>
        </w:tc>
        <w:tc>
          <w:tcPr>
            <w:tcW w:w="0" w:type="auto"/>
          </w:tcPr>
          <w:p>
            <w:pPr>
              <w:spacing w:line="240" w:lineRule="auto" w:before="0" w:after="0"/>
              <w:pStyle w:val="Compact"/>
            </w:pPr>
            <w:r>
              <w:rPr>
                <w:sz w:val="20"/>
                <w:szCs w:val="20"/>
              </w:rPr>
              <w:t xml:space="preserve">8.21</w:t>
            </w:r>
          </w:p>
        </w:tc>
        <w:tc>
          <w:tcPr>
            <w:tcW w:w="0" w:type="auto"/>
          </w:tcPr>
          <w:p>
            <w:pPr>
              <w:spacing w:line="240" w:lineRule="auto" w:before="0" w:after="0"/>
              <w:pStyle w:val="Compact"/>
            </w:pPr>
            <w:r>
              <w:rPr>
                <w:sz w:val="20"/>
                <w:szCs w:val="20"/>
              </w:rPr>
              <w:t xml:space="preserve">ESA Envisat failure April 2012, no disposal, remains on orbit; ESA Envisat mission status [censored]</w:t>
            </w:r>
          </w:p>
        </w:tc>
      </w:tr>
      <w:tr>
        <w:tc>
          <w:tcPr>
            <w:tcW w:w="0" w:type="auto"/>
          </w:tcPr>
          <w:p>
            <w:pPr>
              <w:spacing w:line="240" w:lineRule="auto" w:before="0" w:after="0"/>
              <w:pStyle w:val="Compact"/>
            </w:pPr>
            <w:r>
              <w:rPr>
                <w:sz w:val="20"/>
                <w:szCs w:val="20"/>
              </w:rPr>
              <w:t xml:space="preserve">UARS</w:t>
            </w:r>
          </w:p>
        </w:tc>
        <w:tc>
          <w:tcPr>
            <w:tcW w:w="0" w:type="auto"/>
          </w:tcPr>
          <w:p>
            <w:pPr>
              <w:spacing w:line="240" w:lineRule="auto" w:before="0" w:after="0"/>
              <w:pStyle w:val="Compact"/>
            </w:pPr>
            <w:r>
              <w:rPr>
                <w:sz w:val="20"/>
                <w:szCs w:val="20"/>
              </w:rPr>
              <w:t xml:space="preserve">2005</w:t>
            </w:r>
          </w:p>
        </w:tc>
        <w:tc>
          <w:tcPr>
            <w:tcW w:w="0" w:type="auto"/>
          </w:tcPr>
          <w:p>
            <w:pPr>
              <w:spacing w:line="240" w:lineRule="auto" w:before="0" w:after="0"/>
              <w:pStyle w:val="Compact"/>
            </w:pPr>
            <w:r>
              <w:rPr>
                <w:sz w:val="20"/>
                <w:szCs w:val="20"/>
              </w:rPr>
              <w:t xml:space="preserve">2011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575</w:t>
            </w:r>
          </w:p>
        </w:tc>
        <w:tc>
          <w:tcPr>
            <w:tcW w:w="0" w:type="auto"/>
          </w:tcPr>
          <w:p>
            <w:pPr>
              <w:spacing w:line="240" w:lineRule="auto" w:before="0" w:after="0"/>
              <w:pStyle w:val="Compact"/>
            </w:pPr>
            <w:r>
              <w:rPr>
                <w:sz w:val="20"/>
                <w:szCs w:val="20"/>
              </w:rPr>
              <w:t xml:space="preserve">5.9</w:t>
            </w:r>
          </w:p>
        </w:tc>
        <w:tc>
          <w:tcPr>
            <w:tcW w:w="0" w:type="auto"/>
          </w:tcPr>
          <w:p>
            <w:pPr>
              <w:spacing w:line="240" w:lineRule="auto" w:before="0" w:after="0"/>
              <w:pStyle w:val="Compact"/>
            </w:pPr>
            <w:r>
              <w:rPr>
                <w:sz w:val="20"/>
                <w:szCs w:val="20"/>
              </w:rPr>
              <w:t xml:space="preserve">NASA UARS end of science 2005, uncontrolled reentry Sept 2011; NASA UARS reentry reports</w:t>
            </w:r>
          </w:p>
        </w:tc>
      </w:tr>
      <w:tr>
        <w:tc>
          <w:tcPr>
            <w:tcW w:w="0" w:type="auto"/>
          </w:tcPr>
          <w:p>
            <w:pPr>
              <w:spacing w:line="240" w:lineRule="auto" w:before="0" w:after="0"/>
              <w:pStyle w:val="Compact"/>
            </w:pPr>
            <w:r>
              <w:rPr>
                <w:sz w:val="20"/>
                <w:szCs w:val="20"/>
              </w:rPr>
              <w:t xml:space="preserve">ROSAT</w:t>
            </w:r>
          </w:p>
        </w:tc>
        <w:tc>
          <w:tcPr>
            <w:tcW w:w="0" w:type="auto"/>
          </w:tcPr>
          <w:p>
            <w:pPr>
              <w:spacing w:line="240" w:lineRule="auto" w:before="0" w:after="0"/>
              <w:pStyle w:val="Compact"/>
            </w:pPr>
            <w:r>
              <w:rPr>
                <w:sz w:val="20"/>
                <w:szCs w:val="20"/>
              </w:rPr>
              <w:t xml:space="preserve">1999</w:t>
            </w:r>
          </w:p>
        </w:tc>
        <w:tc>
          <w:tcPr>
            <w:tcW w:w="0" w:type="auto"/>
          </w:tcPr>
          <w:p>
            <w:pPr>
              <w:spacing w:line="240" w:lineRule="auto" w:before="0" w:after="0"/>
              <w:pStyle w:val="Compact"/>
            </w:pPr>
            <w:r>
              <w:rPr>
                <w:sz w:val="20"/>
                <w:szCs w:val="20"/>
              </w:rPr>
              <w:t xml:space="preserve">2011</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580</w:t>
            </w:r>
          </w:p>
        </w:tc>
        <w:tc>
          <w:tcPr>
            <w:tcW w:w="0" w:type="auto"/>
          </w:tcPr>
          <w:p>
            <w:pPr>
              <w:spacing w:line="240" w:lineRule="auto" w:before="0" w:after="0"/>
              <w:pStyle w:val="Compact"/>
            </w:pPr>
            <w:r>
              <w:rPr>
                <w:sz w:val="20"/>
                <w:szCs w:val="20"/>
              </w:rPr>
              <w:t xml:space="preserve">2.43</w:t>
            </w:r>
          </w:p>
        </w:tc>
        <w:tc>
          <w:tcPr>
            <w:tcW w:w="0" w:type="auto"/>
          </w:tcPr>
          <w:p>
            <w:pPr>
              <w:spacing w:line="240" w:lineRule="auto" w:before="0" w:after="0"/>
              <w:pStyle w:val="Compact"/>
            </w:pPr>
            <w:r>
              <w:rPr>
                <w:sz w:val="20"/>
                <w:szCs w:val="20"/>
              </w:rPr>
              <w:t xml:space="preserve">DLR ROSAT end of mission 1999, uncontrolled reentry Oct 2011; DLR ROSAT reentry analysis</w:t>
            </w:r>
          </w:p>
        </w:tc>
      </w:tr>
      <w:tr>
        <w:tc>
          <w:tcPr>
            <w:tcW w:w="0" w:type="auto"/>
          </w:tcPr>
          <w:p>
            <w:pPr>
              <w:spacing w:line="240" w:lineRule="auto" w:before="0" w:after="0"/>
              <w:pStyle w:val="Compact"/>
            </w:pPr>
            <w:r>
              <w:rPr>
                <w:sz w:val="20"/>
                <w:szCs w:val="20"/>
              </w:rPr>
              <w:t xml:space="preserve">Aeolus</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0.5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320</w:t>
            </w:r>
          </w:p>
        </w:tc>
        <w:tc>
          <w:tcPr>
            <w:tcW w:w="0" w:type="auto"/>
          </w:tcPr>
          <w:p>
            <w:pPr>
              <w:spacing w:line="240" w:lineRule="auto" w:before="0" w:after="0"/>
              <w:pStyle w:val="Compact"/>
            </w:pPr>
            <w:r>
              <w:rPr>
                <w:sz w:val="20"/>
                <w:szCs w:val="20"/>
              </w:rPr>
              <w:t xml:space="preserve">1.36</w:t>
            </w:r>
          </w:p>
        </w:tc>
        <w:tc>
          <w:tcPr>
            <w:tcW w:w="0" w:type="auto"/>
          </w:tcPr>
          <w:p>
            <w:pPr>
              <w:spacing w:line="240" w:lineRule="auto" w:before="0" w:after="0"/>
              <w:pStyle w:val="Compact"/>
            </w:pPr>
            <w:r>
              <w:rPr>
                <w:sz w:val="20"/>
                <w:szCs w:val="20"/>
              </w:rPr>
              <w:t xml:space="preserve">ESA Aeolus assisted reentry July 2023; ESA Aeolus end-of-life reentry campaign reports</w:t>
            </w:r>
          </w:p>
        </w:tc>
      </w:tr>
      <w:tr>
        <w:tc>
          <w:tcPr>
            <w:tcW w:w="0" w:type="auto"/>
          </w:tcPr>
          <w:p>
            <w:pPr>
              <w:spacing w:line="240" w:lineRule="auto" w:before="0" w:after="0"/>
              <w:pStyle w:val="Compact"/>
            </w:pPr>
            <w:r>
              <w:rPr>
                <w:sz w:val="20"/>
                <w:szCs w:val="20"/>
              </w:rPr>
              <w:t xml:space="preserve">TIMED</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605</w:t>
            </w:r>
          </w:p>
        </w:tc>
        <w:tc>
          <w:tcPr>
            <w:tcW w:w="0" w:type="auto"/>
          </w:tcPr>
          <w:p>
            <w:pPr>
              <w:spacing w:line="240" w:lineRule="auto" w:before="0" w:after="0"/>
              <w:pStyle w:val="Compact"/>
            </w:pPr>
            <w:r>
              <w:rPr>
                <w:sz w:val="20"/>
                <w:szCs w:val="20"/>
              </w:rPr>
              <w:t xml:space="preserve">0.59</w:t>
            </w:r>
          </w:p>
        </w:tc>
        <w:tc>
          <w:tcPr>
            <w:tcW w:w="0" w:type="auto"/>
          </w:tcPr>
          <w:p>
            <w:pPr>
              <w:spacing w:line="240" w:lineRule="auto" w:before="0" w:after="0"/>
              <w:pStyle w:val="Compact"/>
            </w:pPr>
            <w:r>
              <w:rPr>
                <w:sz w:val="20"/>
                <w:szCs w:val="20"/>
              </w:rPr>
              <w:t xml:space="preserve">NASA TIMED still operating after 2024 near-miss, no disposal; NASA TIMED mission page [censored, ongoing]</w:t>
            </w:r>
          </w:p>
        </w:tc>
      </w:tr>
      <w:tr>
        <w:tc>
          <w:tcPr>
            <w:tcW w:w="0" w:type="auto"/>
          </w:tcPr>
          <w:p>
            <w:pPr>
              <w:spacing w:line="240" w:lineRule="auto" w:before="0" w:after="0"/>
              <w:pStyle w:val="Compact"/>
            </w:pPr>
            <w:r>
              <w:rPr>
                <w:sz w:val="20"/>
                <w:szCs w:val="20"/>
              </w:rPr>
              <w:t xml:space="preserve">QuikSCAT</w:t>
            </w:r>
          </w:p>
        </w:tc>
        <w:tc>
          <w:tcPr>
            <w:tcW w:w="0" w:type="auto"/>
          </w:tcPr>
          <w:p>
            <w:pPr>
              <w:spacing w:line="240" w:lineRule="auto" w:before="0" w:after="0"/>
              <w:pStyle w:val="Compact"/>
            </w:pPr>
            <w:r>
              <w:rPr>
                <w:sz w:val="20"/>
                <w:szCs w:val="20"/>
              </w:rPr>
              <w:t xml:space="preserve">2009</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720</w:t>
            </w:r>
          </w:p>
        </w:tc>
        <w:tc>
          <w:tcPr>
            <w:tcW w:w="0" w:type="auto"/>
          </w:tcPr>
          <w:p>
            <w:pPr>
              <w:spacing w:line="240" w:lineRule="auto" w:before="0" w:after="0"/>
              <w:pStyle w:val="Compact"/>
            </w:pPr>
            <w:r>
              <w:rPr>
                <w:sz w:val="20"/>
                <w:szCs w:val="20"/>
              </w:rPr>
              <w:t xml:space="preserve">0.97</w:t>
            </w:r>
          </w:p>
        </w:tc>
        <w:tc>
          <w:tcPr>
            <w:tcW w:w="0" w:type="auto"/>
          </w:tcPr>
          <w:p>
            <w:pPr>
              <w:spacing w:line="240" w:lineRule="auto" w:before="0" w:after="0"/>
              <w:pStyle w:val="Compact"/>
            </w:pPr>
            <w:r>
              <w:rPr>
                <w:sz w:val="20"/>
                <w:szCs w:val="20"/>
              </w:rPr>
              <w:t xml:space="preserve">NASA QuikSCAT instrument failure 2009, spacecraft remains on orbit; NASA QuikSCAT status [censored]</w:t>
            </w:r>
          </w:p>
        </w:tc>
      </w:tr>
      <w:tr>
        <w:tc>
          <w:tcPr>
            <w:tcW w:w="0" w:type="auto"/>
          </w:tcPr>
          <w:p>
            <w:pPr>
              <w:spacing w:line="240" w:lineRule="auto" w:before="0" w:after="0"/>
              <w:pStyle w:val="Compact"/>
            </w:pPr>
            <w:r>
              <w:rPr>
                <w:sz w:val="20"/>
                <w:szCs w:val="20"/>
              </w:rPr>
              <w:t xml:space="preserve">GRACE-1</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490</w:t>
            </w:r>
          </w:p>
        </w:tc>
        <w:tc>
          <w:tcPr>
            <w:tcW w:w="0" w:type="auto"/>
          </w:tcPr>
          <w:p>
            <w:pPr>
              <w:spacing w:line="240" w:lineRule="auto" w:before="0" w:after="0"/>
              <w:pStyle w:val="Compact"/>
            </w:pPr>
            <w:r>
              <w:rPr>
                <w:sz w:val="20"/>
                <w:szCs w:val="20"/>
              </w:rPr>
              <w:t xml:space="preserve">0.49</w:t>
            </w:r>
          </w:p>
        </w:tc>
        <w:tc>
          <w:tcPr>
            <w:tcW w:w="0" w:type="auto"/>
          </w:tcPr>
          <w:p>
            <w:pPr>
              <w:spacing w:line="240" w:lineRule="auto" w:before="0" w:after="0"/>
              <w:pStyle w:val="Compact"/>
            </w:pPr>
            <w:r>
              <w:rPr>
                <w:sz w:val="20"/>
                <w:szCs w:val="20"/>
              </w:rPr>
              <w:t xml:space="preserve">NASA/DLR GRACE-1 decommissioned 2017, reentered March 2018; NASA GRACE mission end reports</w:t>
            </w:r>
          </w:p>
        </w:tc>
      </w:tr>
      <w:tr>
        <w:tc>
          <w:tcPr>
            <w:tcW w:w="0" w:type="auto"/>
          </w:tcPr>
          <w:p>
            <w:pPr>
              <w:spacing w:line="240" w:lineRule="auto" w:before="0" w:after="0"/>
              <w:pStyle w:val="Compact"/>
            </w:pPr>
            <w:r>
              <w:rPr>
                <w:sz w:val="20"/>
                <w:szCs w:val="20"/>
              </w:rPr>
              <w:t xml:space="preserve">GRACE-2</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0.5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490</w:t>
            </w:r>
          </w:p>
        </w:tc>
        <w:tc>
          <w:tcPr>
            <w:tcW w:w="0" w:type="auto"/>
          </w:tcPr>
          <w:p>
            <w:pPr>
              <w:spacing w:line="240" w:lineRule="auto" w:before="0" w:after="0"/>
              <w:pStyle w:val="Compact"/>
            </w:pPr>
            <w:r>
              <w:rPr>
                <w:sz w:val="20"/>
                <w:szCs w:val="20"/>
              </w:rPr>
              <w:t xml:space="preserve">0.49</w:t>
            </w:r>
          </w:p>
        </w:tc>
        <w:tc>
          <w:tcPr>
            <w:tcW w:w="0" w:type="auto"/>
          </w:tcPr>
          <w:p>
            <w:pPr>
              <w:spacing w:line="240" w:lineRule="auto" w:before="0" w:after="0"/>
              <w:pStyle w:val="Compact"/>
            </w:pPr>
            <w:r>
              <w:rPr>
                <w:sz w:val="20"/>
                <w:szCs w:val="20"/>
              </w:rPr>
              <w:t xml:space="preserve">NASA/DLR GRACE-2 decommissioned and reentered 2017; NASA GRACE mission end reports</w:t>
            </w:r>
          </w:p>
        </w:tc>
      </w:tr>
      <w:tr>
        <w:tc>
          <w:tcPr>
            <w:tcW w:w="0" w:type="auto"/>
          </w:tcPr>
          <w:p>
            <w:pPr>
              <w:spacing w:line="240" w:lineRule="auto" w:before="0" w:after="0"/>
              <w:pStyle w:val="Compact"/>
            </w:pPr>
            <w:r>
              <w:rPr>
                <w:sz w:val="20"/>
                <w:szCs w:val="20"/>
              </w:rPr>
              <w:t xml:space="preserve">Jason-1</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1336</w:t>
            </w:r>
          </w:p>
        </w:tc>
        <w:tc>
          <w:tcPr>
            <w:tcW w:w="0" w:type="auto"/>
          </w:tcPr>
          <w:p>
            <w:pPr>
              <w:spacing w:line="240" w:lineRule="auto" w:before="0" w:after="0"/>
              <w:pStyle w:val="Compact"/>
            </w:pPr>
            <w:r>
              <w:rPr>
                <w:sz w:val="20"/>
                <w:szCs w:val="20"/>
              </w:rPr>
              <w:t xml:space="preserve">0.5</w:t>
            </w:r>
          </w:p>
        </w:tc>
        <w:tc>
          <w:tcPr>
            <w:tcW w:w="0" w:type="auto"/>
          </w:tcPr>
          <w:p>
            <w:pPr>
              <w:spacing w:line="240" w:lineRule="auto" w:before="0" w:after="0"/>
              <w:pStyle w:val="Compact"/>
            </w:pPr>
            <w:r>
              <w:rPr>
                <w:sz w:val="20"/>
                <w:szCs w:val="20"/>
              </w:rPr>
              <w:t xml:space="preserve">NASA/CNES Jason-1 end of mission 2013, passivated, remains on orbit above 25-year region; NASA Jason-1 status [censored]</w:t>
            </w:r>
          </w:p>
        </w:tc>
      </w:tr>
      <w:tr>
        <w:tc>
          <w:tcPr>
            <w:tcW w:w="0" w:type="auto"/>
          </w:tcPr>
          <w:p>
            <w:pPr>
              <w:spacing w:line="240" w:lineRule="auto" w:before="0" w:after="0"/>
              <w:pStyle w:val="Compact"/>
            </w:pPr>
            <w:r>
              <w:rPr>
                <w:sz w:val="20"/>
                <w:szCs w:val="20"/>
              </w:rPr>
              <w:t xml:space="preserve">Jason-2</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1336</w:t>
            </w:r>
          </w:p>
        </w:tc>
        <w:tc>
          <w:tcPr>
            <w:tcW w:w="0" w:type="auto"/>
          </w:tcPr>
          <w:p>
            <w:pPr>
              <w:spacing w:line="240" w:lineRule="auto" w:before="0" w:after="0"/>
              <w:pStyle w:val="Compact"/>
            </w:pPr>
            <w:r>
              <w:rPr>
                <w:sz w:val="20"/>
                <w:szCs w:val="20"/>
              </w:rPr>
              <w:t xml:space="preserve">0.55</w:t>
            </w:r>
          </w:p>
        </w:tc>
        <w:tc>
          <w:tcPr>
            <w:tcW w:w="0" w:type="auto"/>
          </w:tcPr>
          <w:p>
            <w:pPr>
              <w:spacing w:line="240" w:lineRule="auto" w:before="0" w:after="0"/>
              <w:pStyle w:val="Compact"/>
            </w:pPr>
            <w:r>
              <w:rPr>
                <w:sz w:val="20"/>
                <w:szCs w:val="20"/>
              </w:rPr>
              <w:t xml:space="preserve">NASA/CNES/EUMETSAT Jason-2 end 2019, lowered orbit, on long decay; OSTM/Jason-2 decommissioning reports [censored]</w:t>
            </w:r>
          </w:p>
        </w:tc>
      </w:tr>
      <w:tr>
        <w:tc>
          <w:tcPr>
            <w:tcW w:w="0" w:type="auto"/>
          </w:tcPr>
          <w:p>
            <w:pPr>
              <w:spacing w:line="240" w:lineRule="auto" w:before="0" w:after="0"/>
              <w:pStyle w:val="Compact"/>
            </w:pPr>
            <w:r>
              <w:rPr>
                <w:sz w:val="20"/>
                <w:szCs w:val="20"/>
              </w:rPr>
              <w:t xml:space="preserve">TOPEX-Poseidon</w:t>
            </w:r>
          </w:p>
        </w:tc>
        <w:tc>
          <w:tcPr>
            <w:tcW w:w="0" w:type="auto"/>
          </w:tcPr>
          <w:p>
            <w:pPr>
              <w:spacing w:line="240" w:lineRule="auto" w:before="0" w:after="0"/>
              <w:pStyle w:val="Compact"/>
            </w:pPr>
            <w:r>
              <w:rPr>
                <w:sz w:val="20"/>
                <w:szCs w:val="20"/>
              </w:rPr>
              <w:t xml:space="preserve">2006</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1336</w:t>
            </w:r>
          </w:p>
        </w:tc>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NASA/CNES TOPEX/Poseidon end 2006, remains on orbit; NASA TOPEX status [censored]</w:t>
            </w:r>
          </w:p>
        </w:tc>
      </w:tr>
      <w:tr>
        <w:tc>
          <w:tcPr>
            <w:tcW w:w="0" w:type="auto"/>
          </w:tcPr>
          <w:p>
            <w:pPr>
              <w:spacing w:line="240" w:lineRule="auto" w:before="0" w:after="0"/>
              <w:pStyle w:val="Compact"/>
            </w:pPr>
            <w:r>
              <w:rPr>
                <w:sz w:val="20"/>
                <w:szCs w:val="20"/>
              </w:rPr>
              <w:t xml:space="preserve">CALIPSO</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0.5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705</w:t>
            </w:r>
          </w:p>
        </w:tc>
        <w:tc>
          <w:tcPr>
            <w:tcW w:w="0" w:type="auto"/>
          </w:tcPr>
          <w:p>
            <w:pPr>
              <w:spacing w:line="240" w:lineRule="auto" w:before="0" w:after="0"/>
              <w:pStyle w:val="Compact"/>
            </w:pPr>
            <w:r>
              <w:rPr>
                <w:sz w:val="20"/>
                <w:szCs w:val="20"/>
              </w:rPr>
              <w:t xml:space="preserve">0.59</w:t>
            </w:r>
          </w:p>
        </w:tc>
        <w:tc>
          <w:tcPr>
            <w:tcW w:w="0" w:type="auto"/>
          </w:tcPr>
          <w:p>
            <w:pPr>
              <w:spacing w:line="240" w:lineRule="auto" w:before="0" w:after="0"/>
              <w:pStyle w:val="Compact"/>
            </w:pPr>
            <w:r>
              <w:rPr>
                <w:sz w:val="20"/>
                <w:szCs w:val="20"/>
              </w:rPr>
              <w:t xml:space="preserve">NASA/CNES CALIPSO end of mission 2023, lowered to disposal orbit; NASA CALIPSO decommissioning reports</w:t>
            </w:r>
          </w:p>
        </w:tc>
      </w:tr>
      <w:tr>
        <w:tc>
          <w:tcPr>
            <w:tcW w:w="0" w:type="auto"/>
          </w:tcPr>
          <w:p>
            <w:pPr>
              <w:spacing w:line="240" w:lineRule="auto" w:before="0" w:after="0"/>
              <w:pStyle w:val="Compact"/>
            </w:pPr>
            <w:r>
              <w:rPr>
                <w:sz w:val="20"/>
                <w:szCs w:val="20"/>
              </w:rPr>
              <w:t xml:space="preserve">CloudSat</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0.5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705</w:t>
            </w:r>
          </w:p>
        </w:tc>
        <w:tc>
          <w:tcPr>
            <w:tcW w:w="0" w:type="auto"/>
          </w:tcPr>
          <w:p>
            <w:pPr>
              <w:spacing w:line="240" w:lineRule="auto" w:before="0" w:after="0"/>
              <w:pStyle w:val="Compact"/>
            </w:pPr>
            <w:r>
              <w:rPr>
                <w:sz w:val="20"/>
                <w:szCs w:val="20"/>
              </w:rPr>
              <w:t xml:space="preserve">0.85</w:t>
            </w:r>
          </w:p>
        </w:tc>
        <w:tc>
          <w:tcPr>
            <w:tcW w:w="0" w:type="auto"/>
          </w:tcPr>
          <w:p>
            <w:pPr>
              <w:spacing w:line="240" w:lineRule="auto" w:before="0" w:after="0"/>
              <w:pStyle w:val="Compact"/>
            </w:pPr>
            <w:r>
              <w:rPr>
                <w:sz w:val="20"/>
                <w:szCs w:val="20"/>
              </w:rPr>
              <w:t xml:space="preserve">NASA CloudSat end of mission 2024, lowered to disposal orbit; NASA CloudSat decommissioning press release</w:t>
            </w:r>
          </w:p>
        </w:tc>
      </w:tr>
      <w:tr>
        <w:tc>
          <w:tcPr>
            <w:tcW w:w="0" w:type="auto"/>
          </w:tcPr>
          <w:p>
            <w:pPr>
              <w:spacing w:line="240" w:lineRule="auto" w:before="0" w:after="0"/>
              <w:pStyle w:val="Compact"/>
            </w:pPr>
            <w:r>
              <w:rPr>
                <w:sz w:val="20"/>
                <w:szCs w:val="20"/>
              </w:rPr>
              <w:t xml:space="preserve">SeaSat</w:t>
            </w:r>
          </w:p>
        </w:tc>
        <w:tc>
          <w:tcPr>
            <w:tcW w:w="0" w:type="auto"/>
          </w:tcPr>
          <w:p>
            <w:pPr>
              <w:spacing w:line="240" w:lineRule="auto" w:before="0" w:after="0"/>
              <w:pStyle w:val="Compact"/>
            </w:pPr>
            <w:r>
              <w:rPr>
                <w:sz w:val="20"/>
                <w:szCs w:val="20"/>
              </w:rPr>
              <w:t xml:space="preserve">1978</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48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800</w:t>
            </w:r>
          </w:p>
        </w:tc>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NASA SeaSat failed 1978, remains on orbit; NASA SeaSat mission history [censored]</w:t>
            </w:r>
          </w:p>
        </w:tc>
      </w:tr>
      <w:tr>
        <w:tc>
          <w:tcPr>
            <w:tcW w:w="0" w:type="auto"/>
          </w:tcPr>
          <w:p>
            <w:pPr>
              <w:spacing w:line="240" w:lineRule="auto" w:before="0" w:after="0"/>
              <w:pStyle w:val="Compact"/>
            </w:pPr>
            <w:r>
              <w:rPr>
                <w:sz w:val="20"/>
                <w:szCs w:val="20"/>
              </w:rPr>
              <w:t xml:space="preserve">Landsat-5</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705</w:t>
            </w:r>
          </w:p>
        </w:tc>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USGS/NASA Landsat-5 decommissioned 2013, passivated, remains on orbit; USGS Landsat-5 status [censored]</w:t>
            </w:r>
          </w:p>
        </w:tc>
      </w:tr>
      <w:tr>
        <w:tc>
          <w:tcPr>
            <w:tcW w:w="0" w:type="auto"/>
          </w:tcPr>
          <w:p>
            <w:pPr>
              <w:spacing w:line="240" w:lineRule="auto" w:before="0" w:after="0"/>
              <w:pStyle w:val="Compact"/>
            </w:pPr>
            <w:r>
              <w:rPr>
                <w:sz w:val="20"/>
                <w:szCs w:val="20"/>
              </w:rPr>
              <w:t xml:space="preserve">Hitomi</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575</w:t>
            </w:r>
          </w:p>
        </w:tc>
        <w:tc>
          <w:tcPr>
            <w:tcW w:w="0" w:type="auto"/>
          </w:tcPr>
          <w:p>
            <w:pPr>
              <w:spacing w:line="240" w:lineRule="auto" w:before="0" w:after="0"/>
              <w:pStyle w:val="Compact"/>
            </w:pPr>
            <w:r>
              <w:rPr>
                <w:sz w:val="20"/>
                <w:szCs w:val="20"/>
              </w:rPr>
              <w:t xml:space="preserve">2.7</w:t>
            </w:r>
          </w:p>
        </w:tc>
        <w:tc>
          <w:tcPr>
            <w:tcW w:w="0" w:type="auto"/>
          </w:tcPr>
          <w:p>
            <w:pPr>
              <w:spacing w:line="240" w:lineRule="auto" w:before="0" w:after="0"/>
              <w:pStyle w:val="Compact"/>
            </w:pPr>
            <w:r>
              <w:rPr>
                <w:sz w:val="20"/>
                <w:szCs w:val="20"/>
              </w:rPr>
              <w:t xml:space="preserve">JAXA Hitomi (ASTRO-H) breakup 2016, partial debris decay by 2019; JAXA Hitomi anomaly reports [partial]</w:t>
            </w:r>
          </w:p>
        </w:tc>
      </w:tr>
      <w:tr>
        <w:tc>
          <w:tcPr>
            <w:tcW w:w="0" w:type="auto"/>
          </w:tcPr>
          <w:p>
            <w:pPr>
              <w:spacing w:line="240" w:lineRule="auto" w:before="0" w:after="0"/>
              <w:pStyle w:val="Compact"/>
            </w:pPr>
            <w:r>
              <w:rPr>
                <w:sz w:val="20"/>
                <w:szCs w:val="20"/>
              </w:rPr>
              <w:t xml:space="preserve">Swarm-A</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440</w:t>
            </w:r>
          </w:p>
        </w:tc>
        <w:tc>
          <w:tcPr>
            <w:tcW w:w="0" w:type="auto"/>
          </w:tcPr>
          <w:p>
            <w:pPr>
              <w:spacing w:line="240" w:lineRule="auto" w:before="0" w:after="0"/>
              <w:pStyle w:val="Compact"/>
            </w:pPr>
            <w:r>
              <w:rPr>
                <w:sz w:val="20"/>
                <w:szCs w:val="20"/>
              </w:rPr>
              <w:t xml:space="preserve">0.47</w:t>
            </w:r>
          </w:p>
        </w:tc>
        <w:tc>
          <w:tcPr>
            <w:tcW w:w="0" w:type="auto"/>
          </w:tcPr>
          <w:p>
            <w:pPr>
              <w:spacing w:line="240" w:lineRule="auto" w:before="0" w:after="0"/>
              <w:pStyle w:val="Compact"/>
            </w:pPr>
            <w:r>
              <w:rPr>
                <w:sz w:val="20"/>
                <w:szCs w:val="20"/>
              </w:rPr>
              <w:t xml:space="preserve">ESA Swarm-A operational, no disposal; ESA Swarm mission page [censored, ongoing]</w:t>
            </w:r>
          </w:p>
        </w:tc>
      </w:tr>
      <w:tr>
        <w:tc>
          <w:tcPr>
            <w:tcW w:w="0" w:type="auto"/>
          </w:tcPr>
          <w:p>
            <w:pPr>
              <w:spacing w:line="240" w:lineRule="auto" w:before="0" w:after="0"/>
              <w:pStyle w:val="Compact"/>
            </w:pPr>
            <w:r>
              <w:rPr>
                <w:sz w:val="20"/>
                <w:szCs w:val="20"/>
              </w:rPr>
              <w:t xml:space="preserve">PROBA-1</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560</w:t>
            </w:r>
          </w:p>
        </w:tc>
        <w:tc>
          <w:tcPr>
            <w:tcW w:w="0" w:type="auto"/>
          </w:tcPr>
          <w:p>
            <w:pPr>
              <w:spacing w:line="240" w:lineRule="auto" w:before="0" w:after="0"/>
              <w:pStyle w:val="Compact"/>
            </w:pPr>
            <w:r>
              <w:rPr>
                <w:sz w:val="20"/>
                <w:szCs w:val="20"/>
              </w:rPr>
              <w:t xml:space="preserve">0.09</w:t>
            </w:r>
          </w:p>
        </w:tc>
        <w:tc>
          <w:tcPr>
            <w:tcW w:w="0" w:type="auto"/>
          </w:tcPr>
          <w:p>
            <w:pPr>
              <w:spacing w:line="240" w:lineRule="auto" w:before="0" w:after="0"/>
              <w:pStyle w:val="Compact"/>
            </w:pPr>
            <w:r>
              <w:rPr>
                <w:sz w:val="20"/>
                <w:szCs w:val="20"/>
              </w:rPr>
              <w:t xml:space="preserve">ESA PROBA-1 long-duration operations, no disposal; ESA PROBA-1 mission page [censored, ongoing]</w:t>
            </w:r>
          </w:p>
        </w:tc>
      </w:tr>
      <w:tr>
        <w:tc>
          <w:tcPr>
            <w:tcW w:w="0" w:type="auto"/>
          </w:tcPr>
          <w:p>
            <w:pPr>
              <w:spacing w:line="240" w:lineRule="auto" w:before="0" w:after="0"/>
              <w:pStyle w:val="Compact"/>
            </w:pPr>
            <w:r>
              <w:rPr>
                <w:sz w:val="20"/>
                <w:szCs w:val="20"/>
              </w:rPr>
              <w:t xml:space="preserve">TerraSAR-X</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505</w:t>
            </w:r>
          </w:p>
        </w:tc>
        <w:tc>
          <w:tcPr>
            <w:tcW w:w="0" w:type="auto"/>
          </w:tcPr>
          <w:p>
            <w:pPr>
              <w:spacing w:line="240" w:lineRule="auto" w:before="0" w:after="0"/>
              <w:pStyle w:val="Compact"/>
            </w:pPr>
            <w:r>
              <w:rPr>
                <w:sz w:val="20"/>
                <w:szCs w:val="20"/>
              </w:rPr>
              <w:t xml:space="preserve">1.23</w:t>
            </w:r>
          </w:p>
        </w:tc>
        <w:tc>
          <w:tcPr>
            <w:tcW w:w="0" w:type="auto"/>
          </w:tcPr>
          <w:p>
            <w:pPr>
              <w:spacing w:line="240" w:lineRule="auto" w:before="0" w:after="0"/>
              <w:pStyle w:val="Compact"/>
            </w:pPr>
            <w:r>
              <w:rPr>
                <w:sz w:val="20"/>
                <w:szCs w:val="20"/>
              </w:rPr>
              <w:t xml:space="preserve">DLR/Airbus TerraSAR-X commercial radar, extended operations, no disposal; DLR TerraSAR-X mission page [censored, ongoing]</w:t>
            </w:r>
          </w:p>
        </w:tc>
      </w:tr>
      <w:tr>
        <w:tc>
          <w:tcPr>
            <w:tcW w:w="0" w:type="auto"/>
          </w:tcPr>
          <w:p>
            <w:pPr>
              <w:spacing w:line="240" w:lineRule="auto" w:before="0" w:after="0"/>
              <w:pStyle w:val="Compact"/>
            </w:pPr>
            <w:r>
              <w:rPr>
                <w:sz w:val="20"/>
                <w:szCs w:val="20"/>
              </w:rPr>
              <w:t xml:space="preserve">TanDEM-X</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514</w:t>
            </w:r>
          </w:p>
        </w:tc>
        <w:tc>
          <w:tcPr>
            <w:tcW w:w="0" w:type="auto"/>
          </w:tcPr>
          <w:p>
            <w:pPr>
              <w:spacing w:line="240" w:lineRule="auto" w:before="0" w:after="0"/>
              <w:pStyle w:val="Compact"/>
            </w:pPr>
            <w:r>
              <w:rPr>
                <w:sz w:val="20"/>
                <w:szCs w:val="20"/>
              </w:rPr>
              <w:t xml:space="preserve">1.34</w:t>
            </w:r>
          </w:p>
        </w:tc>
        <w:tc>
          <w:tcPr>
            <w:tcW w:w="0" w:type="auto"/>
          </w:tcPr>
          <w:p>
            <w:pPr>
              <w:spacing w:line="240" w:lineRule="auto" w:before="0" w:after="0"/>
              <w:pStyle w:val="Compact"/>
            </w:pPr>
            <w:r>
              <w:rPr>
                <w:sz w:val="20"/>
                <w:szCs w:val="20"/>
              </w:rPr>
              <w:t xml:space="preserve">DLR/Airbus TanDEM-X commercial radar, operational, no disposal; DLR TanDEM-X mission page [censored, ongoing]</w:t>
            </w:r>
          </w:p>
        </w:tc>
      </w:tr>
      <w:tr>
        <w:tc>
          <w:tcPr>
            <w:tcW w:w="0" w:type="auto"/>
          </w:tcPr>
          <w:p>
            <w:pPr>
              <w:spacing w:line="240" w:lineRule="auto" w:before="0" w:after="0"/>
              <w:pStyle w:val="Compact"/>
            </w:pPr>
            <w:r>
              <w:rPr>
                <w:sz w:val="20"/>
                <w:szCs w:val="20"/>
              </w:rPr>
              <w:t xml:space="preserve">RADARSAT-1</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798</w:t>
            </w:r>
          </w:p>
        </w:tc>
        <w:tc>
          <w:tcPr>
            <w:tcW w:w="0" w:type="auto"/>
          </w:tcPr>
          <w:p>
            <w:pPr>
              <w:spacing w:line="240" w:lineRule="auto" w:before="0" w:after="0"/>
              <w:pStyle w:val="Compact"/>
            </w:pPr>
            <w:r>
              <w:rPr>
                <w:sz w:val="20"/>
                <w:szCs w:val="20"/>
              </w:rPr>
              <w:t xml:space="preserve">2.75</w:t>
            </w:r>
          </w:p>
        </w:tc>
        <w:tc>
          <w:tcPr>
            <w:tcW w:w="0" w:type="auto"/>
          </w:tcPr>
          <w:p>
            <w:pPr>
              <w:spacing w:line="240" w:lineRule="auto" w:before="0" w:after="0"/>
              <w:pStyle w:val="Compact"/>
            </w:pPr>
            <w:r>
              <w:rPr>
                <w:sz w:val="20"/>
                <w:szCs w:val="20"/>
              </w:rPr>
              <w:t xml:space="preserve">CSA/MDA RADARSAT-1 commercial radar, 2013 failure, remains on orbit; CSA RADARSAT-1 status [censored]</w:t>
            </w:r>
          </w:p>
        </w:tc>
      </w:tr>
      <w:tr>
        <w:tc>
          <w:tcPr>
            <w:tcW w:w="0" w:type="auto"/>
          </w:tcPr>
          <w:p>
            <w:pPr>
              <w:spacing w:line="240" w:lineRule="auto" w:before="0" w:after="0"/>
              <w:pStyle w:val="Compact"/>
            </w:pPr>
            <w:r>
              <w:rPr>
                <w:sz w:val="20"/>
                <w:szCs w:val="20"/>
              </w:rPr>
              <w:t xml:space="preserve">OneWeb-0012</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1200</w:t>
            </w:r>
          </w:p>
        </w:tc>
        <w:tc>
          <w:tcPr>
            <w:tcW w:w="0" w:type="auto"/>
          </w:tcPr>
          <w:p>
            <w:pPr>
              <w:spacing w:line="240" w:lineRule="auto" w:before="0" w:after="0"/>
              <w:pStyle w:val="Compact"/>
            </w:pPr>
            <w:r>
              <w:rPr>
                <w:sz w:val="20"/>
                <w:szCs w:val="20"/>
              </w:rPr>
              <w:t xml:space="preserve">0.15</w:t>
            </w:r>
          </w:p>
        </w:tc>
        <w:tc>
          <w:tcPr>
            <w:tcW w:w="0" w:type="auto"/>
          </w:tcPr>
          <w:p>
            <w:pPr>
              <w:spacing w:line="240" w:lineRule="auto" w:before="0" w:after="0"/>
              <w:pStyle w:val="Compact"/>
            </w:pPr>
            <w:r>
              <w:rPr>
                <w:sz w:val="20"/>
                <w:szCs w:val="20"/>
              </w:rPr>
              <w:t xml:space="preserve">OneWeb commercial broadband unit deorbit demonstration; OneWeb responsible-space disposal statements and FCC filings</w:t>
            </w:r>
          </w:p>
        </w:tc>
      </w:tr>
      <w:tr>
        <w:tc>
          <w:tcPr>
            <w:tcW w:w="0" w:type="auto"/>
          </w:tcPr>
          <w:p>
            <w:pPr>
              <w:spacing w:line="240" w:lineRule="auto" w:before="0" w:after="0"/>
              <w:pStyle w:val="Compact"/>
            </w:pPr>
            <w:r>
              <w:rPr>
                <w:sz w:val="20"/>
                <w:szCs w:val="20"/>
              </w:rPr>
              <w:t xml:space="preserve">Starlink-1130</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550</w:t>
            </w:r>
          </w:p>
        </w:tc>
        <w:tc>
          <w:tcPr>
            <w:tcW w:w="0" w:type="auto"/>
          </w:tcPr>
          <w:p>
            <w:pPr>
              <w:spacing w:line="240" w:lineRule="auto" w:before="0" w:after="0"/>
              <w:pStyle w:val="Compact"/>
            </w:pPr>
            <w:r>
              <w:rPr>
                <w:sz w:val="20"/>
                <w:szCs w:val="20"/>
              </w:rPr>
              <w:t xml:space="preserve">0.26</w:t>
            </w:r>
          </w:p>
        </w:tc>
        <w:tc>
          <w:tcPr>
            <w:tcW w:w="0" w:type="auto"/>
          </w:tcPr>
          <w:p>
            <w:pPr>
              <w:spacing w:line="240" w:lineRule="auto" w:before="0" w:after="0"/>
              <w:pStyle w:val="Compact"/>
            </w:pPr>
            <w:r>
              <w:rPr>
                <w:sz w:val="20"/>
                <w:szCs w:val="20"/>
              </w:rPr>
              <w:t xml:space="preserve">SpaceX Starlink commercial broadband early controlled deorbit; SpaceX Starlink disposal reporting and FCC orbital-debris filings</w:t>
            </w:r>
          </w:p>
        </w:tc>
      </w:tr>
      <w:tr>
        <w:tc>
          <w:tcPr>
            <w:tcW w:w="0" w:type="auto"/>
          </w:tcPr>
          <w:p>
            <w:pPr>
              <w:spacing w:line="240" w:lineRule="auto" w:before="0" w:after="0"/>
              <w:pStyle w:val="Compact"/>
            </w:pPr>
            <w:r>
              <w:rPr>
                <w:sz w:val="20"/>
                <w:szCs w:val="20"/>
              </w:rPr>
              <w:t xml:space="preserve">Starlink-2305</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550</w:t>
            </w:r>
          </w:p>
        </w:tc>
        <w:tc>
          <w:tcPr>
            <w:tcW w:w="0" w:type="auto"/>
          </w:tcPr>
          <w:p>
            <w:pPr>
              <w:spacing w:line="240" w:lineRule="auto" w:before="0" w:after="0"/>
              <w:pStyle w:val="Compact"/>
            </w:pPr>
            <w:r>
              <w:rPr>
                <w:sz w:val="20"/>
                <w:szCs w:val="20"/>
              </w:rPr>
              <w:t xml:space="preserve">0.3</w:t>
            </w:r>
          </w:p>
        </w:tc>
        <w:tc>
          <w:tcPr>
            <w:tcW w:w="0" w:type="auto"/>
          </w:tcPr>
          <w:p>
            <w:pPr>
              <w:spacing w:line="240" w:lineRule="auto" w:before="0" w:after="0"/>
              <w:pStyle w:val="Compact"/>
            </w:pPr>
            <w:r>
              <w:rPr>
                <w:sz w:val="20"/>
                <w:szCs w:val="20"/>
              </w:rPr>
              <w:t xml:space="preserve">SpaceX Starlink commercial broadband controlled deorbit; SpaceX Starlink disposal reporting and FCC orbital-debris filings</w:t>
            </w:r>
          </w:p>
        </w:tc>
      </w:tr>
      <w:tr>
        <w:tc>
          <w:tcPr>
            <w:tcW w:w="0" w:type="auto"/>
          </w:tcPr>
          <w:p>
            <w:pPr>
              <w:spacing w:line="240" w:lineRule="auto" w:before="0" w:after="0"/>
              <w:pStyle w:val="Compact"/>
            </w:pPr>
            <w:r>
              <w:rPr>
                <w:sz w:val="20"/>
                <w:szCs w:val="20"/>
              </w:rPr>
              <w:t xml:space="preserve">Starlink-1500</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550</w:t>
            </w:r>
          </w:p>
        </w:tc>
        <w:tc>
          <w:tcPr>
            <w:tcW w:w="0" w:type="auto"/>
          </w:tcPr>
          <w:p>
            <w:pPr>
              <w:spacing w:line="240" w:lineRule="auto" w:before="0" w:after="0"/>
              <w:pStyle w:val="Compact"/>
            </w:pPr>
            <w:r>
              <w:rPr>
                <w:sz w:val="20"/>
                <w:szCs w:val="20"/>
              </w:rPr>
              <w:t xml:space="preserve">0.26</w:t>
            </w:r>
          </w:p>
        </w:tc>
        <w:tc>
          <w:tcPr>
            <w:tcW w:w="0" w:type="auto"/>
          </w:tcPr>
          <w:p>
            <w:pPr>
              <w:spacing w:line="240" w:lineRule="auto" w:before="0" w:after="0"/>
              <w:pStyle w:val="Compact"/>
            </w:pPr>
            <w:r>
              <w:rPr>
                <w:sz w:val="20"/>
                <w:szCs w:val="20"/>
              </w:rPr>
              <w:t xml:space="preserve">SpaceX Starlink commercial broadband controlled deorbit; SpaceX Starlink disposal reporting and FCC orbital-debris filings</w:t>
            </w:r>
          </w:p>
        </w:tc>
      </w:tr>
      <w:tr>
        <w:tc>
          <w:tcPr>
            <w:tcW w:w="0" w:type="auto"/>
          </w:tcPr>
          <w:p>
            <w:pPr>
              <w:spacing w:line="240" w:lineRule="auto" w:before="0" w:after="0"/>
              <w:pStyle w:val="Compact"/>
            </w:pPr>
            <w:r>
              <w:rPr>
                <w:sz w:val="20"/>
                <w:szCs w:val="20"/>
              </w:rPr>
              <w:t xml:space="preserve">Iridium-NEXT-106</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780</w:t>
            </w:r>
          </w:p>
        </w:tc>
        <w:tc>
          <w:tcPr>
            <w:tcW w:w="0" w:type="auto"/>
          </w:tcPr>
          <w:p>
            <w:pPr>
              <w:spacing w:line="240" w:lineRule="auto" w:before="0" w:after="0"/>
              <w:pStyle w:val="Compact"/>
            </w:pPr>
            <w:r>
              <w:rPr>
                <w:sz w:val="20"/>
                <w:szCs w:val="20"/>
              </w:rPr>
              <w:t xml:space="preserve">0.86</w:t>
            </w:r>
          </w:p>
        </w:tc>
        <w:tc>
          <w:tcPr>
            <w:tcW w:w="0" w:type="auto"/>
          </w:tcPr>
          <w:p>
            <w:pPr>
              <w:spacing w:line="240" w:lineRule="auto" w:before="0" w:after="0"/>
              <w:pStyle w:val="Compact"/>
            </w:pPr>
            <w:r>
              <w:rPr>
                <w:sz w:val="20"/>
                <w:szCs w:val="20"/>
              </w:rPr>
              <w:t xml:space="preserve">Iridium NEXT commercial constellation end-of-life deorbit; Iridium Communications disposal reporting and FCC filings</w:t>
            </w:r>
          </w:p>
        </w:tc>
      </w:tr>
      <w:tr>
        <w:tc>
          <w:tcPr>
            <w:tcW w:w="0" w:type="auto"/>
          </w:tcPr>
          <w:p>
            <w:pPr>
              <w:spacing w:line="240" w:lineRule="auto" w:before="0" w:after="0"/>
              <w:pStyle w:val="Compact"/>
            </w:pPr>
            <w:r>
              <w:rPr>
                <w:sz w:val="20"/>
                <w:szCs w:val="20"/>
              </w:rPr>
              <w:t xml:space="preserve">Planet-Dove-0c19</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475</w:t>
            </w:r>
          </w:p>
        </w:tc>
        <w:tc>
          <w:tcPr>
            <w:tcW w:w="0" w:type="auto"/>
          </w:tcPr>
          <w:p>
            <w:pPr>
              <w:spacing w:line="240" w:lineRule="auto" w:before="0" w:after="0"/>
              <w:pStyle w:val="Compact"/>
            </w:pPr>
            <w:r>
              <w:rPr>
                <w:sz w:val="20"/>
                <w:szCs w:val="20"/>
              </w:rPr>
              <w:t xml:space="preserve">0.005</w:t>
            </w:r>
          </w:p>
        </w:tc>
        <w:tc>
          <w:tcPr>
            <w:tcW w:w="0" w:type="auto"/>
          </w:tcPr>
          <w:p>
            <w:pPr>
              <w:spacing w:line="240" w:lineRule="auto" w:before="0" w:after="0"/>
              <w:pStyle w:val="Compact"/>
            </w:pPr>
            <w:r>
              <w:rPr>
                <w:sz w:val="20"/>
                <w:szCs w:val="20"/>
              </w:rPr>
              <w:t xml:space="preserve">Planet Labs commercial Dove cubesat natural decay deorbit; Planet Labs sustainability reporting and FCC small-sat filings</w:t>
            </w:r>
          </w:p>
        </w:tc>
      </w:tr>
      <w:tr>
        <w:tc>
          <w:tcPr>
            <w:tcW w:w="0" w:type="auto"/>
          </w:tcPr>
          <w:p>
            <w:pPr>
              <w:spacing w:line="240" w:lineRule="auto" w:before="0" w:after="0"/>
              <w:pStyle w:val="Compact"/>
            </w:pPr>
            <w:r>
              <w:rPr>
                <w:sz w:val="20"/>
                <w:szCs w:val="20"/>
              </w:rPr>
              <w:t xml:space="preserve">Spire-LEMUR-2</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500</w:t>
            </w:r>
          </w:p>
        </w:tc>
        <w:tc>
          <w:tcPr>
            <w:tcW w:w="0" w:type="auto"/>
          </w:tcPr>
          <w:p>
            <w:pPr>
              <w:spacing w:line="240" w:lineRule="auto" w:before="0" w:after="0"/>
              <w:pStyle w:val="Compact"/>
            </w:pPr>
            <w:r>
              <w:rPr>
                <w:sz w:val="20"/>
                <w:szCs w:val="20"/>
              </w:rPr>
              <w:t xml:space="preserve">0.005</w:t>
            </w:r>
          </w:p>
        </w:tc>
        <w:tc>
          <w:tcPr>
            <w:tcW w:w="0" w:type="auto"/>
          </w:tcPr>
          <w:p>
            <w:pPr>
              <w:spacing w:line="240" w:lineRule="auto" w:before="0" w:after="0"/>
              <w:pStyle w:val="Compact"/>
            </w:pPr>
            <w:r>
              <w:rPr>
                <w:sz w:val="20"/>
                <w:szCs w:val="20"/>
              </w:rPr>
              <w:t xml:space="preserve">Spire Global commercial LEMUR-2 cubesat decay deorbit; Spire Global mission reporting and FCC small-sat filings</w:t>
            </w:r>
          </w:p>
        </w:tc>
      </w:tr>
      <w:tr>
        <w:tc>
          <w:tcPr>
            <w:tcW w:w="0" w:type="auto"/>
          </w:tcPr>
          <w:p>
            <w:pPr>
              <w:spacing w:line="240" w:lineRule="auto" w:before="0" w:after="0"/>
              <w:pStyle w:val="Compact"/>
            </w:pPr>
            <w:r>
              <w:rPr>
                <w:sz w:val="20"/>
                <w:szCs w:val="20"/>
              </w:rPr>
              <w:t xml:space="preserve">ICESat</w:t>
            </w:r>
          </w:p>
        </w:tc>
        <w:tc>
          <w:tcPr>
            <w:tcW w:w="0" w:type="auto"/>
          </w:tcPr>
          <w:p>
            <w:pPr>
              <w:spacing w:line="240" w:lineRule="auto" w:before="0" w:after="0"/>
              <w:pStyle w:val="Compact"/>
            </w:pPr>
            <w:r>
              <w:rPr>
                <w:sz w:val="20"/>
                <w:szCs w:val="20"/>
              </w:rPr>
              <w:t xml:space="preserve">2010</w:t>
            </w:r>
          </w:p>
        </w:tc>
        <w:tc>
          <w:tcPr>
            <w:tcW w:w="0" w:type="auto"/>
          </w:tcPr>
          <w:p>
            <w:pPr>
              <w:spacing w:line="240" w:lineRule="auto" w:before="0" w:after="0"/>
              <w:pStyle w:val="Compact"/>
            </w:pPr>
            <w:r>
              <w:rPr>
                <w:sz w:val="20"/>
                <w:szCs w:val="20"/>
              </w:rPr>
              <w:t xml:space="preserve">2010</w:t>
            </w:r>
          </w:p>
        </w:tc>
        <w:tc>
          <w:tcPr>
            <w:tcW w:w="0" w:type="auto"/>
          </w:tcPr>
          <w:p>
            <w:pPr>
              <w:spacing w:line="240" w:lineRule="auto" w:before="0" w:after="0"/>
              <w:pStyle w:val="Compact"/>
            </w:pPr>
            <w:r>
              <w:rPr>
                <w:sz w:val="20"/>
                <w:szCs w:val="20"/>
              </w:rPr>
              <w:t xml:space="preserve">0.7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600</w:t>
            </w:r>
          </w:p>
        </w:tc>
        <w:tc>
          <w:tcPr>
            <w:tcW w:w="0" w:type="auto"/>
          </w:tcPr>
          <w:p>
            <w:pPr>
              <w:spacing w:line="240" w:lineRule="auto" w:before="0" w:after="0"/>
              <w:pStyle w:val="Compact"/>
            </w:pPr>
            <w:r>
              <w:rPr>
                <w:sz w:val="20"/>
                <w:szCs w:val="20"/>
              </w:rPr>
              <w:t xml:space="preserve">0.97</w:t>
            </w:r>
          </w:p>
        </w:tc>
        <w:tc>
          <w:tcPr>
            <w:tcW w:w="0" w:type="auto"/>
          </w:tcPr>
          <w:p>
            <w:pPr>
              <w:spacing w:line="240" w:lineRule="auto" w:before="0" w:after="0"/>
              <w:pStyle w:val="Compact"/>
            </w:pPr>
            <w:r>
              <w:rPr>
                <w:sz w:val="20"/>
                <w:szCs w:val="20"/>
              </w:rPr>
              <w:t xml:space="preserve">NASA ICESat end of mission 2009-2010, lowered and reentered Aug 2010; NASA ICESat decommissioning reports</w:t>
            </w:r>
          </w:p>
        </w:tc>
      </w:tr>
    </w:tbl>
    <w:bookmarkEnd w:id="82"/>
    <w:bookmarkStart w:id="83" w:name="variable-construction"/>
    <w:p>
      <w:pPr>
        <w:pStyle w:val="Heading3"/>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duration_years</w:t>
            </w:r>
          </w:p>
        </w:tc>
        <w:tc>
          <w:tcPr>
            <w:tcW w:w="0" w:type="auto"/>
          </w:tcPr>
          <w:p>
            <w:pPr>
              <w:spacing w:line="240" w:lineRule="auto" w:before="0" w:after="0"/>
              <w:pStyle w:val="Compact"/>
            </w:pPr>
            <w:r>
              <w:rPr>
                <w:sz w:val="20"/>
                <w:szCs w:val="20"/>
              </w:rPr>
              <w:t xml:space="preserve">Years from declared end of mission to achieved compliant disposal (controlled or assisted reentry, lowering to disposal orbit, or natural decay), or to the 2026 observation cutoff for objects not yet disposed</w:t>
            </w:r>
          </w:p>
        </w:tc>
        <w:tc>
          <w:tcPr>
            <w:tcW w:w="0" w:type="auto"/>
          </w:tcPr>
          <w:p>
            <w:pPr>
              <w:spacing w:line="240" w:lineRule="auto" w:before="0" w:after="0"/>
              <w:pStyle w:val="Compact"/>
            </w:pPr>
            <w:r>
              <w:rPr>
                <w:sz w:val="20"/>
                <w:szCs w:val="20"/>
              </w:rPr>
              <w:t xml:space="preserve">Constructed from documented end-of-mission and disposal/decay dates in mission reports and ESA/NASA debris-office bulletins</w:t>
            </w:r>
          </w:p>
        </w:tc>
      </w:tr>
      <w:tr>
        <w:tc>
          <w:tcPr>
            <w:tcW w:w="0" w:type="auto"/>
          </w:tcPr>
          <w:p>
            <w:pPr>
              <w:spacing w:line="240" w:lineRule="auto" w:before="0" w:after="0"/>
              <w:pStyle w:val="Compact"/>
            </w:pPr>
            <w:r>
              <w:rPr>
                <w:sz w:val="20"/>
                <w:szCs w:val="20"/>
              </w:rPr>
              <w:t xml:space="preserve">disposed</w:t>
            </w:r>
          </w:p>
        </w:tc>
        <w:tc>
          <w:tcPr>
            <w:tcW w:w="0" w:type="auto"/>
          </w:tcPr>
          <w:p>
            <w:pPr>
              <w:spacing w:line="240" w:lineRule="auto" w:before="0" w:after="0"/>
              <w:pStyle w:val="Compact"/>
            </w:pPr>
            <w:r>
              <w:rPr>
                <w:sz w:val="20"/>
                <w:szCs w:val="20"/>
              </w:rPr>
              <w:t xml:space="preserve">Event indicator equal to 1 if the object achieved compliant disposal during observation, 0 if right-censored (still on orbit or operational at cutoff)</w:t>
            </w:r>
          </w:p>
        </w:tc>
        <w:tc>
          <w:tcPr>
            <w:tcW w:w="0" w:type="auto"/>
          </w:tcPr>
          <w:p>
            <w:pPr>
              <w:spacing w:line="240" w:lineRule="auto" w:before="0" w:after="0"/>
              <w:pStyle w:val="Compact"/>
            </w:pPr>
            <w:r>
              <w:rPr>
                <w:sz w:val="20"/>
                <w:szCs w:val="20"/>
              </w:rPr>
              <w:t xml:space="preserve">Coded from agency decommissioning reports and ESA/NASA Space Debris Office status</w:t>
            </w:r>
          </w:p>
        </w:tc>
      </w:tr>
      <w:tr>
        <w:tc>
          <w:tcPr>
            <w:tcW w:w="0" w:type="auto"/>
          </w:tcPr>
          <w:p>
            <w:pPr>
              <w:spacing w:line="240" w:lineRule="auto" w:before="0" w:after="0"/>
              <w:pStyle w:val="Compact"/>
            </w:pPr>
            <w:r>
              <w:rPr>
                <w:sz w:val="20"/>
                <w:szCs w:val="20"/>
              </w:rPr>
              <w:t xml:space="preserve">bonded_regime</w:t>
            </w:r>
          </w:p>
        </w:tc>
        <w:tc>
          <w:tcPr>
            <w:tcW w:w="0" w:type="auto"/>
          </w:tcPr>
          <w:p>
            <w:pPr>
              <w:spacing w:line="240" w:lineRule="auto" w:before="0" w:after="0"/>
              <w:pStyle w:val="Compact"/>
            </w:pPr>
            <w:r>
              <w:rPr>
                <w:sz w:val="20"/>
                <w:szCs w:val="20"/>
              </w:rPr>
              <w:t xml:space="preserve">Equal to 1 if the operator was subject to a financial-assurance disposal-accountability regime (modern FCC or national licensing with disposal commitments and commercial liability exposure), 0 for legacy government science missions without financial assurance</w:t>
            </w:r>
          </w:p>
        </w:tc>
        <w:tc>
          <w:tcPr>
            <w:tcW w:w="0" w:type="auto"/>
          </w:tcPr>
          <w:p>
            <w:pPr>
              <w:spacing w:line="240" w:lineRule="auto" w:before="0" w:after="0"/>
              <w:pStyle w:val="Compact"/>
            </w:pPr>
            <w:r>
              <w:rPr>
                <w:sz w:val="20"/>
                <w:szCs w:val="20"/>
              </w:rPr>
              <w:t xml:space="preserve">Coded from operator status and licensing context</w:t>
            </w:r>
          </w:p>
        </w:tc>
      </w:tr>
      <w:tr>
        <w:tc>
          <w:tcPr>
            <w:tcW w:w="0" w:type="auto"/>
          </w:tcPr>
          <w:p>
            <w:pPr>
              <w:spacing w:line="240" w:lineRule="auto" w:before="0" w:after="0"/>
              <w:pStyle w:val="Compact"/>
            </w:pPr>
            <w:r>
              <w:rPr>
                <w:sz w:val="20"/>
                <w:szCs w:val="20"/>
              </w:rPr>
              <w:t xml:space="preserve">altitude_km</w:t>
            </w:r>
          </w:p>
        </w:tc>
        <w:tc>
          <w:tcPr>
            <w:tcW w:w="0" w:type="auto"/>
          </w:tcPr>
          <w:p>
            <w:pPr>
              <w:spacing w:line="240" w:lineRule="auto" w:before="0" w:after="0"/>
              <w:pStyle w:val="Compact"/>
            </w:pPr>
            <w:r>
              <w:rPr>
                <w:sz w:val="20"/>
                <w:szCs w:val="20"/>
              </w:rPr>
              <w:t xml:space="preserve">Approximate operational altitude in kilometres at end of mission</w:t>
            </w:r>
          </w:p>
        </w:tc>
        <w:tc>
          <w:tcPr>
            <w:tcW w:w="0" w:type="auto"/>
          </w:tcPr>
          <w:p>
            <w:pPr>
              <w:spacing w:line="240" w:lineRule="auto" w:before="0" w:after="0"/>
              <w:pStyle w:val="Compact"/>
            </w:pPr>
            <w:r>
              <w:rPr>
                <w:sz w:val="20"/>
                <w:szCs w:val="20"/>
              </w:rPr>
              <w:t xml:space="preserve">Mission press kits and agency mission pages</w:t>
            </w:r>
          </w:p>
        </w:tc>
      </w:tr>
      <w:tr>
        <w:tc>
          <w:tcPr>
            <w:tcW w:w="0" w:type="auto"/>
          </w:tcPr>
          <w:p>
            <w:pPr>
              <w:spacing w:line="240" w:lineRule="auto" w:before="0" w:after="0"/>
              <w:pStyle w:val="Compact"/>
            </w:pPr>
            <w:r>
              <w:rPr>
                <w:sz w:val="20"/>
                <w:szCs w:val="20"/>
              </w:rPr>
              <w:t xml:space="preserve">mass_t</w:t>
            </w:r>
          </w:p>
        </w:tc>
        <w:tc>
          <w:tcPr>
            <w:tcW w:w="0" w:type="auto"/>
          </w:tcPr>
          <w:p>
            <w:pPr>
              <w:spacing w:line="240" w:lineRule="auto" w:before="0" w:after="0"/>
              <w:pStyle w:val="Compact"/>
            </w:pPr>
            <w:r>
              <w:rPr>
                <w:sz w:val="20"/>
                <w:szCs w:val="20"/>
              </w:rPr>
              <w:t xml:space="preserve">Spacecraft dry mass in metric tonnes</w:t>
            </w:r>
          </w:p>
        </w:tc>
        <w:tc>
          <w:tcPr>
            <w:tcW w:w="0" w:type="auto"/>
          </w:tcPr>
          <w:p>
            <w:pPr>
              <w:spacing w:line="240" w:lineRule="auto" w:before="0" w:after="0"/>
              <w:pStyle w:val="Compact"/>
            </w:pPr>
            <w:r>
              <w:rPr>
                <w:sz w:val="20"/>
                <w:szCs w:val="20"/>
              </w:rPr>
              <w:t xml:space="preserve">Mission press kits and agency mission pages</w:t>
            </w:r>
          </w:p>
        </w:tc>
      </w:tr>
    </w:tbl>
    <w:bookmarkEnd w:id="83"/>
    <w:bookmarkStart w:id="84" w:name="estimator-output"/>
    <w:p>
      <w:pPr>
        <w:pStyle w:val="Heading3"/>
      </w:pPr>
      <w:r>
        <w:t xml:space="preserve">Estimator output</w:t>
      </w:r>
    </w:p>
    <w:tbl>
      <w:tblPr>
        <w:tblStyle w:val="Table"/>
        <w:tblLook w:firstRow="1" w:lastRow="0" w:firstColumn="0" w:lastColumn="0" w:noHBand="0" w:noVBand="0" w:val="0020"/>
        <w:tblLayout w:type="autofit"/>
        <w:tblW w:w="0" w:type="auto"/>
      </w:tblPr>
      <w:tblGrid>
        <w:gridCol w:w="1131"/>
        <w:gridCol w:w="1131"/>
        <w:gridCol w:w="1131"/>
        <w:gridCol w:w="1131"/>
        <w:gridCol w:w="1131"/>
        <w:gridCol w:w="1131"/>
        <w:gridCol w:w="1131"/>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z</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c>
          <w:tcPr>
            <w:tcW w:w="0" w:type="auto"/>
          </w:tcPr>
          <w:p>
            <w:pPr>
              <w:spacing w:line="240" w:lineRule="auto" w:before="0" w:after="0"/>
              <w:pStyle w:val="Compact"/>
            </w:pPr>
            <w:r>
              <w:rPr>
                <w:sz w:val="20"/>
                <w:szCs w:val="20"/>
              </w:rPr>
              <w:t xml:space="preserve">Hazard ratio</w:t>
            </w:r>
          </w:p>
        </w:tc>
      </w:tr>
      <w:tr>
        <w:tc>
          <w:tcPr>
            <w:tcW w:w="0" w:type="auto"/>
          </w:tcPr>
          <w:p>
            <w:pPr>
              <w:spacing w:line="240" w:lineRule="auto" w:before="0" w:after="0"/>
              <w:pStyle w:val="Compact"/>
            </w:pPr>
            <w:r>
              <w:rPr>
                <w:sz w:val="20"/>
                <w:szCs w:val="20"/>
              </w:rPr>
              <w:t xml:space="preserve">bonded_regime</w:t>
            </w:r>
          </w:p>
        </w:tc>
        <w:tc>
          <w:tcPr>
            <w:tcW w:w="0" w:type="auto"/>
          </w:tcPr>
          <w:p>
            <w:pPr>
              <w:spacing w:line="240" w:lineRule="auto" w:before="0" w:after="0"/>
              <w:pStyle w:val="Compact"/>
            </w:pPr>
            <w:r>
              <w:rPr>
                <w:sz w:val="20"/>
                <w:szCs w:val="20"/>
              </w:rPr>
              <w:t xml:space="preserve">-0.2322</w:t>
            </w:r>
          </w:p>
        </w:tc>
        <w:tc>
          <w:tcPr>
            <w:tcW w:w="0" w:type="auto"/>
          </w:tcPr>
          <w:p>
            <w:pPr>
              <w:spacing w:line="240" w:lineRule="auto" w:before="0" w:after="0"/>
              <w:pStyle w:val="Compact"/>
            </w:pPr>
            <w:r>
              <w:rPr>
                <w:sz w:val="20"/>
                <w:szCs w:val="20"/>
              </w:rPr>
              <w:t xml:space="preserve">0.555</w:t>
            </w:r>
          </w:p>
        </w:tc>
        <w:tc>
          <w:tcPr>
            <w:tcW w:w="0" w:type="auto"/>
          </w:tcPr>
          <w:p>
            <w:pPr>
              <w:spacing w:line="240" w:lineRule="auto" w:before="0" w:after="0"/>
              <w:pStyle w:val="Compact"/>
            </w:pPr>
            <w:r>
              <w:rPr>
                <w:sz w:val="20"/>
                <w:szCs w:val="20"/>
              </w:rPr>
              <w:t xml:space="preserve">-0.4183</w:t>
            </w:r>
          </w:p>
        </w:tc>
        <w:tc>
          <w:tcPr>
            <w:tcW w:w="0" w:type="auto"/>
          </w:tcPr>
          <w:p>
            <w:pPr>
              <w:spacing w:line="240" w:lineRule="auto" w:before="0" w:after="0"/>
              <w:pStyle w:val="Compact"/>
            </w:pPr>
            <w:r>
              <w:rPr>
                <w:sz w:val="20"/>
                <w:szCs w:val="20"/>
              </w:rPr>
              <w:t xml:space="preserve">0.6757</w:t>
            </w:r>
          </w:p>
        </w:tc>
        <w:tc>
          <w:tcPr>
            <w:tcW w:w="0" w:type="auto"/>
          </w:tcPr>
          <w:p>
            <w:pPr>
              <w:spacing w:line="240" w:lineRule="auto" w:before="0" w:after="0"/>
              <w:pStyle w:val="Compact"/>
            </w:pPr>
            <w:r>
              <w:rPr>
                <w:sz w:val="20"/>
                <w:szCs w:val="20"/>
              </w:rPr>
              <w:t xml:space="preserve">[-1.32, 0.8557]</w:t>
            </w:r>
          </w:p>
        </w:tc>
        <w:tc>
          <w:tcPr>
            <w:tcW w:w="0" w:type="auto"/>
          </w:tcPr>
          <w:p>
            <w:pPr>
              <w:spacing w:line="240" w:lineRule="auto" w:before="0" w:after="0"/>
              <w:pStyle w:val="Compact"/>
            </w:pPr>
            <w:r>
              <w:rPr>
                <w:sz w:val="20"/>
                <w:szCs w:val="20"/>
              </w:rPr>
              <w:t xml:space="preserve">0.7928</w:t>
            </w:r>
          </w:p>
        </w:tc>
      </w:tr>
      <w:tr>
        <w:tc>
          <w:tcPr>
            <w:tcW w:w="0" w:type="auto"/>
          </w:tcPr>
          <w:p>
            <w:pPr>
              <w:spacing w:line="240" w:lineRule="auto" w:before="0" w:after="0"/>
              <w:pStyle w:val="Compact"/>
            </w:pPr>
            <w:r>
              <w:rPr>
                <w:sz w:val="20"/>
                <w:szCs w:val="20"/>
              </w:rPr>
              <w:t xml:space="preserve">altitude_km</w:t>
            </w:r>
          </w:p>
        </w:tc>
        <w:tc>
          <w:tcPr>
            <w:tcW w:w="0" w:type="auto"/>
          </w:tcPr>
          <w:p>
            <w:pPr>
              <w:spacing w:line="240" w:lineRule="auto" w:before="0" w:after="0"/>
              <w:pStyle w:val="Compact"/>
            </w:pPr>
            <w:r>
              <w:rPr>
                <w:sz w:val="20"/>
                <w:szCs w:val="20"/>
              </w:rPr>
              <w:t xml:space="preserve">-0.0041</w:t>
            </w:r>
          </w:p>
        </w:tc>
        <w:tc>
          <w:tcPr>
            <w:tcW w:w="0" w:type="auto"/>
          </w:tcPr>
          <w:p>
            <w:pPr>
              <w:spacing w:line="240" w:lineRule="auto" w:before="0" w:after="0"/>
              <w:pStyle w:val="Compact"/>
            </w:pPr>
            <w:r>
              <w:rPr>
                <w:sz w:val="20"/>
                <w:szCs w:val="20"/>
              </w:rPr>
              <w:t xml:space="preserve">0.0014</w:t>
            </w:r>
          </w:p>
        </w:tc>
        <w:tc>
          <w:tcPr>
            <w:tcW w:w="0" w:type="auto"/>
          </w:tcPr>
          <w:p>
            <w:pPr>
              <w:spacing w:line="240" w:lineRule="auto" w:before="0" w:after="0"/>
              <w:pStyle w:val="Compact"/>
            </w:pPr>
            <w:r>
              <w:rPr>
                <w:sz w:val="20"/>
                <w:szCs w:val="20"/>
              </w:rPr>
              <w:t xml:space="preserve">-2.8859</w:t>
            </w:r>
          </w:p>
        </w:tc>
        <w:tc>
          <w:tcPr>
            <w:tcW w:w="0" w:type="auto"/>
          </w:tcPr>
          <w:p>
            <w:pPr>
              <w:spacing w:line="240" w:lineRule="auto" w:before="0" w:after="0"/>
              <w:pStyle w:val="Compact"/>
            </w:pPr>
            <w:r>
              <w:rPr>
                <w:sz w:val="20"/>
                <w:szCs w:val="20"/>
              </w:rPr>
              <w:t xml:space="preserve">0.0039</w:t>
            </w:r>
          </w:p>
        </w:tc>
        <w:tc>
          <w:tcPr>
            <w:tcW w:w="0" w:type="auto"/>
          </w:tcPr>
          <w:p>
            <w:pPr>
              <w:spacing w:line="240" w:lineRule="auto" w:before="0" w:after="0"/>
              <w:pStyle w:val="Compact"/>
            </w:pPr>
            <w:r>
              <w:rPr>
                <w:sz w:val="20"/>
                <w:szCs w:val="20"/>
              </w:rPr>
              <w:t xml:space="preserve">[-0.0069, -0.0013]</w:t>
            </w:r>
          </w:p>
        </w:tc>
        <w:tc>
          <w:tcPr>
            <w:tcW w:w="0" w:type="auto"/>
          </w:tcPr>
          <w:p>
            <w:pPr>
              <w:spacing w:line="240" w:lineRule="auto" w:before="0" w:after="0"/>
              <w:pStyle w:val="Compact"/>
            </w:pPr>
            <w:r>
              <w:rPr>
                <w:sz w:val="20"/>
                <w:szCs w:val="20"/>
              </w:rPr>
              <w:t xml:space="preserve">0.9959</w:t>
            </w:r>
          </w:p>
        </w:tc>
      </w:tr>
      <w:tr>
        <w:tc>
          <w:tcPr>
            <w:tcW w:w="0" w:type="auto"/>
          </w:tcPr>
          <w:p>
            <w:pPr>
              <w:spacing w:line="240" w:lineRule="auto" w:before="0" w:after="0"/>
              <w:pStyle w:val="Compact"/>
            </w:pPr>
            <w:r>
              <w:rPr>
                <w:sz w:val="20"/>
                <w:szCs w:val="20"/>
              </w:rPr>
              <w:t xml:space="preserve">mass_t</w:t>
            </w:r>
          </w:p>
        </w:tc>
        <w:tc>
          <w:tcPr>
            <w:tcW w:w="0" w:type="auto"/>
          </w:tcPr>
          <w:p>
            <w:pPr>
              <w:spacing w:line="240" w:lineRule="auto" w:before="0" w:after="0"/>
              <w:pStyle w:val="Compact"/>
            </w:pPr>
            <w:r>
              <w:rPr>
                <w:sz w:val="20"/>
                <w:szCs w:val="20"/>
              </w:rPr>
              <w:t xml:space="preserve">-0.3331</w:t>
            </w:r>
          </w:p>
        </w:tc>
        <w:tc>
          <w:tcPr>
            <w:tcW w:w="0" w:type="auto"/>
          </w:tcPr>
          <w:p>
            <w:pPr>
              <w:spacing w:line="240" w:lineRule="auto" w:before="0" w:after="0"/>
              <w:pStyle w:val="Compact"/>
            </w:pPr>
            <w:r>
              <w:rPr>
                <w:sz w:val="20"/>
                <w:szCs w:val="20"/>
              </w:rPr>
              <w:t xml:space="preserve">0.2221</w:t>
            </w:r>
          </w:p>
        </w:tc>
        <w:tc>
          <w:tcPr>
            <w:tcW w:w="0" w:type="auto"/>
          </w:tcPr>
          <w:p>
            <w:pPr>
              <w:spacing w:line="240" w:lineRule="auto" w:before="0" w:after="0"/>
              <w:pStyle w:val="Compact"/>
            </w:pPr>
            <w:r>
              <w:rPr>
                <w:sz w:val="20"/>
                <w:szCs w:val="20"/>
              </w:rPr>
              <w:t xml:space="preserve">-1.4998</w:t>
            </w:r>
          </w:p>
        </w:tc>
        <w:tc>
          <w:tcPr>
            <w:tcW w:w="0" w:type="auto"/>
          </w:tcPr>
          <w:p>
            <w:pPr>
              <w:spacing w:line="240" w:lineRule="auto" w:before="0" w:after="0"/>
              <w:pStyle w:val="Compact"/>
            </w:pPr>
            <w:r>
              <w:rPr>
                <w:sz w:val="20"/>
                <w:szCs w:val="20"/>
              </w:rPr>
              <w:t xml:space="preserve">0.1337</w:t>
            </w:r>
          </w:p>
        </w:tc>
        <w:tc>
          <w:tcPr>
            <w:tcW w:w="0" w:type="auto"/>
          </w:tcPr>
          <w:p>
            <w:pPr>
              <w:spacing w:line="240" w:lineRule="auto" w:before="0" w:after="0"/>
              <w:pStyle w:val="Compact"/>
            </w:pPr>
            <w:r>
              <w:rPr>
                <w:sz w:val="20"/>
                <w:szCs w:val="20"/>
              </w:rPr>
              <w:t xml:space="preserve">[-0.7684, 0.1022]</w:t>
            </w:r>
          </w:p>
        </w:tc>
        <w:tc>
          <w:tcPr>
            <w:tcW w:w="0" w:type="auto"/>
          </w:tcPr>
          <w:p>
            <w:pPr>
              <w:spacing w:line="240" w:lineRule="auto" w:before="0" w:after="0"/>
              <w:pStyle w:val="Compact"/>
            </w:pPr>
            <w:r>
              <w:rPr>
                <w:sz w:val="20"/>
                <w:szCs w:val="20"/>
              </w:rPr>
              <w:t xml:space="preserve">0.7167</w:t>
            </w:r>
          </w:p>
        </w:tc>
      </w:tr>
    </w:tbl>
    <w:p>
      <w:pPr>
        <w:pStyle w:val="BodyText"/>
      </w:pPr>
      <w:r>
        <w:t xml:space="preserve">Fit: N = 32 events = 19</w:t>
      </w:r>
    </w:p>
    <w:bookmarkEnd w:id="84"/>
    <w:bookmarkEnd w:id="85"/>
    <w:bookmarkEnd w:id="86"/>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before="135"/>
      <w:ind w:left="380"/>
    </w:pPr>
    <w:rPr>
      <w:rFonts w:ascii="Arial" w:cs="Arial" w:eastAsia="Arial" w:hAnsi="Arial"/>
      <w:b/>
      <w:bCs/>
      <w:sz w:val="20"/>
      <w:szCs w:val="20"/>
    </w:rPr>
  </w:style>
  <w:style w:styleId="TOC2" w:type="paragraph">
    <w:name w:val="toc 2"/>
    <w:basedOn w:val="Normal"/>
    <w:uiPriority w:val="1"/>
    <w:qFormat/>
    <w:pPr>
      <w:spacing w:before="30"/>
      <w:ind w:left="620"/>
    </w:pPr>
    <w:rPr>
      <w:rFonts w:ascii="Arial" w:cs="Arial" w:eastAsia="Arial" w:hAnsi="Arial"/>
      <w:sz w:val="20"/>
      <w:szCs w:val="20"/>
    </w:rPr>
  </w:style>
  <w:style w:styleId="TOC3" w:type="paragraph">
    <w:name w:val="toc 3"/>
    <w:basedOn w:val="Normal"/>
    <w:uiPriority w:val="1"/>
    <w:qFormat/>
    <w:pPr>
      <w:spacing w:before="15"/>
      <w:ind w:left="620"/>
    </w:pPr>
    <w:rPr>
      <w:rFonts w:ascii="Arial" w:cs="Arial" w:eastAsia="Arial" w:hAnsi="Arial"/>
      <w:sz w:val="16"/>
      <w:szCs w:val="16"/>
    </w:rPr>
  </w:style>
  <w:style w:styleId="TOC4" w:type="paragraph">
    <w:name w:val="toc 4"/>
    <w:basedOn w:val="Normal"/>
    <w:uiPriority w:val="1"/>
    <w:qFormat/>
    <w:pPr>
      <w:spacing w:before="15"/>
      <w:ind w:left="620"/>
    </w:pPr>
    <w:rPr>
      <w:rFonts w:ascii="Arial" w:cs="Arial" w:eastAsia="Arial" w:hAnsi="Arial"/>
      <w:b/>
      <w:bCs/>
      <w:i/>
    </w:rPr>
  </w:style>
  <w:style w:styleId="TOC5" w:type="paragraph">
    <w:name w:val="toc 5"/>
    <w:basedOn w:val="Normal"/>
    <w:uiPriority w:val="1"/>
    <w:qFormat/>
    <w:pPr>
      <w:spacing w:before="15"/>
      <w:ind w:left="860"/>
    </w:pPr>
    <w:rPr>
      <w:rFonts w:ascii="Arial" w:cs="Arial" w:eastAsia="Arial" w:hAnsi="Arial"/>
      <w:i/>
      <w:sz w:val="20"/>
      <w:szCs w:val="20"/>
    </w:rPr>
  </w:style>
  <w:style w:styleId="BodyText" w:type="paragraph">
    <w:name w:val="Body Text"/>
    <w:basedOn w:val="Normal"/>
    <w:uiPriority w:val="1"/>
    <w:qFormat/>
    <w:pPr>
      <w:ind w:left="38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pPr>
  </w:style>
  <w:style w:type="character" w:customStyle="1" w:styleId="KeywordTok">
    <w:name w:val="KeywordTok"/>
    <w:basedOn w:val="VerbatimChar"/>
    <w:rPr>
      <w:b/>
      <w:color w:val="007020"/>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b/>
      <w:color w:val="008000"/>
    </w:rPr>
  </w:style>
  <w:style w:type="character" w:customStyle="1" w:styleId="CommentTok">
    <w:name w:val="CommentTok"/>
    <w:basedOn w:val="VerbatimChar"/>
    <w:rPr>
      <w:i/>
      <w:color w:val="60a0b0"/>
    </w:rPr>
  </w:style>
  <w:style w:type="character" w:customStyle="1" w:styleId="DocumentationTok">
    <w:name w:val="DocumentationTok"/>
    <w:basedOn w:val="VerbatimChar"/>
    <w:rPr>
      <w:i/>
      <w:color w:val="ba2121"/>
    </w:rPr>
  </w:style>
  <w:style w:type="character" w:customStyle="1" w:styleId="AnnotationTok">
    <w:name w:val="AnnotationTok"/>
    <w:basedOn w:val="VerbatimChar"/>
    <w:rPr>
      <w:b/>
      <w:i/>
      <w:color w:val="60a0b0"/>
    </w:rPr>
  </w:style>
  <w:style w:type="character" w:customStyle="1" w:styleId="CommentVarTok">
    <w:name w:val="CommentVarTok"/>
    <w:basedOn w:val="VerbatimChar"/>
    <w:rPr>
      <w:b/>
      <w:i/>
      <w:color w:val="60a0b0"/>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b/>
      <w:color w:val="007020"/>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b/>
      <w:i/>
      <w:color w:val="60a0b0"/>
    </w:rPr>
  </w:style>
  <w:style w:type="character" w:customStyle="1" w:styleId="WarningTok">
    <w:name w:val="WarningTok"/>
    <w:basedOn w:val="VerbatimChar"/>
    <w:rPr>
      <w:b/>
      <w:i/>
      <w:color w:val="60a0b0"/>
    </w:rPr>
  </w:style>
  <w:style w:type="character" w:customStyle="1" w:styleId="AlertTok">
    <w:name w:val="AlertTok"/>
    <w:basedOn w:val="VerbatimChar"/>
    <w:rPr>
      <w:b/>
      <w:color w:val="ff0000"/>
    </w:rPr>
  </w:style>
  <w:style w:type="character" w:customStyle="1" w:styleId="ErrorTok">
    <w:name w:val="ErrorTok"/>
    <w:basedOn w:val="VerbatimChar"/>
    <w:rPr>
      <w:b/>
      <w:color w:val="ff0000"/>
    </w:rPr>
  </w:style>
  <w:style w:type="character" w:customStyle="1" w:styleId="NormalTok">
    <w:name w:val="NormalTok"/>
    <w:basedOn w:val="VerbatimCh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Relationships xmlns="http://schemas.openxmlformats.org/package/2006/relationships"><Relationship Type="http://schemas.openxmlformats.org/officeDocument/2006/relationships/numbering" Id="rId60" Target="numbering.xml" /><Relationship Type="http://schemas.openxmlformats.org/officeDocument/2006/relationships/styles" Id="rId59" Target="styles.xml" /><Relationship Type="http://schemas.openxmlformats.org/officeDocument/2006/relationships/settings" Id="rId58" Target="settings.xml" /><Relationship Type="http://schemas.openxmlformats.org/officeDocument/2006/relationships/webSettings" Id="rId57" Target="webSettings.xml" /><Relationship Type="http://schemas.openxmlformats.org/officeDocument/2006/relationships/fontTable" Id="rId56" Target="fontTable.xml" /><Relationship Type="http://schemas.openxmlformats.org/officeDocument/2006/relationships/theme" Id="rId55" Target="theme/theme1.xml" /><Relationship Type="http://schemas.openxmlformats.org/officeDocument/2006/relationships/footnotes" Id="rId54" Target="footnotes.xml" /><Relationship Type="http://schemas.openxmlformats.org/officeDocument/2006/relationships/comments" Id="rId53" Target="comments.xml" /><Relationship Id="rId13" Target="media/image5.png" Type="http://schemas.openxmlformats.org/officeDocument/2006/relationships/image" /><Relationship Id="rId18" Target="media/image10.png" Type="http://schemas.openxmlformats.org/officeDocument/2006/relationships/image" /><Relationship Id="rId26" Target="media/image17.png" Type="http://schemas.openxmlformats.org/officeDocument/2006/relationships/image" /><Relationship Id="rId21" Target="media/image13.png" Type="http://schemas.openxmlformats.org/officeDocument/2006/relationships/image" /><Relationship Id="rId50" Target="media/image23.png" Type="http://schemas.openxmlformats.org/officeDocument/2006/relationships/image" /><Relationship Id="rId7" Target="footer1.xml" Type="http://schemas.openxmlformats.org/officeDocument/2006/relationships/footer" /><Relationship Id="rId16" Target="media/image8.jpeg" Type="http://schemas.openxmlformats.org/officeDocument/2006/relationships/image" /><Relationship Id="rId29" Target="media/image20.png" Type="http://schemas.openxmlformats.org/officeDocument/2006/relationships/image" /><Relationship Id="rId11" Target="media/image3.png" Type="http://schemas.openxmlformats.org/officeDocument/2006/relationships/image" /><Relationship Id="rId24" Target="media/image16.png" Type="http://schemas.openxmlformats.org/officeDocument/2006/relationships/image" /><Relationship Id="rId19" Target="media/image11.png" Type="http://schemas.openxmlformats.org/officeDocument/2006/relationships/image" /><Relationship Id="rId9" Target="media/image1.jpeg" Type="http://schemas.openxmlformats.org/officeDocument/2006/relationships/image" /><Relationship Id="rId14" Target="media/image6.png" Type="http://schemas.openxmlformats.org/officeDocument/2006/relationships/image" /><Relationship Id="rId22" Target="media/image14.jpeg" Type="http://schemas.openxmlformats.org/officeDocument/2006/relationships/image" /><Relationship Id="rId27" Target="media/image18.png" Type="http://schemas.openxmlformats.org/officeDocument/2006/relationships/image" /><Relationship Id="rId30" Target="media/image21.png" Type="http://schemas.openxmlformats.org/officeDocument/2006/relationships/image" /><Relationship Id="rId8" Target="footer2.xml" Type="http://schemas.openxmlformats.org/officeDocument/2006/relationships/footer" /><Relationship Id="rId51" Target="media/image24.jpeg" Type="http://schemas.openxmlformats.org/officeDocument/2006/relationships/image" /><Relationship Id="rId12" Target="media/image4.png" Type="http://schemas.openxmlformats.org/officeDocument/2006/relationships/image" /><Relationship Id="rId17" Target="media/image9.png" Type="http://schemas.openxmlformats.org/officeDocument/2006/relationships/image" /><Relationship Id="rId20" Target="media/image12.png" Type="http://schemas.openxmlformats.org/officeDocument/2006/relationships/image" /><Relationship Id="rId15" Target="media/image7.png" Type="http://schemas.openxmlformats.org/officeDocument/2006/relationships/image" /><Relationship Id="rId23" Target="media/image15.jpeg" Type="http://schemas.openxmlformats.org/officeDocument/2006/relationships/image" /><Relationship Id="rId28" Target="media/image19.jpeg" Type="http://schemas.openxmlformats.org/officeDocument/2006/relationships/image" /><Relationship Id="rId10" Target="media/image2.jpeg" Type="http://schemas.openxmlformats.org/officeDocument/2006/relationships/image" /><Relationship Id="rId31" Target="media/image22.png" Type="http://schemas.openxmlformats.org/officeDocument/2006/relationships/image" /><Relationship Id="rId52" Target="media/image25.jpeg" Type="http://schemas.openxmlformats.org/officeDocument/2006/relationships/image" /><Relationship Type="http://schemas.openxmlformats.org/officeDocument/2006/relationships/image" Id="rId78" Target="media/rId78.png" /><Relationship Type="http://schemas.openxmlformats.org/officeDocument/2006/relationships/hyperlink" Id="rId71" Target="https://doi.org/10.1016/j.actaastro.2017.12.001" TargetMode="External" /><Relationship Type="http://schemas.openxmlformats.org/officeDocument/2006/relationships/hyperlink" Id="rId68" Target="https://doi.org/10.1016/j.actaastro.2021.03.030" TargetMode="External" /><Relationship Type="http://schemas.openxmlformats.org/officeDocument/2006/relationships/hyperlink" Id="rId73" Target="https://doi.org/10.1016/j.actaastro.2022.05.045" TargetMode="External" /><Relationship Type="http://schemas.openxmlformats.org/officeDocument/2006/relationships/hyperlink" Id="rId75" Target="https://doi.org/10.1016/j.actaastro.2024.03.002" TargetMode="External" /></Relationships>
</file>

<file path=word/_rels/footnotes.xml.rels><?xml version="1.0" encoding="UTF-8"?><Relationships xmlns="http://schemas.openxmlformats.org/package/2006/relationships"><Relationship Type="http://schemas.openxmlformats.org/officeDocument/2006/relationships/hyperlink" Id="rId71" Target="https://doi.org/10.1016/j.actaastro.2017.12.001" TargetMode="External" /><Relationship Type="http://schemas.openxmlformats.org/officeDocument/2006/relationships/hyperlink" Id="rId68" Target="https://doi.org/10.1016/j.actaastro.2021.03.030" TargetMode="External" /><Relationship Type="http://schemas.openxmlformats.org/officeDocument/2006/relationships/hyperlink" Id="rId73" Target="https://doi.org/10.1016/j.actaastro.2022.05.045" TargetMode="External" /><Relationship Type="http://schemas.openxmlformats.org/officeDocument/2006/relationships/hyperlink" Id="rId75" Target="https://doi.org/10.1016/j.actaastro.2024.03.002"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2026-06-26T16:46:10Z</dcterms:created>
  <dcterms:modified xsi:type="dcterms:W3CDTF">2026-06-26T16:46:10Z</dcterms:modified>
</cp:coreProperties>
</file>

<file path=docProps/custom.xml><?xml version="1.0" encoding="utf-8"?>
<Properties xmlns="http://schemas.openxmlformats.org/officeDocument/2006/custom-properties" xmlns:vt="http://schemas.openxmlformats.org/officeDocument/2006/docPropsVTypes"/>
</file>