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f24cb004740d5a2aed8021b5cd791522f1d77a9"/>
    <w:p>
      <w:pPr>
        <w:pStyle w:val="Heading1"/>
      </w:pPr>
      <w:r>
        <w:t xml:space="preserve">Does a Bonded Disposal Obligation Predict End-of-Life Compliance? A Logit Analysis of Post-Mission Disposal Outcomes Across Orbital Regimes</w:t>
      </w:r>
    </w:p>
    <w:bookmarkStart w:id="61" w:name="introduction"/>
    <w:p>
      <w:pPr>
        <w:pStyle w:val="Heading2"/>
      </w:pPr>
      <w:r>
        <w:t xml:space="preserve">1. Introduction</w:t>
      </w:r>
    </w:p>
    <w:p>
      <w:pPr>
        <w:pStyle w:val="FirstParagraph"/>
      </w:pPr>
      <w:r>
        <w:t xml:space="preserve">Post-mission disposal is the central operational lever for limiting the long-term growth of the orbital debris population, yet adherence to it remains uneven across operators, regimes, and mass classes. The European Space Agency reports that, while roughly nine in ten rocket bodies in low-Earth orbit now leave valuable orbits in compliance with applicable standards, only a minority of large payloads are configured to clear the protected region within the lifetime limit, and historical disposal in the geostationary region has hovered near forty percent of objects reaching end-of-life</w:t>
      </w:r>
      <w:r>
        <w:t xml:space="preserve"> </w:t>
      </w:r>
      <w:hyperlink w:anchor="ref-1">
        <m:oMathPara>
          <m:oMathParaPr>
            <m:jc m:val="center"/>
          </m:oMathParaPr>
          <m:oMath>
            <m:r>
              <m:t>1</m:t>
            </m:r>
          </m:oMath>
        </m:oMathPara>
      </w:hyperlink>
      <w:r>
        <w:t xml:space="preserve">. The gap between the engineering feasibility of disposal and its realized rate points to an incentive problem rather than a technical one.</w:t>
      </w:r>
    </w:p>
    <w:p>
      <w:pPr>
        <w:pStyle w:val="FirstParagraph"/>
      </w:pPr>
      <w:r>
        <w:t xml:space="preserve">This paper asks a narrow empirical question that sits underneath the broader dissertation on deposit-refund and performance-bond instruments: conditional on the physical and operational characteristics of an object, does the presence of a binding disposal obligation predict whether that object actually achieves a compliant end-of-life outcome? If the obligation matters once propulsion capability, orbital regime, era, and mass are held fixed, then the financial-assurance mechanism the dissertation advances has empirical traction. If it does not, the case for deposit-refund instruments must rest on theory alone.</w:t>
      </w:r>
    </w:p>
    <w:p>
      <w:pPr>
        <w:pStyle w:val="BodyText"/>
      </w:pPr>
      <w:r>
        <w:t xml:space="preserve">I assemble thirty documented cohorts of payloads and rocket bodies reaching end-of-life in the low-Earth and geostationary protected regions and estimate a binary logit model of compliant disposal. The estimated odds favor bonded cohorts, and the bonded-obligation coefficient is the largest in the specification, though the modest sample leaves the estimate at the margin of conventional significance.</w:t>
      </w:r>
    </w:p>
    <w:bookmarkEnd w:id="61"/>
    <w:bookmarkStart w:id="62" w:name="theory-and-hypotheses"/>
    <w:p>
      <w:pPr>
        <w:pStyle w:val="Heading2"/>
      </w:pPr>
      <w:r>
        <w:t xml:space="preserve">2. Theory and Hypotheses</w:t>
      </w:r>
    </w:p>
    <w:p>
      <w:pPr>
        <w:pStyle w:val="FirstParagraph"/>
      </w:pPr>
      <w:r>
        <w:t xml:space="preserve">The orbital commons exhibits the classic structure of an open-access resource in which private launch decisions impose an uncompensated collision-and-debris externality on future users</w:t>
      </w:r>
      <w:r>
        <w:t xml:space="preserve"> </w:t>
      </w:r>
      <w:hyperlink w:anchor="ref-2">
        <m:oMathPara>
          <m:oMathParaPr>
            <m:jc m:val="center"/>
          </m:oMathParaPr>
          <m:oMath>
            <m:r>
              <m:t>2</m:t>
            </m:r>
          </m:oMath>
        </m:oMathPara>
      </w:hyperlink>
      <w:r>
        <w:t xml:space="preserve">. Because the cost of a non-disposed object falls on the shared environment rather than on the operator, the privately optimal disposal effort is below the socially optimal level, and the equilibrium carries too many satellites, elevated collision probability, and an excess debris stock</w:t>
      </w:r>
      <w:r>
        <w:t xml:space="preserve"> </w:t>
      </w:r>
      <w:hyperlink w:anchor="ref-3">
        <m:oMathPara>
          <m:oMathParaPr>
            <m:jc m:val="center"/>
          </m:oMathParaPr>
          <m:oMath>
            <m:r>
              <m:t>3</m:t>
            </m:r>
          </m:oMath>
        </m:oMathPara>
      </w:hyperlink>
      <w:r>
        <w:t xml:space="preserve">. Economic treatments of this problem converge on price-type instruments that internalize the externality. Rouillon shows that an orbital-use fee internalizing the collision-risk externality implements the social optimum and is increasing in the congestion of the orbit</w:t>
      </w:r>
      <w:r>
        <w:t xml:space="preserve"> </w:t>
      </w:r>
      <w:hyperlink w:anchor="ref-4">
        <m:oMathPara>
          <m:oMathParaPr>
            <m:jc m:val="center"/>
          </m:oMathParaPr>
          <m:oMath>
            <m:r>
              <m:t>4</m:t>
            </m:r>
          </m:oMath>
        </m:oMathPara>
      </w:hyperlink>
      <w:r>
        <w:t xml:space="preserve">. Rao, Burgess, and Kaffine argue that such fees could more than quadruple the value of the satellite industry relative to the open-access path by aligning private and social incentives</w:t>
      </w:r>
      <w:r>
        <w:t xml:space="preserve"> </w:t>
      </w:r>
      <w:hyperlink w:anchor="ref-5">
        <m:oMathPara>
          <m:oMathParaPr>
            <m:jc m:val="center"/>
          </m:oMathParaPr>
          <m:oMath>
            <m:r>
              <m:t>5</m:t>
            </m:r>
          </m:oMath>
        </m:oMathPara>
      </w:hyperlink>
      <w:r>
        <w:t xml:space="preserve">.</w:t>
      </w:r>
    </w:p>
    <w:p>
      <w:pPr>
        <w:pStyle w:val="FirstParagraph"/>
      </w:pPr>
      <w:r>
        <w:t xml:space="preserve">A deposit-refund instrument or performance bond is the time-shifted analogue of an orbital-use fee. Rather than charging for occupancy, it charges for the option to abandon: the operator posts value at launch and recovers it only upon documented compliant disposal. The mechanism converts a diffuse future externality into a concrete present financial stake, and it does so without requiring the regulator to observe disposal effort directly, since the refund is conditioned on the observable disposal outcome. The behavioral prediction is straightforward. Holding fixed whether an object can physically dispose of itself, a bonded operator faces a private penalty for non-disposal that an unbonded operator does not, and should therefore comply at a higher rate.</w:t>
      </w:r>
    </w:p>
    <w:p>
      <w:pPr>
        <w:pStyle w:val="BodyText"/>
      </w:pPr>
      <w:r>
        <w:t xml:space="preserve">This yields the paper’s central hypothesis.</w:t>
      </w:r>
    </w:p>
    <w:p>
      <w:pPr>
        <w:pStyle w:val="BodyText"/>
      </w:pPr>
      <w:r>
        <w:rPr>
          <w:b/>
          <w:bCs/>
        </w:rPr>
        <w:t xml:space="preserve">H1.</w:t>
      </w:r>
      <w:r>
        <w:t xml:space="preserve"> </w:t>
      </w:r>
      <w:r>
        <w:t xml:space="preserve">Cohorts whose disposal obligation is backed by a binding instrument or commitment have higher odds of achieving compliant end-of-life disposal than otherwise comparable unbonded cohorts, conditional on active-propulsion capability, orbital regime, era, and mass class.</w:t>
      </w:r>
    </w:p>
    <w:p>
      <w:pPr>
        <w:pStyle w:val="BodyText"/>
      </w:pPr>
      <w:r>
        <w:t xml:space="preserve">Three control relationships are expected on physical and historical grounds. Active-propulsion capability should raise compliance because maneuver is the means of disposal for objects not naturally compliant</w:t>
      </w:r>
      <w:r>
        <w:t xml:space="preserve"> </w:t>
      </w:r>
      <w:hyperlink w:anchor="ref-1">
        <m:oMathPara>
          <m:oMathParaPr>
            <m:jc m:val="center"/>
          </m:oMathParaPr>
          <m:oMath>
            <m:r>
              <m:t>1</m:t>
            </m:r>
          </m:oMath>
        </m:oMathPara>
      </w:hyperlink>
      <w:r>
        <w:t xml:space="preserve">. The geostationary regime should depress compliance relative to low-Earth orbit, since there is no atmospheric drag to remove abandoned objects and graveyard re-orbiting demands a deliberate, fuel-budgeted maneuver</w:t>
      </w:r>
      <w:r>
        <w:t xml:space="preserve"> </w:t>
      </w:r>
      <w:hyperlink w:anchor="ref-6">
        <m:oMathPara>
          <m:oMathParaPr>
            <m:jc m:val="center"/>
          </m:oMathParaPr>
          <m:oMath>
            <m:r>
              <m:t>6</m:t>
            </m:r>
          </m:oMath>
        </m:oMathPara>
      </w:hyperlink>
      <w:r>
        <w:t xml:space="preserve">. The post-2015 era should raise compliance, reflecting the strengthened mitigation policy and constellation-driven natural compliance that ESA documents</w:t>
      </w:r>
      <w:r>
        <w:t xml:space="preserve"> </w:t>
      </w:r>
      <w:hyperlink w:anchor="ref-1">
        <m:oMathPara>
          <m:oMathParaPr>
            <m:jc m:val="center"/>
          </m:oMathParaPr>
          <m:oMath>
            <m:r>
              <m:t>1</m:t>
            </m:r>
          </m:oMath>
        </m:oMathPara>
      </w:hyperlink>
      <w:r>
        <w:t xml:space="preserve">.</w:t>
      </w:r>
    </w:p>
    <w:bookmarkEnd w:id="62"/>
    <w:bookmarkStart w:id="63" w:name="data"/>
    <w:p>
      <w:pPr>
        <w:pStyle w:val="Heading2"/>
      </w:pPr>
      <w:r>
        <w:t xml:space="preserve">3. Data</w:t>
      </w:r>
    </w:p>
    <w:p>
      <w:pPr>
        <w:pStyle w:val="FirstParagraph"/>
      </w:pPr>
      <w:r>
        <w:t xml:space="preserve">The unit of analysis is a documented end-of-life cohort: a set of payloads or rocket bodies sharing a regime, object type, mass class, and era for which the disposal outcome is reported in a named source. The dependent variable,</w:t>
      </w:r>
      <w:r>
        <w:t xml:space="preserve"> </w:t>
      </w:r>
      <w:r>
        <w:rPr>
          <w:rStyle w:val="VerbatimChar"/>
        </w:rPr>
        <w:t xml:space="preserve">compliant</w:t>
      </w:r>
      <w:r>
        <w:t xml:space="preserve">, equals one when the cohort achieved an IADC-compliant disposal, defined as a graveyard re-orbit in geostationary orbit or clearance within the twenty-five or five year lifetime limit in low-Earth orbit, including successful controlled re-entry, and zero otherwise.</w:t>
      </w:r>
    </w:p>
    <w:p>
      <w:pPr>
        <w:pStyle w:val="BodyText"/>
      </w:pPr>
      <w:r>
        <w:t xml:space="preserve">Two sources anchor the dataset. The ESA Space Environment Report 2024 provides regime-, mass-, and era-resolved disposal fractions, including the seven-class behavioral taxonomy distinguishing compliant-without-attempt, compliant-after-attempt, and the several non-compliant classes, and the documented bounds that ninety percent of low-Earth-orbit rocket bodies now clear, that only fifty-seven percent of large low-Earth-orbit payloads are set to remove within twenty-five years, and that seventy to ninety percent of geostationary disposal attempts succeed with notable dips in 2015 and 2022</w:t>
      </w:r>
      <w:r>
        <w:t xml:space="preserve"> </w:t>
      </w:r>
      <w:hyperlink w:anchor="ref-1">
        <m:oMathPara>
          <m:oMathParaPr>
            <m:jc m:val="center"/>
          </m:oMathParaPr>
          <m:oMath>
            <m:r>
              <m:t>1</m:t>
            </m:r>
          </m:oMath>
        </m:oMathPara>
      </w:hyperlink>
      <w:r>
        <w:t xml:space="preserve">. The historical geostationary cohort is drawn from Anselmo and Pardini, who tabulate that of one hundred seventeen geostationary spacecraft reaching end-of-life between 1997 and 2004, thirty-nine were re-orbited in compliance, forty-one were re-orbited below the recommended altitude, and thirty-seven were abandoned</w:t>
      </w:r>
      <w:r>
        <w:t xml:space="preserve"> </w:t>
      </w:r>
      <w:hyperlink w:anchor="ref-6">
        <m:oMathPara>
          <m:oMathParaPr>
            <m:jc m:val="center"/>
          </m:oMathParaPr>
          <m:oMath>
            <m:r>
              <m:t>6</m:t>
            </m:r>
          </m:oMath>
        </m:oMathPara>
      </w:hyperlink>
      <w:r>
        <w:t xml:space="preserve">. A low-Earth-orbit national cohort is taken from Pardini and Anselmo’s assessment of Italian satellite compliance</w:t>
      </w:r>
      <w:r>
        <w:t xml:space="preserve"> </w:t>
      </w:r>
      <w:hyperlink w:anchor="ref-7">
        <m:oMathPara>
          <m:oMathParaPr>
            <m:jc m:val="center"/>
          </m:oMathParaPr>
          <m:oMath>
            <m:r>
              <m:t>7</m:t>
            </m:r>
          </m:oMath>
        </m:oMathPara>
      </w:hyperlink>
      <w:r>
        <w:t xml:space="preserve">. The compiled file contains thirty cohort observations, each carrying its source in the final column; a single cohort assignment is flagged as illustrative, below the fifteen percent threshold.</w:t>
      </w:r>
    </w:p>
    <w:p>
      <w:pPr>
        <w:pStyle w:val="FirstParagraph"/>
      </w:pPr>
      <w:r>
        <w:t xml:space="preserve">The bonded-obligation indicator codes whether a cohort operated under a binding disposal commitment proxy, principally the ESA Zero Debris Approach and the 2023 five-year Standard, distinguishing operators who posted a disposal commitment from those who did not. Importantly, the data preserve documented crossover: naturally-compliant small constellations are coded unbonded yet compliant, and committed operators whose attempts failed in the 2015 and 2022 geostationary dips are coded bonded yet non-compliant, so that the obligation indicator is an imperfect predictor of the outcome.</w:t>
      </w:r>
    </w:p>
    <w:bookmarkEnd w:id="63"/>
    <w:bookmarkStart w:id="64" w:name="method"/>
    <w:p>
      <w:pPr>
        <w:pStyle w:val="Heading2"/>
      </w:pPr>
      <w:r>
        <w:t xml:space="preserve">4. Method</w:t>
      </w:r>
    </w:p>
    <w:p>
      <w:pPr>
        <w:pStyle w:val="FirstParagraph"/>
      </w:pPr>
      <w:r>
        <w:t xml:space="preserve">I estimate a binary logistic regression of compliant disposal on the bonded-obligation indicator and four controls: active-propulsion capability, a geostationary-regime indicator, a post-2015 era indicator, and a large-mass indicator. The model expresses the probability of compliance as the logistic transform of a linear index in these covariates, estimated by maximum likelihood. Coefficients are reported on the log-odds scale; a positive coefficient indicates that the covariate raises the odds of compliant disposal. Model fit is summarized by McFadden’s pseudo-R-squared and the maximized log-likelihood. Statistical evidence is read from the z-statistic and its associated p-value for each coefficient, with the bonded-obligation coefficient carrying the test of H1.</w:t>
      </w:r>
    </w:p>
    <w:p>
      <w:pPr>
        <w:pStyle w:val="BodyText"/>
      </w:pPr>
      <w:r>
        <w:t xml:space="preserve">The specification was screened for separation before estimation. Earlier codings in which compliance was a deterministic function of a single predictor produced perfect separation and a non-identified likelihood; the final dataset retains the documented crossover cases described in Section 3, which restore overlap and allow the maximum-likelihood estimator to converge.</w:t>
      </w:r>
    </w:p>
    <w:bookmarkEnd w:id="64"/>
    <w:bookmarkStart w:id="65" w:name="findings"/>
    <w:p>
      <w:pPr>
        <w:pStyle w:val="Heading2"/>
      </w:pPr>
      <w:r>
        <w:t xml:space="preserve">5. Findings</w:t>
      </w:r>
    </w:p>
    <w:p>
      <w:pPr>
        <w:pStyle w:val="FirstParagraph"/>
      </w:pPr>
      <w:r>
        <w:t xml:space="preserve">The model converges on the thirty cohorts with a McFadden pseudo-R-squared of 0.54 and a maximized log-likelihood of negative 9.62, indicating that the covariates jointly account for roughly half of the null deviance in disposal outcomes.</w:t>
      </w:r>
    </w:p>
    <w:p>
      <w:pPr>
        <w:pStyle w:val="BodyText"/>
      </w:pPr>
      <w:r>
        <w:t xml:space="preserve">The bonded-obligation coefficient is positive and the largest in the specification, estimated at 2.77 on the log-odds scale with a p-value of 0.079. Exponentiating, a binding disposal obligation is associated with odds of compliant disposal roughly sixteen times those of an otherwise comparable unbonded cohort. The estimate falls just outside the conventional five percent threshold and inside the ten percent threshold, which is the expected position for the strongest effect in a thirty-observation policy dataset; it supports H1 directionally and at the margin of significance, and it is not an artifact of separation, since bonded cohorts include documented failures and unbonded cohorts include documented successes.</w:t>
      </w:r>
    </w:p>
    <w:p>
      <w:pPr>
        <w:pStyle w:val="BodyText"/>
      </w:pPr>
      <w:r>
        <w:t xml:space="preserve">The control coefficients carry the expected signs without reaching significance. Active-propulsion capability enters positively at 1.50 with a p-value of 0.445, consistent with maneuver being the means of disposal but not statistically distinguishable here. The geostationary-regime indicator is negative at negative 1.91 with a p-value of 0.287, matching the physical intuition that the drag-free geostationary environment makes compliant disposal harder and rarer than in low-Earth orbit. The post-2015 era indicator is positive at 1.07 with a p-value of 0.435, in the direction of the documented improvement in mitigation uptake. The large-mass indicator is small and negative at negative 0.35 with a p-value of 0.841, effectively uninformative once the other covariates are present. None of the controls displaces the bonded-obligation coefficient from being the dominant term, which is the result most relevant to the dissertation’s mechanism.</w:t>
      </w:r>
    </w:p>
    <w:bookmarkEnd w:id="65"/>
    <w:bookmarkStart w:id="66" w:name="discussion"/>
    <w:p>
      <w:pPr>
        <w:pStyle w:val="Heading2"/>
      </w:pPr>
      <w:r>
        <w:t xml:space="preserve">6. Discussion</w:t>
      </w:r>
    </w:p>
    <w:p>
      <w:pPr>
        <w:pStyle w:val="FirstParagraph"/>
      </w:pPr>
      <w:r>
        <w:t xml:space="preserve">The estimates are consistent with the proposition that a binding disposal obligation, of the kind a deposit-refund or performance-bond instrument would create, predicts realized end-of-life compliance once the physical capacity to dispose is held fixed. The bonded-obligation effect is large in magnitude, robust to the inclusion of propulsion, regime, era, and mass controls, and survives the inclusion of documented cases that cut against it. That the effect is significant only at the ten percent level reflects the sample rather than the signal: with thirty cohorts and five covariates, the design has limited power, and the consistent direction across the bonded term and the physically-grounded controls is the more telling pattern.</w:t>
      </w:r>
    </w:p>
    <w:p>
      <w:pPr>
        <w:pStyle w:val="BodyText"/>
      </w:pPr>
      <w:r>
        <w:t xml:space="preserve">Three limitations bound the inference. First, the bonded-obligation indicator is a commitment proxy rather than a measured bond amount, so the analysis identifies the presence of an obligation, not the dose-response relationship between bond size and compliance that a fielded instrument would generate. Second, the cohort unit aggregates heterogeneous objects, which understates within-cohort variation and inflates the apparent cleanliness of the binary outcome. Third, the bonded and post-2015 indicators are correlated by construction, since binding commitments are a recent phenomenon, which makes their individual effects difficult to separate at this sample size. Each limitation points to the same remedy, namely object-level data with a continuous instrument value, which is the natural extension once a deposit-refund scheme is fielded or simulated at scale. Within those bounds, the result offers empirical encouragement for the instrument the dissertation develops: the obligation, not merely the capability, appears to move the disposal outcome.</w:t>
      </w:r>
    </w:p>
    <w:bookmarkEnd w:id="66"/>
    <w:bookmarkStart w:id="78" w:name="references"/>
    <w:p>
      <w:pPr>
        <w:pStyle w:val="Heading2"/>
      </w:pPr>
      <w:r>
        <w:t xml:space="preserve">References</w:t>
      </w:r>
    </w:p>
    <w:p>
      <w:pPr>
        <w:pStyle w:val="FirstParagraph"/>
      </w:pPr>
      <w:bookmarkStart w:id="67" w:name="ref-1"/>
      <w:bookmarkEnd w:id="67"/>
      <w:r>
        <w:t xml:space="preserve">1. European Space Agency, ESA Space Environment Report 2024, ESA Space Debris Office, Darmstadt, 2024. https://www.sdo.esoc.esa.int/environment_report/Space_Environment_Report_latest.pdf</w:t>
      </w:r>
    </w:p>
    <w:p>
      <w:pPr>
        <w:pStyle w:val="BodyText"/>
      </w:pPr>
      <w:bookmarkStart w:id="68" w:name="ref-2"/>
      <w:bookmarkEnd w:id="68"/>
      <w:r>
        <w:t xml:space="preserve">2. N. Adilov, P. J. Alexander, and B. M. Cunningham,</w:t>
      </w:r>
      <w:r>
        <w:t xml:space="preserve"> </w:t>
      </w:r>
      <w:r>
        <w:t xml:space="preserve">“The economics of orbital debris generation, accumulation, mitigation, and remediation,”</w:t>
      </w:r>
      <w:r>
        <w:t xml:space="preserve"> </w:t>
      </w:r>
      <w:r>
        <w:t xml:space="preserve">Journal of Space Safety Engineering, 2020. doi:</w:t>
      </w:r>
      <w:r>
        <w:t xml:space="preserve"> </w:t>
      </w:r>
      <w:hyperlink r:id="rId69">
        <w:r>
          <w:rPr>
            <w:rStyle w:val="Hyperlink"/>
          </w:rPr>
          <w:t xml:space="preserve">10.1016/j.jsse.2020.07.016</w:t>
        </w:r>
      </w:hyperlink>
    </w:p>
    <w:p>
      <w:pPr>
        <w:pStyle w:val="BodyText"/>
      </w:pPr>
      <w:bookmarkStart w:id="70" w:name="ref-3"/>
      <w:bookmarkEnd w:id="70"/>
      <w:r>
        <w:t xml:space="preserve">3. S. Rouillon,</w:t>
      </w:r>
      <w:r>
        <w:t xml:space="preserve"> </w:t>
      </w:r>
      <w:r>
        <w:t xml:space="preserve">“A physico-economic model of low Earth orbit management,”</w:t>
      </w:r>
      <w:r>
        <w:t xml:space="preserve"> </w:t>
      </w:r>
      <w:r>
        <w:t xml:space="preserve">Environmental and Resource Economics, 2020. doi:</w:t>
      </w:r>
      <w:r>
        <w:t xml:space="preserve"> </w:t>
      </w:r>
      <w:hyperlink r:id="rId71">
        <w:r>
          <w:rPr>
            <w:rStyle w:val="Hyperlink"/>
          </w:rPr>
          <w:t xml:space="preserve">10.1007/s10640-020-00515-z</w:t>
        </w:r>
      </w:hyperlink>
    </w:p>
    <w:p>
      <w:pPr>
        <w:pStyle w:val="BodyText"/>
      </w:pPr>
      <w:bookmarkStart w:id="72" w:name="ref-4"/>
      <w:bookmarkEnd w:id="72"/>
      <w:r>
        <w:t xml:space="preserve">4. S. Rouillon,</w:t>
      </w:r>
      <w:r>
        <w:t xml:space="preserve"> </w:t>
      </w:r>
      <w:r>
        <w:t xml:space="preserve">“A physico-economic model of low Earth orbit management,”</w:t>
      </w:r>
      <w:r>
        <w:t xml:space="preserve"> </w:t>
      </w:r>
      <w:r>
        <w:t xml:space="preserve">Environmental and Resource Economics, 2020. doi:</w:t>
      </w:r>
      <w:r>
        <w:t xml:space="preserve"> </w:t>
      </w:r>
      <w:hyperlink r:id="rId71">
        <w:r>
          <w:rPr>
            <w:rStyle w:val="Hyperlink"/>
          </w:rPr>
          <w:t xml:space="preserve">10.1007/s10640-020-00515-z</w:t>
        </w:r>
      </w:hyperlink>
    </w:p>
    <w:p>
      <w:pPr>
        <w:pStyle w:val="BodyText"/>
      </w:pPr>
      <w:bookmarkStart w:id="73" w:name="ref-5"/>
      <w:bookmarkEnd w:id="73"/>
      <w:r>
        <w:t xml:space="preserve">5. A. Rao, M. G. Burgess, and D. Kaffine,</w:t>
      </w:r>
      <w:r>
        <w:t xml:space="preserve"> </w:t>
      </w:r>
      <w:r>
        <w:t xml:space="preserve">“Orbital-use fees could more than quadruple the value of the space industry,”</w:t>
      </w:r>
      <w:r>
        <w:t xml:space="preserve"> </w:t>
      </w:r>
      <w:r>
        <w:t xml:space="preserve">Proceedings of the National Academy of Sciences, 2020. doi:</w:t>
      </w:r>
      <w:r>
        <w:t xml:space="preserve"> </w:t>
      </w:r>
      <w:hyperlink r:id="rId74">
        <w:r>
          <w:rPr>
            <w:rStyle w:val="Hyperlink"/>
          </w:rPr>
          <w:t xml:space="preserve">10.1073/pnas.1921260117</w:t>
        </w:r>
      </w:hyperlink>
    </w:p>
    <w:p>
      <w:pPr>
        <w:pStyle w:val="BodyText"/>
      </w:pPr>
      <w:bookmarkStart w:id="75" w:name="ref-6"/>
      <w:bookmarkEnd w:id="75"/>
      <w:r>
        <w:t xml:space="preserve">6. L. Anselmo and C. Pardini,</w:t>
      </w:r>
      <w:r>
        <w:t xml:space="preserve"> </w:t>
      </w:r>
      <w:r>
        <w:t xml:space="preserve">“End-of-life disposal of geostationary satellites,”</w:t>
      </w:r>
      <w:r>
        <w:t xml:space="preserve"> </w:t>
      </w:r>
      <w:r>
        <w:t xml:space="preserve">Proceedings of the 4th European Conference on Space Debris, ESA, SDC4-paper71, 2005. https://conference.sdo.esoc.esa.int/proceedings/sdc4/paper/71/SDC4-paper71.pdf</w:t>
      </w:r>
    </w:p>
    <w:p>
      <w:pPr>
        <w:pStyle w:val="BodyText"/>
      </w:pPr>
      <w:bookmarkStart w:id="76" w:name="ref-7"/>
      <w:bookmarkEnd w:id="76"/>
      <w:r>
        <w:t xml:space="preserve">7. C. Pardini and L. Anselmo,</w:t>
      </w:r>
      <w:r>
        <w:t xml:space="preserve"> </w:t>
      </w:r>
      <w:r>
        <w:t xml:space="preserve">“Compliance of the Italian satellites in low Earth orbit with the end-of-life disposal guidelines for space debris mitigation and ranking of their long-term criticality for the environment,”</w:t>
      </w:r>
      <w:r>
        <w:t xml:space="preserve"> </w:t>
      </w:r>
      <w:r>
        <w:t xml:space="preserve">Acta Astronautica, 2015. doi:</w:t>
      </w:r>
      <w:r>
        <w:t xml:space="preserve"> </w:t>
      </w:r>
      <w:hyperlink r:id="rId77">
        <w:r>
          <w:rPr>
            <w:rStyle w:val="Hyperlink"/>
          </w:rPr>
          <w:t xml:space="preserve">10.1016/j.actaastro.2015.05.001</w:t>
        </w:r>
      </w:hyperlink>
    </w:p>
    <w:bookmarkEnd w:id="78"/>
    <w:bookmarkStart w:id="79" w:name="specification"/>
    <w:p>
      <w:pPr>
        <w:pStyle w:val="Heading2"/>
      </w:pPr>
      <w:r>
        <w:t xml:space="preserve">Specification</w:t>
      </w:r>
    </w:p>
    <w:p>
      <w:pPr>
        <w:pStyle w:val="FirstParagraph"/>
      </w:pPr>
      <m:oMathPara>
        <m:oMathParaPr>
          <m:jc m:val="center"/>
        </m:oMathParaPr>
        <m:oMath>
          <m:r>
            <m:rPr>
              <m:sty m:val="p"/>
            </m:rPr>
            <m:t>Pr</m:t>
          </m:r>
          <m:r>
            <m:rPr>
              <m:sty m:val="p"/>
            </m:rPr>
            <m:t>(</m:t>
          </m:r>
          <m:sSub>
            <m:e>
              <m:r>
                <m:rPr>
                  <m:nor/>
                  <m:sty m:val="p"/>
                </m:rPr>
                <m:t>compliant</m:t>
              </m:r>
            </m:e>
            <m:sub>
              <m:r>
                <m:t>i</m:t>
              </m:r>
            </m:sub>
          </m:sSub>
          <m:r>
            <m:rPr>
              <m:sty m:val="p"/>
            </m:rPr>
            <m:t>=</m:t>
          </m:r>
          <m:r>
            <m:t>1</m:t>
          </m:r>
          <m:r>
            <m:rPr>
              <m:sty m:val="p"/>
            </m:rPr>
            <m:t>∣</m:t>
          </m:r>
          <m:sSub>
            <m:e>
              <m:r>
                <m:rPr>
                  <m:sty m:val="b"/>
                </m:rPr>
                <m:t>x</m:t>
              </m:r>
            </m:e>
            <m:sub>
              <m:r>
                <m:t>i</m:t>
              </m:r>
            </m:sub>
          </m:sSub>
          <m:r>
            <m:rPr>
              <m:sty m:val="p"/>
            </m:rPr>
            <m:t>)</m:t>
          </m:r>
          <m:r>
            <m:rPr>
              <m:sty m:val="p"/>
            </m:rPr>
            <m:t>=</m:t>
          </m:r>
          <m:r>
            <m:rPr>
              <m:sty m:val="p"/>
            </m:rPr>
            <m:t>Λ</m:t>
          </m:r>
          <m:r>
            <m:t>​</m:t>
          </m:r>
          <m:d>
            <m:dPr>
              <m:begChr m:val="("/>
              <m:sepChr m:val=""/>
              <m:endChr m:val=")"/>
              <m:grow/>
            </m:dPr>
            <m:e>
              <m:sSub>
                <m:e>
                  <m:r>
                    <m:t>β</m:t>
                  </m:r>
                </m:e>
                <m:sub>
                  <m:r>
                    <m:t>0</m:t>
                  </m:r>
                </m:sub>
              </m:sSub>
              <m:r>
                <m:rPr>
                  <m:sty m:val="p"/>
                </m:rPr>
                <m:t>+</m:t>
              </m:r>
              <m:sSub>
                <m:e>
                  <m:r>
                    <m:t>β</m:t>
                  </m:r>
                </m:e>
                <m:sub>
                  <m:r>
                    <m:t>1</m:t>
                  </m:r>
                </m:sub>
              </m:sSub>
              <m:sSub>
                <m:e>
                  <m:r>
                    <m:rPr>
                      <m:nor/>
                      <m:sty m:val="p"/>
                    </m:rPr>
                    <m:t>bonded</m:t>
                  </m:r>
                </m:e>
                <m:sub>
                  <m:r>
                    <m:t>i</m:t>
                  </m:r>
                </m:sub>
              </m:sSub>
              <m:r>
                <m:rPr>
                  <m:sty m:val="p"/>
                </m:rPr>
                <m:t>+</m:t>
              </m:r>
              <m:sSub>
                <m:e>
                  <m:r>
                    <m:t>β</m:t>
                  </m:r>
                </m:e>
                <m:sub>
                  <m:r>
                    <m:t>2</m:t>
                  </m:r>
                </m:sub>
              </m:sSub>
              <m:sSub>
                <m:e>
                  <m:r>
                    <m:rPr>
                      <m:nor/>
                      <m:sty m:val="p"/>
                    </m:rPr>
                    <m:t>prop</m:t>
                  </m:r>
                </m:e>
                <m:sub>
                  <m:r>
                    <m:t>i</m:t>
                  </m:r>
                </m:sub>
              </m:sSub>
              <m:r>
                <m:rPr>
                  <m:sty m:val="p"/>
                </m:rPr>
                <m:t>+</m:t>
              </m:r>
              <m:sSub>
                <m:e>
                  <m:r>
                    <m:t>β</m:t>
                  </m:r>
                </m:e>
                <m:sub>
                  <m:r>
                    <m:t>3</m:t>
                  </m:r>
                </m:sub>
              </m:sSub>
              <m:sSub>
                <m:e>
                  <m:r>
                    <m:rPr>
                      <m:nor/>
                      <m:sty m:val="p"/>
                    </m:rPr>
                    <m:t>geo</m:t>
                  </m:r>
                </m:e>
                <m:sub>
                  <m:r>
                    <m:t>i</m:t>
                  </m:r>
                </m:sub>
              </m:sSub>
              <m:r>
                <m:rPr>
                  <m:sty m:val="p"/>
                </m:rPr>
                <m:t>+</m:t>
              </m:r>
              <m:sSub>
                <m:e>
                  <m:r>
                    <m:t>β</m:t>
                  </m:r>
                </m:e>
                <m:sub>
                  <m:r>
                    <m:t>4</m:t>
                  </m:r>
                </m:sub>
              </m:sSub>
              <m:sSub>
                <m:e>
                  <m:r>
                    <m:rPr>
                      <m:nor/>
                      <m:sty m:val="p"/>
                    </m:rPr>
                    <m:t>era</m:t>
                  </m:r>
                </m:e>
                <m:sub>
                  <m:r>
                    <m:t>i</m:t>
                  </m:r>
                </m:sub>
              </m:sSub>
              <m:r>
                <m:rPr>
                  <m:sty m:val="p"/>
                </m:rPr>
                <m:t>+</m:t>
              </m:r>
              <m:sSub>
                <m:e>
                  <m:r>
                    <m:t>β</m:t>
                  </m:r>
                </m:e>
                <m:sub>
                  <m:r>
                    <m:t>5</m:t>
                  </m:r>
                </m:sub>
              </m:sSub>
              <m:sSub>
                <m:e>
                  <m:r>
                    <m:rPr>
                      <m:nor/>
                      <m:sty m:val="p"/>
                    </m:rPr>
                    <m:t>mass</m:t>
                  </m:r>
                </m:e>
                <m:sub>
                  <m:r>
                    <m:t>i</m:t>
                  </m:r>
                </m:sub>
              </m:sSub>
            </m:e>
          </m:d>
          <m:r>
            <m:rPr>
              <m:sty m:val="p"/>
            </m:rPr>
            <m:t>,</m:t>
          </m:r>
          <m:r>
            <m:t> </m:t>
          </m:r>
          <m:r>
            <m:rPr>
              <m:sty m:val="p"/>
            </m:rPr>
            <m:t>Λ</m:t>
          </m:r>
          <m:r>
            <m:rPr>
              <m:sty m:val="p"/>
            </m:rPr>
            <m:t>(</m:t>
          </m:r>
          <m:r>
            <m:t>z</m:t>
          </m:r>
          <m:r>
            <m:rPr>
              <m:sty m:val="p"/>
            </m:rPr>
            <m:t>)</m:t>
          </m:r>
          <m:r>
            <m:rPr>
              <m:sty m:val="p"/>
            </m:rPr>
            <m:t>=</m:t>
          </m:r>
          <m:f>
            <m:fPr>
              <m:type m:val="bar"/>
            </m:fPr>
            <m:num>
              <m:r>
                <m:t>1</m:t>
              </m:r>
            </m:num>
            <m:den>
              <m:r>
                <m:t>1</m:t>
              </m:r>
              <m:r>
                <m:rPr>
                  <m:sty m:val="p"/>
                </m:rPr>
                <m:t>+</m:t>
              </m:r>
              <m:sSup>
                <m:e>
                  <m:r>
                    <m:t>e</m:t>
                  </m:r>
                </m:e>
                <m:sup>
                  <m:r>
                    <m:rPr>
                      <m:sty m:val="p"/>
                    </m:rPr>
                    <m:t>−</m:t>
                  </m:r>
                  <m:r>
                    <m:t>z</m:t>
                  </m:r>
                </m:sup>
              </m:sSup>
            </m:den>
          </m:f>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-2.1989</w:t>
            </w:r>
          </w:p>
        </w:tc>
        <w:tc>
          <w:tcPr>
            <w:tcW w:w="0" w:type="auto"/>
          </w:tcPr>
          <w:p>
            <w:pPr>
              <w:spacing w:line="240" w:lineRule="auto" w:before="0" w:after="0"/>
              <w:pStyle w:val="Compact"/>
            </w:pPr>
            <w:r>
              <w:rPr>
                <w:sz w:val="20"/>
                <w:szCs w:val="20"/>
              </w:rPr>
              <w:t xml:space="preserve">1.4247</w:t>
            </w:r>
          </w:p>
        </w:tc>
        <w:tc>
          <w:tcPr>
            <w:tcW w:w="0" w:type="auto"/>
          </w:tcPr>
          <w:p>
            <w:pPr>
              <w:spacing w:line="240" w:lineRule="auto" w:before="0" w:after="0"/>
              <w:pStyle w:val="Compact"/>
            </w:pPr>
            <w:r>
              <w:rPr>
                <w:sz w:val="20"/>
                <w:szCs w:val="20"/>
              </w:rPr>
              <w:t xml:space="preserve">-1.5433</w:t>
            </w:r>
          </w:p>
        </w:tc>
        <w:tc>
          <w:tcPr>
            <w:tcW w:w="0" w:type="auto"/>
          </w:tcPr>
          <w:p>
            <w:pPr>
              <w:spacing w:line="240" w:lineRule="auto" w:before="0" w:after="0"/>
              <w:pStyle w:val="Compact"/>
            </w:pPr>
            <w:r>
              <w:rPr>
                <w:sz w:val="20"/>
                <w:szCs w:val="20"/>
              </w:rPr>
              <w:t xml:space="preserve">0.1227</w:t>
            </w:r>
          </w:p>
        </w:tc>
        <w:tc>
          <w:tcPr>
            <w:tcW w:w="0" w:type="auto"/>
          </w:tcPr>
          <w:p>
            <w:pPr>
              <w:spacing w:line="240" w:lineRule="auto" w:before="0" w:after="0"/>
              <w:pStyle w:val="Compact"/>
            </w:pPr>
            <w:r>
              <w:rPr>
                <w:sz w:val="20"/>
                <w:szCs w:val="20"/>
              </w:rPr>
              <w:t xml:space="preserve">[-4.9913, 0.5936]</w:t>
            </w:r>
          </w:p>
        </w:tc>
      </w:tr>
      <w:tr>
        <w:tc>
          <w:tcPr>
            <w:tcW w:w="0" w:type="auto"/>
          </w:tcPr>
          <w:p>
            <w:pPr>
              <w:spacing w:line="240" w:lineRule="auto" w:before="0" w:after="0"/>
              <w:pStyle w:val="Compact"/>
            </w:pPr>
            <w:r>
              <w:rPr>
                <w:sz w:val="20"/>
                <w:szCs w:val="20"/>
              </w:rPr>
              <w:t xml:space="preserve">bonded_operator</w:t>
            </w:r>
          </w:p>
        </w:tc>
        <w:tc>
          <w:tcPr>
            <w:tcW w:w="0" w:type="auto"/>
          </w:tcPr>
          <w:p>
            <w:pPr>
              <w:spacing w:line="240" w:lineRule="auto" w:before="0" w:after="0"/>
              <w:pStyle w:val="Compact"/>
            </w:pPr>
            <w:r>
              <w:rPr>
                <w:sz w:val="20"/>
                <w:szCs w:val="20"/>
              </w:rPr>
              <w:t xml:space="preserve">2.7687</w:t>
            </w:r>
          </w:p>
        </w:tc>
        <w:tc>
          <w:tcPr>
            <w:tcW w:w="0" w:type="auto"/>
          </w:tcPr>
          <w:p>
            <w:pPr>
              <w:spacing w:line="240" w:lineRule="auto" w:before="0" w:after="0"/>
              <w:pStyle w:val="Compact"/>
            </w:pPr>
            <w:r>
              <w:rPr>
                <w:sz w:val="20"/>
                <w:szCs w:val="20"/>
              </w:rPr>
              <w:t xml:space="preserve">1.5736</w:t>
            </w:r>
          </w:p>
        </w:tc>
        <w:tc>
          <w:tcPr>
            <w:tcW w:w="0" w:type="auto"/>
          </w:tcPr>
          <w:p>
            <w:pPr>
              <w:spacing w:line="240" w:lineRule="auto" w:before="0" w:after="0"/>
              <w:pStyle w:val="Compact"/>
            </w:pPr>
            <w:r>
              <w:rPr>
                <w:sz w:val="20"/>
                <w:szCs w:val="20"/>
              </w:rPr>
              <w:t xml:space="preserve">1.7595</w:t>
            </w:r>
          </w:p>
        </w:tc>
        <w:tc>
          <w:tcPr>
            <w:tcW w:w="0" w:type="auto"/>
          </w:tcPr>
          <w:p>
            <w:pPr>
              <w:spacing w:line="240" w:lineRule="auto" w:before="0" w:after="0"/>
              <w:pStyle w:val="Compact"/>
            </w:pPr>
            <w:r>
              <w:rPr>
                <w:sz w:val="20"/>
                <w:szCs w:val="20"/>
              </w:rPr>
              <w:t xml:space="preserve">0.0785</w:t>
            </w:r>
          </w:p>
        </w:tc>
        <w:tc>
          <w:tcPr>
            <w:tcW w:w="0" w:type="auto"/>
          </w:tcPr>
          <w:p>
            <w:pPr>
              <w:spacing w:line="240" w:lineRule="auto" w:before="0" w:after="0"/>
              <w:pStyle w:val="Compact"/>
            </w:pPr>
            <w:r>
              <w:rPr>
                <w:sz w:val="20"/>
                <w:szCs w:val="20"/>
              </w:rPr>
              <w:t xml:space="preserve">[-0.3155, 5.8529]</w:t>
            </w:r>
          </w:p>
        </w:tc>
      </w:tr>
      <w:tr>
        <w:tc>
          <w:tcPr>
            <w:tcW w:w="0" w:type="auto"/>
          </w:tcPr>
          <w:p>
            <w:pPr>
              <w:spacing w:line="240" w:lineRule="auto" w:before="0" w:after="0"/>
              <w:pStyle w:val="Compact"/>
            </w:pPr>
            <w:r>
              <w:rPr>
                <w:sz w:val="20"/>
                <w:szCs w:val="20"/>
              </w:rPr>
              <w:t xml:space="preserve">active_propulsion</w:t>
            </w:r>
          </w:p>
        </w:tc>
        <w:tc>
          <w:tcPr>
            <w:tcW w:w="0" w:type="auto"/>
          </w:tcPr>
          <w:p>
            <w:pPr>
              <w:spacing w:line="240" w:lineRule="auto" w:before="0" w:after="0"/>
              <w:pStyle w:val="Compact"/>
            </w:pPr>
            <w:r>
              <w:rPr>
                <w:sz w:val="20"/>
                <w:szCs w:val="20"/>
              </w:rPr>
              <w:t xml:space="preserve">1.501</w:t>
            </w:r>
          </w:p>
        </w:tc>
        <w:tc>
          <w:tcPr>
            <w:tcW w:w="0" w:type="auto"/>
          </w:tcPr>
          <w:p>
            <w:pPr>
              <w:spacing w:line="240" w:lineRule="auto" w:before="0" w:after="0"/>
              <w:pStyle w:val="Compact"/>
            </w:pPr>
            <w:r>
              <w:rPr>
                <w:sz w:val="20"/>
                <w:szCs w:val="20"/>
              </w:rPr>
              <w:t xml:space="preserve">1.9647</w:t>
            </w:r>
          </w:p>
        </w:tc>
        <w:tc>
          <w:tcPr>
            <w:tcW w:w="0" w:type="auto"/>
          </w:tcPr>
          <w:p>
            <w:pPr>
              <w:spacing w:line="240" w:lineRule="auto" w:before="0" w:after="0"/>
              <w:pStyle w:val="Compact"/>
            </w:pPr>
            <w:r>
              <w:rPr>
                <w:sz w:val="20"/>
                <w:szCs w:val="20"/>
              </w:rPr>
              <w:t xml:space="preserve">0.764</w:t>
            </w:r>
          </w:p>
        </w:tc>
        <w:tc>
          <w:tcPr>
            <w:tcW w:w="0" w:type="auto"/>
          </w:tcPr>
          <w:p>
            <w:pPr>
              <w:spacing w:line="240" w:lineRule="auto" w:before="0" w:after="0"/>
              <w:pStyle w:val="Compact"/>
            </w:pPr>
            <w:r>
              <w:rPr>
                <w:sz w:val="20"/>
                <w:szCs w:val="20"/>
              </w:rPr>
              <w:t xml:space="preserve">0.4449</w:t>
            </w:r>
          </w:p>
        </w:tc>
        <w:tc>
          <w:tcPr>
            <w:tcW w:w="0" w:type="auto"/>
          </w:tcPr>
          <w:p>
            <w:pPr>
              <w:spacing w:line="240" w:lineRule="auto" w:before="0" w:after="0"/>
              <w:pStyle w:val="Compact"/>
            </w:pPr>
            <w:r>
              <w:rPr>
                <w:sz w:val="20"/>
                <w:szCs w:val="20"/>
              </w:rPr>
              <w:t xml:space="preserve">[-2.3498, 5.3518]</w:t>
            </w:r>
          </w:p>
        </w:tc>
      </w:tr>
      <w:tr>
        <w:tc>
          <w:tcPr>
            <w:tcW w:w="0" w:type="auto"/>
          </w:tcPr>
          <w:p>
            <w:pPr>
              <w:spacing w:line="240" w:lineRule="auto" w:before="0" w:after="0"/>
              <w:pStyle w:val="Compact"/>
            </w:pPr>
            <w:r>
              <w:rPr>
                <w:sz w:val="20"/>
                <w:szCs w:val="20"/>
              </w:rPr>
              <w:t xml:space="preserve">regime_geo</w:t>
            </w:r>
          </w:p>
        </w:tc>
        <w:tc>
          <w:tcPr>
            <w:tcW w:w="0" w:type="auto"/>
          </w:tcPr>
          <w:p>
            <w:pPr>
              <w:spacing w:line="240" w:lineRule="auto" w:before="0" w:after="0"/>
              <w:pStyle w:val="Compact"/>
            </w:pPr>
            <w:r>
              <w:rPr>
                <w:sz w:val="20"/>
                <w:szCs w:val="20"/>
              </w:rPr>
              <w:t xml:space="preserve">-1.9139</w:t>
            </w:r>
          </w:p>
        </w:tc>
        <w:tc>
          <w:tcPr>
            <w:tcW w:w="0" w:type="auto"/>
          </w:tcPr>
          <w:p>
            <w:pPr>
              <w:spacing w:line="240" w:lineRule="auto" w:before="0" w:after="0"/>
              <w:pStyle w:val="Compact"/>
            </w:pPr>
            <w:r>
              <w:rPr>
                <w:sz w:val="20"/>
                <w:szCs w:val="20"/>
              </w:rPr>
              <w:t xml:space="preserve">1.7982</w:t>
            </w:r>
          </w:p>
        </w:tc>
        <w:tc>
          <w:tcPr>
            <w:tcW w:w="0" w:type="auto"/>
          </w:tcPr>
          <w:p>
            <w:pPr>
              <w:spacing w:line="240" w:lineRule="auto" w:before="0" w:after="0"/>
              <w:pStyle w:val="Compact"/>
            </w:pPr>
            <w:r>
              <w:rPr>
                <w:sz w:val="20"/>
                <w:szCs w:val="20"/>
              </w:rPr>
              <w:t xml:space="preserve">-1.0644</w:t>
            </w:r>
          </w:p>
        </w:tc>
        <w:tc>
          <w:tcPr>
            <w:tcW w:w="0" w:type="auto"/>
          </w:tcPr>
          <w:p>
            <w:pPr>
              <w:spacing w:line="240" w:lineRule="auto" w:before="0" w:after="0"/>
              <w:pStyle w:val="Compact"/>
            </w:pPr>
            <w:r>
              <w:rPr>
                <w:sz w:val="20"/>
                <w:szCs w:val="20"/>
              </w:rPr>
              <w:t xml:space="preserve">0.2872</w:t>
            </w:r>
          </w:p>
        </w:tc>
        <w:tc>
          <w:tcPr>
            <w:tcW w:w="0" w:type="auto"/>
          </w:tcPr>
          <w:p>
            <w:pPr>
              <w:spacing w:line="240" w:lineRule="auto" w:before="0" w:after="0"/>
              <w:pStyle w:val="Compact"/>
            </w:pPr>
            <w:r>
              <w:rPr>
                <w:sz w:val="20"/>
                <w:szCs w:val="20"/>
              </w:rPr>
              <w:t xml:space="preserve">[-5.4383, 1.6104]</w:t>
            </w:r>
          </w:p>
        </w:tc>
      </w:tr>
      <w:tr>
        <w:tc>
          <w:tcPr>
            <w:tcW w:w="0" w:type="auto"/>
          </w:tcPr>
          <w:p>
            <w:pPr>
              <w:spacing w:line="240" w:lineRule="auto" w:before="0" w:after="0"/>
              <w:pStyle w:val="Compact"/>
            </w:pPr>
            <w:r>
              <w:rPr>
                <w:sz w:val="20"/>
                <w:szCs w:val="20"/>
              </w:rPr>
              <w:t xml:space="preserve">era_post2015</w:t>
            </w:r>
          </w:p>
        </w:tc>
        <w:tc>
          <w:tcPr>
            <w:tcW w:w="0" w:type="auto"/>
          </w:tcPr>
          <w:p>
            <w:pPr>
              <w:spacing w:line="240" w:lineRule="auto" w:before="0" w:after="0"/>
              <w:pStyle w:val="Compact"/>
            </w:pPr>
            <w:r>
              <w:rPr>
                <w:sz w:val="20"/>
                <w:szCs w:val="20"/>
              </w:rPr>
              <w:t xml:space="preserve">1.0666</w:t>
            </w:r>
          </w:p>
        </w:tc>
        <w:tc>
          <w:tcPr>
            <w:tcW w:w="0" w:type="auto"/>
          </w:tcPr>
          <w:p>
            <w:pPr>
              <w:spacing w:line="240" w:lineRule="auto" w:before="0" w:after="0"/>
              <w:pStyle w:val="Compact"/>
            </w:pPr>
            <w:r>
              <w:rPr>
                <w:sz w:val="20"/>
                <w:szCs w:val="20"/>
              </w:rPr>
              <w:t xml:space="preserve">1.3665</w:t>
            </w:r>
          </w:p>
        </w:tc>
        <w:tc>
          <w:tcPr>
            <w:tcW w:w="0" w:type="auto"/>
          </w:tcPr>
          <w:p>
            <w:pPr>
              <w:spacing w:line="240" w:lineRule="auto" w:before="0" w:after="0"/>
              <w:pStyle w:val="Compact"/>
            </w:pPr>
            <w:r>
              <w:rPr>
                <w:sz w:val="20"/>
                <w:szCs w:val="20"/>
              </w:rPr>
              <w:t xml:space="preserve">0.7805</w:t>
            </w:r>
          </w:p>
        </w:tc>
        <w:tc>
          <w:tcPr>
            <w:tcW w:w="0" w:type="auto"/>
          </w:tcPr>
          <w:p>
            <w:pPr>
              <w:spacing w:line="240" w:lineRule="auto" w:before="0" w:after="0"/>
              <w:pStyle w:val="Compact"/>
            </w:pPr>
            <w:r>
              <w:rPr>
                <w:sz w:val="20"/>
                <w:szCs w:val="20"/>
              </w:rPr>
              <w:t xml:space="preserve">0.4351</w:t>
            </w:r>
          </w:p>
        </w:tc>
        <w:tc>
          <w:tcPr>
            <w:tcW w:w="0" w:type="auto"/>
          </w:tcPr>
          <w:p>
            <w:pPr>
              <w:spacing w:line="240" w:lineRule="auto" w:before="0" w:after="0"/>
              <w:pStyle w:val="Compact"/>
            </w:pPr>
            <w:r>
              <w:rPr>
                <w:sz w:val="20"/>
                <w:szCs w:val="20"/>
              </w:rPr>
              <w:t xml:space="preserve">[-1.6116, 3.7448]</w:t>
            </w:r>
          </w:p>
        </w:tc>
      </w:tr>
      <w:tr>
        <w:tc>
          <w:tcPr>
            <w:tcW w:w="0" w:type="auto"/>
          </w:tcPr>
          <w:p>
            <w:pPr>
              <w:spacing w:line="240" w:lineRule="auto" w:before="0" w:after="0"/>
              <w:pStyle w:val="Compact"/>
            </w:pPr>
            <w:r>
              <w:rPr>
                <w:sz w:val="20"/>
                <w:szCs w:val="20"/>
              </w:rPr>
              <w:t xml:space="preserve">mass_large</w:t>
            </w:r>
          </w:p>
        </w:tc>
        <w:tc>
          <w:tcPr>
            <w:tcW w:w="0" w:type="auto"/>
          </w:tcPr>
          <w:p>
            <w:pPr>
              <w:spacing w:line="240" w:lineRule="auto" w:before="0" w:after="0"/>
              <w:pStyle w:val="Compact"/>
            </w:pPr>
            <w:r>
              <w:rPr>
                <w:sz w:val="20"/>
                <w:szCs w:val="20"/>
              </w:rPr>
              <w:t xml:space="preserve">-0.3499</w:t>
            </w:r>
          </w:p>
        </w:tc>
        <w:tc>
          <w:tcPr>
            <w:tcW w:w="0" w:type="auto"/>
          </w:tcPr>
          <w:p>
            <w:pPr>
              <w:spacing w:line="240" w:lineRule="auto" w:before="0" w:after="0"/>
              <w:pStyle w:val="Compact"/>
            </w:pPr>
            <w:r>
              <w:rPr>
                <w:sz w:val="20"/>
                <w:szCs w:val="20"/>
              </w:rPr>
              <w:t xml:space="preserve">1.7486</w:t>
            </w:r>
          </w:p>
        </w:tc>
        <w:tc>
          <w:tcPr>
            <w:tcW w:w="0" w:type="auto"/>
          </w:tcPr>
          <w:p>
            <w:pPr>
              <w:spacing w:line="240" w:lineRule="auto" w:before="0" w:after="0"/>
              <w:pStyle w:val="Compact"/>
            </w:pPr>
            <w:r>
              <w:rPr>
                <w:sz w:val="20"/>
                <w:szCs w:val="20"/>
              </w:rPr>
              <w:t xml:space="preserve">-0.2001</w:t>
            </w:r>
          </w:p>
        </w:tc>
        <w:tc>
          <w:tcPr>
            <w:tcW w:w="0" w:type="auto"/>
          </w:tcPr>
          <w:p>
            <w:pPr>
              <w:spacing w:line="240" w:lineRule="auto" w:before="0" w:after="0"/>
              <w:pStyle w:val="Compact"/>
            </w:pPr>
            <w:r>
              <w:rPr>
                <w:sz w:val="20"/>
                <w:szCs w:val="20"/>
              </w:rPr>
              <w:t xml:space="preserve">0.8414</w:t>
            </w:r>
          </w:p>
        </w:tc>
        <w:tc>
          <w:tcPr>
            <w:tcW w:w="0" w:type="auto"/>
          </w:tcPr>
          <w:p>
            <w:pPr>
              <w:spacing w:line="240" w:lineRule="auto" w:before="0" w:after="0"/>
              <w:pStyle w:val="Compact"/>
            </w:pPr>
            <w:r>
              <w:rPr>
                <w:sz w:val="20"/>
                <w:szCs w:val="20"/>
              </w:rPr>
              <w:t xml:space="preserve">[-3.7772, 3.0773]</w:t>
            </w:r>
          </w:p>
        </w:tc>
      </w:tr>
    </w:tbl>
    <w:p>
      <w:pPr>
        <w:pStyle w:val="BodyText"/>
      </w:pPr>
      <w:r>
        <w:t xml:space="preserve">Fit: N = 30 pseudo_R2 = 0.5358 LL = -9.6218</w:t>
      </w:r>
    </w:p>
    <w:p>
      <w:pPr>
        <w:pStyle w:val="CaptionedFigure"/>
      </w:pPr>
      <w:r>
        <w:drawing>
          <wp:inline>
            <wp:extent cx="5669280" cy="3657600"/>
            <wp:effectExtent b="0" l="0" r="0" t="0"/>
            <wp:docPr descr="Figure 1. End-of-life disposal compliance by bonded-obligation status across 30 documented payload and rocket-body cohorts in the LEO and GEO protected regions. Cohorts under a binding disposal instrument cluster at compliant outcomes; unbonded cohorts cluster at non-compliance, motivating the logit specification." title="" id="81" name="Picture"/>
            <a:graphic>
              <a:graphicData uri="http://schemas.openxmlformats.org/drawingml/2006/picture">
                <pic:pic>
                  <pic:nvPicPr>
                    <pic:cNvPr descr="D:\Claude_Code\brain\collegium\candidates\dissertations\DEBRIS_10\research_papers\p1\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End-of-life disposal compliance by bonded-obligation status across 30 documented payload and rocket-body cohorts in the LEO and GEO protected regions. Cohorts under a binding disposal instrument cluster at compliant outcomes; unbonded cohorts cluster at non-compliance, motivating the logit specification.</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879"/>
        <w:gridCol w:w="879"/>
        <w:gridCol w:w="879"/>
        <w:gridCol w:w="879"/>
        <w:gridCol w:w="879"/>
        <w:gridCol w:w="879"/>
        <w:gridCol w:w="879"/>
        <w:gridCol w:w="879"/>
        <w:gridCol w:w="879"/>
      </w:tblGrid>
      <w:tr>
        <w:trPr>
          <w:tblHeader w:val="on"/>
        </w:trPr>
        <w:tc>
          <w:tcPr>
            <w:tcW w:w="0" w:type="auto"/>
          </w:tcPr>
          <w:p>
            <w:pPr>
              <w:spacing w:line="240" w:lineRule="auto" w:before="0" w:after="0"/>
              <w:pStyle w:val="Compact"/>
            </w:pPr>
            <w:r>
              <w:rPr>
                <w:sz w:val="20"/>
                <w:szCs w:val="20"/>
              </w:rPr>
              <w:t xml:space="preserve">cohort_id</w:t>
            </w:r>
          </w:p>
        </w:tc>
        <w:tc>
          <w:tcPr>
            <w:tcW w:w="0" w:type="auto"/>
          </w:tcPr>
          <w:p>
            <w:pPr>
              <w:spacing w:line="240" w:lineRule="auto" w:before="0" w:after="0"/>
              <w:pStyle w:val="Compact"/>
            </w:pPr>
            <w:r>
              <w:rPr>
                <w:sz w:val="20"/>
                <w:szCs w:val="20"/>
              </w:rPr>
              <w:t xml:space="preserve">regime_geo</w:t>
            </w:r>
          </w:p>
        </w:tc>
        <w:tc>
          <w:tcPr>
            <w:tcW w:w="0" w:type="auto"/>
          </w:tcPr>
          <w:p>
            <w:pPr>
              <w:spacing w:line="240" w:lineRule="auto" w:before="0" w:after="0"/>
              <w:pStyle w:val="Compact"/>
            </w:pPr>
            <w:r>
              <w:rPr>
                <w:sz w:val="20"/>
                <w:szCs w:val="20"/>
              </w:rPr>
              <w:t xml:space="preserve">mass_large</w:t>
            </w:r>
          </w:p>
        </w:tc>
        <w:tc>
          <w:tcPr>
            <w:tcW w:w="0" w:type="auto"/>
          </w:tcPr>
          <w:p>
            <w:pPr>
              <w:spacing w:line="240" w:lineRule="auto" w:before="0" w:after="0"/>
              <w:pStyle w:val="Compact"/>
            </w:pPr>
            <w:r>
              <w:rPr>
                <w:sz w:val="20"/>
                <w:szCs w:val="20"/>
              </w:rPr>
              <w:t xml:space="preserve">active_propulsion</w:t>
            </w:r>
          </w:p>
        </w:tc>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era_post2015</w:t>
            </w:r>
          </w:p>
        </w:tc>
        <w:tc>
          <w:tcPr>
            <w:tcW w:w="0" w:type="auto"/>
          </w:tcPr>
          <w:p>
            <w:pPr>
              <w:spacing w:line="240" w:lineRule="auto" w:before="0" w:after="0"/>
              <w:pStyle w:val="Compact"/>
            </w:pPr>
            <w:r>
              <w:rPr>
                <w:sz w:val="20"/>
                <w:szCs w:val="20"/>
              </w:rPr>
              <w:t xml:space="preserve">bonded_operator</w:t>
            </w:r>
          </w:p>
        </w:tc>
        <w:tc>
          <w:tcPr>
            <w:tcW w:w="0" w:type="auto"/>
          </w:tcPr>
          <w:p>
            <w:pPr>
              <w:spacing w:line="240" w:lineRule="auto" w:before="0" w:after="0"/>
              <w:pStyle w:val="Compact"/>
            </w:pPr>
            <w:r>
              <w:rPr>
                <w:sz w:val="20"/>
                <w:szCs w:val="20"/>
              </w:rPr>
              <w:t xml:space="preserve">compliant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GEO_1997_2004_compliant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Anselmo &amp; Pardini, SDC4-paper71 (ESA 4th Eur. Conf. Space Debris): of 117 GEO spacecraft reaching EOL 1997-2004, 39 reorbited in IADC compliance</w:t>
            </w:r>
          </w:p>
        </w:tc>
      </w:tr>
      <w:tr>
        <w:tc>
          <w:tcPr>
            <w:tcW w:w="0" w:type="auto"/>
          </w:tcPr>
          <w:p>
            <w:pPr>
              <w:spacing w:line="240" w:lineRule="auto" w:before="0" w:after="0"/>
              <w:pStyle w:val="Compact"/>
            </w:pPr>
            <w:r>
              <w:rPr>
                <w:sz w:val="20"/>
                <w:szCs w:val="20"/>
              </w:rPr>
              <w:t xml:space="preserve">GEO_1997_2004_too_low</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Anselmo &amp; Pardini, SDC4-paper71: 41 of 117 GEO EOL spacecraft 1997-2004 reorbited below IADC minimum altitude (non-compliant)</w:t>
            </w:r>
          </w:p>
        </w:tc>
      </w:tr>
      <w:tr>
        <w:tc>
          <w:tcPr>
            <w:tcW w:w="0" w:type="auto"/>
          </w:tcPr>
          <w:p>
            <w:pPr>
              <w:spacing w:line="240" w:lineRule="auto" w:before="0" w:after="0"/>
              <w:pStyle w:val="Compact"/>
            </w:pPr>
            <w:r>
              <w:rPr>
                <w:sz w:val="20"/>
                <w:szCs w:val="20"/>
              </w:rPr>
              <w:t xml:space="preserve">GEO_1997_2004_abandoned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Anselmo &amp; Pardini, SDC4-paper71: 37 of 117 GEO EOL spacecraft 1997-2004 abandoned with no disposal manoeuvre</w:t>
            </w:r>
          </w:p>
        </w:tc>
      </w:tr>
      <w:tr>
        <w:tc>
          <w:tcPr>
            <w:tcW w:w="0" w:type="auto"/>
          </w:tcPr>
          <w:p>
            <w:pPr>
              <w:spacing w:line="240" w:lineRule="auto" w:before="0" w:after="0"/>
              <w:pStyle w:val="Compact"/>
            </w:pPr>
            <w:r>
              <w:rPr>
                <w:sz w:val="20"/>
                <w:szCs w:val="20"/>
              </w:rPr>
              <w:t xml:space="preserve">GEO_2004_below_iadc</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Anselmo &amp; Pardini, SDC4-paper71 Table 1: 5 satellites reorbited in 2004 below IADC recommended altitude</w:t>
            </w:r>
          </w:p>
        </w:tc>
      </w:tr>
      <w:tr>
        <w:tc>
          <w:tcPr>
            <w:tcW w:w="0" w:type="auto"/>
          </w:tcPr>
          <w:p>
            <w:pPr>
              <w:spacing w:line="240" w:lineRule="auto" w:before="0" w:after="0"/>
              <w:pStyle w:val="Compact"/>
            </w:pPr>
            <w:r>
              <w:rPr>
                <w:sz w:val="20"/>
                <w:szCs w:val="20"/>
              </w:rPr>
              <w:t xml:space="preserve">GEO_recent_compliant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2024 (sdo.esoc.esa.int): 70-90% of GEO EOL payloads attempting disposal succeed; compliance trend asymptotically increasing</w:t>
            </w:r>
          </w:p>
        </w:tc>
      </w:tr>
      <w:tr>
        <w:tc>
          <w:tcPr>
            <w:tcW w:w="0" w:type="auto"/>
          </w:tcPr>
          <w:p>
            <w:pPr>
              <w:spacing w:line="240" w:lineRule="auto" w:before="0" w:after="0"/>
              <w:pStyle w:val="Compact"/>
            </w:pPr>
            <w:r>
              <w:rPr>
                <w:sz w:val="20"/>
                <w:szCs w:val="20"/>
              </w:rPr>
              <w:t xml:space="preserve">GEO_recent_attempt_fail</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2024: 85-100% of GEO EOL payloads attempt disposal but 10-30% of attempts fail even among committed operators (notable exceptions 2015, 2022)</w:t>
            </w:r>
          </w:p>
        </w:tc>
      </w:tr>
      <w:tr>
        <w:tc>
          <w:tcPr>
            <w:tcW w:w="0" w:type="auto"/>
          </w:tcPr>
          <w:p>
            <w:pPr>
              <w:spacing w:line="240" w:lineRule="auto" w:before="0" w:after="0"/>
              <w:pStyle w:val="Compact"/>
            </w:pPr>
            <w:r>
              <w:rPr>
                <w:sz w:val="20"/>
                <w:szCs w:val="20"/>
              </w:rPr>
              <w:t xml:space="preserve">LEO_payload_small_natural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2024 Sec 6.1.2.2: 86-99% of &lt;1000 kg LEO payloads reaching EOL since 2020 naturally adhere to 25-year rule by natural decay (no maneuver, no binding instrument)</w:t>
            </w:r>
          </w:p>
        </w:tc>
      </w:tr>
      <w:tr>
        <w:tc>
          <w:tcPr>
            <w:tcW w:w="0" w:type="auto"/>
          </w:tcPr>
          <w:p>
            <w:pPr>
              <w:spacing w:line="240" w:lineRule="auto" w:before="0" w:after="0"/>
              <w:pStyle w:val="Compact"/>
            </w:pPr>
            <w:r>
              <w:rPr>
                <w:sz w:val="20"/>
                <w:szCs w:val="20"/>
              </w:rPr>
              <w:t xml:space="preserve">LEO_payload_large_noncomp</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2024: only 57% of large LEO payloads set to remove within 25 years; large-payload adherence much lower</w:t>
            </w:r>
          </w:p>
        </w:tc>
      </w:tr>
      <w:tr>
        <w:tc>
          <w:tcPr>
            <w:tcW w:w="0" w:type="auto"/>
          </w:tcPr>
          <w:p>
            <w:pPr>
              <w:spacing w:line="240" w:lineRule="auto" w:before="0" w:after="0"/>
              <w:pStyle w:val="Compact"/>
            </w:pPr>
            <w:r>
              <w:rPr>
                <w:sz w:val="20"/>
                <w:szCs w:val="20"/>
              </w:rPr>
              <w:t xml:space="preserve">LEO_payload_large_compliant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2024: 57% of large LEO payloads compliant; active-propulsion large platforms achieve disposal</w:t>
            </w:r>
          </w:p>
        </w:tc>
      </w:tr>
      <w:tr>
        <w:tc>
          <w:tcPr>
            <w:tcW w:w="0" w:type="auto"/>
          </w:tcPr>
          <w:p>
            <w:pPr>
              <w:spacing w:line="240" w:lineRule="auto" w:before="0" w:after="0"/>
              <w:pStyle w:val="Compact"/>
            </w:pPr>
            <w:r>
              <w:rPr>
                <w:sz w:val="20"/>
                <w:szCs w:val="20"/>
              </w:rPr>
              <w:t xml:space="preserve">LEO_payload_attempt_success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2024 Fig 6.6: of non-compliant LEO payloads attempting 25-yr compliance, 5-85% succeed with rising trend</w:t>
            </w:r>
          </w:p>
        </w:tc>
      </w:tr>
      <w:tr>
        <w:tc>
          <w:tcPr>
            <w:tcW w:w="0" w:type="auto"/>
          </w:tcPr>
          <w:p>
            <w:pPr>
              <w:spacing w:line="240" w:lineRule="auto" w:before="0" w:after="0"/>
              <w:pStyle w:val="Compact"/>
            </w:pPr>
            <w:r>
              <w:rPr>
                <w:sz w:val="20"/>
                <w:szCs w:val="20"/>
              </w:rPr>
              <w:t xml:space="preserve">LEO_payload_attempt_fail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2024: 20-85% of non-compliant LEO payloads attempt 25-yr compliance; substantial fraction unsuccessful (lower bound 5%)</w:t>
            </w:r>
          </w:p>
        </w:tc>
      </w:tr>
      <w:tr>
        <w:tc>
          <w:tcPr>
            <w:tcW w:w="0" w:type="auto"/>
          </w:tcPr>
          <w:p>
            <w:pPr>
              <w:spacing w:line="240" w:lineRule="auto" w:before="0" w:after="0"/>
              <w:pStyle w:val="Compact"/>
            </w:pPr>
            <w:r>
              <w:rPr>
                <w:sz w:val="20"/>
                <w:szCs w:val="20"/>
              </w:rPr>
              <w:t xml:space="preserve">LEO_payload_5yr_success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2024 Fig 6.28: 5-65% of LEO payloads successfully comply with stricter 5-year threshold over last decade</w:t>
            </w:r>
          </w:p>
        </w:tc>
      </w:tr>
      <w:tr>
        <w:tc>
          <w:tcPr>
            <w:tcW w:w="0" w:type="auto"/>
          </w:tcPr>
          <w:p>
            <w:pPr>
              <w:spacing w:line="240" w:lineRule="auto" w:before="0" w:after="0"/>
              <w:pStyle w:val="Compact"/>
            </w:pPr>
            <w:r>
              <w:rPr>
                <w:sz w:val="20"/>
                <w:szCs w:val="20"/>
              </w:rPr>
              <w:t xml:space="preserve">LEO_payload_5yr_fail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2024 Fig 6.28: under the stricter 5-year threshold only 5-65% of LEO payloads comply; many maneuverable platforms under the new standard still fail early in the decade</w:t>
            </w:r>
          </w:p>
        </w:tc>
      </w:tr>
      <w:tr>
        <w:tc>
          <w:tcPr>
            <w:tcW w:w="0" w:type="auto"/>
          </w:tcPr>
          <w:p>
            <w:pPr>
              <w:spacing w:line="240" w:lineRule="auto" w:before="0" w:after="0"/>
              <w:pStyle w:val="Compact"/>
            </w:pPr>
            <w:r>
              <w:rPr>
                <w:sz w:val="20"/>
                <w:szCs w:val="20"/>
              </w:rPr>
              <w:t xml:space="preserve">LEO_rb_controlled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2024 Fig 6: controlled rocket-body re-entries rose from 10% to over 65% of disposals over the last decade; &gt;50% controlled in 2023</w:t>
            </w:r>
          </w:p>
        </w:tc>
      </w:tr>
      <w:tr>
        <w:tc>
          <w:tcPr>
            <w:tcW w:w="0" w:type="auto"/>
          </w:tcPr>
          <w:p>
            <w:pPr>
              <w:spacing w:line="240" w:lineRule="auto" w:before="0" w:after="0"/>
              <w:pStyle w:val="Compact"/>
            </w:pPr>
            <w:r>
              <w:rPr>
                <w:sz w:val="20"/>
                <w:szCs w:val="20"/>
              </w:rPr>
              <w:t xml:space="preserve">LEO_rb_attempt_success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2024: 45-90% of non-compliant LEO rocket bodies attempting 25-yr compliance succeed, trend linearly increasing</w:t>
            </w:r>
          </w:p>
        </w:tc>
      </w:tr>
      <w:tr>
        <w:tc>
          <w:tcPr>
            <w:tcW w:w="0" w:type="auto"/>
          </w:tcPr>
          <w:p>
            <w:pPr>
              <w:spacing w:line="240" w:lineRule="auto" w:before="0" w:after="0"/>
              <w:pStyle w:val="Compact"/>
            </w:pPr>
            <w:r>
              <w:rPr>
                <w:sz w:val="20"/>
                <w:szCs w:val="20"/>
              </w:rPr>
              <w:t xml:space="preserve">LEO_rb_attempt_fail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2024: 50-95% of LEO rocket bodies attempt compliance; 10-55% of attempts fail (lower bound 45% success)</w:t>
            </w:r>
          </w:p>
        </w:tc>
      </w:tr>
      <w:tr>
        <w:tc>
          <w:tcPr>
            <w:tcW w:w="0" w:type="auto"/>
          </w:tcPr>
          <w:p>
            <w:pPr>
              <w:spacing w:line="240" w:lineRule="auto" w:before="0" w:after="0"/>
              <w:pStyle w:val="Compact"/>
            </w:pPr>
            <w:r>
              <w:rPr>
                <w:sz w:val="20"/>
                <w:szCs w:val="20"/>
              </w:rPr>
              <w:t xml:space="preserve">LEO_rb_5yr_success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2024: 30-80% of LEO rocket bodies successfully comply with 5-year threshold over last decade</w:t>
            </w:r>
          </w:p>
        </w:tc>
      </w:tr>
      <w:tr>
        <w:tc>
          <w:tcPr>
            <w:tcW w:w="0" w:type="auto"/>
          </w:tcPr>
          <w:p>
            <w:pPr>
              <w:spacing w:line="240" w:lineRule="auto" w:before="0" w:after="0"/>
              <w:pStyle w:val="Compact"/>
            </w:pPr>
            <w:r>
              <w:rPr>
                <w:sz w:val="20"/>
                <w:szCs w:val="20"/>
              </w:rPr>
              <w:t xml:space="preserve">LEO_rb_5yr_fail_early</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2024: under 5-year threshold early-decade rocket bodies largely non-compliant (lower bound 30% success)</w:t>
            </w:r>
          </w:p>
        </w:tc>
      </w:tr>
      <w:tr>
        <w:tc>
          <w:tcPr>
            <w:tcW w:w="0" w:type="auto"/>
          </w:tcPr>
          <w:p>
            <w:pPr>
              <w:spacing w:line="240" w:lineRule="auto" w:before="0" w:after="0"/>
              <w:pStyle w:val="Compact"/>
            </w:pPr>
            <w:r>
              <w:rPr>
                <w:sz w:val="20"/>
                <w:szCs w:val="20"/>
              </w:rPr>
              <w:t xml:space="preserve">GEO_2015_exception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2024: notable GEO disposal compliance exception (dip) in 2015 against otherwise rising trend</w:t>
            </w:r>
          </w:p>
        </w:tc>
      </w:tr>
      <w:tr>
        <w:tc>
          <w:tcPr>
            <w:tcW w:w="0" w:type="auto"/>
          </w:tcPr>
          <w:p>
            <w:pPr>
              <w:spacing w:line="240" w:lineRule="auto" w:before="0" w:after="0"/>
              <w:pStyle w:val="Compact"/>
            </w:pPr>
            <w:r>
              <w:rPr>
                <w:sz w:val="20"/>
                <w:szCs w:val="20"/>
              </w:rPr>
              <w:t xml:space="preserve">GEO_2022_exception</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2024: notable GEO disposal compliance exception (dip) in 2022 against otherwise rising trend</w:t>
            </w:r>
          </w:p>
        </w:tc>
      </w:tr>
      <w:tr>
        <w:tc>
          <w:tcPr>
            <w:tcW w:w="0" w:type="auto"/>
          </w:tcPr>
          <w:p>
            <w:pPr>
              <w:spacing w:line="240" w:lineRule="auto" w:before="0" w:after="0"/>
              <w:pStyle w:val="Compact"/>
            </w:pPr>
            <w:r>
              <w:rPr>
                <w:sz w:val="20"/>
                <w:szCs w:val="20"/>
              </w:rPr>
              <w:t xml:space="preserve">LEO_constellation_retired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2024: rise in LEO PMD success rates linked to deployment and retirement of large constellations using low-lifetime orbits, achieved without a binding disposal instrument</w:t>
            </w:r>
          </w:p>
        </w:tc>
      </w:tr>
      <w:tr>
        <w:tc>
          <w:tcPr>
            <w:tcW w:w="0" w:type="auto"/>
          </w:tcPr>
          <w:p>
            <w:pPr>
              <w:spacing w:line="240" w:lineRule="auto" w:before="0" w:after="0"/>
              <w:pStyle w:val="Compact"/>
            </w:pPr>
            <w:r>
              <w:rPr>
                <w:sz w:val="20"/>
                <w:szCs w:val="20"/>
              </w:rPr>
              <w:t xml:space="preserve">LEO_payload_pre2015_noattempt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2024 7-class taxonomy: NCWO (Not Compliant WithOut attempt) class dominant for pre-2015 non-maneuverable LEO payloads</w:t>
            </w:r>
          </w:p>
        </w:tc>
      </w:tr>
      <w:tr>
        <w:tc>
          <w:tcPr>
            <w:tcW w:w="0" w:type="auto"/>
          </w:tcPr>
          <w:p>
            <w:pPr>
              <w:spacing w:line="240" w:lineRule="auto" w:before="0" w:after="0"/>
              <w:pStyle w:val="Compact"/>
            </w:pPr>
            <w:r>
              <w:rPr>
                <w:sz w:val="20"/>
                <w:szCs w:val="20"/>
              </w:rPr>
              <w:t xml:space="preserve">GEO_libration_abandoned</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Anselmo &amp; Pardini, SDC4-paper71: up to 10 GEO objects abandoned in libration orbits around stable points without disposal</w:t>
            </w:r>
          </w:p>
        </w:tc>
      </w:tr>
      <w:tr>
        <w:tc>
          <w:tcPr>
            <w:tcW w:w="0" w:type="auto"/>
          </w:tcPr>
          <w:p>
            <w:pPr>
              <w:spacing w:line="240" w:lineRule="auto" w:before="0" w:after="0"/>
              <w:pStyle w:val="Compact"/>
            </w:pPr>
            <w:r>
              <w:rPr>
                <w:sz w:val="20"/>
                <w:szCs w:val="20"/>
              </w:rPr>
              <w:t xml:space="preserve">LEO_italian_compliant</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Pardini &amp; Anselmo 2015, Acta Astronautica (S0094576515001800): compliance of Italian LEO satellites with EOL disposal guidelines, ranked by long-term criticality</w:t>
            </w:r>
          </w:p>
        </w:tc>
      </w:tr>
      <w:tr>
        <w:tc>
          <w:tcPr>
            <w:tcW w:w="0" w:type="auto"/>
          </w:tcPr>
          <w:p>
            <w:pPr>
              <w:spacing w:line="240" w:lineRule="auto" w:before="0" w:after="0"/>
              <w:pStyle w:val="Compact"/>
            </w:pPr>
            <w:r>
              <w:rPr>
                <w:sz w:val="20"/>
                <w:szCs w:val="20"/>
              </w:rPr>
              <w:t xml:space="preserve">LEO_payload_small_recent_success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2024: 90% common target for successful PMD; small maneuverable LEO payloads approach this in recent years</w:t>
            </w:r>
          </w:p>
        </w:tc>
      </w:tr>
      <w:tr>
        <w:tc>
          <w:tcPr>
            <w:tcW w:w="0" w:type="auto"/>
          </w:tcPr>
          <w:p>
            <w:pPr>
              <w:spacing w:line="240" w:lineRule="auto" w:before="0" w:after="0"/>
              <w:pStyle w:val="Compact"/>
            </w:pPr>
            <w:r>
              <w:rPr>
                <w:sz w:val="20"/>
                <w:szCs w:val="20"/>
              </w:rPr>
              <w:t xml:space="preserve">GEO_graveyard_40pct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2018 (esa.int End-of-life disposal of satellites): only about 40% of EOL GEO satellites successfully re-orbited to graveyard, majority non-compliant historically</w:t>
            </w:r>
          </w:p>
        </w:tc>
      </w:tr>
      <w:tr>
        <w:tc>
          <w:tcPr>
            <w:tcW w:w="0" w:type="auto"/>
          </w:tcPr>
          <w:p>
            <w:pPr>
              <w:spacing w:line="240" w:lineRule="auto" w:before="0" w:after="0"/>
              <w:pStyle w:val="Compact"/>
            </w:pPr>
            <w:r>
              <w:rPr>
                <w:sz w:val="20"/>
                <w:szCs w:val="20"/>
              </w:rPr>
              <w:t xml:space="preserve">LEO_rb_pre2010_uncontrolled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2024: pre-2010 rocket bodies predominantly uncontrolled re-entries (controlled fraction only 10% at start of decade)</w:t>
            </w:r>
          </w:p>
        </w:tc>
      </w:tr>
      <w:tr>
        <w:tc>
          <w:tcPr>
            <w:tcW w:w="0" w:type="auto"/>
          </w:tcPr>
          <w:p>
            <w:pPr>
              <w:spacing w:line="240" w:lineRule="auto" w:before="0" w:after="0"/>
              <w:pStyle w:val="Compact"/>
            </w:pPr>
            <w:r>
              <w:rPr>
                <w:sz w:val="20"/>
                <w:szCs w:val="20"/>
              </w:rPr>
              <w:t xml:space="preserve">LEO_payload_large_recent_bonded</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2024 + Zero Debris Approach: large LEO platforms under stricter 5-year ESA standard (2023) achieve disposal [illustrative cohort assignment]</w:t>
            </w:r>
          </w:p>
        </w:tc>
      </w:tr>
      <w:tr>
        <w:tc>
          <w:tcPr>
            <w:tcW w:w="0" w:type="auto"/>
          </w:tcPr>
          <w:p>
            <w:pPr>
              <w:spacing w:line="240" w:lineRule="auto" w:before="0" w:after="0"/>
              <w:pStyle w:val="Compact"/>
            </w:pPr>
            <w:r>
              <w:rPr>
                <w:sz w:val="20"/>
                <w:szCs w:val="20"/>
              </w:rPr>
              <w:t xml:space="preserve">GEO_recent_bonded_success</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Space Environment Report 2024: upper-bound 90% GEO disposal success among operators with disposal commitments in recent years</w:t>
            </w:r>
          </w:p>
        </w:tc>
      </w:tr>
      <w:tr>
        <w:tc>
          <w:tcPr>
            <w:tcW w:w="0" w:type="auto"/>
          </w:tcPr>
          <w:p>
            <w:pPr>
              <w:spacing w:line="240" w:lineRule="auto" w:before="0" w:after="0"/>
              <w:pStyle w:val="Compact"/>
            </w:pPr>
            <w:r>
              <w:rPr>
                <w:sz w:val="20"/>
                <w:szCs w:val="20"/>
              </w:rPr>
              <w:t xml:space="preserve">LEO_smallsat_nomaneuver_fail</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 Space Environment Report 2024: non-maneuverable small payloads injected into long-lifetime orbits remain non-compliant (NCWO class)</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compliant</w:t>
            </w:r>
          </w:p>
        </w:tc>
        <w:tc>
          <w:tcPr>
            <w:tcW w:w="0" w:type="auto"/>
          </w:tcPr>
          <w:p>
            <w:pPr>
              <w:spacing w:line="240" w:lineRule="auto" w:before="0" w:after="0"/>
              <w:pStyle w:val="Compact"/>
            </w:pPr>
            <w:r>
              <w:rPr>
                <w:sz w:val="20"/>
                <w:szCs w:val="20"/>
              </w:rPr>
              <w:t xml:space="preserve">1 if the object achieved an IADC-compliant end-of-life disposal (graveyard re-orbit in GEO or clearance within the 25/5-year LEO lifetime limit, including successful controlled re-entry); 0 otherwise</w:t>
            </w:r>
          </w:p>
        </w:tc>
        <w:tc>
          <w:tcPr>
            <w:tcW w:w="0" w:type="auto"/>
          </w:tcPr>
          <w:p>
            <w:pPr>
              <w:spacing w:line="240" w:lineRule="auto" w:before="0" w:after="0"/>
              <w:pStyle w:val="Compact"/>
            </w:pPr>
            <w:r>
              <w:rPr>
                <w:sz w:val="20"/>
                <w:szCs w:val="20"/>
              </w:rPr>
              <w:t xml:space="preserve">ESA Space Environment Report 2024; Anselmo &amp; Pardini SDC4-paper71</w:t>
            </w:r>
          </w:p>
        </w:tc>
      </w:tr>
      <w:tr>
        <w:tc>
          <w:tcPr>
            <w:tcW w:w="0" w:type="auto"/>
          </w:tcPr>
          <w:p>
            <w:pPr>
              <w:spacing w:line="240" w:lineRule="auto" w:before="0" w:after="0"/>
              <w:pStyle w:val="Compact"/>
            </w:pPr>
            <w:r>
              <w:rPr>
                <w:sz w:val="20"/>
                <w:szCs w:val="20"/>
              </w:rPr>
              <w:t xml:space="preserve">bonded_operator</w:t>
            </w:r>
          </w:p>
        </w:tc>
        <w:tc>
          <w:tcPr>
            <w:tcW w:w="0" w:type="auto"/>
          </w:tcPr>
          <w:p>
            <w:pPr>
              <w:spacing w:line="240" w:lineRule="auto" w:before="0" w:after="0"/>
              <w:pStyle w:val="Compact"/>
            </w:pPr>
            <w:r>
              <w:rPr>
                <w:sz w:val="20"/>
                <w:szCs w:val="20"/>
              </w:rPr>
              <w:t xml:space="preserve">1 if the disposal obligation is backed by a binding instrument or commitment proxy (operator under ESA Zero Debris / 5-year standard, or a disposal-committed cohort); 0 otherwise</w:t>
            </w:r>
          </w:p>
        </w:tc>
        <w:tc>
          <w:tcPr>
            <w:tcW w:w="0" w:type="auto"/>
          </w:tcPr>
          <w:p>
            <w:pPr>
              <w:spacing w:line="240" w:lineRule="auto" w:before="0" w:after="0"/>
              <w:pStyle w:val="Compact"/>
            </w:pPr>
            <w:r>
              <w:rPr>
                <w:sz w:val="20"/>
                <w:szCs w:val="20"/>
              </w:rPr>
              <w:t xml:space="preserve">ESA Space Environment Report 2024 (Zero Debris Approach, 2023 Standard)</w:t>
            </w:r>
          </w:p>
        </w:tc>
      </w:tr>
      <w:tr>
        <w:tc>
          <w:tcPr>
            <w:tcW w:w="0" w:type="auto"/>
          </w:tcPr>
          <w:p>
            <w:pPr>
              <w:spacing w:line="240" w:lineRule="auto" w:before="0" w:after="0"/>
              <w:pStyle w:val="Compact"/>
            </w:pPr>
            <w:r>
              <w:rPr>
                <w:sz w:val="20"/>
                <w:szCs w:val="20"/>
              </w:rPr>
              <w:t xml:space="preserve">active_propulsion</w:t>
            </w:r>
          </w:p>
        </w:tc>
        <w:tc>
          <w:tcPr>
            <w:tcW w:w="0" w:type="auto"/>
          </w:tcPr>
          <w:p>
            <w:pPr>
              <w:spacing w:line="240" w:lineRule="auto" w:before="0" w:after="0"/>
              <w:pStyle w:val="Compact"/>
            </w:pPr>
            <w:r>
              <w:rPr>
                <w:sz w:val="20"/>
                <w:szCs w:val="20"/>
              </w:rPr>
              <w:t xml:space="preserve">1 if the object had active maneuver/propulsion capability available for disposal; 0 if disposal relied on natural decay or none</w:t>
            </w:r>
          </w:p>
        </w:tc>
        <w:tc>
          <w:tcPr>
            <w:tcW w:w="0" w:type="auto"/>
          </w:tcPr>
          <w:p>
            <w:pPr>
              <w:spacing w:line="240" w:lineRule="auto" w:before="0" w:after="0"/>
              <w:pStyle w:val="Compact"/>
            </w:pPr>
            <w:r>
              <w:rPr>
                <w:sz w:val="20"/>
                <w:szCs w:val="20"/>
              </w:rPr>
              <w:t xml:space="preserve">ESA Space Environment Report 2024 (constellation maneuver capability); Anselmo &amp; Pardini SDC4-paper71</w:t>
            </w:r>
          </w:p>
        </w:tc>
      </w:tr>
      <w:tr>
        <w:tc>
          <w:tcPr>
            <w:tcW w:w="0" w:type="auto"/>
          </w:tcPr>
          <w:p>
            <w:pPr>
              <w:spacing w:line="240" w:lineRule="auto" w:before="0" w:after="0"/>
              <w:pStyle w:val="Compact"/>
            </w:pPr>
            <w:r>
              <w:rPr>
                <w:sz w:val="20"/>
                <w:szCs w:val="20"/>
              </w:rPr>
              <w:t xml:space="preserve">regime_geo</w:t>
            </w:r>
          </w:p>
        </w:tc>
        <w:tc>
          <w:tcPr>
            <w:tcW w:w="0" w:type="auto"/>
          </w:tcPr>
          <w:p>
            <w:pPr>
              <w:spacing w:line="240" w:lineRule="auto" w:before="0" w:after="0"/>
              <w:pStyle w:val="Compact"/>
            </w:pPr>
            <w:r>
              <w:rPr>
                <w:sz w:val="20"/>
                <w:szCs w:val="20"/>
              </w:rPr>
              <w:t xml:space="preserve">1 if the object reached end-of-life in the GEO protected region; 0 if in the LEO protected region</w:t>
            </w:r>
          </w:p>
        </w:tc>
        <w:tc>
          <w:tcPr>
            <w:tcW w:w="0" w:type="auto"/>
          </w:tcPr>
          <w:p>
            <w:pPr>
              <w:spacing w:line="240" w:lineRule="auto" w:before="0" w:after="0"/>
              <w:pStyle w:val="Compact"/>
            </w:pPr>
            <w:r>
              <w:rPr>
                <w:sz w:val="20"/>
                <w:szCs w:val="20"/>
              </w:rPr>
              <w:t xml:space="preserve">ESA Space Environment Report 2024 (LEO_IADC vs GEO_IADC regimes)</w:t>
            </w:r>
          </w:p>
        </w:tc>
      </w:tr>
      <w:tr>
        <w:tc>
          <w:tcPr>
            <w:tcW w:w="0" w:type="auto"/>
          </w:tcPr>
          <w:p>
            <w:pPr>
              <w:spacing w:line="240" w:lineRule="auto" w:before="0" w:after="0"/>
              <w:pStyle w:val="Compact"/>
            </w:pPr>
            <w:r>
              <w:rPr>
                <w:sz w:val="20"/>
                <w:szCs w:val="20"/>
              </w:rPr>
              <w:t xml:space="preserve">era_post2015</w:t>
            </w:r>
          </w:p>
        </w:tc>
        <w:tc>
          <w:tcPr>
            <w:tcW w:w="0" w:type="auto"/>
          </w:tcPr>
          <w:p>
            <w:pPr>
              <w:spacing w:line="240" w:lineRule="auto" w:before="0" w:after="0"/>
              <w:pStyle w:val="Compact"/>
            </w:pPr>
            <w:r>
              <w:rPr>
                <w:sz w:val="20"/>
                <w:szCs w:val="20"/>
              </w:rPr>
              <w:t xml:space="preserve">1 if the disposal event occurred in the post-2015 era of strengthened mitigation policy; 0 if in the earlier era</w:t>
            </w:r>
          </w:p>
        </w:tc>
        <w:tc>
          <w:tcPr>
            <w:tcW w:w="0" w:type="auto"/>
          </w:tcPr>
          <w:p>
            <w:pPr>
              <w:spacing w:line="240" w:lineRule="auto" w:before="0" w:after="0"/>
              <w:pStyle w:val="Compact"/>
            </w:pPr>
            <w:r>
              <w:rPr>
                <w:sz w:val="20"/>
                <w:szCs w:val="20"/>
              </w:rPr>
              <w:t xml:space="preserve">ESA Space Environment Report 2024 (policy shifts of the early 2020s)</w:t>
            </w:r>
          </w:p>
        </w:tc>
      </w:tr>
      <w:tr>
        <w:tc>
          <w:tcPr>
            <w:tcW w:w="0" w:type="auto"/>
          </w:tcPr>
          <w:p>
            <w:pPr>
              <w:spacing w:line="240" w:lineRule="auto" w:before="0" w:after="0"/>
              <w:pStyle w:val="Compact"/>
            </w:pPr>
            <w:r>
              <w:rPr>
                <w:sz w:val="20"/>
                <w:szCs w:val="20"/>
              </w:rPr>
              <w:t xml:space="preserve">mass_large</w:t>
            </w:r>
          </w:p>
        </w:tc>
        <w:tc>
          <w:tcPr>
            <w:tcW w:w="0" w:type="auto"/>
          </w:tcPr>
          <w:p>
            <w:pPr>
              <w:spacing w:line="240" w:lineRule="auto" w:before="0" w:after="0"/>
              <w:pStyle w:val="Compact"/>
            </w:pPr>
            <w:r>
              <w:rPr>
                <w:sz w:val="20"/>
                <w:szCs w:val="20"/>
              </w:rPr>
              <w:t xml:space="preserve">1 if the payload/object is large (mass &gt;= 1000 kg); 0 if small (&lt;1000 kg)</w:t>
            </w:r>
          </w:p>
        </w:tc>
        <w:tc>
          <w:tcPr>
            <w:tcW w:w="0" w:type="auto"/>
          </w:tcPr>
          <w:p>
            <w:pPr>
              <w:spacing w:line="240" w:lineRule="auto" w:before="0" w:after="0"/>
              <w:pStyle w:val="Compact"/>
            </w:pPr>
            <w:r>
              <w:rPr>
                <w:sz w:val="20"/>
                <w:szCs w:val="20"/>
              </w:rPr>
              <w:t xml:space="preserve">ESA Space Environment Report 2024 Sec 6.1.2.2 (mass-class adherence)</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-2.1989</w:t>
            </w:r>
          </w:p>
        </w:tc>
        <w:tc>
          <w:tcPr>
            <w:tcW w:w="0" w:type="auto"/>
          </w:tcPr>
          <w:p>
            <w:pPr>
              <w:spacing w:line="240" w:lineRule="auto" w:before="0" w:after="0"/>
              <w:pStyle w:val="Compact"/>
            </w:pPr>
            <w:r>
              <w:rPr>
                <w:sz w:val="20"/>
                <w:szCs w:val="20"/>
              </w:rPr>
              <w:t xml:space="preserve">1.4247</w:t>
            </w:r>
          </w:p>
        </w:tc>
        <w:tc>
          <w:tcPr>
            <w:tcW w:w="0" w:type="auto"/>
          </w:tcPr>
          <w:p>
            <w:pPr>
              <w:spacing w:line="240" w:lineRule="auto" w:before="0" w:after="0"/>
              <w:pStyle w:val="Compact"/>
            </w:pPr>
            <w:r>
              <w:rPr>
                <w:sz w:val="20"/>
                <w:szCs w:val="20"/>
              </w:rPr>
              <w:t xml:space="preserve">-1.5433</w:t>
            </w:r>
          </w:p>
        </w:tc>
        <w:tc>
          <w:tcPr>
            <w:tcW w:w="0" w:type="auto"/>
          </w:tcPr>
          <w:p>
            <w:pPr>
              <w:spacing w:line="240" w:lineRule="auto" w:before="0" w:after="0"/>
              <w:pStyle w:val="Compact"/>
            </w:pPr>
            <w:r>
              <w:rPr>
                <w:sz w:val="20"/>
                <w:szCs w:val="20"/>
              </w:rPr>
              <w:t xml:space="preserve">0.1227</w:t>
            </w:r>
          </w:p>
        </w:tc>
        <w:tc>
          <w:tcPr>
            <w:tcW w:w="0" w:type="auto"/>
          </w:tcPr>
          <w:p>
            <w:pPr>
              <w:spacing w:line="240" w:lineRule="auto" w:before="0" w:after="0"/>
              <w:pStyle w:val="Compact"/>
            </w:pPr>
            <w:r>
              <w:rPr>
                <w:sz w:val="20"/>
                <w:szCs w:val="20"/>
              </w:rPr>
              <w:t xml:space="preserve">[-4.9913, 0.5936]</w:t>
            </w:r>
          </w:p>
        </w:tc>
      </w:tr>
      <w:tr>
        <w:tc>
          <w:tcPr>
            <w:tcW w:w="0" w:type="auto"/>
          </w:tcPr>
          <w:p>
            <w:pPr>
              <w:spacing w:line="240" w:lineRule="auto" w:before="0" w:after="0"/>
              <w:pStyle w:val="Compact"/>
            </w:pPr>
            <w:r>
              <w:rPr>
                <w:sz w:val="20"/>
                <w:szCs w:val="20"/>
              </w:rPr>
              <w:t xml:space="preserve">bonded_operator</w:t>
            </w:r>
          </w:p>
        </w:tc>
        <w:tc>
          <w:tcPr>
            <w:tcW w:w="0" w:type="auto"/>
          </w:tcPr>
          <w:p>
            <w:pPr>
              <w:spacing w:line="240" w:lineRule="auto" w:before="0" w:after="0"/>
              <w:pStyle w:val="Compact"/>
            </w:pPr>
            <w:r>
              <w:rPr>
                <w:sz w:val="20"/>
                <w:szCs w:val="20"/>
              </w:rPr>
              <w:t xml:space="preserve">2.7687</w:t>
            </w:r>
          </w:p>
        </w:tc>
        <w:tc>
          <w:tcPr>
            <w:tcW w:w="0" w:type="auto"/>
          </w:tcPr>
          <w:p>
            <w:pPr>
              <w:spacing w:line="240" w:lineRule="auto" w:before="0" w:after="0"/>
              <w:pStyle w:val="Compact"/>
            </w:pPr>
            <w:r>
              <w:rPr>
                <w:sz w:val="20"/>
                <w:szCs w:val="20"/>
              </w:rPr>
              <w:t xml:space="preserve">1.5736</w:t>
            </w:r>
          </w:p>
        </w:tc>
        <w:tc>
          <w:tcPr>
            <w:tcW w:w="0" w:type="auto"/>
          </w:tcPr>
          <w:p>
            <w:pPr>
              <w:spacing w:line="240" w:lineRule="auto" w:before="0" w:after="0"/>
              <w:pStyle w:val="Compact"/>
            </w:pPr>
            <w:r>
              <w:rPr>
                <w:sz w:val="20"/>
                <w:szCs w:val="20"/>
              </w:rPr>
              <w:t xml:space="preserve">1.7595</w:t>
            </w:r>
          </w:p>
        </w:tc>
        <w:tc>
          <w:tcPr>
            <w:tcW w:w="0" w:type="auto"/>
          </w:tcPr>
          <w:p>
            <w:pPr>
              <w:spacing w:line="240" w:lineRule="auto" w:before="0" w:after="0"/>
              <w:pStyle w:val="Compact"/>
            </w:pPr>
            <w:r>
              <w:rPr>
                <w:sz w:val="20"/>
                <w:szCs w:val="20"/>
              </w:rPr>
              <w:t xml:space="preserve">0.0785</w:t>
            </w:r>
          </w:p>
        </w:tc>
        <w:tc>
          <w:tcPr>
            <w:tcW w:w="0" w:type="auto"/>
          </w:tcPr>
          <w:p>
            <w:pPr>
              <w:spacing w:line="240" w:lineRule="auto" w:before="0" w:after="0"/>
              <w:pStyle w:val="Compact"/>
            </w:pPr>
            <w:r>
              <w:rPr>
                <w:sz w:val="20"/>
                <w:szCs w:val="20"/>
              </w:rPr>
              <w:t xml:space="preserve">[-0.3155, 5.8529]</w:t>
            </w:r>
          </w:p>
        </w:tc>
      </w:tr>
      <w:tr>
        <w:tc>
          <w:tcPr>
            <w:tcW w:w="0" w:type="auto"/>
          </w:tcPr>
          <w:p>
            <w:pPr>
              <w:spacing w:line="240" w:lineRule="auto" w:before="0" w:after="0"/>
              <w:pStyle w:val="Compact"/>
            </w:pPr>
            <w:r>
              <w:rPr>
                <w:sz w:val="20"/>
                <w:szCs w:val="20"/>
              </w:rPr>
              <w:t xml:space="preserve">active_propulsion</w:t>
            </w:r>
          </w:p>
        </w:tc>
        <w:tc>
          <w:tcPr>
            <w:tcW w:w="0" w:type="auto"/>
          </w:tcPr>
          <w:p>
            <w:pPr>
              <w:spacing w:line="240" w:lineRule="auto" w:before="0" w:after="0"/>
              <w:pStyle w:val="Compact"/>
            </w:pPr>
            <w:r>
              <w:rPr>
                <w:sz w:val="20"/>
                <w:szCs w:val="20"/>
              </w:rPr>
              <w:t xml:space="preserve">1.501</w:t>
            </w:r>
          </w:p>
        </w:tc>
        <w:tc>
          <w:tcPr>
            <w:tcW w:w="0" w:type="auto"/>
          </w:tcPr>
          <w:p>
            <w:pPr>
              <w:spacing w:line="240" w:lineRule="auto" w:before="0" w:after="0"/>
              <w:pStyle w:val="Compact"/>
            </w:pPr>
            <w:r>
              <w:rPr>
                <w:sz w:val="20"/>
                <w:szCs w:val="20"/>
              </w:rPr>
              <w:t xml:space="preserve">1.9647</w:t>
            </w:r>
          </w:p>
        </w:tc>
        <w:tc>
          <w:tcPr>
            <w:tcW w:w="0" w:type="auto"/>
          </w:tcPr>
          <w:p>
            <w:pPr>
              <w:spacing w:line="240" w:lineRule="auto" w:before="0" w:after="0"/>
              <w:pStyle w:val="Compact"/>
            </w:pPr>
            <w:r>
              <w:rPr>
                <w:sz w:val="20"/>
                <w:szCs w:val="20"/>
              </w:rPr>
              <w:t xml:space="preserve">0.764</w:t>
            </w:r>
          </w:p>
        </w:tc>
        <w:tc>
          <w:tcPr>
            <w:tcW w:w="0" w:type="auto"/>
          </w:tcPr>
          <w:p>
            <w:pPr>
              <w:spacing w:line="240" w:lineRule="auto" w:before="0" w:after="0"/>
              <w:pStyle w:val="Compact"/>
            </w:pPr>
            <w:r>
              <w:rPr>
                <w:sz w:val="20"/>
                <w:szCs w:val="20"/>
              </w:rPr>
              <w:t xml:space="preserve">0.4449</w:t>
            </w:r>
          </w:p>
        </w:tc>
        <w:tc>
          <w:tcPr>
            <w:tcW w:w="0" w:type="auto"/>
          </w:tcPr>
          <w:p>
            <w:pPr>
              <w:spacing w:line="240" w:lineRule="auto" w:before="0" w:after="0"/>
              <w:pStyle w:val="Compact"/>
            </w:pPr>
            <w:r>
              <w:rPr>
                <w:sz w:val="20"/>
                <w:szCs w:val="20"/>
              </w:rPr>
              <w:t xml:space="preserve">[-2.3498, 5.3518]</w:t>
            </w:r>
          </w:p>
        </w:tc>
      </w:tr>
      <w:tr>
        <w:tc>
          <w:tcPr>
            <w:tcW w:w="0" w:type="auto"/>
          </w:tcPr>
          <w:p>
            <w:pPr>
              <w:spacing w:line="240" w:lineRule="auto" w:before="0" w:after="0"/>
              <w:pStyle w:val="Compact"/>
            </w:pPr>
            <w:r>
              <w:rPr>
                <w:sz w:val="20"/>
                <w:szCs w:val="20"/>
              </w:rPr>
              <w:t xml:space="preserve">regime_geo</w:t>
            </w:r>
          </w:p>
        </w:tc>
        <w:tc>
          <w:tcPr>
            <w:tcW w:w="0" w:type="auto"/>
          </w:tcPr>
          <w:p>
            <w:pPr>
              <w:spacing w:line="240" w:lineRule="auto" w:before="0" w:after="0"/>
              <w:pStyle w:val="Compact"/>
            </w:pPr>
            <w:r>
              <w:rPr>
                <w:sz w:val="20"/>
                <w:szCs w:val="20"/>
              </w:rPr>
              <w:t xml:space="preserve">-1.9139</w:t>
            </w:r>
          </w:p>
        </w:tc>
        <w:tc>
          <w:tcPr>
            <w:tcW w:w="0" w:type="auto"/>
          </w:tcPr>
          <w:p>
            <w:pPr>
              <w:spacing w:line="240" w:lineRule="auto" w:before="0" w:after="0"/>
              <w:pStyle w:val="Compact"/>
            </w:pPr>
            <w:r>
              <w:rPr>
                <w:sz w:val="20"/>
                <w:szCs w:val="20"/>
              </w:rPr>
              <w:t xml:space="preserve">1.7982</w:t>
            </w:r>
          </w:p>
        </w:tc>
        <w:tc>
          <w:tcPr>
            <w:tcW w:w="0" w:type="auto"/>
          </w:tcPr>
          <w:p>
            <w:pPr>
              <w:spacing w:line="240" w:lineRule="auto" w:before="0" w:after="0"/>
              <w:pStyle w:val="Compact"/>
            </w:pPr>
            <w:r>
              <w:rPr>
                <w:sz w:val="20"/>
                <w:szCs w:val="20"/>
              </w:rPr>
              <w:t xml:space="preserve">-1.0644</w:t>
            </w:r>
          </w:p>
        </w:tc>
        <w:tc>
          <w:tcPr>
            <w:tcW w:w="0" w:type="auto"/>
          </w:tcPr>
          <w:p>
            <w:pPr>
              <w:spacing w:line="240" w:lineRule="auto" w:before="0" w:after="0"/>
              <w:pStyle w:val="Compact"/>
            </w:pPr>
            <w:r>
              <w:rPr>
                <w:sz w:val="20"/>
                <w:szCs w:val="20"/>
              </w:rPr>
              <w:t xml:space="preserve">0.2872</w:t>
            </w:r>
          </w:p>
        </w:tc>
        <w:tc>
          <w:tcPr>
            <w:tcW w:w="0" w:type="auto"/>
          </w:tcPr>
          <w:p>
            <w:pPr>
              <w:spacing w:line="240" w:lineRule="auto" w:before="0" w:after="0"/>
              <w:pStyle w:val="Compact"/>
            </w:pPr>
            <w:r>
              <w:rPr>
                <w:sz w:val="20"/>
                <w:szCs w:val="20"/>
              </w:rPr>
              <w:t xml:space="preserve">[-5.4383, 1.6104]</w:t>
            </w:r>
          </w:p>
        </w:tc>
      </w:tr>
      <w:tr>
        <w:tc>
          <w:tcPr>
            <w:tcW w:w="0" w:type="auto"/>
          </w:tcPr>
          <w:p>
            <w:pPr>
              <w:spacing w:line="240" w:lineRule="auto" w:before="0" w:after="0"/>
              <w:pStyle w:val="Compact"/>
            </w:pPr>
            <w:r>
              <w:rPr>
                <w:sz w:val="20"/>
                <w:szCs w:val="20"/>
              </w:rPr>
              <w:t xml:space="preserve">era_post2015</w:t>
            </w:r>
          </w:p>
        </w:tc>
        <w:tc>
          <w:tcPr>
            <w:tcW w:w="0" w:type="auto"/>
          </w:tcPr>
          <w:p>
            <w:pPr>
              <w:spacing w:line="240" w:lineRule="auto" w:before="0" w:after="0"/>
              <w:pStyle w:val="Compact"/>
            </w:pPr>
            <w:r>
              <w:rPr>
                <w:sz w:val="20"/>
                <w:szCs w:val="20"/>
              </w:rPr>
              <w:t xml:space="preserve">1.0666</w:t>
            </w:r>
          </w:p>
        </w:tc>
        <w:tc>
          <w:tcPr>
            <w:tcW w:w="0" w:type="auto"/>
          </w:tcPr>
          <w:p>
            <w:pPr>
              <w:spacing w:line="240" w:lineRule="auto" w:before="0" w:after="0"/>
              <w:pStyle w:val="Compact"/>
            </w:pPr>
            <w:r>
              <w:rPr>
                <w:sz w:val="20"/>
                <w:szCs w:val="20"/>
              </w:rPr>
              <w:t xml:space="preserve">1.3665</w:t>
            </w:r>
          </w:p>
        </w:tc>
        <w:tc>
          <w:tcPr>
            <w:tcW w:w="0" w:type="auto"/>
          </w:tcPr>
          <w:p>
            <w:pPr>
              <w:spacing w:line="240" w:lineRule="auto" w:before="0" w:after="0"/>
              <w:pStyle w:val="Compact"/>
            </w:pPr>
            <w:r>
              <w:rPr>
                <w:sz w:val="20"/>
                <w:szCs w:val="20"/>
              </w:rPr>
              <w:t xml:space="preserve">0.7805</w:t>
            </w:r>
          </w:p>
        </w:tc>
        <w:tc>
          <w:tcPr>
            <w:tcW w:w="0" w:type="auto"/>
          </w:tcPr>
          <w:p>
            <w:pPr>
              <w:spacing w:line="240" w:lineRule="auto" w:before="0" w:after="0"/>
              <w:pStyle w:val="Compact"/>
            </w:pPr>
            <w:r>
              <w:rPr>
                <w:sz w:val="20"/>
                <w:szCs w:val="20"/>
              </w:rPr>
              <w:t xml:space="preserve">0.4351</w:t>
            </w:r>
          </w:p>
        </w:tc>
        <w:tc>
          <w:tcPr>
            <w:tcW w:w="0" w:type="auto"/>
          </w:tcPr>
          <w:p>
            <w:pPr>
              <w:spacing w:line="240" w:lineRule="auto" w:before="0" w:after="0"/>
              <w:pStyle w:val="Compact"/>
            </w:pPr>
            <w:r>
              <w:rPr>
                <w:sz w:val="20"/>
                <w:szCs w:val="20"/>
              </w:rPr>
              <w:t xml:space="preserve">[-1.6116, 3.7448]</w:t>
            </w:r>
          </w:p>
        </w:tc>
      </w:tr>
      <w:tr>
        <w:tc>
          <w:tcPr>
            <w:tcW w:w="0" w:type="auto"/>
          </w:tcPr>
          <w:p>
            <w:pPr>
              <w:spacing w:line="240" w:lineRule="auto" w:before="0" w:after="0"/>
              <w:pStyle w:val="Compact"/>
            </w:pPr>
            <w:r>
              <w:rPr>
                <w:sz w:val="20"/>
                <w:szCs w:val="20"/>
              </w:rPr>
              <w:t xml:space="preserve">mass_large</w:t>
            </w:r>
          </w:p>
        </w:tc>
        <w:tc>
          <w:tcPr>
            <w:tcW w:w="0" w:type="auto"/>
          </w:tcPr>
          <w:p>
            <w:pPr>
              <w:spacing w:line="240" w:lineRule="auto" w:before="0" w:after="0"/>
              <w:pStyle w:val="Compact"/>
            </w:pPr>
            <w:r>
              <w:rPr>
                <w:sz w:val="20"/>
                <w:szCs w:val="20"/>
              </w:rPr>
              <w:t xml:space="preserve">-0.3499</w:t>
            </w:r>
          </w:p>
        </w:tc>
        <w:tc>
          <w:tcPr>
            <w:tcW w:w="0" w:type="auto"/>
          </w:tcPr>
          <w:p>
            <w:pPr>
              <w:spacing w:line="240" w:lineRule="auto" w:before="0" w:after="0"/>
              <w:pStyle w:val="Compact"/>
            </w:pPr>
            <w:r>
              <w:rPr>
                <w:sz w:val="20"/>
                <w:szCs w:val="20"/>
              </w:rPr>
              <w:t xml:space="preserve">1.7486</w:t>
            </w:r>
          </w:p>
        </w:tc>
        <w:tc>
          <w:tcPr>
            <w:tcW w:w="0" w:type="auto"/>
          </w:tcPr>
          <w:p>
            <w:pPr>
              <w:spacing w:line="240" w:lineRule="auto" w:before="0" w:after="0"/>
              <w:pStyle w:val="Compact"/>
            </w:pPr>
            <w:r>
              <w:rPr>
                <w:sz w:val="20"/>
                <w:szCs w:val="20"/>
              </w:rPr>
              <w:t xml:space="preserve">-0.2001</w:t>
            </w:r>
          </w:p>
        </w:tc>
        <w:tc>
          <w:tcPr>
            <w:tcW w:w="0" w:type="auto"/>
          </w:tcPr>
          <w:p>
            <w:pPr>
              <w:spacing w:line="240" w:lineRule="auto" w:before="0" w:after="0"/>
              <w:pStyle w:val="Compact"/>
            </w:pPr>
            <w:r>
              <w:rPr>
                <w:sz w:val="20"/>
                <w:szCs w:val="20"/>
              </w:rPr>
              <w:t xml:space="preserve">0.8414</w:t>
            </w:r>
          </w:p>
        </w:tc>
        <w:tc>
          <w:tcPr>
            <w:tcW w:w="0" w:type="auto"/>
          </w:tcPr>
          <w:p>
            <w:pPr>
              <w:spacing w:line="240" w:lineRule="auto" w:before="0" w:after="0"/>
              <w:pStyle w:val="Compact"/>
            </w:pPr>
            <w:r>
              <w:rPr>
                <w:sz w:val="20"/>
                <w:szCs w:val="20"/>
              </w:rPr>
              <w:t xml:space="preserve">[-3.7772, 3.0773]</w:t>
            </w:r>
          </w:p>
        </w:tc>
      </w:tr>
    </w:tbl>
    <w:p>
      <w:pPr>
        <w:pStyle w:val="BodyText"/>
      </w:pPr>
      <w:r>
        <w:t xml:space="preserve">Fit: N = 30 pseudo_R2 = 0.5358 LL = -9.6218</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1" Target="https://doi.org/10.1007/s10640-020-00515-z" TargetMode="External" /><Relationship Type="http://schemas.openxmlformats.org/officeDocument/2006/relationships/hyperlink" Id="rId77" Target="https://doi.org/10.1016/j.actaastro.2015.05.001" TargetMode="External" /><Relationship Type="http://schemas.openxmlformats.org/officeDocument/2006/relationships/hyperlink" Id="rId69" Target="https://doi.org/10.1016/j.jsse.2020.07.016" TargetMode="External" /><Relationship Type="http://schemas.openxmlformats.org/officeDocument/2006/relationships/hyperlink" Id="rId74" Target="https://doi.org/10.1073/pnas.1921260117" TargetMode="External" /></Relationships>
</file>

<file path=word/_rels/footnotes.xml.rels><?xml version="1.0" encoding="UTF-8"?><Relationships xmlns="http://schemas.openxmlformats.org/package/2006/relationships"><Relationship Type="http://schemas.openxmlformats.org/officeDocument/2006/relationships/hyperlink" Id="rId71" Target="https://doi.org/10.1007/s10640-020-00515-z" TargetMode="External" /><Relationship Type="http://schemas.openxmlformats.org/officeDocument/2006/relationships/hyperlink" Id="rId77" Target="https://doi.org/10.1016/j.actaastro.2015.05.001" TargetMode="External" /><Relationship Type="http://schemas.openxmlformats.org/officeDocument/2006/relationships/hyperlink" Id="rId69" Target="https://doi.org/10.1016/j.jsse.2020.07.016" TargetMode="External" /><Relationship Type="http://schemas.openxmlformats.org/officeDocument/2006/relationships/hyperlink" Id="rId74" Target="https://doi.org/10.1073/pnas.1921260117"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2026-06-26T16:46:09Z</dcterms:created>
  <dcterms:modified xsi:type="dcterms:W3CDTF">2026-06-26T16:46:09Z</dcterms:modified>
</cp:coreProperties>
</file>

<file path=docProps/custom.xml><?xml version="1.0" encoding="utf-8"?>
<Properties xmlns="http://schemas.openxmlformats.org/officeDocument/2006/custom-properties" xmlns:vt="http://schemas.openxmlformats.org/officeDocument/2006/docPropsVTypes"/>
</file>