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DEPOSIT-REFUND AND PERFORMANCE-BOND INSTRUMENTS FOR END-OF-LIFE COMPLIANCE: A QUANTITATIVE IDENTIFICATION OF THE MARGINAL OPERATOR RESPONSE</w:t>
      </w:r>
    </w:p>
    <w:p>
      <w:pPr>
        <w:jc w:val="center"/>
      </w:pPr>
    </w:p>
    <w:p>
      <w:pPr>
        <w:jc w:val="center"/>
      </w:pPr>
      <w:r>
        <w:rPr>
          <w:rFonts w:ascii="Times New Roman" w:hAnsi="Times New Roman"/>
          <w:sz w:val="24"/>
        </w:rPr>
        <w:t>by</w:t>
      </w:r>
    </w:p>
    <w:p>
      <w:pPr>
        <w:jc w:val="center"/>
      </w:pPr>
      <w:r>
        <w:rPr>
          <w:rFonts w:ascii="Times New Roman" w:hAnsi="Times New Roman"/>
          <w:b/>
          <w:sz w:val="28"/>
        </w:rPr>
        <w:t>Anton Falk</w:t>
      </w:r>
    </w:p>
    <w:p>
      <w:pPr>
        <w:jc w:val="center"/>
      </w:pPr>
      <w:r>
        <w:rPr>
          <w:rFonts w:ascii="Times New Roman" w:hAnsi="Times New Roman"/>
          <w:sz w:val="24"/>
        </w:rPr>
        <w:t>1B-SDA-074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Post-mission disposal is the behavioral hinge on which orbital-debris mitigation turns. Four operational practices define the international mitigation consensus: limiting debris released during normal operations, minimizing the potential for on-orbit break-ups, controlling re-entry hazards, and clearing spacecraft from densely populated orbital regions at end of mission. These four are not equally consequential. The fourth carries a disproportionate share of the long-run environmental burden</w:t>
      </w:r>
      <w:r>
        <w:t xml:space="preserve"> </w:t>
      </w:r>
      <w:hyperlink w:anchor="ref-1">
        <w:r>
          <w:rPr>
            <w:rStyle w:val="Hyperlink"/>
          </w:rPr>
          <w:t xml:space="preserve">[1]</w:t>
        </w:r>
      </w:hyperlink>
      <w:r>
        <w:t xml:space="preserve">[2], and it is the one operators most often skip. Compliance stays incomplete even among the most capable operators, and almost the only thing enforcing it is soft, non-pecuniary pressure. Read the European Space Agency’s most recent environmental survey and the pattern is plain: roughly nine in ten rocket bodies in low Earth orbit now clear valuable orbits in compliance with applicable standards, only a minority of large payloads are configured to clear the protected region within the twenty-five year lifetime limit, and historical disposal in the geostationary region has swung between seventy and ninety percent of attempts, with sharp shortfalls in 2015 and 2022</w:t>
      </w:r>
      <w:r>
        <w:t xml:space="preserve"> </w:t>
      </w:r>
      <w:hyperlink w:anchor="ref-10">
        <w:r>
          <w:rPr>
            <w:rStyle w:val="Hyperlink"/>
          </w:rPr>
          <w:t xml:space="preserve">[10]</w:t>
        </w:r>
      </w:hyperlink>
      <w:r>
        <w:t xml:space="preserve">. Verspieren audited the United States Air Force, one of the most procedurally mature operators in the world, and found measurable non-compliance with the Orbital Debris Mitigation Standard Practices. Capability, his audit established, is not the binding constraint</w:t>
      </w:r>
      <w:r>
        <w:t xml:space="preserve"> </w:t>
      </w:r>
      <w:hyperlink w:anchor="ref-5">
        <w:r>
          <w:rPr>
            <w:rStyle w:val="Hyperlink"/>
          </w:rPr>
          <w:t xml:space="preserve">[5]</w:t>
        </w:r>
      </w:hyperlink>
      <w:r>
        <w:t xml:space="preserve">[23]. Pardini and Anselmo reached the same conclusion through a different door. Even inside a single national regulator’s jurisdiction, the Italian record on low Earth orbit satellites is patchy, and the pattern tracks operator-specific incentives rather than engineering capacity</w:t>
      </w:r>
      <w:r>
        <w:t xml:space="preserve"> </w:t>
      </w:r>
      <w:hyperlink w:anchor="ref-14">
        <w:r>
          <w:rPr>
            <w:rStyle w:val="Hyperlink"/>
          </w:rPr>
          <w:t xml:space="preserve">[14]</w:t>
        </w:r>
      </w:hyperlink>
      <w:r>
        <w:t xml:space="preserve">.</w:t>
      </w:r>
    </w:p>
    <w:p>
      <w:pPr>
        <w:pStyle w:val="BodyText"/>
        <w:spacing w:line="480" w:lineRule="auto"/>
        <w:ind w:firstLine="720"/>
      </w:pPr>
      <w:r>
        <w:t xml:space="preserve">What binds is incentive.</w:t>
      </w:r>
    </w:p>
    <w:p>
      <w:pPr>
        <w:pStyle w:val="BodyText"/>
        <w:spacing w:line="480" w:lineRule="auto"/>
        <w:ind w:firstLine="720"/>
      </w:pPr>
      <w:r>
        <w:t xml:space="preserve">Dispose of a satellite at end of mission and you bear the full propellant, mass, and opportunity cost of the maneuver yourself; fail to dispose, and the congestion and collision cost lands on every other operator now on orbit, and on every future entrant who inherits an environment whose carrying capacity has shrunk</w:t>
      </w:r>
      <w:r>
        <w:t xml:space="preserve"> </w:t>
      </w:r>
      <w:hyperlink w:anchor="ref-4">
        <w:r>
          <w:rPr>
            <w:rStyle w:val="Hyperlink"/>
          </w:rPr>
          <w:t xml:space="preserve">[4]</w:t>
        </w:r>
      </w:hyperlink>
      <w:r>
        <w:t xml:space="preserve">[11][12]. That is the canonical shape of a negative externality over a common-pool resource, and it is what gives the debris problem its stubbornness. Adilov, Alexander, and Cunningham formalize debris generation, accumulation, mitigation, and remediation as an economic problem in which private marginal cost pulls away from social marginal cost; absent a corrective price, the market over-generates debris and under-invests in disposal</w:t>
      </w:r>
      <w:r>
        <w:t xml:space="preserve"> </w:t>
      </w:r>
      <w:hyperlink w:anchor="ref-4">
        <w:r>
          <w:rPr>
            <w:rStyle w:val="Hyperlink"/>
          </w:rPr>
          <w:t xml:space="preserve">[4]</w:t>
        </w:r>
      </w:hyperlink>
      <w:r>
        <w:t xml:space="preserve">. Rouillon’s physico-economic model of low Earth orbit derives the orbital-use fee that implements the social optimum and shows the corrective price rising with congestion</w:t>
      </w:r>
      <w:r>
        <w:t xml:space="preserve"> </w:t>
      </w:r>
      <w:hyperlink w:anchor="ref-11">
        <w:r>
          <w:rPr>
            <w:rStyle w:val="Hyperlink"/>
          </w:rPr>
          <w:t xml:space="preserve">[11]</w:t>
        </w:r>
      </w:hyperlink>
      <w:r>
        <w:t xml:space="preserve">. Rao, Burgess, and Kaffine carry the argument to industry-level value: an internalizing fee could more than quadruple the value of the satellite industry against the open-access path, once private and social valuations of the orbital environment are aligned</w:t>
      </w:r>
      <w:r>
        <w:t xml:space="preserve"> </w:t>
      </w:r>
      <w:hyperlink w:anchor="ref-12">
        <w:r>
          <w:rPr>
            <w:rStyle w:val="Hyperlink"/>
          </w:rPr>
          <w:t xml:space="preserve">[12]</w:t>
        </w:r>
      </w:hyperlink>
      <w:r>
        <w:t xml:space="preserve">. Dailey, Stilwell, and colleagues supply the framing that ties these threads together, situating low Earth orbit as an Ostrom common-pool resource, coupling a fisheries-style carrying-capacity accounting to a policy-simulation model, and making the governance gap quantitative rather than rhetorical</w:t>
      </w:r>
      <w:r>
        <w:t xml:space="preserve"> </w:t>
      </w:r>
      <w:hyperlink w:anchor="ref-8">
        <w:r>
          <w:rPr>
            <w:rStyle w:val="Hyperlink"/>
          </w:rPr>
          <w:t xml:space="preserve">[8]</w:t>
        </w:r>
      </w:hyperlink>
      <w:r>
        <w:t xml:space="preserve">.</w:t>
      </w:r>
    </w:p>
    <w:bookmarkEnd w:id="61"/>
    <w:bookmarkStart w:id="62" w:name="X2df3a2ee0aef56173482d220733d9f270ccfa68"/>
    <w:p>
      <w:pPr>
        <w:pStyle w:val="Heading2"/>
        <w:spacing w:line="480" w:lineRule="auto"/>
      </w:pPr>
      <w:r>
        <w:t xml:space="preserve">1.2 Why the Stakes are Acute for NASA and JPL</w:t>
      </w:r>
    </w:p>
    <w:p>
      <w:pPr>
        <w:pStyle w:val="FirstParagraph"/>
        <w:spacing w:line="480" w:lineRule="auto"/>
      </w:pPr>
      <w:r>
        <w:t xml:space="preserve">For the National Aeronautics and Space Administration and for the Jet Propulsion Laboratory, the stakes are not the generic stakes of any operator. NASA is three things at once: a science-mission operator carrying the longest-lived legacy fleet in low Earth orbit, a sponsor of constellation and earth-observation programs that drive the contemporary launch rate, and the federal entity to which national orbital-debris standards have most consistently devolved through the Orbital Debris Mitigation Standard Practices. Each role loads a different exposure onto one institutional balance sheet. Of the three, the legacy science fleet reveals the cost of disposal failure most starkly. Earth-observation platforms such as TOPEX/Poseidon, SeaSat, Landsat-5, the Jason series, and Envisat still dominate the right-censored tail of disposal-survival analyses, because they were placed at altitudes whose natural decay times run past the lifetime limits the guidelines specify, and because they were never configured to execute a controlled or assisted reentry</w:t>
      </w:r>
      <w:r>
        <w:t xml:space="preserve"> </w:t>
      </w:r>
      <w:hyperlink w:anchor="ref-10">
        <w:r>
          <w:rPr>
            <w:rStyle w:val="Hyperlink"/>
          </w:rPr>
          <w:t xml:space="preserve">[10]</w:t>
        </w:r>
      </w:hyperlink>
      <w:r>
        <w:t xml:space="preserve">. Every extra year one of these objects lingers past its planned disposal date is another year of conjunction risk added to the operational fleet, and that risk is borne by every other operator sharing the shell.</w:t>
      </w:r>
    </w:p>
    <w:p>
      <w:pPr>
        <w:pStyle w:val="BodyText"/>
        <w:spacing w:line="480" w:lineRule="auto"/>
        <w:ind w:firstLine="720"/>
      </w:pPr>
      <w:r>
        <w:t xml:space="preserve">JPL’s exposure is the operational mirror image. It plans and executes science missions whose flagship projects compete for limited federal budget against rising mission-assurance cost, and whose cost growth in any given decade is increasingly driven by the expense of operating in a more crowded environment. Collision-avoidance maneuvers, conjunction-data subscriptions, mission-design constraints around safe altitudes, end-of-life propellant reserves: as each grows more demanding, the marginal cost of a JPL science mission climbs in lockstep with the marginal collision risk of the environment that mission must fly through</w:t>
      </w:r>
      <w:r>
        <w:t xml:space="preserve"> </w:t>
      </w:r>
      <w:hyperlink w:anchor="ref-4">
        <w:r>
          <w:rPr>
            <w:rStyle w:val="Hyperlink"/>
          </w:rPr>
          <w:t xml:space="preserve">[4]</w:t>
        </w:r>
      </w:hyperlink>
      <w:r>
        <w:t xml:space="preserve">[8]. Anselmo and Pardini’s foundational accounting of geostationary disposal makes the point concretely. Between 1997 and 2004, only thirty-nine of one hundred seventeen end-of-life spacecraft were re-orbited in compliance</w:t>
      </w:r>
      <w:r>
        <w:t xml:space="preserve"> </w:t>
      </w:r>
      <w:hyperlink w:anchor="ref-13">
        <w:r>
          <w:rPr>
            <w:rStyle w:val="Hyperlink"/>
          </w:rPr>
          <w:t xml:space="preserve">[13]</w:t>
        </w:r>
      </w:hyperlink>
      <w:r>
        <w:t xml:space="preserve">. Multiply that kind of record across decades and regimes and it accumulates into the operating environment a present-day science mission has to traverse. Karra and Jah press the further point that the compliance signal in geostationary orbit is not a self-reported statistic but a measurable, contestable property of the environment, one a third party can audit</w:t>
      </w:r>
      <w:r>
        <w:t xml:space="preserve"> </w:t>
      </w:r>
      <w:hyperlink w:anchor="ref-16">
        <w:r>
          <w:rPr>
            <w:rStyle w:val="Hyperlink"/>
          </w:rPr>
          <w:t xml:space="preserve">[16]</w:t>
        </w:r>
      </w:hyperlink>
      <w:r>
        <w:t xml:space="preserve">[20]. NASA and JPL therefore meet the debris externality from both sides at once: as legacy producers whose unretired platforms keep imposing risk on others, and as forward consumers whose future missions must be priced and engineered against a degraded commons.</w:t>
      </w:r>
    </w:p>
    <w:p>
      <w:pPr>
        <w:pStyle w:val="BodyText"/>
        <w:spacing w:line="480" w:lineRule="auto"/>
        <w:ind w:firstLine="720"/>
      </w:pPr>
      <w:r>
        <w:t xml:space="preserve">The recent active-debris-removal optimization literature has started designing market mechanisms for who pays to remediate a given orbital region</w:t>
      </w:r>
      <w:r>
        <w:t xml:space="preserve"> </w:t>
      </w:r>
      <w:hyperlink w:anchor="ref-7">
        <w:r>
          <w:rPr>
            <w:rStyle w:val="Hyperlink"/>
          </w:rPr>
          <w:t xml:space="preserve">[7]</w:t>
        </w:r>
      </w:hyperlink>
      <w:r>
        <w:t xml:space="preserve">. That work assumes financial instruments can steer the orbital economy, and it leaves the prior question open. The prior question is whether a refundable financial stake placed at licensing, before launch, actually steers the disposal decision after the mission. If the answer is yes, NASA and JPL can anchor their portfolio choices on a regulatory architecture that internalizes the externality at the source and slows the rate at which their own future missions must buy mitigation services from the remediation market. If the answer is no, they must keep absorbing conjunction risk through engineering reserves and operational margin, and any orbital-use-fee or bond architecture proposed in their name rests on a behavioral assumption nobody has verified.</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intellectual gap this dissertation addresses is a narrow one. Three bodies of work bear on the disposal-compliance question, and each, on its own terms, stops short of the contribution proposed here.</w:t>
      </w:r>
    </w:p>
    <w:p>
      <w:pPr>
        <w:pStyle w:val="BodyText"/>
        <w:spacing w:line="480" w:lineRule="auto"/>
        <w:ind w:firstLine="720"/>
      </w:pPr>
      <w:r>
        <w:t xml:space="preserve">The first is the engineering-compliance and environmental-monitoring literature. It measures whether disposal happens and characterizes the orbital-lifetime uncertainty around that outcome</w:t>
      </w:r>
      <w:r>
        <w:t xml:space="preserve"> </w:t>
      </w:r>
      <w:hyperlink w:anchor="ref-2">
        <w:r>
          <w:rPr>
            <w:rStyle w:val="Hyperlink"/>
          </w:rPr>
          <w:t xml:space="preserve">[2]</w:t>
        </w:r>
      </w:hyperlink>
      <w:r>
        <w:t xml:space="preserve">[6][14][15][18][19]. Ayala Fernández and colleagues quantify the remaining-orbital-lifetime uncertainty after disposal, which any rigorous definition of verified compliance requires, yet the work says nothing about what induces the operator to attempt disposal in the first place</w:t>
      </w:r>
      <w:r>
        <w:t xml:space="preserve"> </w:t>
      </w:r>
      <w:hyperlink w:anchor="ref-6">
        <w:r>
          <w:rPr>
            <w:rStyle w:val="Hyperlink"/>
          </w:rPr>
          <w:t xml:space="preserve">[6]</w:t>
        </w:r>
      </w:hyperlink>
      <w:r>
        <w:t xml:space="preserve">. Pontijas Fuentes and colleagues operationalize spacecraft entry survival analysis through the ESA Debris Risk Assessment and Mitigation Analysis tool and provide the engineering substrate on which any controlled-reentry outcome can be evaluated</w:t>
      </w:r>
      <w:r>
        <w:t xml:space="preserve"> </w:t>
      </w:r>
      <w:hyperlink w:anchor="ref-17">
        <w:r>
          <w:rPr>
            <w:rStyle w:val="Hyperlink"/>
          </w:rPr>
          <w:t xml:space="preserve">[17]</w:t>
        </w:r>
      </w:hyperlink>
      <w:r>
        <w:t xml:space="preserve">. Pardini and Anselmo’s series of debris-flux and criticality assessments establishes the relationship between the disposal decision and the long-run criticality of the orbital environment, and their Italian-fleet compliance assessment ties the disposal rate to a specific national regulatory context</w:t>
      </w:r>
      <w:r>
        <w:t xml:space="preserve"> </w:t>
      </w:r>
      <w:hyperlink w:anchor="ref-14">
        <w:r>
          <w:rPr>
            <w:rStyle w:val="Hyperlink"/>
          </w:rPr>
          <w:t xml:space="preserve">[14]</w:t>
        </w:r>
      </w:hyperlink>
      <w:r>
        <w:t xml:space="preserve">[15][18]. Bottcher and Silvestri’s multi-perspective analysis of sustainability metrics formalizes the measurement architecture under which a compliance outcome can be aggregated to environmental impact</w:t>
      </w:r>
      <w:r>
        <w:t xml:space="preserve"> </w:t>
      </w:r>
      <w:hyperlink w:anchor="ref-19">
        <w:r>
          <w:rPr>
            <w:rStyle w:val="Hyperlink"/>
          </w:rPr>
          <w:t xml:space="preserve">[19]</w:t>
        </w:r>
      </w:hyperlink>
      <w:r>
        <w:t xml:space="preserve">. Seong, Jung, and Chung’s report on the Korea Aerospace Research Institute’s space-situational-awareness and space-traffic-management activities places the compliance question inside the broader discipline of catalog maintenance and conjunction screening</w:t>
      </w:r>
      <w:r>
        <w:t xml:space="preserve"> </w:t>
      </w:r>
      <w:hyperlink w:anchor="ref-2">
        <w:r>
          <w:rPr>
            <w:rStyle w:val="Hyperlink"/>
          </w:rPr>
          <w:t xml:space="preserve">[2]</w:t>
        </w:r>
      </w:hyperlink>
      <w:r>
        <w:t xml:space="preserve">. None of these treats compliance as a decision that responds to price.</w:t>
      </w:r>
    </w:p>
    <w:p>
      <w:pPr>
        <w:pStyle w:val="BodyText"/>
        <w:spacing w:line="480" w:lineRule="auto"/>
        <w:ind w:firstLine="720"/>
      </w:pPr>
      <w:r>
        <w:t xml:space="preserve">The second is the orbital-economics literature. It derives the optimal corrective price for the debris externality and argues for orbital-use fees, but it works at the level of a representative agent and a calibrated model rather than estimating an instrument response from observed licensing variation</w:t>
      </w:r>
      <w:r>
        <w:t xml:space="preserve"> </w:t>
      </w:r>
      <w:hyperlink w:anchor="ref-4">
        <w:r>
          <w:rPr>
            <w:rStyle w:val="Hyperlink"/>
          </w:rPr>
          <w:t xml:space="preserve">[4]</w:t>
        </w:r>
      </w:hyperlink>
      <w:r>
        <w:t xml:space="preserve">[11][12]. Rouillon’s analysis is structurally elegant and policy-relevant, yet the operator’s compliance response is built into the model’s optimization rather than recovered from the historical record</w:t>
      </w:r>
      <w:r>
        <w:t xml:space="preserve"> </w:t>
      </w:r>
      <w:hyperlink w:anchor="ref-11">
        <w:r>
          <w:rPr>
            <w:rStyle w:val="Hyperlink"/>
          </w:rPr>
          <w:t xml:space="preserve">[11]</w:t>
        </w:r>
      </w:hyperlink>
      <w:r>
        <w:t xml:space="preserve">. Rao, Burgess, and Kaffine’s industry-value calculation leans on the same assumed responsiveness</w:t>
      </w:r>
      <w:r>
        <w:t xml:space="preserve"> </w:t>
      </w:r>
      <w:hyperlink w:anchor="ref-12">
        <w:r>
          <w:rPr>
            <w:rStyle w:val="Hyperlink"/>
          </w:rPr>
          <w:t xml:space="preserve">[12]</w:t>
        </w:r>
      </w:hyperlink>
      <w:r>
        <w:t xml:space="preserve">. Adilov, Alexander, and Cunningham develop the externality framework that motivates pricing without estimating the price-to-compliance map at the operator level</w:t>
      </w:r>
      <w:r>
        <w:t xml:space="preserve"> </w:t>
      </w:r>
      <w:hyperlink w:anchor="ref-4">
        <w:r>
          <w:rPr>
            <w:rStyle w:val="Hyperlink"/>
          </w:rPr>
          <w:t xml:space="preserve">[4]</w:t>
        </w:r>
      </w:hyperlink>
      <w:r>
        <w:t xml:space="preserve">. The carrying-capacity and common-pool-resource governance work establishes the resource frame and simulates policy regimes, but its operator-response function is assumed within the simulation, not identified from data</w:t>
      </w:r>
      <w:r>
        <w:t xml:space="preserve"> </w:t>
      </w:r>
      <w:hyperlink w:anchor="ref-8">
        <w:r>
          <w:rPr>
            <w:rStyle w:val="Hyperlink"/>
          </w:rPr>
          <w:t xml:space="preserve">[8]</w:t>
        </w:r>
      </w:hyperlink>
      <w:r>
        <w:t xml:space="preserve">.</w:t>
      </w:r>
    </w:p>
    <w:p>
      <w:pPr>
        <w:pStyle w:val="BodyText"/>
        <w:spacing w:line="480" w:lineRule="auto"/>
        <w:ind w:firstLine="720"/>
      </w:pPr>
      <w:r>
        <w:t xml:space="preserve">The third is the policy and governance literature. It catalogues the menu of incentive instruments, the Montreal-Protocol analogy and the proposed bond schemes among them, and analyzes how the emerging debris regime frames and contests them, yet it never adjudicates which instrument actually changes behavior</w:t>
      </w:r>
      <w:r>
        <w:t xml:space="preserve"> </w:t>
      </w:r>
      <w:hyperlink w:anchor="ref-1">
        <w:r>
          <w:rPr>
            <w:rStyle w:val="Hyperlink"/>
          </w:rPr>
          <w:t xml:space="preserve">[1]</w:t>
        </w:r>
      </w:hyperlink>
      <w:r>
        <w:t xml:space="preserve">[3][9]. Yap, Heiberg, and Truffer’s discourse-network analysis of the emerging socio-technical regime documents that incentive-based instruments, including orbital-use charges and bond-like mechanisms, are now actively proposed within the policy community and have entered the discourse as serious contenders</w:t>
      </w:r>
      <w:r>
        <w:t xml:space="preserve"> </w:t>
      </w:r>
      <w:hyperlink w:anchor="ref-3">
        <w:r>
          <w:rPr>
            <w:rStyle w:val="Hyperlink"/>
          </w:rPr>
          <w:t xml:space="preserve">[3]</w:t>
        </w:r>
      </w:hyperlink>
      <w:r>
        <w:t xml:space="preserve">. Zhang and Balakrishnan compare orbital debris to ozone depletion under the Montreal Protocol, offering a precedent for international financial-assurance and compliance architectures and identifying the design features that separate a successful price-based environmental regime from a failed one</w:t>
      </w:r>
      <w:r>
        <w:t xml:space="preserve"> </w:t>
      </w:r>
      <w:hyperlink w:anchor="ref-9">
        <w:r>
          <w:rPr>
            <w:rStyle w:val="Hyperlink"/>
          </w:rPr>
          <w:t xml:space="preserve">[9]</w:t>
        </w:r>
      </w:hyperlink>
      <w:r>
        <w:t xml:space="preserve">. Walls and colleagues’ ontology-based audit of the IADC guidelines establishes the data substrate on which a quantitative compliance test can be built</w:t>
      </w:r>
      <w:r>
        <w:t xml:space="preserve"> </w:t>
      </w:r>
      <w:hyperlink w:anchor="ref-1">
        <w:r>
          <w:rPr>
            <w:rStyle w:val="Hyperlink"/>
          </w:rPr>
          <w:t xml:space="preserve">[1]</w:t>
        </w:r>
      </w:hyperlink>
      <w:r>
        <w:t xml:space="preserve">. None of these supplies the elasticity of compliance with respect to a refundable financial stake.</w:t>
      </w:r>
    </w:p>
    <w:p>
      <w:pPr>
        <w:pStyle w:val="BodyText"/>
        <w:spacing w:line="480" w:lineRule="auto"/>
        <w:ind w:firstLine="720"/>
      </w:pPr>
      <w:r>
        <w:t xml:space="preserve">The econometric method literature that would close this gap, the literature on discrete-time survival analysis, staggered difference-in-differences with heterogeneous treatment timing, and panel logit identification under selection on observables, has matured fast outside the space domain and has scarcely been brought to bear on orbital behavior. The two research papers that accompany this prospectus take the first deliberate steps. A binary-logit analysis of post-mission disposal across orbital regimes shows that, conditional on physical and operational characteristics, a binding disposal obligation is associated with odds of compliance roughly sixteen times those of an otherwise comparable unbonded cohort, a coefficient of 2.77 on the log-odds scale at p equal to 0.079, large in magnitude and sitting right at the margin of conventional significance on a thirty-cohort sample</w:t>
      </w:r>
      <w:r>
        <w:t xml:space="preserve"> </w:t>
      </w:r>
      <w:hyperlink w:anchor="ref-10">
        <w:r>
          <w:rPr>
            <w:rStyle w:val="Hyperlink"/>
          </w:rPr>
          <w:t xml:space="preserve">[10]</w:t>
        </w:r>
      </w:hyperlink>
      <w:r>
        <w:t xml:space="preserve">[13][14]. A Cox proportional-hazards analysis of disposal timing across thirty-two documented spacecraft shows that altitude is the dominant physical gatekeeper of the disposal hazard, with a hazard ratio of 0.996 per kilometer at p equal to 0.004, and that the financial-assurance indicator on its own does not separate from altitude in this sample</w:t>
      </w:r>
      <w:r>
        <w:t xml:space="preserve"> </w:t>
      </w:r>
      <w:hyperlink w:anchor="ref-15">
        <w:r>
          <w:rPr>
            <w:rStyle w:val="Hyperlink"/>
          </w:rPr>
          <w:t xml:space="preserve">[15]</w:t>
        </w:r>
      </w:hyperlink>
      <w:r>
        <w:t xml:space="preserve">[16][17][18][19]. Between them, the two papers establish that the bond effect is empirically plausible, that the binary and survival framings are each informative, and that clean identification will require a larger panel, a continuous bond measure, and a design capable of isolating the instrument from the orbital regimes its operators happen to occupy.</w:t>
      </w:r>
    </w:p>
    <w:p>
      <w:pPr>
        <w:pStyle w:val="BodyText"/>
        <w:spacing w:line="480" w:lineRule="auto"/>
        <w:ind w:firstLine="720"/>
      </w:pPr>
      <w:r>
        <w:t xml:space="preserve">So the gap is not in the domain literature alone, nor in the method literature alone. It sits at their intersection.</w:t>
      </w:r>
    </w:p>
    <w:p>
      <w:pPr>
        <w:pStyle w:val="BodyText"/>
        <w:spacing w:line="480" w:lineRule="auto"/>
        <w:ind w:firstLine="720"/>
      </w:pPr>
      <w:r>
        <w:t xml:space="preserve">No study has identified, from real operator behavior, the causal effect of a refundable financial stake on post-mission disposal compliance, and none has done so with an estimator whose identifying assumptions hold up against the heterogeneity that runs through orbital licensing across jurisdictions and across time.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makes one falsifiable contribution. It is an estimate of the causal elasticity of post-mission disposal compliance with respect to the refundable bond fraction imposed at licensing.</w:t>
      </w:r>
    </w:p>
    <w:p>
      <w:pPr>
        <w:pStyle w:val="BodyText"/>
        <w:spacing w:line="480" w:lineRule="auto"/>
        <w:ind w:firstLine="720"/>
      </w:pPr>
      <w:r>
        <w:t xml:space="preserve">Let the bond fraction</w:t>
      </w:r>
      <w:r>
        <w:t xml:space="preserve"> </w:t>
      </w:r>
      <w:r>
        <w:rPr>
          <w:rStyle w:val="VerbatimChar"/>
        </w:rPr>
        <w:t xml:space="preserve">b</w:t>
      </w:r>
      <w:r>
        <w:t xml:space="preserve"> </w:t>
      </w:r>
      <w:r>
        <w:t xml:space="preserve">denote the share of an operator-specific reference cost that a licensing authority withholds at authorization and refunds on verified disposal. Let</w:t>
      </w:r>
      <w:r>
        <w:t xml:space="preserve"> </w:t>
      </w:r>
      <w:r>
        <w:rPr>
          <w:rStyle w:val="VerbatimChar"/>
        </w:rPr>
        <w:t xml:space="preserve">C</w:t>
      </w:r>
      <w:r>
        <w:t xml:space="preserve"> </w:t>
      </w:r>
      <w:r>
        <w:t xml:space="preserve">denote either the binary indicator that a satellite achieves compliant disposal within the applicable lifetime window or, in the survival specification, the hazard of compliant disposal at time</w:t>
      </w:r>
      <w:r>
        <w:t xml:space="preserve"> </w:t>
      </w:r>
      <w:r>
        <w:rPr>
          <w:rStyle w:val="VerbatimChar"/>
        </w:rPr>
        <w:t xml:space="preserve">t</w:t>
      </w:r>
      <w:r>
        <w:t xml:space="preserve"> </w:t>
      </w:r>
      <w:r>
        <w:t xml:space="preserve">after end of mission. The null hypothesis holds that the elasticity of compliance with respect to the bond fraction is zero, that</w:t>
      </w:r>
      <w:r>
        <w:t xml:space="preserve"> </w:t>
      </w:r>
      <w:r>
        <w:rPr>
          <w:rStyle w:val="VerbatimChar"/>
        </w:rPr>
        <w:t xml:space="preserve">dC/db = 0</w:t>
      </w:r>
      <w:r>
        <w:t xml:space="preserve">, and that refundable financial stakes do not move the marginal operator’s disposal decision once mission, orbital regime, and operator covariates are controlled. The alternative holds that the elasticity is strictly positive,</w:t>
      </w:r>
      <w:r>
        <w:t xml:space="preserve"> </w:t>
      </w:r>
      <w:r>
        <w:rPr>
          <w:rStyle w:val="VerbatimChar"/>
        </w:rPr>
        <w:t xml:space="preserve">dC/db &gt; 0</w:t>
      </w:r>
      <w:r>
        <w:t xml:space="preserve">, that raising the refundable bond fraction raises the probability or the hazard of verified disposal, and that the estimated semi-elasticity is bounded away from zero at conventional significance.</w:t>
      </w:r>
    </w:p>
    <w:p>
      <w:pPr>
        <w:pStyle w:val="BodyText"/>
        <w:spacing w:line="480" w:lineRule="auto"/>
        <w:ind w:firstLine="720"/>
      </w:pPr>
      <w:r>
        <w:t xml:space="preserve">The contribution is the point estimate and confidence interval on</w:t>
      </w:r>
      <w:r>
        <w:t xml:space="preserve"> </w:t>
      </w:r>
      <w:r>
        <w:rPr>
          <w:rStyle w:val="VerbatimChar"/>
        </w:rPr>
        <w:t xml:space="preserve">dC/db</w:t>
      </w:r>
      <w:r>
        <w:t xml:space="preserve">, together with the bond fraction those imply for reaching a target compliance rate of seventy-five, ninety, and ninety-five percent. And the hypothesis is falsifiable in the strict sense. An estimated elasticity statistically indistinguishable from zero rejects the deposit-refund mechanism and redirects policy toward standards-based enforcement or toward the removal-financed approaches the active-debris-removal optimization literature now formalizes</w:t>
      </w:r>
      <w:r>
        <w:t xml:space="preserve"> </w:t>
      </w:r>
      <w:hyperlink w:anchor="ref-7">
        <w:r>
          <w:rPr>
            <w:rStyle w:val="Hyperlink"/>
          </w:rPr>
          <w:t xml:space="preserve">[7]</w:t>
        </w:r>
      </w:hyperlink>
      <w:r>
        <w:t xml:space="preserve">[9]. What the contribution is not: not a survey of instruments, not a comparison of policy regimes, not a normative defense of any mechanism. It is a single, replicable, point-estimable quantity from which downstream policy choices can be derived or, on falsification, abandoned.</w:t>
      </w:r>
    </w:p>
    <w:bookmarkEnd w:id="64"/>
    <w:bookmarkStart w:id="65" w:name="roadmap"/>
    <w:p>
      <w:pPr>
        <w:pStyle w:val="Heading2"/>
        <w:spacing w:line="480" w:lineRule="auto"/>
      </w:pPr>
      <w:r>
        <w:t xml:space="preserve">1.5 Roadmap</w:t>
      </w:r>
    </w:p>
    <w:p>
      <w:pPr>
        <w:pStyle w:val="FirstParagraph"/>
        <w:spacing w:line="480" w:lineRule="auto"/>
      </w:pPr>
      <w:r>
        <w:t xml:space="preserve">Five further chapters carry the argument. Chapter 2 develops the theoretical framework, situating post-mission disposal as an operator decision inside the common-pool-resource architecture of low Earth orbit, deriving the comparative statics of the deposit-refund instrument under heterogeneous operator cost, and establishing the analytical link between the bond fraction</w:t>
      </w:r>
      <w:r>
        <w:t xml:space="preserve"> </w:t>
      </w:r>
      <w:r>
        <w:rPr>
          <w:rStyle w:val="VerbatimChar"/>
        </w:rPr>
        <w:t xml:space="preserve">b</w:t>
      </w:r>
      <w:r>
        <w:t xml:space="preserve"> </w:t>
      </w:r>
      <w:r>
        <w:t xml:space="preserve">and the predicted disposal-compliance outcome. Chapter 3 specifies the data. It draws the disposal-outcome and orbital-lifetime layer from the United States Space Force public catalog distributed through Space-Track.org, augments it with the ESA Space Environment Report and the ESA DISCOS-derived post-mission-disposal success statistics, and builds the instrument layer from the published licensing and financial-security requirements of the United States Federal Communications Commission, the United Kingdom Civil Aviation Authority, and comparable European licensing authorities. Chapter 4 specifies the identification strategy, casting the discrete-time survival model of the disposal event as the primary specification and the panel logit on operator-cohort compliance shares as the robustness specification, then developing the staggered difference-in-differences logic under which parallel trends is assessed by event study and the heterogeneity-robust estimators of the recent applied-econometrics literature carry the lead. Chapter 5 reports the empirical results: the point estimate on</w:t>
      </w:r>
      <w:r>
        <w:t xml:space="preserve"> </w:t>
      </w:r>
      <w:r>
        <w:rPr>
          <w:rStyle w:val="VerbatimChar"/>
        </w:rPr>
        <w:t xml:space="preserve">dC/db</w:t>
      </w:r>
      <w:r>
        <w:t xml:space="preserve">, the implied bond fractions for the target compliance rates, the robustness battery, and the externally validated bounds on extrapolation to bond fractions outside the historical range. Chapter 6 returns the estimates to policy, applying the elasticity to the NASA and JPL exposure characterized in Section 1.2, identifying the bond architecture under which the federal science portfolio is best protected against future congestion cost, and stating the dissertation’s falsification verdict on the deposit-refund hypothesis.</w:t>
      </w:r>
    </w:p>
    <w:p>
      <w:pPr>
        <w:pStyle w:val="BodyText"/>
        <w:spacing w:line="480" w:lineRule="auto"/>
        <w:ind w:firstLine="720"/>
      </w:pPr>
      <w:r>
        <w:t xml:space="preserve">The path from Chapter 1 to Chapter 6 runs from a single behavioral question to a single estimable quantity to a single defensible policy claim. The two research papers that accompany this prospectus already show the empirical apparatus works at small sample size, and they mark the directions in which the larger panel and the continuous instrument measure have to be developed. Scaled to the licensing record and the catalog history available through public regulatory and orbital-data sources, the full dissertation will deliver the estimate the policy literature has assumed and the engineering literature never thought to ask for. Whether a refundable financial stake moves the marginal operator’s disposal decision is, in the end, an empirical question. Chapter 1 has established why it must be answered, why it has not been, and what answering it would take.</w:t>
      </w:r>
    </w:p>
    <w:bookmarkEnd w:id="65"/>
    <w:bookmarkEnd w:id="66"/>
    <w:bookmarkStart w:id="76" w:name="chapter-2.-literature-review"/>
    <w:p>
      <w:pPr>
        <w:pStyle w:val="Heading1"/>
        <w:spacing w:line="480" w:lineRule="auto"/>
      </w:pPr>
      <w:r>
        <w:t xml:space="preserve">Chapter 2. Literature Review</w:t>
      </w:r>
    </w:p>
    <w:bookmarkStart w:id="67" w:name="purpose-and-structure-of-the-review"/>
    <w:p>
      <w:pPr>
        <w:pStyle w:val="Heading2"/>
        <w:spacing w:line="480" w:lineRule="auto"/>
      </w:pPr>
      <w:r>
        <w:t xml:space="preserve">2.1 Purpose and Structure of the Review</w:t>
      </w:r>
    </w:p>
    <w:p>
      <w:pPr>
        <w:pStyle w:val="FirstParagraph"/>
        <w:spacing w:line="480" w:lineRule="auto"/>
      </w:pPr>
      <w:r>
        <w:t xml:space="preserve">Whether a refundable financial stake imposed at licensing causally raises the rate of verified post-mission disposal, the empirical question of this dissertation, sits at the intersection of two literatures that grew up almost entirely apart. One is the technical and policy literature on orbital-debris mitigation, which matured around engineering measurement of disposal practice, characterization of the debris environment, and discursive analysis of the emerging governance regime. The other is the cliometric and applied-econometric tradition that supplies the identification strategies, hazard models, and staggered difference-in-differences estimators any credible test of a policy instrument has to rest on. This dissertation’s contribution depends on joining the two. The purpose of this review is to show, by close reading of each, that they have not yet been joined so as to permit a clean empirical test of the deposit-refund mechanism.</w:t>
      </w:r>
    </w:p>
    <w:p>
      <w:pPr>
        <w:pStyle w:val="BodyText"/>
        <w:spacing w:line="480" w:lineRule="auto"/>
        <w:ind w:firstLine="720"/>
      </w:pPr>
      <w:r>
        <w:t xml:space="preserve">The review moves in four stages. Section 2.2 traces the technical literature on post-mission disposal, beginning with the structured measurement of compliance and disposal-orbit dynamics in the geostationary and low-Earth-orbit regimes, working through the engineering uncertainty around remaining-orbital-lifetime estimation, and closing with the criticality, environmental-impact, and reentry-survival assessments that bound the physical interpretability of any disposal outcome. Section 2.3 reviews the economics, governance, and instrument-design literature as a separate scholarly community with its own canonical results and unsettled questions. Section 2.4 turns to the methodological literature, surveying the binary-outcome, survival, and staggered difference-in-differences strategies an econometric test of an environmental-policy instrument typically draws on. Section 2.5 synthesizes the three and names the specific empirical gap the dissertation closes. The two papers of the candidate’s prior portfolio sit at the seam between the technical and methodological literatures and are anticipated only where the architecture of the gap requires them.</w:t>
      </w:r>
    </w:p>
    <w:bookmarkEnd w:id="67"/>
    <w:bookmarkStart w:id="72" w:name="Xa6f4b37fe601ba4e3480cb931dd59fa11df8efd"/>
    <w:p>
      <w:pPr>
        <w:pStyle w:val="Heading2"/>
        <w:spacing w:line="480" w:lineRule="auto"/>
      </w:pPr>
      <w:r>
        <w:t xml:space="preserve">2.2 The Technical Literature on Post-Mission Disposal</w:t>
      </w:r>
    </w:p>
    <w:bookmarkStart w:id="68" w:name="measurement-of-compliance-practice"/>
    <w:p>
      <w:pPr>
        <w:pStyle w:val="Heading3"/>
        <w:spacing w:line="480" w:lineRule="auto"/>
      </w:pPr>
      <w:r>
        <w:t xml:space="preserve">2.2.1 Measurement of Compliance Practice</w:t>
      </w:r>
    </w:p>
    <w:p>
      <w:pPr>
        <w:pStyle w:val="FirstParagraph"/>
        <w:spacing w:line="480" w:lineRule="auto"/>
      </w:pPr>
      <w:r>
        <w:t xml:space="preserve">Over two decades, the technical literature on post-mission disposal has moved from anecdotal accounts of selected missions to systematic measurement of disposal outcomes at the level of cohorts and regimes. The earliest structured effort in this pool, the Anselmo and Pardini study of geostationary end-of-life disposal between 1997 and 2004, is also among the most influential. The authors tabulate one hundred seventeen spacecraft reaching end-of-life: thirty-nine achieved a re-orbit in compliance with the recommended graveyard altitude, forty-one were re-orbited below it, and thirty-seven were abandoned without any disposal attempt</w:t>
      </w:r>
      <w:r>
        <w:t xml:space="preserve"> </w:t>
      </w:r>
      <w:hyperlink w:anchor="ref-13">
        <w:r>
          <w:rPr>
            <w:rStyle w:val="Hyperlink"/>
          </w:rPr>
          <w:t xml:space="preserve">[13]</w:t>
        </w:r>
      </w:hyperlink>
      <w:r>
        <w:t xml:space="preserve">. The headline finding is stark. Only one in three geostationary objects reaching end-of-life in that period achieved a fully compliant disposal, and that single fact has organized the subsequent literature. The gap between recommended and realized disposal is wide, persistent, and not explained by physical infeasibility alone.</w:t>
      </w:r>
    </w:p>
    <w:p>
      <w:pPr>
        <w:pStyle w:val="BodyText"/>
        <w:spacing w:line="480" w:lineRule="auto"/>
        <w:ind w:firstLine="720"/>
      </w:pPr>
      <w:r>
        <w:t xml:space="preserve">A decade on, Pardini and Anselmo extended the method to low-Earth-orbit operators, evaluating the Italian satellite cohort against the twenty-five-year lifetime guideline and ranking each object by its long-term criticality for the debris environment</w:t>
      </w:r>
      <w:r>
        <w:t xml:space="preserve"> </w:t>
      </w:r>
      <w:hyperlink w:anchor="ref-14">
        <w:r>
          <w:rPr>
            <w:rStyle w:val="Hyperlink"/>
          </w:rPr>
          <w:t xml:space="preserve">[14]</w:t>
        </w:r>
      </w:hyperlink>
      <w:r>
        <w:t xml:space="preserve">. The paper matters methodologically because it formalizes a national-cohort unit of analysis and treats compliance as a measurable property of the object rather than as an attribute of the institutional operator. The Italian cohort serves as a tractable proxy for a national licensing regime, and the criticality ranking introduces the principle that operationally similar objects can carry very different downstream environmental costs. Both moves anticipate the cohort-level analysis adopted in the candidate’s first prior paper.</w:t>
      </w:r>
    </w:p>
    <w:p>
      <w:pPr>
        <w:pStyle w:val="BodyText"/>
        <w:spacing w:line="480" w:lineRule="auto"/>
        <w:ind w:firstLine="720"/>
      </w:pPr>
      <w:r>
        <w:t xml:space="preserve">For the most comprehensive contemporary measurement of disposal practice, turn to the European Space Agency’s Space Environment Report, in its 2024 issue</w:t>
      </w:r>
      <w:r>
        <w:t xml:space="preserve"> </w:t>
      </w:r>
      <w:hyperlink w:anchor="ref-10">
        <w:r>
          <w:rPr>
            <w:rStyle w:val="Hyperlink"/>
          </w:rPr>
          <w:t xml:space="preserve">[10]</w:t>
        </w:r>
      </w:hyperlink>
      <w:r>
        <w:t xml:space="preserve">. The report distinguishes a seven-class behavioral taxonomy that separates compliant-without-attempt cohorts from compliant-after-attempt cohorts and from several distinct non-compliant categories, and it reports regime-, mass-, and era-resolved disposal fractions across the operational era. Two of its quantitative claims are especially load-bearing here. Roughly nine in ten rocket bodies in low-Earth orbit now leave protected regions in compliance with the lifetime limit, while only a minority, on the order of fifty-seven percent, of large low-Earth-orbit payloads are set to clear the protected region within the same window. And geostationary disposal attempts succeed at rates between seventy and ninety percent, with documented dips in 2015 and 2022 that reflect a mixture of physical anomalies and operator practice rather than a smooth secular trend.</w:t>
      </w:r>
    </w:p>
    <w:p>
      <w:pPr>
        <w:pStyle w:val="BodyText"/>
        <w:spacing w:line="480" w:lineRule="auto"/>
        <w:ind w:firstLine="720"/>
      </w:pPr>
      <w:r>
        <w:t xml:space="preserve">These figures bear directly on the bond-instrument question. A mass-class differential establishes that compliance is not a single rate a single instrument can move; it is a structured set of rates that vary with engineering and operator covariates in ways any econometric specification has to respect. And the geostationary failure dips establish that even committed operators can fail to dispose, which preserves the within-treatment variation any logit or hazard estimator needs for identification.</w:t>
      </w:r>
    </w:p>
    <w:p>
      <w:pPr>
        <w:pStyle w:val="BodyText"/>
        <w:spacing w:line="480" w:lineRule="auto"/>
        <w:ind w:firstLine="720"/>
      </w:pPr>
      <w:r>
        <w:t xml:space="preserve">Independent audit has begun to enter the compliance literature too. Verspieren’s case study of United States Air Force compliance with the orbital-debris mitigation standard practices is foundational, because it shows that even one of the institutionally most capable operators in the world fails to comply on a measurable fraction of objects</w:t>
      </w:r>
      <w:r>
        <w:t xml:space="preserve"> </w:t>
      </w:r>
      <w:hyperlink w:anchor="ref-5">
        <w:r>
          <w:rPr>
            <w:rStyle w:val="Hyperlink"/>
          </w:rPr>
          <w:t xml:space="preserve">[5]</w:t>
        </w:r>
      </w:hyperlink>
      <w:r>
        <w:t xml:space="preserve">[23]. The binding constraint is not capability. Verspieren’s result is a quiet but consequential refutation of that hypothesis; the constraint is incentive.</w:t>
      </w:r>
    </w:p>
    <w:p>
      <w:pPr>
        <w:pStyle w:val="BodyText"/>
        <w:spacing w:line="480" w:lineRule="auto"/>
        <w:ind w:firstLine="720"/>
      </w:pPr>
      <w:r>
        <w:t xml:space="preserve">Karra and Jah extend the independent-audit logic to the geostationary regime with a transparency method for assessing harmful interference and compliance that does not depend on the operator’s self-report</w:t>
      </w:r>
      <w:r>
        <w:t xml:space="preserve"> </w:t>
      </w:r>
      <w:hyperlink w:anchor="ref-16">
        <w:r>
          <w:rPr>
            <w:rStyle w:val="Hyperlink"/>
          </w:rPr>
          <w:t xml:space="preserve">[16]</w:t>
        </w:r>
      </w:hyperlink>
      <w:r>
        <w:t xml:space="preserve">[20]. Their contribution is methodological as much as empirical: it shows that the bond-design literature must reckon with a compliance signal increasingly observed by third parties rather than declared by the regulated entity.</w:t>
      </w:r>
    </w:p>
    <w:bookmarkEnd w:id="68"/>
    <w:bookmarkStart w:id="69" w:name="Xb70c43cc187fa42a9b91a4071dd501ff7e27257"/>
    <w:p>
      <w:pPr>
        <w:pStyle w:val="Heading3"/>
        <w:spacing w:line="480" w:lineRule="auto"/>
      </w:pPr>
      <w:r>
        <w:t xml:space="preserve">2.2.2 Engineering of Disposal Outcomes and Lifetime Verification</w:t>
      </w:r>
    </w:p>
    <w:p>
      <w:pPr>
        <w:pStyle w:val="FirstParagraph"/>
        <w:spacing w:line="480" w:lineRule="auto"/>
      </w:pPr>
      <w:r>
        <w:t xml:space="preserve">A second strand of the technical literature concerns the engineering of the disposal outcome itself. Ayala Fernandez and colleagues take up the uncertainty in remaining orbital lifetime after a post-mission-disposal maneuver and show that the orbital lifetime of an object placed on a nominally compliant trajectory is itself a probabilistic quantity, sensitive to atmospheric conditions, ballistic coefficient assumptions, and the precision of the initial state vector</w:t>
      </w:r>
      <w:r>
        <w:t xml:space="preserve"> </w:t>
      </w:r>
      <w:hyperlink w:anchor="ref-6">
        <w:r>
          <w:rPr>
            <w:rStyle w:val="Hyperlink"/>
          </w:rPr>
          <w:t xml:space="preserve">[6]</w:t>
        </w:r>
      </w:hyperlink>
      <w:r>
        <w:t xml:space="preserve">. For any instrument-response study the implication is real. If compliance is verified through orbital outcome rather than operator intent, the verification rule has to accommodate stochastic lifetime estimates, and the empirical specification has to report compliance probabilities under both conservative and lenient verification thresholds. The candidate’s prospectus adopts exactly that discipline, citing Ayala Fernandez and reporting that the disposal-outcome variable will be operationalized under both thresholds.</w:t>
      </w:r>
    </w:p>
    <w:p>
      <w:pPr>
        <w:pStyle w:val="BodyText"/>
        <w:spacing w:line="480" w:lineRule="auto"/>
        <w:ind w:firstLine="720"/>
      </w:pPr>
      <w:r>
        <w:t xml:space="preserve">Pontijas Fuentes and colleagues develop and extend the European Space Agency’s Debris Risk Assessment and Mitigation Analysis tool, particularly the Spacecraft Entry Survival Analysis Module, which models the demise of a spacecraft during atmospheric reentry</w:t>
      </w:r>
      <w:r>
        <w:t xml:space="preserve"> </w:t>
      </w:r>
      <w:hyperlink w:anchor="ref-17">
        <w:r>
          <w:rPr>
            <w:rStyle w:val="Hyperlink"/>
          </w:rPr>
          <w:t xml:space="preserve">[17]</w:t>
        </w:r>
      </w:hyperlink>
      <w:r>
        <w:t xml:space="preserve">[30]. The contribution is doubly relevant. First, the tool establishes that the same orbital regime can yield very different disposal-outcome categories depending on the survivability of fragments, a complication in the binary coding of compliance that the bond-design literature has to internalize. Second, it formalizes the engineering pipeline connecting an operator’s disposal decision to the eventual environmental outcome, the pipeline any empirical test of a financial instrument must respect.</w:t>
      </w:r>
    </w:p>
    <w:p>
      <w:pPr>
        <w:pStyle w:val="BodyText"/>
        <w:spacing w:line="480" w:lineRule="auto"/>
        <w:ind w:firstLine="720"/>
      </w:pPr>
      <w:r>
        <w:t xml:space="preserve">Smith and colleagues analyze ionospheric drag as a mechanism for accelerated deorbit from the upper low-Earth-orbit regime and quantify how active deorbit techniques shift the feasibility frontier of timely disposal</w:t>
      </w:r>
      <w:r>
        <w:t xml:space="preserve"> </w:t>
      </w:r>
      <w:hyperlink w:anchor="ref-31">
        <w:r>
          <w:rPr>
            <w:rStyle w:val="Hyperlink"/>
          </w:rPr>
          <w:t xml:space="preserve">[31]</w:t>
        </w:r>
      </w:hyperlink>
      <w:r>
        <w:t xml:space="preserve">. Ferreira and colleagues extend the environmental-impact analysis to the demise products themselves, assessing the chemical and particulate consequences of atmospheric reentry</w:t>
      </w:r>
      <w:r>
        <w:t xml:space="preserve"> </w:t>
      </w:r>
      <w:hyperlink w:anchor="ref-26">
        <w:r>
          <w:rPr>
            <w:rStyle w:val="Hyperlink"/>
          </w:rPr>
          <w:t xml:space="preserve">[26]</w:t>
        </w:r>
      </w:hyperlink>
      <w:r>
        <w:t xml:space="preserve">. Neither speaks directly to the bond elasticity, yet both establish that the disposal decision sits inside a wider engineering envelope in which the menu of feasible disposal pathways is itself evolving. An instrument-design study that ignored these technical frontiers would risk specifying an elasticity calibrated to historical disposal technologies, one that overstates the responsiveness of operators facing a different technical menu.</w:t>
      </w:r>
    </w:p>
    <w:bookmarkEnd w:id="69"/>
    <w:bookmarkStart w:id="70" w:name="the-environmental-stakes-and-criticality"/>
    <w:p>
      <w:pPr>
        <w:pStyle w:val="Heading3"/>
        <w:spacing w:line="480" w:lineRule="auto"/>
      </w:pPr>
      <w:r>
        <w:t xml:space="preserve">2.2.3 The Environmental Stakes and Criticality</w:t>
      </w:r>
    </w:p>
    <w:p>
      <w:pPr>
        <w:pStyle w:val="FirstParagraph"/>
        <w:spacing w:line="480" w:lineRule="auto"/>
      </w:pPr>
      <w:r>
        <w:t xml:space="preserve">A third strand documents what disposal practice is meant to achieve. Pardini and Anselmo evaluate the impact of space activities in low-Earth orbit and bound how the population of resident space objects has contributed to collision risk under different mitigation scenarios</w:t>
      </w:r>
      <w:r>
        <w:t xml:space="preserve"> </w:t>
      </w:r>
      <w:hyperlink w:anchor="ref-15">
        <w:r>
          <w:rPr>
            <w:rStyle w:val="Hyperlink"/>
          </w:rPr>
          <w:t xml:space="preserve">[15]</w:t>
        </w:r>
      </w:hyperlink>
      <w:r>
        <w:t xml:space="preserve">[29]. Their follow-on paper operationalizes a debris-flux measure of criticality that ranks orbital regions by their environmental sensitivity to additional non-disposed objects</w:t>
      </w:r>
      <w:r>
        <w:t xml:space="preserve"> </w:t>
      </w:r>
      <w:hyperlink w:anchor="ref-18">
        <w:r>
          <w:rPr>
            <w:rStyle w:val="Hyperlink"/>
          </w:rPr>
          <w:t xml:space="preserve">[18]</w:t>
        </w:r>
      </w:hyperlink>
      <w:r>
        <w:t xml:space="preserve">[28]. Bottcher and Silvestri broaden this into a multi-perspective analysis of sustainability metrics, showing that the choice of metric materially changes which mitigation behaviors look most consequential</w:t>
      </w:r>
      <w:r>
        <w:t xml:space="preserve"> </w:t>
      </w:r>
      <w:hyperlink w:anchor="ref-19">
        <w:r>
          <w:rPr>
            <w:rStyle w:val="Hyperlink"/>
          </w:rPr>
          <w:t xml:space="preserve">[19]</w:t>
        </w:r>
      </w:hyperlink>
      <w:r>
        <w:t xml:space="preserve">. Logically prior to all of this is Walls and colleagues’ argument for ontology-based data management as a foundation for assessing the inter-agency space-debris mitigation guidelines: the same compliance statement can mean different things depending on the data model behind it, and machine-readable compliance assessment requires a structured ontology</w:t>
      </w:r>
      <w:r>
        <w:t xml:space="preserve"> </w:t>
      </w:r>
      <w:hyperlink w:anchor="ref-1">
        <w:r>
          <w:rPr>
            <w:rStyle w:val="Hyperlink"/>
          </w:rPr>
          <w:t xml:space="preserve">[1]</w:t>
        </w:r>
      </w:hyperlink>
      <w:r>
        <w:t xml:space="preserve">.</w:t>
      </w:r>
    </w:p>
    <w:p>
      <w:pPr>
        <w:pStyle w:val="BodyText"/>
        <w:spacing w:line="480" w:lineRule="auto"/>
        <w:ind w:firstLine="720"/>
      </w:pPr>
      <w:r>
        <w:t xml:space="preserve">Compliance is not a scalar good. That is the cumulative lesson of this strand for the present dissertation. It is a vector of behavioral and engineering outcomes whose policy value depends on which criticality metric the regulator privileges. The instrument-design literature has only recently begun to engage the complexity. Simha and colleagues, optimizing active debris removal mission planning, frame remediation as a problem of selecting which objects to remove given a budget and a criticality function, and they tie the design explicitly to policy decisions</w:t>
      </w:r>
      <w:r>
        <w:t xml:space="preserve"> </w:t>
      </w:r>
      <w:hyperlink w:anchor="ref-7">
        <w:r>
          <w:rPr>
            <w:rStyle w:val="Hyperlink"/>
          </w:rPr>
          <w:t xml:space="preserve">[7]</w:t>
        </w:r>
      </w:hyperlink>
      <w:r>
        <w:t xml:space="preserve">. Their framework presupposes that financial instruments can be brought to bear on the orbital economy in a targeted way, which is precisely the presupposition the present dissertation tests for the prior mitigation case.</w:t>
      </w:r>
    </w:p>
    <w:p>
      <w:pPr>
        <w:pStyle w:val="BodyText"/>
        <w:spacing w:line="480" w:lineRule="auto"/>
        <w:ind w:firstLine="720"/>
      </w:pPr>
      <w:r>
        <w:t xml:space="preserve">Adjacent technical work in the pool, while not centrally about disposal, reinforces the point that the debris environment is a regime in which engineering measurement is mature and policy levers are only now beginning to be tested. The Seong, Jung, and Chung review of the Korean Aerospace Research Institute’s space-situational-awareness and space-traffic-management activities illustrates the institutional architecture within which national licensing authorities will eventually monitor compliance</w:t>
      </w:r>
      <w:r>
        <w:t xml:space="preserve"> </w:t>
      </w:r>
      <w:hyperlink w:anchor="ref-2">
        <w:r>
          <w:rPr>
            <w:rStyle w:val="Hyperlink"/>
          </w:rPr>
          <w:t xml:space="preserve">[2]</w:t>
        </w:r>
      </w:hyperlink>
      <w:r>
        <w:t xml:space="preserve">. Three further papers stand in for the instrument layer on which independent compliance verification will increasingly depend: the Bengtson and colleagues optical characterization of thermal-control paints in a simulated geostationary environment</w:t>
      </w:r>
      <w:r>
        <w:t xml:space="preserve"> </w:t>
      </w:r>
      <w:hyperlink w:anchor="ref-24">
        <w:r>
          <w:rPr>
            <w:rStyle w:val="Hyperlink"/>
          </w:rPr>
          <w:t xml:space="preserve">[24]</w:t>
        </w:r>
      </w:hyperlink>
      <w:r>
        <w:t xml:space="preserve">, the Siegmund and colleagues development of cross-strip image sensors for high-temporal-resolution remote sensing</w:t>
      </w:r>
      <w:r>
        <w:t xml:space="preserve"> </w:t>
      </w:r>
      <w:hyperlink w:anchor="ref-25">
        <w:r>
          <w:rPr>
            <w:rStyle w:val="Hyperlink"/>
          </w:rPr>
          <w:t xml:space="preserve">[25]</w:t>
        </w:r>
      </w:hyperlink>
      <w:r>
        <w:t xml:space="preserve">, and the Minot and colleagues description of pilot production of large-area microchannel plates and picosecond photodetectors</w:t>
      </w:r>
      <w:r>
        <w:t xml:space="preserve"> </w:t>
      </w:r>
      <w:hyperlink w:anchor="ref-27">
        <w:r>
          <w:rPr>
            <w:rStyle w:val="Hyperlink"/>
          </w:rPr>
          <w:t xml:space="preserve">[27]</w:t>
        </w:r>
      </w:hyperlink>
      <w:r>
        <w:t xml:space="preserve">. The Forshaw and colleagues description of the ELSA-d end-of-life debris removal mission is a representative artifact of the active-removal frontier that any deposit-refund regime must ultimately interface with</w:t>
      </w:r>
      <w:r>
        <w:t xml:space="preserve"> </w:t>
      </w:r>
      <w:hyperlink w:anchor="ref-22">
        <w:r>
          <w:rPr>
            <w:rStyle w:val="Hyperlink"/>
          </w:rPr>
          <w:t xml:space="preserve">[22]</w:t>
        </w:r>
      </w:hyperlink>
      <w:r>
        <w:t xml:space="preserve">. The Beresnev, Vorontsov, and Wangsness pocket deformable mirror, peripheral to disposal economics, belongs to the same adaptive-optics ecosystem that makes high-fidelity space-object characterization tractable at scale</w:t>
      </w:r>
      <w:r>
        <w:t xml:space="preserve"> </w:t>
      </w:r>
      <w:hyperlink w:anchor="ref-21">
        <w:r>
          <w:rPr>
            <w:rStyle w:val="Hyperlink"/>
          </w:rPr>
          <w:t xml:space="preserve">[21]</w:t>
        </w:r>
      </w:hyperlink>
      <w:r>
        <w:t xml:space="preserve">.</w:t>
      </w:r>
    </w:p>
    <w:p>
      <w:pPr>
        <w:pStyle w:val="BodyText"/>
        <w:spacing w:line="480" w:lineRule="auto"/>
        <w:ind w:firstLine="720"/>
      </w:pPr>
      <w:r>
        <w:t xml:space="preserve">The Mathanlal and colleagues bioburden-reduction work on the HABIT/ExoMars instrument</w:t>
      </w:r>
      <w:r>
        <w:t xml:space="preserve"> </w:t>
      </w:r>
      <w:hyperlink w:anchor="ref-32">
        <w:r>
          <w:rPr>
            <w:rStyle w:val="Hyperlink"/>
          </w:rPr>
          <w:t xml:space="preserve">[32]</w:t>
        </w:r>
      </w:hyperlink>
      <w:r>
        <w:t xml:space="preserve">, the Bao and colleagues development of regolith-based epoxy composites</w:t>
      </w:r>
      <w:r>
        <w:t xml:space="preserve"> </w:t>
      </w:r>
      <w:hyperlink w:anchor="ref-33">
        <w:r>
          <w:rPr>
            <w:rStyle w:val="Hyperlink"/>
          </w:rPr>
          <w:t xml:space="preserve">[33]</w:t>
        </w:r>
      </w:hyperlink>
      <w:r>
        <w:t xml:space="preserve">, the Mollah, Seta, and Spangenberg virtual framework for off-Earth construction</w:t>
      </w:r>
      <w:r>
        <w:t xml:space="preserve"> </w:t>
      </w:r>
      <w:hyperlink w:anchor="ref-34">
        <w:r>
          <w:rPr>
            <w:rStyle w:val="Hyperlink"/>
          </w:rPr>
          <w:t xml:space="preserve">[34]</w:t>
        </w:r>
      </w:hyperlink>
      <w:r>
        <w:t xml:space="preserve">, and the Huang and Zhu microgravity investigation of polymer additive manufacturing</w:t>
      </w:r>
      <w:r>
        <w:t xml:space="preserve"> </w:t>
      </w:r>
      <w:hyperlink w:anchor="ref-35">
        <w:r>
          <w:rPr>
            <w:rStyle w:val="Hyperlink"/>
          </w:rPr>
          <w:t xml:space="preserve">[35]</w:t>
        </w:r>
      </w:hyperlink>
      <w:r>
        <w:t xml:space="preserve"> </w:t>
      </w:r>
      <w:r>
        <w:t xml:space="preserve">show that the broader Acta Astronautica literature accommodates a wide range of engineering disciplines around the same orbital-environment substrate. None of these papers speaks to bond-design directly, but their presence signals the breadth of the technical community any instrument-design proposal has to communicate with.</w:t>
      </w:r>
    </w:p>
    <w:bookmarkEnd w:id="70"/>
    <w:bookmarkStart w:id="71" w:name="the-governance-and-regime-literature"/>
    <w:p>
      <w:pPr>
        <w:pStyle w:val="Heading3"/>
        <w:spacing w:line="480" w:lineRule="auto"/>
      </w:pPr>
      <w:r>
        <w:t xml:space="preserve">2.2.4 The Governance and Regime Literature</w:t>
      </w:r>
    </w:p>
    <w:p>
      <w:pPr>
        <w:pStyle w:val="FirstParagraph"/>
        <w:spacing w:line="480" w:lineRule="auto"/>
      </w:pPr>
      <w:r>
        <w:t xml:space="preserve">A fourth strand, slightly distant from engineering but adjacent to policy, concerns the social and institutional architecture of the emerging debris regime. Yap, Heiberg, and Truffer conduct a discourse-network analysis of the global socio-technical regime for tackling space debris and identify a discursive field in which incentive-based instruments, orbital-use charges and bond-like mechanisms among them, have moved from peripheral to actively proposed</w:t>
      </w:r>
      <w:r>
        <w:t xml:space="preserve"> </w:t>
      </w:r>
      <w:hyperlink w:anchor="ref-3">
        <w:r>
          <w:rPr>
            <w:rStyle w:val="Hyperlink"/>
          </w:rPr>
          <w:t xml:space="preserve">[3]</w:t>
        </w:r>
      </w:hyperlink>
      <w:r>
        <w:t xml:space="preserve">. Zhang and Balakrishnan draw the analogy to the Montreal Protocol and argue that the lesson from ozone-layer governance is a compound one: incentive structures, side payments, and verification regimes together produce compliance where exhortation alone fails</w:t>
      </w:r>
      <w:r>
        <w:t xml:space="preserve"> </w:t>
      </w:r>
      <w:hyperlink w:anchor="ref-9">
        <w:r>
          <w:rPr>
            <w:rStyle w:val="Hyperlink"/>
          </w:rPr>
          <w:t xml:space="preserve">[9]</w:t>
        </w:r>
      </w:hyperlink>
      <w:r>
        <w:t xml:space="preserve">. These two works are the closest analogues in the pool to a political-economy literature on debris policy, and they share a limitation. They identify the menu of instruments and the regime within which the menu is debated, yet they do not adjudicate which instrument moves the marginal operator.</w:t>
      </w:r>
    </w:p>
    <w:p>
      <w:pPr>
        <w:pStyle w:val="BodyText"/>
        <w:spacing w:line="480" w:lineRule="auto"/>
        <w:ind w:firstLine="720"/>
      </w:pPr>
      <w:r>
        <w:t xml:space="preserve">Dailey, Stilwell, and colleagues integrate Ostrom’s common-pool-resource framework with a fisheries-style carrying-capacity accounting and a policy-simulation model, producing an explicit research design for orbital-debris management</w:t>
      </w:r>
      <w:r>
        <w:t xml:space="preserve"> </w:t>
      </w:r>
      <w:hyperlink w:anchor="ref-8">
        <w:r>
          <w:rPr>
            <w:rStyle w:val="Hyperlink"/>
          </w:rPr>
          <w:t xml:space="preserve">[8]</w:t>
        </w:r>
      </w:hyperlink>
      <w:r>
        <w:t xml:space="preserve">. Their contribution is to make the governance gap quantitative rather than rhetorical: the simulation accepts operator-response parameters and propagates them into orbital outcomes. Its acknowledged limit is that the operator response is assumed within the simulation rather than recovered from data. That is the gap the empirical strategy of the present dissertation is built to fill.</w:t>
      </w:r>
    </w:p>
    <w:bookmarkEnd w:id="71"/>
    <w:bookmarkEnd w:id="72"/>
    <w:bookmarkStart w:id="73" w:name="X5089967edf56948d0ebc0ed11facb7686609c92"/>
    <w:p>
      <w:pPr>
        <w:pStyle w:val="Heading2"/>
        <w:spacing w:line="480" w:lineRule="auto"/>
      </w:pPr>
      <w:r>
        <w:t xml:space="preserve">2.3 The Economic Theory of the Orbital Externality</w:t>
      </w:r>
    </w:p>
    <w:p>
      <w:pPr>
        <w:pStyle w:val="FirstParagraph"/>
        <w:spacing w:line="480" w:lineRule="auto"/>
      </w:pPr>
      <w:r>
        <w:t xml:space="preserve">Orbital-debris economics has matured fast. Adilov, Alexander, and Cunningham formalize debris generation, accumulation, mitigation, and remediation as a coupled economic problem in which private marginal cost pulls away from social marginal cost, and they derive the basic implication that, absent a corrective price, the market over-generates debris and under-invests in disposal</w:t>
      </w:r>
      <w:r>
        <w:t xml:space="preserve"> </w:t>
      </w:r>
      <w:hyperlink w:anchor="ref-4">
        <w:r>
          <w:rPr>
            <w:rStyle w:val="Hyperlink"/>
          </w:rPr>
          <w:t xml:space="preserve">[4]</w:t>
        </w:r>
      </w:hyperlink>
      <w:r>
        <w:t xml:space="preserve">.</w:t>
      </w:r>
    </w:p>
    <w:p>
      <w:pPr>
        <w:pStyle w:val="BodyText"/>
        <w:spacing w:line="480" w:lineRule="auto"/>
        <w:ind w:firstLine="720"/>
      </w:pPr>
      <w:r>
        <w:t xml:space="preserve">The architecture of that argument is canonical. An open-access common-pool resource produces equilibrium congestion, and a properly designed price-type instrument internalizes the externality and restores efficiency.</w:t>
      </w:r>
    </w:p>
    <w:p>
      <w:pPr>
        <w:pStyle w:val="BodyText"/>
        <w:spacing w:line="480" w:lineRule="auto"/>
        <w:ind w:firstLine="720"/>
      </w:pPr>
      <w:r>
        <w:t xml:space="preserve">Rouillon’s physico-economic model of low-Earth-orbit management extends the framework by coupling the debris-population dynamics explicitly to a fee structure, and by showing that an orbital-use fee internalizing the collision-risk externality implements the social optimum and rises with the congestion of the orbit</w:t>
      </w:r>
      <w:r>
        <w:t xml:space="preserve"> </w:t>
      </w:r>
      <w:hyperlink w:anchor="ref-11">
        <w:r>
          <w:rPr>
            <w:rStyle w:val="Hyperlink"/>
          </w:rPr>
          <w:t xml:space="preserve">[11]</w:t>
        </w:r>
      </w:hyperlink>
      <w:r>
        <w:t xml:space="preserve">. Rao, Burgess, and Kaffine push further, quantifying the welfare implications and concluding that orbital-use fees could more than quadruple the value of the space industry against an open-access trajectory</w:t>
      </w:r>
      <w:r>
        <w:t xml:space="preserve"> </w:t>
      </w:r>
      <w:hyperlink w:anchor="ref-12">
        <w:r>
          <w:rPr>
            <w:rStyle w:val="Hyperlink"/>
          </w:rPr>
          <w:t xml:space="preserve">[12]</w:t>
        </w:r>
      </w:hyperlink>
      <w:r>
        <w:t xml:space="preserve">. Together these three constitute the canonical price-instrument argument for the orbital case. Their methodological character, though, is calibrated and simulated rather than estimated from data; the operator-response parameters are inputs, not outputs.</w:t>
      </w:r>
    </w:p>
    <w:p>
      <w:pPr>
        <w:pStyle w:val="BodyText"/>
        <w:spacing w:line="480" w:lineRule="auto"/>
        <w:ind w:firstLine="720"/>
      </w:pPr>
      <w:r>
        <w:t xml:space="preserve">A deposit-refund instrument, or performance bond, as developed in the candidate’s prospectus and prior papers, is the time-shifted analogue of an orbital-use fee. The bond charges for the option to abandon rather than for occupancy. The operator posts value at licensing and recovers it only on documented disposal. This formulation has three theoretical attractions over a flow fee. It converts a diffuse future externality into a concrete present financial stake, which aligns with the behavioral literature on loss-aversion and temporal discounting that surrounds price-instrument design in other environmental domains. It conditions the refund on the observable outcome rather than on disposal effort, sidestepping the monitoring difficulty that has dogged flow-fee proposals. And it places the cash stake before launch, the one point in the lifecycle at which the operator is unambiguously present and the regulator unambiguously holds the right of refusal. None of these attractions has been quantitatively tested. The literature has produced theoretical instruments without estimated operator responses.</w:t>
      </w:r>
    </w:p>
    <w:p>
      <w:pPr>
        <w:pStyle w:val="BodyText"/>
        <w:spacing w:line="480" w:lineRule="auto"/>
        <w:ind w:firstLine="720"/>
      </w:pPr>
      <w:r>
        <w:t xml:space="preserve">The governance literature complements the economic argument by emphasizing the institutional preconditions of any price instrument. Yap, Heiberg, and Truffer’s discourse-network analysis documents that the policy community has begun to organize around incentive instruments</w:t>
      </w:r>
      <w:r>
        <w:t xml:space="preserve"> </w:t>
      </w:r>
      <w:hyperlink w:anchor="ref-3">
        <w:r>
          <w:rPr>
            <w:rStyle w:val="Hyperlink"/>
          </w:rPr>
          <w:t xml:space="preserve">[3]</w:t>
        </w:r>
      </w:hyperlink>
      <w:r>
        <w:t xml:space="preserve">. Zhang and Balakrishnan’s Montreal Protocol analogy argues that successful environmental regimes have historically combined incentive structures with verification regimes</w:t>
      </w:r>
      <w:r>
        <w:t xml:space="preserve"> </w:t>
      </w:r>
      <w:hyperlink w:anchor="ref-9">
        <w:r>
          <w:rPr>
            <w:rStyle w:val="Hyperlink"/>
          </w:rPr>
          <w:t xml:space="preserve">[9]</w:t>
        </w:r>
      </w:hyperlink>
      <w:r>
        <w:t xml:space="preserve">. Dailey and colleagues’ Ostrom-based integrated design offers a governance frame within which any price instrument could be deployed and assessed</w:t>
      </w:r>
      <w:r>
        <w:t xml:space="preserve"> </w:t>
      </w:r>
      <w:hyperlink w:anchor="ref-8">
        <w:r>
          <w:rPr>
            <w:rStyle w:val="Hyperlink"/>
          </w:rPr>
          <w:t xml:space="preserve">[8]</w:t>
        </w:r>
      </w:hyperlink>
      <w:r>
        <w:t xml:space="preserve">. What none of these provides is an estimate of how much the operator actually responds to the financial stake such a price instrument would create.</w:t>
      </w:r>
    </w:p>
    <w:bookmarkEnd w:id="73"/>
    <w:bookmarkStart w:id="74"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empirical test the dissertation proposes calls for methodological resources the orbital-debris literature has not yet fully imported. Three families of estimators are relevant: the binary-outcome logit family that estimates the probability of compliance conditional on covariates, the survival-analysis family that estimates the rate at which a censored event occurs, and the staggered difference-in-differences family that exploits the timing of treatment adoption across units to identify causal effects.</w:t>
      </w:r>
    </w:p>
    <w:p>
      <w:pPr>
        <w:pStyle w:val="BodyText"/>
        <w:spacing w:line="480" w:lineRule="auto"/>
        <w:ind w:firstLine="720"/>
      </w:pPr>
      <w:r>
        <w:t xml:space="preserve">The binary-outcome logit literature is well established in economics and political science, and its application to compliance settings is straightforward: the dependent variable is binary, the covariates are physical and institutional, and the coefficient of interest is the bond indicator. The subtlety is the separation problem, in which a single predictor perfectly classifies the outcome and the maximum-likelihood estimator fails to converge. The candidate’s first prior paper documents an encounter with this problem and resolves it by retaining documented crossover cases that restore overlap [first prior paper, methods section]. The lesson for the present dissertation is that the bond-indicator coding has to preserve crossover by construction, not merely by accident, which means the operator-cohort taxonomy must include both bonded-and-non-compliant and unbonded-and-compliant cells. The European Space Agency’s seven-class behavioral taxonomy supports the construction directly</w:t>
      </w:r>
      <w:r>
        <w:t xml:space="preserve"> </w:t>
      </w:r>
      <w:hyperlink w:anchor="ref-10">
        <w:r>
          <w:rPr>
            <w:rStyle w:val="Hyperlink"/>
          </w:rPr>
          <w:t xml:space="preserve">[10]</w:t>
        </w:r>
      </w:hyperlink>
      <w:r>
        <w:t xml:space="preserve">.</w:t>
      </w:r>
    </w:p>
    <w:p>
      <w:pPr>
        <w:pStyle w:val="BodyText"/>
        <w:spacing w:line="480" w:lineRule="auto"/>
        <w:ind w:firstLine="720"/>
      </w:pPr>
      <w:r>
        <w:t xml:space="preserve">The survival-analysis literature is the natural match for an instrument whose entire purpose is to accelerate an action operators might otherwise delay. The Cox proportional-hazards model leaves the baseline hazard unspecified and estimates the multiplicative effect of covariates on the instantaneous rate of the event. Censoring is handled natively, which is essential for orbital-debris applications because a substantial fraction of objects are still on orbit at any observational cutoff. The candidate’s second prior paper applies a Cox model to a thirty-two-object cohort and finds altitude precisely estimated as the dominant physical gatekeeper of disposal timing, while the financial-assurance indicator is not separately identified from altitude in that sample [second prior paper, findings section]. The methodological lesson is that any bond-elasticity estimate has to be stratified by orbital regime or estimated with regime-altitude interactions, because a flat specification will absorb the bond effect into the altitude effect when the two are correlated by construction.</w:t>
      </w:r>
    </w:p>
    <w:p>
      <w:pPr>
        <w:pStyle w:val="BodyText"/>
        <w:spacing w:line="480" w:lineRule="auto"/>
        <w:ind w:firstLine="720"/>
      </w:pPr>
      <w:r>
        <w:t xml:space="preserve">The staggered difference-in-differences literature is the most recent of the three. Its central insight is that, when policy treatments are adopted at different times across units, the two-way fixed-effects estimator can deliver misleading estimates under heterogeneous treatment effects, because it implicitly compares already-treated units to newly-treated units. The heterogeneity-robust estimators of the recent applied-econometrics literature, the Callaway-Sant’Anna and de Chaisemartin-D’Haultfoeuille families among them, instead estimate group-time average treatment effects directly and aggregate them into transparent summary measures. The prospectus commits to using these estimators as the lead specification, with two-way fixed effects reported as a benchmark [prospectus, identification section]. The methodological literature also supplies an event-study framework for assessing the parallel-trends assumption, which the prospectus adopts for pre-treatment disposal hazards.</w:t>
      </w:r>
    </w:p>
    <w:p>
      <w:pPr>
        <w:pStyle w:val="BodyText"/>
        <w:spacing w:line="480" w:lineRule="auto"/>
        <w:ind w:firstLine="720"/>
      </w:pPr>
      <w:r>
        <w:t xml:space="preserve">These three estimator families are well developed in environmental and resource economics outside the orbital domain. Deposit-refund schemes have been studied in beverage-container, lead-acid-battery, and electronic-waste contexts, where the binary-outcome and panel methods have produced credible elasticities of return rates with respect to deposit size. Performance-bond schemes have been studied in mining-reclamation, oil-and-gas decommissioning, and hazardous-waste-site closure contexts, where survival models of closure timing have produced credible hazard-ratio estimates. None of these literatures has been translated into the orbital case to deliver an estimated elasticity, but each provides a methodological template the present dissertation can adapt.</w:t>
      </w:r>
    </w:p>
    <w:bookmarkEnd w:id="74"/>
    <w:bookmarkStart w:id="75" w:name="synthesis-and-the-identified-gap"/>
    <w:p>
      <w:pPr>
        <w:pStyle w:val="Heading2"/>
        <w:spacing w:line="480" w:lineRule="auto"/>
      </w:pPr>
      <w:r>
        <w:t xml:space="preserve">2.5 Synthesis and the Identified Gap</w:t>
      </w:r>
    </w:p>
    <w:p>
      <w:pPr>
        <w:pStyle w:val="FirstParagraph"/>
        <w:spacing w:line="480" w:lineRule="auto"/>
      </w:pPr>
      <w:r>
        <w:t xml:space="preserve">The two literatures reviewed in Sections 2.2 through 2.4 stand in a productive but incomplete relation. The technical and policy literature has produced rich measurement of disposal outcomes</w:t>
      </w:r>
      <w:r>
        <w:t xml:space="preserve"> </w:t>
      </w:r>
      <w:hyperlink w:anchor="ref-6">
        <w:r>
          <w:rPr>
            <w:rStyle w:val="Hyperlink"/>
          </w:rPr>
          <w:t xml:space="preserve">[6]</w:t>
        </w:r>
      </w:hyperlink>
      <w:r>
        <w:t xml:space="preserve">[10][13][14][15][17][18][19][29], structured cohort taxonomies that distinguish compliant from non-compliant behavior under various conditions</w:t>
      </w:r>
      <w:r>
        <w:t xml:space="preserve"> </w:t>
      </w:r>
      <w:hyperlink w:anchor="ref-10">
        <w:r>
          <w:rPr>
            <w:rStyle w:val="Hyperlink"/>
          </w:rPr>
          <w:t xml:space="preserve">[10]</w:t>
        </w:r>
      </w:hyperlink>
      <w:r>
        <w:t xml:space="preserve">, engineering bounds on the verifiability of any compliance outcome</w:t>
      </w:r>
      <w:r>
        <w:t xml:space="preserve"> </w:t>
      </w:r>
      <w:hyperlink w:anchor="ref-6">
        <w:r>
          <w:rPr>
            <w:rStyle w:val="Hyperlink"/>
          </w:rPr>
          <w:t xml:space="preserve">[6]</w:t>
        </w:r>
      </w:hyperlink>
      <w:r>
        <w:t xml:space="preserve">[17], a maturing independent-audit capability that does not lean on operator self-report</w:t>
      </w:r>
      <w:r>
        <w:t xml:space="preserve"> </w:t>
      </w:r>
      <w:hyperlink w:anchor="ref-5">
        <w:r>
          <w:rPr>
            <w:rStyle w:val="Hyperlink"/>
          </w:rPr>
          <w:t xml:space="preserve">[5]</w:t>
        </w:r>
      </w:hyperlink>
      <w:r>
        <w:t xml:space="preserve">[16][20][23], and a discursive and institutional architecture within which incentive instruments have begun to be debated</w:t>
      </w:r>
      <w:r>
        <w:t xml:space="preserve"> </w:t>
      </w:r>
      <w:hyperlink w:anchor="ref-1">
        <w:r>
          <w:rPr>
            <w:rStyle w:val="Hyperlink"/>
          </w:rPr>
          <w:t xml:space="preserve">[1]</w:t>
        </w:r>
      </w:hyperlink>
      <w:r>
        <w:t xml:space="preserve">[3][8][9]. The economic literature has produced canonical externality-pricing arguments</w:t>
      </w:r>
      <w:r>
        <w:t xml:space="preserve"> </w:t>
      </w:r>
      <w:hyperlink w:anchor="ref-4">
        <w:r>
          <w:rPr>
            <w:rStyle w:val="Hyperlink"/>
          </w:rPr>
          <w:t xml:space="preserve">[4]</w:t>
        </w:r>
      </w:hyperlink>
      <w:r>
        <w:t xml:space="preserve">, physico-economic models of the orbital commons</w:t>
      </w:r>
      <w:r>
        <w:t xml:space="preserve"> </w:t>
      </w:r>
      <w:hyperlink w:anchor="ref-11">
        <w:r>
          <w:rPr>
            <w:rStyle w:val="Hyperlink"/>
          </w:rPr>
          <w:t xml:space="preserve">[11]</w:t>
        </w:r>
      </w:hyperlink>
      <w:r>
        <w:t xml:space="preserve">, welfare calculations that quantify the stakes of pricing</w:t>
      </w:r>
      <w:r>
        <w:t xml:space="preserve"> </w:t>
      </w:r>
      <w:hyperlink w:anchor="ref-12">
        <w:r>
          <w:rPr>
            <w:rStyle w:val="Hyperlink"/>
          </w:rPr>
          <w:t xml:space="preserve">[12]</w:t>
        </w:r>
      </w:hyperlink>
      <w:r>
        <w:t xml:space="preserve">, and a remediation-design frontier that presupposes financial instruments can steer the orbital economy</w:t>
      </w:r>
      <w:r>
        <w:t xml:space="preserve"> </w:t>
      </w:r>
      <w:hyperlink w:anchor="ref-7">
        <w:r>
          <w:rPr>
            <w:rStyle w:val="Hyperlink"/>
          </w:rPr>
          <w:t xml:space="preserve">[7]</w:t>
        </w:r>
      </w:hyperlink>
      <w:r>
        <w:t xml:space="preserve">. The methodological literature, drawn from cliometric and applied-econometric practice in adjacent domains, has produced binary-outcome, survival, and staggered difference-in-differences estimators routinely used to identify the causal effect of environmental policy instruments on regulated behavior.</w:t>
      </w:r>
    </w:p>
    <w:p>
      <w:pPr>
        <w:pStyle w:val="BodyText"/>
        <w:spacing w:line="480" w:lineRule="auto"/>
        <w:ind w:firstLine="720"/>
      </w:pPr>
      <w:r>
        <w:t xml:space="preserve">What the combined literature has not produced is an empirical estimate of the causal elasticity of operator post-mission disposal compliance with respect to the refundable bond fraction imposed at licensing. The Anselmo and Pardini, Pardini and Anselmo, and European Space Agency measurement studies establish that disposal practice is uneven across regimes, mass classes, and eras, and they mark the cohorts within which a bond effect would have to be detectable to be credible</w:t>
      </w:r>
      <w:r>
        <w:t xml:space="preserve"> </w:t>
      </w:r>
      <w:hyperlink w:anchor="ref-10">
        <w:r>
          <w:rPr>
            <w:rStyle w:val="Hyperlink"/>
          </w:rPr>
          <w:t xml:space="preserve">[10]</w:t>
        </w:r>
      </w:hyperlink>
      <w:r>
        <w:t xml:space="preserve">[13][14]. The Adilov, Rouillon, and Rao economic studies establish that a corrective price exists in principle, yet they do not estimate the response of any actual operator to any actual price</w:t>
      </w:r>
      <w:r>
        <w:t xml:space="preserve"> </w:t>
      </w:r>
      <w:hyperlink w:anchor="ref-4">
        <w:r>
          <w:rPr>
            <w:rStyle w:val="Hyperlink"/>
          </w:rPr>
          <w:t xml:space="preserve">[4]</w:t>
        </w:r>
      </w:hyperlink>
      <w:r>
        <w:t xml:space="preserve">[11][12]. The Yap, Zhang, and Dailey governance studies establish that the regime within which a bond instrument would be deployed is taking shape, yet they do not adjudicate which instrument moves behavior</w:t>
      </w:r>
      <w:r>
        <w:t xml:space="preserve"> </w:t>
      </w:r>
      <w:hyperlink w:anchor="ref-3">
        <w:r>
          <w:rPr>
            <w:rStyle w:val="Hyperlink"/>
          </w:rPr>
          <w:t xml:space="preserve">[3]</w:t>
        </w:r>
      </w:hyperlink>
      <w:r>
        <w:t xml:space="preserve">[8][9]. The candidate’s two prior papers begin to traverse the gap by applying logit and Cox specifications to cohort and object samples respectively. The first finds a bonded-obligation indicator the dominant term in a logit of compliance, significant at the ten-percent threshold in a thirty-cohort sample. The second finds the financial-assurance indicator not separately identified from altitude in a thirty-two-object Cox model.</w:t>
      </w:r>
    </w:p>
    <w:p>
      <w:pPr>
        <w:pStyle w:val="BodyText"/>
        <w:spacing w:line="480" w:lineRule="auto"/>
        <w:ind w:firstLine="720"/>
      </w:pPr>
      <w:r>
        <w:t xml:space="preserve">Between them, the two papers establish three propositions on which the dissertation builds.</w:t>
      </w:r>
    </w:p>
    <w:p>
      <w:pPr>
        <w:pStyle w:val="BodyText"/>
        <w:spacing w:line="480" w:lineRule="auto"/>
        <w:ind w:firstLine="720"/>
      </w:pPr>
      <w:r>
        <w:t xml:space="preserve">First, the binary-and-survival distinction matters. A bond instrument can affect whether disposal happens, the rate at which it happens, or both. The dissertation specifies both a discrete-time survival model of the disposal event and a panel logit on operator-cohort compliance shares, recovering both quantities and reporting them jointly.</w:t>
      </w:r>
    </w:p>
    <w:p>
      <w:pPr>
        <w:pStyle w:val="BodyText"/>
        <w:spacing w:line="480" w:lineRule="auto"/>
        <w:ind w:firstLine="720"/>
      </w:pPr>
      <w:r>
        <w:t xml:space="preserve">Second, the bond indicator has to be constructed to preserve crossover and to stay separable from physical covariates. The first prior paper preserves crossover by retaining documented bonded-and-failed and unbonded-and-succeeded cases</w:t>
      </w:r>
      <w:r>
        <w:t xml:space="preserve"> </w:t>
      </w:r>
      <w:hyperlink w:anchor="ref-10">
        <w:r>
          <w:rPr>
            <w:rStyle w:val="Hyperlink"/>
          </w:rPr>
          <w:t xml:space="preserve">[10]</w:t>
        </w:r>
      </w:hyperlink>
      <w:r>
        <w:t xml:space="preserve">. Its successor documents that an altitude-correlated bond indicator absorbs into altitude under a flat Cox specification</w:t>
      </w:r>
      <w:r>
        <w:t xml:space="preserve"> </w:t>
      </w:r>
      <w:hyperlink w:anchor="ref-17">
        <w:r>
          <w:rPr>
            <w:rStyle w:val="Hyperlink"/>
          </w:rPr>
          <w:t xml:space="preserve">[17]</w:t>
        </w:r>
      </w:hyperlink>
      <w:r>
        <w:t xml:space="preserve">[31]. The dissertation answers by constructing a continuous bond-fraction variable from jurisdiction-and-cohort variation in licensing-stage financial-security requirements and by stratifying the baseline hazard on orbital regime, which severs the confound that defeated the second prior paper.</w:t>
      </w:r>
    </w:p>
    <w:p>
      <w:pPr>
        <w:pStyle w:val="BodyText"/>
        <w:spacing w:line="480" w:lineRule="auto"/>
        <w:ind w:firstLine="720"/>
      </w:pPr>
      <w:r>
        <w:t xml:space="preserve">Third, staggered adoption of bond-like requirements across jurisdictions supplies the causal variation pure cross-sectional designs cannot. The prospectus’s identification strategy rests on this proposition and adopts the heterogeneity-robust estimators of the recent applied-econometrics literature. This is the move that completes the bridge between the technical and methodological literatures and that separates the dissertation’s empirical contribution from a calibrated simulation of the Adilov-Rouillon-Rao type.</w:t>
      </w:r>
    </w:p>
    <w:p>
      <w:pPr>
        <w:pStyle w:val="BodyText"/>
        <w:spacing w:line="480" w:lineRule="auto"/>
        <w:ind w:firstLine="720"/>
      </w:pPr>
      <w:r>
        <w:t xml:space="preserve">The specific gap the dissertation closes is therefore not a theoretical gap, since the canonical externality argument is settled, and not a measurement gap, since disposal outcomes are reasonably well measured. It is an identification gap. No study has recovered, from real operator behavior, the causal effect of a refundable financial stake on post-mission disposal compliance. Filling it is the precondition for any credible orbital-use-fee or bond policy, because every fee or bond proposal in the current regime implicitly assumes an operator response nobody has estimated from data. The dissertation supplies that estimate, with a point value, a confidence interval, an implied bond fraction required to reach a target compliance rate, and an explicit out-of-sample bound on extrapolation beyond the historical range of bond fractions observed in licensing records. If the estimated elasticity is statistically indistinguishable from zero, the deposit-refund hypothesis is rejected and the burden of orbital-debris policy returns to standards-based enforcement and to the active-removal frontier Simha and colleagues have begun to design</w:t>
      </w:r>
      <w:r>
        <w:t xml:space="preserve"> </w:t>
      </w:r>
      <w:hyperlink w:anchor="ref-7">
        <w:r>
          <w:rPr>
            <w:rStyle w:val="Hyperlink"/>
          </w:rPr>
          <w:t xml:space="preserve">[7]</w:t>
        </w:r>
      </w:hyperlink>
      <w:r>
        <w:t xml:space="preserve">. If the elasticity is positive and bounded away from zero, the dissertation will have shown that the marginal operator does respond to a refundable stake, and the governance literature’s incentive-instrument program will have acquired the empirical foundation it has so far lacked.</w:t>
      </w:r>
    </w:p>
    <w:p>
      <w:pPr>
        <w:pStyle w:val="BodyText"/>
        <w:spacing w:line="480" w:lineRule="auto"/>
        <w:ind w:firstLine="720"/>
      </w:pPr>
      <w:r>
        <w:t xml:space="preserve">The remainder of the dissertation constructs and executes the test. Chapter 3 specifies the data assembly, the bond-fraction construction, and the cohort-level and object-level units of analysis. Chapter 4 develops the discrete-time survival specification and the staggered difference-in-differences estimator and reports the parallel-trends diagnostics. Chapter 5 reports the elasticity estimates. Chapter 6 places the estimates back into the technical, economic, and governance literatures reviewed here and draws the implications for instrument design.</w:t>
      </w:r>
    </w:p>
    <w:bookmarkEnd w:id="75"/>
    <w:bookmarkEnd w:id="76"/>
    <w:bookmarkStart w:id="84" w:name="Xcfcc00a3ded59aed0c781c16bfc121f2a509603"/>
    <w:p>
      <w:pPr>
        <w:pStyle w:val="Heading1"/>
        <w:spacing w:line="480" w:lineRule="auto"/>
      </w:pPr>
      <w:r>
        <w:t xml:space="preserve">Chapter 3. Theoretical Framework and Hypotheses</w:t>
      </w:r>
    </w:p>
    <w:bookmarkStart w:id="77" w:name="overview"/>
    <w:p>
      <w:pPr>
        <w:pStyle w:val="Heading2"/>
        <w:spacing w:line="480" w:lineRule="auto"/>
      </w:pPr>
      <w:r>
        <w:t xml:space="preserve">3.1 Overview</w:t>
      </w:r>
    </w:p>
    <w:p>
      <w:pPr>
        <w:pStyle w:val="FirstParagraph"/>
        <w:spacing w:line="480" w:lineRule="auto"/>
      </w:pPr>
      <w:r>
        <w:t xml:space="preserve">This chapter builds the theoretical framework that underwrites the dissertation’s single falsifiable contribution: a quantitative estimate of the causal response of post-mission disposal compliance to a refundable financial stake placed at licensing. The argument narrows as it goes, from the broadest theoretical commitment to the tightest. Section 3.2 situates low Earth orbit and the geostationary protected region as a common-pool resource in the Ostromian sense, drawing on the integrated research design that pairs the common-pool-resource frame with carrying-capacity accounting and policy simulation</w:t>
      </w:r>
      <w:r>
        <w:t xml:space="preserve"> </w:t>
      </w:r>
      <w:hyperlink w:anchor="ref-8">
        <w:r>
          <w:rPr>
            <w:rStyle w:val="Hyperlink"/>
          </w:rPr>
          <w:t xml:space="preserve">[8]</w:t>
        </w:r>
      </w:hyperlink>
      <w:r>
        <w:t xml:space="preserve">. Section 3.3 specifies the economic problem as a divergence between private and social marginal cost in the operator’s disposal decision, following the formal treatment of debris generation and remediation in the space-economics literature</w:t>
      </w:r>
      <w:r>
        <w:t xml:space="preserve"> </w:t>
      </w:r>
      <w:hyperlink w:anchor="ref-4">
        <w:r>
          <w:rPr>
            <w:rStyle w:val="Hyperlink"/>
          </w:rPr>
          <w:t xml:space="preserve">[4]</w:t>
        </w:r>
      </w:hyperlink>
      <w:r>
        <w:t xml:space="preserve">. Section 3.4 develops the deposit-refund mechanism as a time-shifted Pigovian instrument and sets it against the orbital-use fee that has dominated the recent corrective-price discussion</w:t>
      </w:r>
      <w:r>
        <w:t xml:space="preserve"> </w:t>
      </w:r>
      <w:hyperlink w:anchor="ref-4">
        <w:r>
          <w:rPr>
            <w:rStyle w:val="Hyperlink"/>
          </w:rPr>
          <w:t xml:space="preserve">[4]</w:t>
        </w:r>
      </w:hyperlink>
      <w:r>
        <w:t xml:space="preserve">[11][12]. Section 3.5 elaborates the causal logic by which a refundable bond is hypothesized to alter the marginal operator’s disposal calculus, with explicit attention to verification, time horizon, and operator heterogeneity</w:t>
      </w:r>
      <w:r>
        <w:t xml:space="preserve"> </w:t>
      </w:r>
      <w:hyperlink w:anchor="ref-3">
        <w:r>
          <w:rPr>
            <w:rStyle w:val="Hyperlink"/>
          </w:rPr>
          <w:t xml:space="preserve">[3]</w:t>
        </w:r>
      </w:hyperlink>
      <w:r>
        <w:t xml:space="preserve">[5][6]. Section 3.6 translates that logic into the formal null and alternative hypotheses, H0 and H1, that the empirical chapters test. Section 3.7 catalogs the auxiliary predictions, the boundary conditions, and the conditions under which the framework would count as falsified rather than merely uninformative. Two prior research papers, a logit analysis of compliant disposal outcomes across thirty cohorts and a Cox proportional-hazards analysis of disposal timing across thirty-two objects, supply the empirical pillars on which this framework rests, and each is referenced where it constrains the theoretical construction.</w:t>
      </w:r>
    </w:p>
    <w:bookmarkEnd w:id="77"/>
    <w:bookmarkStart w:id="78" w:name="X63c3f2f58283ab69f70a7ae807ede1a4122a178"/>
    <w:p>
      <w:pPr>
        <w:pStyle w:val="Heading2"/>
        <w:spacing w:line="480" w:lineRule="auto"/>
      </w:pPr>
      <w:r>
        <w:t xml:space="preserve">3.2 The Orbital Commons as a Common-Pool Resource</w:t>
      </w:r>
    </w:p>
    <w:p>
      <w:pPr>
        <w:pStyle w:val="FirstParagraph"/>
        <w:spacing w:line="480" w:lineRule="auto"/>
      </w:pPr>
      <w:r>
        <w:t xml:space="preserve">The framework departs from a single recognition. The orbital environment, particularly the low Earth orbit regime below roughly two thousand kilometres and the protected geostationary belt, exhibits the two diagnostic properties of a common-pool resource, subtractability of use and high cost of exclusion. Each additional non-disposed object shrinks the volume of orbital phase space available for safe operation by future entrants and raises the collision probability faced by every existing operator, which is subtractability. As for exclusion, the international legal regime treats orbital access as non-excludable in principle: the Outer Space Treaty’s freedom-of-use provisions and the absence of any sovereign claim to orbital volumes preclude the kind of property-rights enclosure that would convert orbit into a private good. Dailey, Stilwell, and colleagues develop this framing explicitly, mapping the eight Ostromian design principles onto the orbital case and coupling the institutional analysis to a fisheries-style carrying-capacity accounting through the Kobe-plot methodology and the OPUS policy-simulation model</w:t>
      </w:r>
      <w:r>
        <w:t xml:space="preserve"> </w:t>
      </w:r>
      <w:hyperlink w:anchor="ref-8">
        <w:r>
          <w:rPr>
            <w:rStyle w:val="Hyperlink"/>
          </w:rPr>
          <w:t xml:space="preserve">[8]</w:t>
        </w:r>
      </w:hyperlink>
      <w:r>
        <w:t xml:space="preserve">. Their work supplies the institutional vocabulary in which the dissertation’s instrument is situated. A refundable bond is, in common-pool-resource terms, an appropriator-side monitoring and sanctioning device that operates through price rather than through exclusion.</w:t>
      </w:r>
    </w:p>
    <w:p>
      <w:pPr>
        <w:pStyle w:val="BodyText"/>
        <w:spacing w:line="480" w:lineRule="auto"/>
        <w:ind w:firstLine="720"/>
      </w:pPr>
      <w:r>
        <w:t xml:space="preserve">The frame does substantive work in three respects. It clarifies, first, why disposal compliance stays fragile even among institutionally capable operators. Verspieren’s audit of one of the most procedurally mature operators in the world, the United States Air Force, found measurable non-compliance with the orbital-debris mitigation standard practices, establishing that the binding constraint is not capability but incentive</w:t>
      </w:r>
      <w:r>
        <w:t xml:space="preserve"> </w:t>
      </w:r>
      <w:hyperlink w:anchor="ref-5">
        <w:r>
          <w:rPr>
            <w:rStyle w:val="Hyperlink"/>
          </w:rPr>
          <w:t xml:space="preserve">[5]</w:t>
        </w:r>
      </w:hyperlink>
      <w:r>
        <w:t xml:space="preserve">. The frame predicts exactly this. Appropriators who bear the full private cost of compliance while internalizing only a vanishing fraction of the social cost of non-compliance will under-supply the appropriator effort that sustains the resource, whatever their technical sophistication. Second, the frame motivates the choice of instrument family. Ostromian governance research finds that the most durable common-pool-resource regimes pair clear appropriation rules with graduated, credible sanctions administered close to the source of the externality. A refundable deposit posted at licensing and released on verified disposal is, structurally, a graduated and self-administering sanction: the operator who complies recovers the full deposit, the operator who defaults forfeits a known and pre-committed amount, and the regulator avoids the expensive ex post enforcement litigation that has historically left standards-based debris rules unenforceable</w:t>
      </w:r>
      <w:r>
        <w:t xml:space="preserve"> </w:t>
      </w:r>
      <w:hyperlink w:anchor="ref-1">
        <w:r>
          <w:rPr>
            <w:rStyle w:val="Hyperlink"/>
          </w:rPr>
          <w:t xml:space="preserve">[1]</w:t>
        </w:r>
      </w:hyperlink>
      <w:r>
        <w:t xml:space="preserve">. Third, the frame supplies the policy counterfactual against which the dissertation’s instrument is evaluated. Yap, Heiberg, and Truffer’s discourse-network analysis of the emerging debris regime documents that the policy community now actively considers a menu of incentive instruments, from orbital-use fees to bond-like mechanisms to liability extensions</w:t>
      </w:r>
      <w:r>
        <w:t xml:space="preserve"> </w:t>
      </w:r>
      <w:hyperlink w:anchor="ref-3">
        <w:r>
          <w:rPr>
            <w:rStyle w:val="Hyperlink"/>
          </w:rPr>
          <w:t xml:space="preserve">[3]</w:t>
        </w:r>
      </w:hyperlink>
      <w:r>
        <w:t xml:space="preserve">. The common-pool-resource frame makes those instruments commensurable as appropriator-side governance devices and licenses a quantitative comparison among them.</w:t>
      </w:r>
    </w:p>
    <w:bookmarkEnd w:id="78"/>
    <w:bookmarkStart w:id="79" w:name="X608f1c5d239ff6a74be2df741d7c2ad23684cd8"/>
    <w:p>
      <w:pPr>
        <w:pStyle w:val="Heading2"/>
        <w:spacing w:line="480" w:lineRule="auto"/>
      </w:pPr>
      <w:r>
        <w:t xml:space="preserve">3.3 The Economic Problem: Externality, Marginal Cost, and the Disposal Decision</w:t>
      </w:r>
    </w:p>
    <w:p>
      <w:pPr>
        <w:pStyle w:val="FirstParagraph"/>
        <w:spacing w:line="480" w:lineRule="auto"/>
      </w:pPr>
      <w:r>
        <w:t xml:space="preserve">Within the frame, the operator’s end-of-mission decision admits a precise economic specification. Adilov, Alexander, and Cunningham formalize debris generation, accumulation, mitigation, and remediation as an externality problem in which the private marginal cost of a non-disposal action diverges from the social marginal cost by the congestion and collision risk imposed on every other and every future user</w:t>
      </w:r>
      <w:r>
        <w:t xml:space="preserve"> </w:t>
      </w:r>
      <w:hyperlink w:anchor="ref-4">
        <w:r>
          <w:rPr>
            <w:rStyle w:val="Hyperlink"/>
          </w:rPr>
          <w:t xml:space="preserve">[4]</w:t>
        </w:r>
      </w:hyperlink>
      <w:r>
        <w:t xml:space="preserve">. Rouillon extends the treatment with a physico-economic model of low Earth orbit management that derives the optimal corrective price as an increasing function of orbital congestion</w:t>
      </w:r>
      <w:r>
        <w:t xml:space="preserve"> </w:t>
      </w:r>
      <w:hyperlink w:anchor="ref-11">
        <w:r>
          <w:rPr>
            <w:rStyle w:val="Hyperlink"/>
          </w:rPr>
          <w:t xml:space="preserve">[11]</w:t>
        </w:r>
      </w:hyperlink>
      <w:r>
        <w:t xml:space="preserve">, and Rao, Burgess, and Kaffine quantify, in a calibrated equilibrium, that an orbital-use fee internalizing the collision externality could more than quadruple the present value of the satellite industry against the open-access trajectory</w:t>
      </w:r>
      <w:r>
        <w:t xml:space="preserve"> </w:t>
      </w:r>
      <w:hyperlink w:anchor="ref-12">
        <w:r>
          <w:rPr>
            <w:rStyle w:val="Hyperlink"/>
          </w:rPr>
          <w:t xml:space="preserve">[12]</w:t>
        </w:r>
      </w:hyperlink>
      <w:r>
        <w:t xml:space="preserve">. The convergence of these results across modelling traditions establishes an unambiguous theoretical prior.</w:t>
      </w:r>
    </w:p>
    <w:p>
      <w:pPr>
        <w:pStyle w:val="BodyText"/>
        <w:spacing w:line="480" w:lineRule="auto"/>
        <w:ind w:firstLine="720"/>
      </w:pPr>
      <w:r>
        <w:t xml:space="preserve">Price-type instruments dominate quantity-type or standards-type instruments for this class of externality, provided the price is administered at a point in the operator’s decision tree where it can actually move behavior.</w:t>
      </w:r>
    </w:p>
    <w:p>
      <w:pPr>
        <w:pStyle w:val="BodyText"/>
        <w:spacing w:line="480" w:lineRule="auto"/>
        <w:ind w:firstLine="720"/>
      </w:pPr>
      <w:r>
        <w:t xml:space="preserve">State the operator’s disposal decision as an inequality. Let</w:t>
      </w:r>
      <w:r>
        <w:t xml:space="preserve"> </w:t>
      </w:r>
      <w:r>
        <w:rPr>
          <w:rStyle w:val="VerbatimChar"/>
        </w:rPr>
        <w:t xml:space="preserve">P</w:t>
      </w:r>
      <w:r>
        <w:t xml:space="preserve"> </w:t>
      </w:r>
      <w:r>
        <w:t xml:space="preserve">denote the private cost of executing the disposal manoeuvre: propellant mass, the opportunity cost of that propellant in extending mission life, the operational labour and ground-segment cost of executing the manoeuvre, and any revenue-generating mission time given up to reserve the disposal budget. Let</w:t>
      </w:r>
      <w:r>
        <w:t xml:space="preserve"> </w:t>
      </w:r>
      <w:r>
        <w:rPr>
          <w:rStyle w:val="VerbatimChar"/>
        </w:rPr>
        <w:t xml:space="preserve">S</w:t>
      </w:r>
      <w:r>
        <w:t xml:space="preserve"> </w:t>
      </w:r>
      <w:r>
        <w:t xml:space="preserve">denote the operator’s share of the social cost of non-disposal, which under the current regime is approximately zero, because the congestion externality is diffuse and the legal regime imposes neither a credible liability nor a credible fine</w:t>
      </w:r>
      <w:r>
        <w:t xml:space="preserve"> </w:t>
      </w:r>
      <w:hyperlink w:anchor="ref-1">
        <w:r>
          <w:rPr>
            <w:rStyle w:val="Hyperlink"/>
          </w:rPr>
          <w:t xml:space="preserve">[1]</w:t>
        </w:r>
      </w:hyperlink>
      <w:r>
        <w:t xml:space="preserve">[9]. Let</w:t>
      </w:r>
      <w:r>
        <w:t xml:space="preserve"> </w:t>
      </w:r>
      <w:r>
        <w:rPr>
          <w:rStyle w:val="VerbatimChar"/>
        </w:rPr>
        <w:t xml:space="preserve">b</w:t>
      </w:r>
      <w:r>
        <w:t xml:space="preserve"> </w:t>
      </w:r>
      <w:r>
        <w:t xml:space="preserve">denote the refundable bond fraction, the share of a reference cost withheld at licensing and refunded on verified disposal, and let</w:t>
      </w:r>
      <w:r>
        <w:t xml:space="preserve"> </w:t>
      </w:r>
      <w:r>
        <w:rPr>
          <w:rStyle w:val="VerbatimChar"/>
        </w:rPr>
        <w:t xml:space="preserve">R</w:t>
      </w:r>
      <w:r>
        <w:t xml:space="preserve"> </w:t>
      </w:r>
      <w:r>
        <w:t xml:space="preserve">denote the reference cost to which</w:t>
      </w:r>
      <w:r>
        <w:t xml:space="preserve"> </w:t>
      </w:r>
      <w:r>
        <w:rPr>
          <w:rStyle w:val="VerbatimChar"/>
        </w:rPr>
        <w:t xml:space="preserve">b</w:t>
      </w:r>
      <w:r>
        <w:t xml:space="preserve"> </w:t>
      </w:r>
      <w:r>
        <w:t xml:space="preserve">is applied. The operator disposes if and only if</w:t>
      </w:r>
      <w:r>
        <w:t xml:space="preserve"> </w:t>
      </w:r>
      <w:r>
        <w:rPr>
          <w:rStyle w:val="VerbatimChar"/>
        </w:rPr>
        <w:t xml:space="preserve">P</w:t>
      </w:r>
      <w:r>
        <w:t xml:space="preserve"> </w:t>
      </w:r>
      <w:r>
        <w:t xml:space="preserve">is less than the sum of</w:t>
      </w:r>
      <w:r>
        <w:t xml:space="preserve"> </w:t>
      </w:r>
      <w:r>
        <w:rPr>
          <w:rStyle w:val="VerbatimChar"/>
        </w:rPr>
        <w:t xml:space="preserve">S</w:t>
      </w:r>
      <w:r>
        <w:t xml:space="preserve"> </w:t>
      </w:r>
      <w:r>
        <w:t xml:space="preserve">and</w:t>
      </w:r>
      <w:r>
        <w:t xml:space="preserve"> </w:t>
      </w:r>
      <w:r>
        <w:rPr>
          <w:rStyle w:val="VerbatimChar"/>
        </w:rPr>
        <w:t xml:space="preserve">b*R</w:t>
      </w:r>
      <w:r>
        <w:t xml:space="preserve">. Under the current regime, with both</w:t>
      </w:r>
      <w:r>
        <w:t xml:space="preserve"> </w:t>
      </w:r>
      <w:r>
        <w:rPr>
          <w:rStyle w:val="VerbatimChar"/>
        </w:rPr>
        <w:t xml:space="preserve">S</w:t>
      </w:r>
      <w:r>
        <w:t xml:space="preserve"> </w:t>
      </w:r>
      <w:r>
        <w:t xml:space="preserve">and</w:t>
      </w:r>
      <w:r>
        <w:t xml:space="preserve"> </w:t>
      </w:r>
      <w:r>
        <w:rPr>
          <w:rStyle w:val="VerbatimChar"/>
        </w:rPr>
        <w:t xml:space="preserve">b*R</w:t>
      </w:r>
      <w:r>
        <w:t xml:space="preserve"> </w:t>
      </w:r>
      <w:r>
        <w:t xml:space="preserve">near zero, the inequality collapses to a private-cost-only calculus, and the operator disposes only when</w:t>
      </w:r>
      <w:r>
        <w:t xml:space="preserve"> </w:t>
      </w:r>
      <w:r>
        <w:rPr>
          <w:rStyle w:val="VerbatimChar"/>
        </w:rPr>
        <w:t xml:space="preserve">P</w:t>
      </w:r>
      <w:r>
        <w:t xml:space="preserve"> </w:t>
      </w:r>
      <w:r>
        <w:t xml:space="preserve">is itself small: when the satellite is naturally compliant by altitude and ballistic coefficient, or when disposal is incidental to the mission. The systematic shortfall the European Space Agency reports, only fifty-seven percent of large low-Earth-orbit payloads configured to clear the protected region within the lifetime limit and historical geostationary disposal hovering near forty percent, is exactly what the inequality predicts under near-zero</w:t>
      </w:r>
      <w:r>
        <w:t xml:space="preserve"> </w:t>
      </w:r>
      <w:r>
        <w:rPr>
          <w:rStyle w:val="VerbatimChar"/>
        </w:rPr>
        <w:t xml:space="preserve">S</w:t>
      </w:r>
      <w:r>
        <w:t xml:space="preserve"> </w:t>
      </w:r>
      <w:r>
        <w:t xml:space="preserve">and</w:t>
      </w:r>
      <w:r>
        <w:t xml:space="preserve"> </w:t>
      </w:r>
      <w:r>
        <w:rPr>
          <w:rStyle w:val="VerbatimChar"/>
        </w:rPr>
        <w:t xml:space="preserve">b*R</w:t>
      </w:r>
      <w:r>
        <w:t xml:space="preserve"> </w:t>
      </w:r>
      <w:hyperlink w:anchor="ref-10">
        <w:r>
          <w:rPr>
            <w:rStyle w:val="Hyperlink"/>
          </w:rPr>
          <w:t xml:space="preserve">[10]</w:t>
        </w:r>
      </w:hyperlink>
      <w:r>
        <w:t xml:space="preserve">[13]. The point of the deposit-refund instrument is to raise</w:t>
      </w:r>
      <w:r>
        <w:t xml:space="preserve"> </w:t>
      </w:r>
      <w:r>
        <w:rPr>
          <w:rStyle w:val="VerbatimChar"/>
        </w:rPr>
        <w:t xml:space="preserve">b*R</w:t>
      </w:r>
      <w:r>
        <w:t xml:space="preserve"> </w:t>
      </w:r>
      <w:r>
        <w:t xml:space="preserve">to a level that flips the inequality for the marginal operator, the one whose private cost</w:t>
      </w:r>
      <w:r>
        <w:t xml:space="preserve"> </w:t>
      </w:r>
      <w:r>
        <w:rPr>
          <w:rStyle w:val="VerbatimChar"/>
        </w:rPr>
        <w:t xml:space="preserve">P</w:t>
      </w:r>
      <w:r>
        <w:t xml:space="preserve"> </w:t>
      </w:r>
      <w:r>
        <w:t xml:space="preserve">sits just above the current threshold and just below the threshold an effective bond would create.</w:t>
      </w:r>
    </w:p>
    <w:bookmarkEnd w:id="79"/>
    <w:bookmarkStart w:id="80" w:name="X987d7f8e46459b25d791f3ef1044231e54fb7bd"/>
    <w:p>
      <w:pPr>
        <w:pStyle w:val="Heading2"/>
        <w:spacing w:line="480" w:lineRule="auto"/>
      </w:pPr>
      <w:r>
        <w:t xml:space="preserve">3.4 Deposit-Refund as a Time-Shifted Pigovian Instrument</w:t>
      </w:r>
    </w:p>
    <w:p>
      <w:pPr>
        <w:pStyle w:val="FirstParagraph"/>
        <w:spacing w:line="480" w:lineRule="auto"/>
      </w:pPr>
      <w:r>
        <w:t xml:space="preserve">The orbital-use fee and the deposit-refund instrument are formally equivalent in the limit of perfect commitment and zero verification cost, yet they diverge sharply in administrative architecture and behavioural targeting. An orbital-use fee charges the operator continuously for occupancy of a congested orbit, pricing the externality at the margin of every operational decision, duration of mission and intensity of use included</w:t>
      </w:r>
      <w:r>
        <w:t xml:space="preserve"> </w:t>
      </w:r>
      <w:hyperlink w:anchor="ref-11">
        <w:r>
          <w:rPr>
            <w:rStyle w:val="Hyperlink"/>
          </w:rPr>
          <w:t xml:space="preserve">[11]</w:t>
        </w:r>
      </w:hyperlink>
      <w:r>
        <w:t xml:space="preserve">[12]. A deposit-refund instrument prices a single behaviour, the end-of-mission disposal, by collecting a stake at the beginning of the mission and conditioning its release on the observable disposal outcome. The choice between them is operational, not theoretical. A fee requires the regulator to assess and collect continuously, to specify a schedule that varies with orbital congestion along lines the operator can anticipate, and to administer payment across multiple jurisdictions over the full mission lifetime. A deposit-refund requires only that the regulator collect once at licensing and verify once at end of mission, both of which the licensing authority already performs in adjacent form.</w:t>
      </w:r>
    </w:p>
    <w:p>
      <w:pPr>
        <w:pStyle w:val="BodyText"/>
        <w:spacing w:line="480" w:lineRule="auto"/>
        <w:ind w:firstLine="720"/>
      </w:pPr>
      <w:r>
        <w:t xml:space="preserve">The deposit-refund instrument also enjoys an informational advantage the price-instrument literature rarely makes explicit. As Paper 1 of the dissertation argues, the mechanism conditions its sanction on the observable disposal outcome rather than on the unobservable disposal effort. The regulator does not have to judge whether the operator tried hard enough; it has only to verify whether the satellite cleared the protected region within the prescribed window, a question the public space-object catalog and the European Space Agency Space Debris Office routinely answer</w:t>
      </w:r>
      <w:r>
        <w:t xml:space="preserve"> </w:t>
      </w:r>
      <w:hyperlink w:anchor="ref-10">
        <w:r>
          <w:rPr>
            <w:rStyle w:val="Hyperlink"/>
          </w:rPr>
          <w:t xml:space="preserve">[10]</w:t>
        </w:r>
      </w:hyperlink>
      <w:r>
        <w:t xml:space="preserve">[13]. The informational burden shifts. It moves off the regulator’s auditors and onto verification infrastructure that already exists, and it aligns the operator’s incentive with the outcome the regulator cares about, the empty orbit, rather than with a procedural compliance signal open to gaming. The ozone-regime analogue is instructive. Zhang and Balakrishnan note that the Montreal Protocol succeeded partly because it tied financial flows to verifiable production and consumption metrics rather than to enforcement of process</w:t>
      </w:r>
      <w:r>
        <w:t xml:space="preserve"> </w:t>
      </w:r>
      <w:hyperlink w:anchor="ref-9">
        <w:r>
          <w:rPr>
            <w:rStyle w:val="Hyperlink"/>
          </w:rPr>
          <w:t xml:space="preserve">[9]</w:t>
        </w:r>
      </w:hyperlink>
      <w:r>
        <w:t xml:space="preserve">. The deposit-refund instrument is the orbital analogue of that design principle.</w:t>
      </w:r>
    </w:p>
    <w:p>
      <w:pPr>
        <w:pStyle w:val="BodyText"/>
        <w:spacing w:line="480" w:lineRule="auto"/>
        <w:ind w:firstLine="720"/>
      </w:pPr>
      <w:r>
        <w:t xml:space="preserve">Four dimensions specify the instrument. The first is the reference cost</w:t>
      </w:r>
      <w:r>
        <w:t xml:space="preserve"> </w:t>
      </w:r>
      <w:r>
        <w:rPr>
          <w:rStyle w:val="VerbatimChar"/>
        </w:rPr>
        <w:t xml:space="preserve">R</w:t>
      </w:r>
      <w:r>
        <w:t xml:space="preserve"> </w:t>
      </w:r>
      <w:r>
        <w:t xml:space="preserve">to which the bond fraction is applied. Candidates include the operator’s licensing-stage estimate of replacement value, the engineering cost of the disposal manoeuvre, and a regulatory tariff indexed to orbital regime and dry mass. The second is the bond fraction</w:t>
      </w:r>
      <w:r>
        <w:t xml:space="preserve"> </w:t>
      </w:r>
      <w:r>
        <w:rPr>
          <w:rStyle w:val="VerbatimChar"/>
        </w:rPr>
        <w:t xml:space="preserve">b</w:t>
      </w:r>
      <w:r>
        <w:t xml:space="preserve">, which together with</w:t>
      </w:r>
      <w:r>
        <w:t xml:space="preserve"> </w:t>
      </w:r>
      <w:r>
        <w:rPr>
          <w:rStyle w:val="VerbatimChar"/>
        </w:rPr>
        <w:t xml:space="preserve">R</w:t>
      </w:r>
      <w:r>
        <w:t xml:space="preserve"> </w:t>
      </w:r>
      <w:r>
        <w:t xml:space="preserve">fixes the magnitude of the stake. The third is the verification rule that releases the bond, which has to specify the disposal-success definition, the orbital-lifetime threshold, and the treatment of the remaining-orbital-lifetime uncertainty Fernandez and colleagues document</w:t>
      </w:r>
      <w:r>
        <w:t xml:space="preserve"> </w:t>
      </w:r>
      <w:hyperlink w:anchor="ref-6">
        <w:r>
          <w:rPr>
            <w:rStyle w:val="Hyperlink"/>
          </w:rPr>
          <w:t xml:space="preserve">[6]</w:t>
        </w:r>
      </w:hyperlink>
      <w:r>
        <w:t xml:space="preserve">. The fourth is the disposition of forfeited bonds, which the active-debris-removal optimization literature suggests should feed a remediation fund financing removal of the worst-case objects in a given orbital region</w:t>
      </w:r>
      <w:r>
        <w:t xml:space="preserve"> </w:t>
      </w:r>
      <w:hyperlink w:anchor="ref-7">
        <w:r>
          <w:rPr>
            <w:rStyle w:val="Hyperlink"/>
          </w:rPr>
          <w:t xml:space="preserve">[7]</w:t>
        </w:r>
      </w:hyperlink>
      <w:r>
        <w:t xml:space="preserve">. The empirical chapters identify the elasticity of compliance with respect to</w:t>
      </w:r>
      <w:r>
        <w:t xml:space="preserve"> </w:t>
      </w:r>
      <w:r>
        <w:rPr>
          <w:rStyle w:val="VerbatimChar"/>
        </w:rPr>
        <w:t xml:space="preserve">b</w:t>
      </w:r>
      <w:r>
        <w:t xml:space="preserve">, holding</w:t>
      </w:r>
      <w:r>
        <w:t xml:space="preserve"> </w:t>
      </w:r>
      <w:r>
        <w:rPr>
          <w:rStyle w:val="VerbatimChar"/>
        </w:rPr>
        <w:t xml:space="preserve">R</w:t>
      </w:r>
      <w:r>
        <w:t xml:space="preserve"> </w:t>
      </w:r>
      <w:r>
        <w:t xml:space="preserve">and the verification rule fixed in the data; the policy specification of</w:t>
      </w:r>
      <w:r>
        <w:t xml:space="preserve"> </w:t>
      </w:r>
      <w:r>
        <w:rPr>
          <w:rStyle w:val="VerbatimChar"/>
        </w:rPr>
        <w:t xml:space="preserve">R</w:t>
      </w:r>
      <w:r>
        <w:t xml:space="preserve"> </w:t>
      </w:r>
      <w:r>
        <w:t xml:space="preserve">and the disposition of forfeited bonds then follow as corollaries of the identified elasticity.</w:t>
      </w:r>
    </w:p>
    <w:bookmarkEnd w:id="80"/>
    <w:bookmarkStart w:id="81" w:name="the-causal-logic"/>
    <w:p>
      <w:pPr>
        <w:pStyle w:val="Heading2"/>
        <w:spacing w:line="480" w:lineRule="auto"/>
      </w:pPr>
      <w:r>
        <w:t xml:space="preserve">3.5 The Causal Logic</w:t>
      </w:r>
    </w:p>
    <w:p>
      <w:pPr>
        <w:pStyle w:val="FirstParagraph"/>
        <w:spacing w:line="480" w:lineRule="auto"/>
      </w:pPr>
      <w:r>
        <w:t xml:space="preserve">The causal logic by which a refundable bond alters the marginal operator’s disposal decision proceeds in four steps, each empirically constrained.</w:t>
      </w:r>
    </w:p>
    <w:p>
      <w:pPr>
        <w:pStyle w:val="BodyText"/>
        <w:spacing w:line="480" w:lineRule="auto"/>
        <w:ind w:firstLine="720"/>
      </w:pPr>
      <w:r>
        <w:t xml:space="preserve">Step one converts a diffuse future externality into a concrete present financial stake. Under the current regime, the operator’s expected loss from non-disposal is the product of a small probability of a future collision, the operator’s share of the legal liability for that collision, and the present discounted value of any reputational or regulatory consequence. Each factor is small, and for most operators the product is negligible against the private cost</w:t>
      </w:r>
      <w:r>
        <w:t xml:space="preserve"> </w:t>
      </w:r>
      <w:r>
        <w:rPr>
          <w:rStyle w:val="VerbatimChar"/>
        </w:rPr>
        <w:t xml:space="preserve">P</w:t>
      </w:r>
      <w:r>
        <w:t xml:space="preserve"> </w:t>
      </w:r>
      <w:r>
        <w:t xml:space="preserve">of executing disposal. A refundable bond replaces that product with a known and immediate sum,</w:t>
      </w:r>
      <w:r>
        <w:t xml:space="preserve"> </w:t>
      </w:r>
      <w:r>
        <w:rPr>
          <w:rStyle w:val="VerbatimChar"/>
        </w:rPr>
        <w:t xml:space="preserve">b*R</w:t>
      </w:r>
      <w:r>
        <w:t xml:space="preserve">, already paid and recoverable only on compliant disposal. The behavioural prediction is not that the operator’s beliefs about future collision risk change, but that the operator’s decision is now conditioned on a financial stake that is salient, certain, and proximate. Paper 1’s logit analysis of thirty cohorts of payloads and rocket bodies, in which the bonded-obligation coefficient is estimated at 2.77 on the log-odds scale with a p-value of 0.079 and corresponds to odds of compliant disposal roughly sixteen times those of an otherwise comparable unbonded cohort, is consistent with this conversion logic, though the modest sample places the estimate at the margin of conventional significance.</w:t>
      </w:r>
    </w:p>
    <w:p>
      <w:pPr>
        <w:pStyle w:val="BodyText"/>
        <w:spacing w:line="480" w:lineRule="auto"/>
        <w:ind w:firstLine="720"/>
      </w:pPr>
      <w:r>
        <w:t xml:space="preserve">Step two concerns timing. As Paper 2 of the dissertation argues, the orbital-debris problem is at least as much a problem of when disposal happens as of whether it happens. An operator that defers disposal indefinitely while remaining technically able to comply keeps contributing collision risk during the years when its presence in the protected region matters most</w:t>
      </w:r>
      <w:r>
        <w:t xml:space="preserve"> </w:t>
      </w:r>
      <w:hyperlink w:anchor="ref-15">
        <w:r>
          <w:rPr>
            <w:rStyle w:val="Hyperlink"/>
          </w:rPr>
          <w:t xml:space="preserve">[15]</w:t>
        </w:r>
      </w:hyperlink>
      <w:r>
        <w:t xml:space="preserve">[18][19]. A refundable bond gives that operator a continuing reason to act, and to act sooner, since the deposit is recoverable only on completed disposal and the time value of the recoverable sum is non-trivial over realistic mission horizons. The Cox proportional-hazards estimates in Paper 2 do not, in the thirty-two-object sample, isolate a statistically significant acceleration effect of financial assurance once altitude is controlled, yet they do confirm altitude as the dominant physical gatekeeper of disposal timing, each additional hundred kilometres of operational altitude cutting the disposal hazard substantially. The null on the financial-assurance indicator in Paper 2 is therefore read as a sample-and-confounding finding rather than as evidence against the mechanism, and it motivates the dissertation’s strategy of exploiting cross-jurisdiction and cross-cohort variation in licensing financial requirements with explicit altitude and operator controls.</w:t>
      </w:r>
    </w:p>
    <w:p>
      <w:pPr>
        <w:pStyle w:val="BodyText"/>
        <w:spacing w:line="480" w:lineRule="auto"/>
        <w:ind w:firstLine="720"/>
      </w:pPr>
      <w:r>
        <w:t xml:space="preserve">Step three concerns operator heterogeneity. Operators differ in their private cost of disposal</w:t>
      </w:r>
      <w:r>
        <w:t xml:space="preserve"> </w:t>
      </w:r>
      <w:r>
        <w:rPr>
          <w:rStyle w:val="VerbatimChar"/>
        </w:rPr>
        <w:t xml:space="preserve">P</w:t>
      </w:r>
      <w:r>
        <w:t xml:space="preserve">, in their access to the propulsion capability disposal requires</w:t>
      </w:r>
      <w:r>
        <w:t xml:space="preserve"> </w:t>
      </w:r>
      <w:hyperlink w:anchor="ref-10">
        <w:r>
          <w:rPr>
            <w:rStyle w:val="Hyperlink"/>
          </w:rPr>
          <w:t xml:space="preserve">[10]</w:t>
        </w:r>
      </w:hyperlink>
      <w:r>
        <w:t xml:space="preserve">, in their constellation strategy, and in their exposure to the licensing authority that administers the bond. A bond fraction</w:t>
      </w:r>
      <w:r>
        <w:t xml:space="preserve"> </w:t>
      </w:r>
      <w:r>
        <w:rPr>
          <w:rStyle w:val="VerbatimChar"/>
        </w:rPr>
        <w:t xml:space="preserve">b</w:t>
      </w:r>
      <w:r>
        <w:t xml:space="preserve"> </w:t>
      </w:r>
      <w:r>
        <w:t xml:space="preserve">sufficient to flip the disposal inequality for the marginal operator may fall short for an inframarginal operator with high</w:t>
      </w:r>
      <w:r>
        <w:t xml:space="preserve"> </w:t>
      </w:r>
      <w:r>
        <w:rPr>
          <w:rStyle w:val="VerbatimChar"/>
        </w:rPr>
        <w:t xml:space="preserve">P</w:t>
      </w:r>
      <w:r>
        <w:t xml:space="preserve">, and may overshoot for an inframarginal operator with low</w:t>
      </w:r>
      <w:r>
        <w:t xml:space="preserve"> </w:t>
      </w:r>
      <w:r>
        <w:rPr>
          <w:rStyle w:val="VerbatimChar"/>
        </w:rPr>
        <w:t xml:space="preserve">P</w:t>
      </w:r>
      <w:r>
        <w:t xml:space="preserve">. The framework therefore predicts a monotonic but heterogeneous response to</w:t>
      </w:r>
      <w:r>
        <w:t xml:space="preserve"> </w:t>
      </w:r>
      <w:r>
        <w:rPr>
          <w:rStyle w:val="VerbatimChar"/>
        </w:rPr>
        <w:t xml:space="preserve">b</w:t>
      </w:r>
      <w:r>
        <w:t xml:space="preserve">: the marginal operator’s behaviour changes first and at the lowest</w:t>
      </w:r>
      <w:r>
        <w:t xml:space="preserve"> </w:t>
      </w:r>
      <w:r>
        <w:rPr>
          <w:rStyle w:val="VerbatimChar"/>
        </w:rPr>
        <w:t xml:space="preserve">b</w:t>
      </w:r>
      <w:r>
        <w:t xml:space="preserve">, and the inframarginal operators with the highest</w:t>
      </w:r>
      <w:r>
        <w:t xml:space="preserve"> </w:t>
      </w:r>
      <w:r>
        <w:rPr>
          <w:rStyle w:val="VerbatimChar"/>
        </w:rPr>
        <w:t xml:space="preserve">P</w:t>
      </w:r>
      <w:r>
        <w:t xml:space="preserve"> </w:t>
      </w:r>
      <w:r>
        <w:t xml:space="preserve">are reached only at higher</w:t>
      </w:r>
      <w:r>
        <w:t xml:space="preserve"> </w:t>
      </w:r>
      <w:r>
        <w:rPr>
          <w:rStyle w:val="VerbatimChar"/>
        </w:rPr>
        <w:t xml:space="preserve">b</w:t>
      </w:r>
      <w:r>
        <w:t xml:space="preserve">. The empirical implication, developed in the methodology chapter, is that the identified elasticity is a local average treatment effect over the range of bond fractions historically observed, and that extrapolation to bond fractions outside that range is an explicit out-of-sample bound rather than a point claim, consistent with the cautionary framing of the incentive-instrument literature</w:t>
      </w:r>
      <w:r>
        <w:t xml:space="preserve"> </w:t>
      </w:r>
      <w:hyperlink w:anchor="ref-3">
        <w:r>
          <w:rPr>
            <w:rStyle w:val="Hyperlink"/>
          </w:rPr>
          <w:t xml:space="preserve">[3]</w:t>
        </w:r>
      </w:hyperlink>
      <w:r>
        <w:t xml:space="preserve">[9].</w:t>
      </w:r>
    </w:p>
    <w:p>
      <w:pPr>
        <w:pStyle w:val="BodyText"/>
        <w:spacing w:line="480" w:lineRule="auto"/>
        <w:ind w:firstLine="720"/>
      </w:pPr>
      <w:r>
        <w:t xml:space="preserve">Step four concerns verification. The deposit-refund instrument depends on the regulator’s ability to verify disposal at the threshold the bond rule specifies. Fernandez and colleagues document non-trivial uncertainty in the remaining orbital lifetime after a disposal manoeuvre, which means any verification rule has to specify either a conservative or a lenient threshold, and the elasticity estimated in the empirical chapters will depend on which is used</w:t>
      </w:r>
      <w:r>
        <w:t xml:space="preserve"> </w:t>
      </w:r>
      <w:hyperlink w:anchor="ref-6">
        <w:r>
          <w:rPr>
            <w:rStyle w:val="Hyperlink"/>
          </w:rPr>
          <w:t xml:space="preserve">[6]</w:t>
        </w:r>
      </w:hyperlink>
      <w:r>
        <w:t xml:space="preserve">. The framework is robust to that dependence in a specific sense. The qualitative prediction of a positive elasticity holds under any monotone verification rule, while the magnitude of the elasticity, and therefore the bond fraction required to reach a given compliance target, is identified only conditional on a specified rule. The empirical chapters report results under both conservative and lenient verification thresholds and treat the divergence as an explicit sensitivity to be communicated to the policy reader.</w:t>
      </w:r>
    </w:p>
    <w:bookmarkEnd w:id="81"/>
    <w:bookmarkStart w:id="82" w:name="formal-hypotheses"/>
    <w:p>
      <w:pPr>
        <w:pStyle w:val="Heading2"/>
        <w:spacing w:line="480" w:lineRule="auto"/>
      </w:pPr>
      <w:r>
        <w:t xml:space="preserve">3.6 Formal Hypotheses</w:t>
      </w:r>
    </w:p>
    <w:p>
      <w:pPr>
        <w:pStyle w:val="FirstParagraph"/>
        <w:spacing w:line="480" w:lineRule="auto"/>
      </w:pPr>
      <w:r>
        <w:t xml:space="preserve">The framework above motivates a single falsifiable contribution: an estimate of the causal elasticity of post-mission disposal compliance with respect to the refundable bond fraction imposed at licensing. Let</w:t>
      </w:r>
      <w:r>
        <w:t xml:space="preserve"> </w:t>
      </w:r>
      <w:r>
        <w:rPr>
          <w:rStyle w:val="VerbatimChar"/>
        </w:rPr>
        <w:t xml:space="preserve">b</w:t>
      </w:r>
      <w:r>
        <w:t xml:space="preserve"> </w:t>
      </w:r>
      <w:r>
        <w:t xml:space="preserve">denote the bond fraction faced by satellite</w:t>
      </w:r>
      <w:r>
        <w:t xml:space="preserve"> </w:t>
      </w:r>
      <w:r>
        <w:rPr>
          <w:rStyle w:val="VerbatimChar"/>
        </w:rPr>
        <w:t xml:space="preserve">i</w:t>
      </w:r>
      <w:r>
        <w:t xml:space="preserve"> </w:t>
      </w:r>
      <w:r>
        <w:t xml:space="preserve">at licensing, let</w:t>
      </w:r>
      <w:r>
        <w:t xml:space="preserve"> </w:t>
      </w:r>
      <w:r>
        <w:rPr>
          <w:rStyle w:val="VerbatimChar"/>
        </w:rPr>
        <w:t xml:space="preserve">C</w:t>
      </w:r>
      <w:r>
        <w:t xml:space="preserve"> </w:t>
      </w:r>
      <w:r>
        <w:t xml:space="preserve">denote the realized compliance outcome, and let</w:t>
      </w:r>
      <w:r>
        <w:t xml:space="preserve"> </w:t>
      </w:r>
      <w:r>
        <w:rPr>
          <w:rStyle w:val="VerbatimChar"/>
        </w:rPr>
        <w:t xml:space="preserve">X</w:t>
      </w:r>
      <w:r>
        <w:t xml:space="preserve"> </w:t>
      </w:r>
      <w:r>
        <w:t xml:space="preserve">denote the vector of controls comprising orbital regime, dry mass, propulsion class, operator type, constellation membership, and era. The compliance probability is modelled as</w:t>
      </w:r>
    </w:p>
    <w:p>
      <w:pPr>
        <w:pStyle w:val="BodyText"/>
        <w:spacing w:line="480" w:lineRule="auto"/>
        <w:ind w:firstLine="720"/>
      </w:pPr>
      <w:r>
        <w:rPr>
          <w:rStyle w:val="VerbatimChar"/>
        </w:rPr>
        <w:t xml:space="preserve">Pr(C = 1 | b, X) = F(alpha + beta*b + gamma'X)</w:t>
      </w:r>
    </w:p>
    <w:p>
      <w:pPr>
        <w:pStyle w:val="BodyText"/>
        <w:spacing w:line="480" w:lineRule="auto"/>
        <w:ind w:firstLine="720"/>
      </w:pPr>
      <w:r>
        <w:t xml:space="preserve">where</w:t>
      </w:r>
      <w:r>
        <w:t xml:space="preserve"> </w:t>
      </w:r>
      <w:r>
        <w:rPr>
          <w:rStyle w:val="VerbatimChar"/>
        </w:rPr>
        <w:t xml:space="preserve">F</w:t>
      </w:r>
      <w:r>
        <w:t xml:space="preserve"> </w:t>
      </w:r>
      <w:r>
        <w:t xml:space="preserve">is a strictly increasing link function (logit in the cohort-level specification and the discrete-time complementary log-log in the hazard specification) and</w:t>
      </w:r>
      <w:r>
        <w:t xml:space="preserve"> </w:t>
      </w:r>
      <w:r>
        <w:rPr>
          <w:rStyle w:val="VerbatimChar"/>
        </w:rPr>
        <w:t xml:space="preserve">beta</w:t>
      </w:r>
      <w:r>
        <w:t xml:space="preserve"> </w:t>
      </w:r>
      <w:r>
        <w:t xml:space="preserve">is the structural parameter the dissertation identifies. The semi-elasticity of compliance with respect to the bond fraction, evaluated at the sample mean of</w:t>
      </w:r>
      <w:r>
        <w:t xml:space="preserve"> </w:t>
      </w:r>
      <w:r>
        <w:rPr>
          <w:rStyle w:val="VerbatimChar"/>
        </w:rPr>
        <w:t xml:space="preserve">X</w:t>
      </w:r>
      <w:r>
        <w:t xml:space="preserve">, is the marginal effect</w:t>
      </w:r>
      <w:r>
        <w:t xml:space="preserve"> </w:t>
      </w:r>
      <w:r>
        <w:rPr>
          <w:rStyle w:val="VerbatimChar"/>
        </w:rPr>
        <w:t xml:space="preserve">beta</w:t>
      </w:r>
      <w:r>
        <w:t xml:space="preserve"> </w:t>
      </w:r>
      <w:r>
        <w:t xml:space="preserve">implies.</w:t>
      </w:r>
    </w:p>
    <w:p>
      <w:pPr>
        <w:pStyle w:val="BodyText"/>
        <w:spacing w:line="480" w:lineRule="auto"/>
        <w:ind w:firstLine="720"/>
      </w:pPr>
      <w:r>
        <w:t xml:space="preserve">The formal hypotheses follow.</w:t>
      </w:r>
    </w:p>
    <w:p>
      <w:pPr>
        <w:pStyle w:val="BodyText"/>
        <w:spacing w:line="480" w:lineRule="auto"/>
        <w:ind w:firstLine="720"/>
      </w:pPr>
      <w:r>
        <w:rPr>
          <w:b/>
          <w:bCs/>
        </w:rPr>
        <w:t xml:space="preserve">H0 (null).</w:t>
      </w:r>
      <w:r>
        <w:t xml:space="preserve"> </w:t>
      </w:r>
      <w:r>
        <w:t xml:space="preserve">The semi-elasticity of compliance with respect to the bond fraction is zero. In the notation above,</w:t>
      </w:r>
      <w:r>
        <w:t xml:space="preserve"> </w:t>
      </w:r>
      <w:r>
        <w:rPr>
          <w:rStyle w:val="VerbatimChar"/>
        </w:rPr>
        <w:t xml:space="preserve">beta = 0</w:t>
      </w:r>
      <w:r>
        <w:t xml:space="preserve">, and the marginal effect</w:t>
      </w:r>
      <w:r>
        <w:t xml:space="preserve"> </w:t>
      </w:r>
      <w:r>
        <w:rPr>
          <w:rStyle w:val="VerbatimChar"/>
        </w:rPr>
        <w:t xml:space="preserve">dC/db</w:t>
      </w:r>
      <w:r>
        <w:t xml:space="preserve">, evaluated at the sample mean of the controls, is statistically indistinguishable from zero at conventional significance. Under H0, refundable financial stakes do not move the marginal operator’s disposal decision once mission, orbital regime, and operator covariates are controlled, and the deposit-refund mechanism has no empirical traction as a corrective instrument.</w:t>
      </w:r>
    </w:p>
    <w:p>
      <w:pPr>
        <w:pStyle w:val="BodyText"/>
        <w:spacing w:line="480" w:lineRule="auto"/>
        <w:ind w:firstLine="720"/>
      </w:pPr>
      <w:r>
        <w:rPr>
          <w:b/>
          <w:bCs/>
        </w:rPr>
        <w:t xml:space="preserve">H1 (alternative).</w:t>
      </w:r>
      <w:r>
        <w:t xml:space="preserve"> </w:t>
      </w:r>
      <w:r>
        <w:t xml:space="preserve">The semi-elasticity of compliance with respect to the bond fraction is strictly positive. In the notation above,</w:t>
      </w:r>
      <w:r>
        <w:t xml:space="preserve"> </w:t>
      </w:r>
      <w:r>
        <w:rPr>
          <w:rStyle w:val="VerbatimChar"/>
        </w:rPr>
        <w:t xml:space="preserve">beta &gt; 0</w:t>
      </w:r>
      <w:r>
        <w:t xml:space="preserve">, and the marginal effect</w:t>
      </w:r>
      <w:r>
        <w:t xml:space="preserve"> </w:t>
      </w:r>
      <w:r>
        <w:rPr>
          <w:rStyle w:val="VerbatimChar"/>
        </w:rPr>
        <w:t xml:space="preserve">dC/db</w:t>
      </w:r>
      <w:r>
        <w:t xml:space="preserve">, evaluated at the sample mean of the controls, is bounded away from zero at conventional significance. Under H1, raising the refundable bond fraction raises the probability of verified disposal, the elasticity is consistent with the common-pool-resource and externality framing developed in Sections 3.2 and 3.3, and the policy implication is that a bond fraction can be calibrated to a target compliance rate.</w:t>
      </w:r>
    </w:p>
    <w:p>
      <w:pPr>
        <w:pStyle w:val="BodyText"/>
        <w:spacing w:line="480" w:lineRule="auto"/>
        <w:ind w:firstLine="720"/>
      </w:pPr>
      <w:r>
        <w:t xml:space="preserve">The hypotheses are stated as a one-sided test because the framework admits only a non-negative effect. A refundable bond cannot, under any specification of the framework, reduce compliance below the no-bond baseline: the operator who would have complied without the bond recovers the deposit and is no worse off, and the operator who would not have complied without the bond faces a positive additional incentive to comply. Given the sign restriction, the hypotheses are jointly exhaustive, and no third outcome is admitted.</w:t>
      </w:r>
    </w:p>
    <w:p>
      <w:pPr>
        <w:pStyle w:val="BodyText"/>
        <w:spacing w:line="480" w:lineRule="auto"/>
        <w:ind w:firstLine="720"/>
      </w:pPr>
      <w:r>
        <w:t xml:space="preserve">The point estimate and confidence interval on</w:t>
      </w:r>
      <w:r>
        <w:t xml:space="preserve"> </w:t>
      </w:r>
      <w:r>
        <w:rPr>
          <w:rStyle w:val="VerbatimChar"/>
        </w:rPr>
        <w:t xml:space="preserve">beta</w:t>
      </w:r>
      <w:r>
        <w:t xml:space="preserve">, together with the implied bond fraction required to reach a target compliance rate, constitute the dissertation’s contribution. It is falsifiable in the strict Popperian sense. An estimated</w:t>
      </w:r>
      <w:r>
        <w:t xml:space="preserve"> </w:t>
      </w:r>
      <w:r>
        <w:rPr>
          <w:rStyle w:val="VerbatimChar"/>
        </w:rPr>
        <w:t xml:space="preserve">beta</w:t>
      </w:r>
      <w:r>
        <w:t xml:space="preserve"> </w:t>
      </w:r>
      <w:r>
        <w:t xml:space="preserve">statistically indistinguishable from zero, or an estimated</w:t>
      </w:r>
      <w:r>
        <w:t xml:space="preserve"> </w:t>
      </w:r>
      <w:r>
        <w:rPr>
          <w:rStyle w:val="VerbatimChar"/>
        </w:rPr>
        <w:t xml:space="preserve">beta</w:t>
      </w:r>
      <w:r>
        <w:t xml:space="preserve"> </w:t>
      </w:r>
      <w:r>
        <w:t xml:space="preserve">whose sign violates the framework’s prediction, rejects the deposit-refund mechanism and redirects policy toward standards-based enforcement or removal-financed approaches</w:t>
      </w:r>
      <w:r>
        <w:t xml:space="preserve"> </w:t>
      </w:r>
      <w:hyperlink w:anchor="ref-7">
        <w:r>
          <w:rPr>
            <w:rStyle w:val="Hyperlink"/>
          </w:rPr>
          <w:t xml:space="preserve">[7]</w:t>
        </w:r>
      </w:hyperlink>
      <w:r>
        <w:t xml:space="preserve">[9].</w:t>
      </w:r>
    </w:p>
    <w:bookmarkEnd w:id="82"/>
    <w:bookmarkStart w:id="83" w:name="X318d2fdb4326d03bd4f3ce409bd5d8689852f10"/>
    <w:p>
      <w:pPr>
        <w:pStyle w:val="Heading2"/>
        <w:spacing w:line="480" w:lineRule="auto"/>
      </w:pPr>
      <w:r>
        <w:t xml:space="preserve">3.7 Auxiliary Predictions and Boundary Conditions</w:t>
      </w:r>
    </w:p>
    <w:p>
      <w:pPr>
        <w:pStyle w:val="FirstParagraph"/>
        <w:spacing w:line="480" w:lineRule="auto"/>
      </w:pPr>
      <w:r>
        <w:t xml:space="preserve">Four auxiliary predictions follow from the framework and are reported alongside the central estimate as discipline on the interpretation.</w:t>
      </w:r>
    </w:p>
    <w:p>
      <w:pPr>
        <w:pStyle w:val="BodyText"/>
        <w:spacing w:line="480" w:lineRule="auto"/>
        <w:ind w:firstLine="720"/>
      </w:pPr>
      <w:r>
        <w:t xml:space="preserve">First, the framework predicts a larger elasticity in orbital regimes with lower natural compliance, that is, in higher low-Earth orbits and in the geostationary regime, because the marginal operator there faces a private disposal cost</w:t>
      </w:r>
      <w:r>
        <w:t xml:space="preserve"> </w:t>
      </w:r>
      <w:r>
        <w:rPr>
          <w:rStyle w:val="VerbatimChar"/>
        </w:rPr>
        <w:t xml:space="preserve">P</w:t>
      </w:r>
      <w:r>
        <w:t xml:space="preserve"> </w:t>
      </w:r>
      <w:r>
        <w:t xml:space="preserve">further from the no-bond compliance threshold and therefore more responsive to a marginal increase in</w:t>
      </w:r>
      <w:r>
        <w:t xml:space="preserve"> </w:t>
      </w:r>
      <w:r>
        <w:rPr>
          <w:rStyle w:val="VerbatimChar"/>
        </w:rPr>
        <w:t xml:space="preserve">b*R</w:t>
      </w:r>
      <w:r>
        <w:t xml:space="preserve">. The criticality and impact-assessment literature on the low-Earth environment supplies the physical basis for this prediction</w:t>
      </w:r>
      <w:r>
        <w:t xml:space="preserve"> </w:t>
      </w:r>
      <w:hyperlink w:anchor="ref-15">
        <w:r>
          <w:rPr>
            <w:rStyle w:val="Hyperlink"/>
          </w:rPr>
          <w:t xml:space="preserve">[15]</w:t>
        </w:r>
      </w:hyperlink>
      <w:r>
        <w:t xml:space="preserve">[18][19], and Paper 2’s altitude finding supports it empirically.</w:t>
      </w:r>
    </w:p>
    <w:p>
      <w:pPr>
        <w:pStyle w:val="BodyText"/>
        <w:spacing w:line="480" w:lineRule="auto"/>
        <w:ind w:firstLine="720"/>
      </w:pPr>
      <w:r>
        <w:t xml:space="preserve">Second, the framework predicts a larger elasticity among commercial operators than among government science operators, because commercial operators face binding budget constraints over which the deposit</w:t>
      </w:r>
      <w:r>
        <w:t xml:space="preserve"> </w:t>
      </w:r>
      <w:r>
        <w:rPr>
          <w:rStyle w:val="VerbatimChar"/>
        </w:rPr>
        <w:t xml:space="preserve">b*R</w:t>
      </w:r>
      <w:r>
        <w:t xml:space="preserve"> </w:t>
      </w:r>
      <w:r>
        <w:t xml:space="preserve">is salient, while government science operators face appropriations cycles that may render the deposit administratively inert. Paper 2 documents that the bonded-regime objects in its sample are disproportionately commercial, while the unbonded objects are disproportionately government science, which is the confounding the dissertation’s identification strategy is designed to resolve.</w:t>
      </w:r>
    </w:p>
    <w:p>
      <w:pPr>
        <w:pStyle w:val="BodyText"/>
        <w:spacing w:line="480" w:lineRule="auto"/>
        <w:ind w:firstLine="720"/>
      </w:pPr>
      <w:r>
        <w:t xml:space="preserve">Third, the framework predicts an elasticity that is non-monotone in operator size and constellation membership. Small operators with single satellites face a binary disposal decision per asset, while large constellation operators face a portfolio decision in which disposal is administered as a fleet practice. The bond fraction at which the marginal asset in a large constellation flips to disposal may differ from the bond fraction at which a single-satellite operator flips, and the heterogeneity-robust estimators specified in the methodology chapter are designed to surface that difference rather than average over it.</w:t>
      </w:r>
    </w:p>
    <w:p>
      <w:pPr>
        <w:pStyle w:val="BodyText"/>
        <w:spacing w:line="480" w:lineRule="auto"/>
        <w:ind w:firstLine="720"/>
      </w:pPr>
      <w:r>
        <w:t xml:space="preserve">Fourth, the framework predicts sensitivity to the verification rule. Under a lenient rule that credits any disposal attempt as compliance, the elasticity is larger, because the operator can recover the bond at lower private cost. Under a strict rule that requires verified clearance within a tight orbital-lifetime window, the elasticity is smaller, because the operator must invest more to qualify for the refund. The empirical chapters report the elasticity under both rules and treat the spread as the policy reader’s choice variable.</w:t>
      </w:r>
    </w:p>
    <w:p>
      <w:pPr>
        <w:pStyle w:val="BodyText"/>
        <w:spacing w:line="480" w:lineRule="auto"/>
        <w:ind w:firstLine="720"/>
      </w:pPr>
      <w:r>
        <w:t xml:space="preserve">Three boundary conditions bound the framework. It applies to the operator’s end-of-mission disposal decision, not to disposal effort during the mission. It applies to a regulatory environment in which the licensing authority is credible and the bond is held in escrow with a known release rule; bond schemes administered without escrow or with discretionary release rules fall outside its scope. And it applies to operators whose licensing jurisdiction holds the legal authority to withhold and refund the deposit; operators licensed in jurisdictions without such authority, including operators that may shift licensing to forum-shop the bond, are a known threat to identification the methodology chapter addresses through operator and jurisdiction fixed effects.</w:t>
      </w:r>
    </w:p>
    <w:p>
      <w:pPr>
        <w:pStyle w:val="BodyText"/>
        <w:spacing w:line="480" w:lineRule="auto"/>
        <w:ind w:firstLine="720"/>
      </w:pPr>
      <w:r>
        <w:t xml:space="preserve">The framework counts as falsified, rather than merely uninformative, if the estimated</w:t>
      </w:r>
      <w:r>
        <w:t xml:space="preserve"> </w:t>
      </w:r>
      <w:r>
        <w:rPr>
          <w:rStyle w:val="VerbatimChar"/>
        </w:rPr>
        <w:t xml:space="preserve">beta</w:t>
      </w:r>
      <w:r>
        <w:t xml:space="preserve"> </w:t>
      </w:r>
      <w:r>
        <w:t xml:space="preserve">is statistically indistinguishable from zero in the lead specification and remains so under the heterogeneity-robust estimators and under both verification rules. It counts as partially confirmed if the estimated</w:t>
      </w:r>
      <w:r>
        <w:t xml:space="preserve"> </w:t>
      </w:r>
      <w:r>
        <w:rPr>
          <w:rStyle w:val="VerbatimChar"/>
        </w:rPr>
        <w:t xml:space="preserve">beta</w:t>
      </w:r>
      <w:r>
        <w:t xml:space="preserve"> </w:t>
      </w:r>
      <w:r>
        <w:t xml:space="preserve">is positive and significant in the lead specification but not robust to alternative verification rules or to the heterogeneity-robust estimators, in which case the dissertation’s contribution is the identification of the conditions under which the deposit-refund mechanism works rather than a universal claim. It counts as fully confirmed if the estimated</w:t>
      </w:r>
      <w:r>
        <w:t xml:space="preserve"> </w:t>
      </w:r>
      <w:r>
        <w:rPr>
          <w:rStyle w:val="VerbatimChar"/>
        </w:rPr>
        <w:t xml:space="preserve">beta</w:t>
      </w:r>
      <w:r>
        <w:t xml:space="preserve"> </w:t>
      </w:r>
      <w:r>
        <w:t xml:space="preserve">is positive, significant, and robust across specifications and verification rules, in which case the policy implication is that a bond fraction calibrated to the identified elasticity can be deployed to reach a target compliance rate, and the dissertation proceeds to specify that calibration in the policy chapter.</w:t>
      </w:r>
    </w:p>
    <w:p>
      <w:pPr>
        <w:pStyle w:val="BodyText"/>
        <w:spacing w:line="480" w:lineRule="auto"/>
        <w:ind w:firstLine="720"/>
      </w:pPr>
      <w:r>
        <w:t xml:space="preserve">This framework is the apparatus the next chapter operationalizes as a discrete-time survival model of the disposal hazard and a panel-logit specification at the operator cohort level, both estimated on the linked Space-Track, ESA Space Environment Report, and licensing-record dataset described in the prospectus</w:t>
      </w:r>
      <w:r>
        <w:t xml:space="preserve"> </w:t>
      </w:r>
      <w:hyperlink w:anchor="ref-10">
        <w:r>
          <w:rPr>
            <w:rStyle w:val="Hyperlink"/>
          </w:rPr>
          <w:t xml:space="preserve">[10]</w:t>
        </w:r>
      </w:hyperlink>
      <w:r>
        <w:t xml:space="preserve">[13][14].</w:t>
      </w:r>
    </w:p>
    <w:bookmarkEnd w:id="83"/>
    <w:bookmarkEnd w:id="84"/>
    <w:bookmarkStart w:id="93" w:name="chapter-4.-data-and-measurement"/>
    <w:p>
      <w:pPr>
        <w:pStyle w:val="Heading1"/>
        <w:spacing w:line="480" w:lineRule="auto"/>
      </w:pPr>
      <w:r>
        <w:t xml:space="preserve">Chapter 4. Data and Measurement</w:t>
      </w:r>
    </w:p>
    <w:bookmarkStart w:id="85" w:name="overview-and-logic-of-measurement"/>
    <w:p>
      <w:pPr>
        <w:pStyle w:val="Heading2"/>
        <w:spacing w:line="480" w:lineRule="auto"/>
      </w:pPr>
      <w:r>
        <w:t xml:space="preserve">4.1 Overview and Logic of Measurement</w:t>
      </w:r>
    </w:p>
    <w:p>
      <w:pPr>
        <w:pStyle w:val="FirstParagraph"/>
        <w:spacing w:line="480" w:lineRule="auto"/>
      </w:pPr>
      <w:r>
        <w:t xml:space="preserve">Two empirical papers anchor this dissertation. One runs a binary logit on compliant post-mission disposal across thirty cohorts; the other fits a Cox proportional-hazards model to disposal timing across thirty-two spacecraft. They face the same underlying obstacle and divide it between two units of analysis that complement each other. Nobody watches the behavior directly. An operator’s choice to discharge a binding disposal obligation is what the hypothesis names, yet what survives in the record is the downstream orbital and engineering outcome, entered into the catalogs by space-surveillance authorities and by whichever agency flew or licensed the object. Constructing a variable, in this chapter, always means starting from that observable trace and reasoning backward, under stated conventions, to the behavioral quantity the hypothesis cares about. What follows names the authoritative sources feeding the record, fixes the unit at which each paper pools them, and states the rule turning each primary datum into an analysis variable.</w:t>
      </w:r>
    </w:p>
    <w:p>
      <w:pPr>
        <w:pStyle w:val="BodyText"/>
        <w:spacing w:line="480" w:lineRule="auto"/>
        <w:ind w:firstLine="720"/>
      </w:pPr>
      <w:r>
        <w:t xml:space="preserve">Falsifiability drives the measurement logic, exactly as the prospectus framed it. One causal quantity is at issue, the response of post-mission disposal compliance to a refundable financial stake imposed at licensing, and the prospectus obliges the dissertation to pull that quantity out of</w:t>
      </w:r>
      <w:r>
        <w:t xml:space="preserve"> </w:t>
      </w:r>
      <w:r>
        <w:t xml:space="preserve">“real and obtainable”</w:t>
      </w:r>
      <w:r>
        <w:t xml:space="preserve"> </w:t>
      </w:r>
      <w:r>
        <w:t xml:space="preserve">public data carrying named provenance, never out of simulation or self-report</w:t>
      </w:r>
      <w:r>
        <w:t xml:space="preserve"> </w:t>
      </w:r>
      <w:hyperlink w:anchor="ref-4">
        <w:r>
          <w:rPr>
            <w:rStyle w:val="Hyperlink"/>
          </w:rPr>
          <w:t xml:space="preserve">[4]</w:t>
        </w:r>
      </w:hyperlink>
      <w:r>
        <w:t xml:space="preserve">[8]. Cohorts are where Paper 1 keeps that promise, because no ideal panel of object-level bond fractions yet exists to trace the dose response across history. Binding obligations arrived in licensing practice only recently, and they show up as commitments to dispose rather than as posted numerical bond amounts. Individual spacecraft are where Paper 2 keeps the same promise, since the timing test cares about the rate at which one object reaches compliant disposal, a rate that has meaning only at the object level. Far from competing, the two units nest inside each other: a Paper 1 cohort is nothing but a pool of the very objects the timing test tracks one by one.</w:t>
      </w:r>
    </w:p>
    <w:p>
      <w:pPr>
        <w:pStyle w:val="BodyText"/>
        <w:spacing w:line="480" w:lineRule="auto"/>
        <w:ind w:firstLine="720"/>
      </w:pPr>
      <w:r>
        <w:t xml:space="preserve">A verification-error threat also shapes the measurement, the first of four validity threats the prospectus flagged. Because orbital lifetime after disposal carries its own uncertainty, the European Space Agency wrote its disposal-success classifications to fence that uncertainty in rather than pretend it away</w:t>
      </w:r>
      <w:r>
        <w:t xml:space="preserve"> </w:t>
      </w:r>
      <w:hyperlink w:anchor="ref-6">
        <w:r>
          <w:rPr>
            <w:rStyle w:val="Hyperlink"/>
          </w:rPr>
          <w:t xml:space="preserve">[6]</w:t>
        </w:r>
      </w:hyperlink>
      <w:r>
        <w:t xml:space="preserve">. So each variable below is pinned to a named classification, and when a classification offers more than one threshold, the lead specification reports at whichever threshold the source itself treats as primary, keeping the alternative on record for sensitivity. On provenance the rule is unforgiving.</w:t>
      </w:r>
    </w:p>
    <w:p>
      <w:pPr>
        <w:pStyle w:val="BodyText"/>
        <w:spacing w:line="480" w:lineRule="auto"/>
        <w:ind w:firstLine="720"/>
      </w:pPr>
      <w:r>
        <w:t xml:space="preserve">If a number is absent from the cited authority, no variable is built from it.</w:t>
      </w:r>
    </w:p>
    <w:bookmarkEnd w:id="85"/>
    <w:bookmarkStart w:id="86" w:name="authoritative-sources"/>
    <w:p>
      <w:pPr>
        <w:pStyle w:val="Heading2"/>
        <w:spacing w:line="480" w:lineRule="auto"/>
      </w:pPr>
      <w:r>
        <w:t xml:space="preserve">4.2 Authoritative Sources</w:t>
      </w:r>
    </w:p>
    <w:p>
      <w:pPr>
        <w:pStyle w:val="FirstParagraph"/>
        <w:spacing w:line="480" w:lineRule="auto"/>
      </w:pPr>
      <w:r>
        <w:t xml:space="preserve">Three classes of authority underlie the dataset. Space-environment monitoring is the first: the bodies publishing regime-, mass-, and era-resolved disposal statistics for the global object population. Leading that class is the European Space Agency Space Debris Office annual Space Environment Report, source of the headline disposal fractions, the seven-class behavioral taxonomy, the compliance bounds for rocket bodies and large payloads in low Earth orbit, and the success-rate band for geostationary re-orbit attempts</w:t>
      </w:r>
      <w:r>
        <w:t xml:space="preserve"> </w:t>
      </w:r>
      <w:hyperlink w:anchor="ref-10">
        <w:r>
          <w:rPr>
            <w:rStyle w:val="Hyperlink"/>
          </w:rPr>
          <w:t xml:space="preserve">[10]</w:t>
        </w:r>
      </w:hyperlink>
      <w:r>
        <w:t xml:space="preserve">. Four numbers this dissertation leans on all trace to that one authority: the ninety percent rocket-body clearance figure, the fifty-seven percent twenty-five-year clearance for large low-Earth-orbit payloads, the seventy to ninety percent band on geostationary disposal-attempt success, and the documented dips in 2015 and 2022</w:t>
      </w:r>
      <w:r>
        <w:t xml:space="preserve"> </w:t>
      </w:r>
      <w:hyperlink w:anchor="ref-10">
        <w:r>
          <w:rPr>
            <w:rStyle w:val="Hyperlink"/>
          </w:rPr>
          <w:t xml:space="preserve">[10]</w:t>
        </w:r>
      </w:hyperlink>
      <w:r>
        <w:t xml:space="preserve">. Each is copied into the dataset by direct quotation rather than derived by inference. That same report also stands behind the auxiliary reentry and decommissioning bulletins that give Paper 2 its individual disposal dates.</w:t>
      </w:r>
    </w:p>
    <w:p>
      <w:pPr>
        <w:pStyle w:val="BodyText"/>
        <w:spacing w:line="480" w:lineRule="auto"/>
        <w:ind w:firstLine="720"/>
      </w:pPr>
      <w:r>
        <w:t xml:space="preserve">Peer-reviewed engineering and compliance studies form the second class, resolving disposal outcomes at finer historical grain than the annual report can. Anselmo and Pardini’s study of geostationary disposal from 1997 to 2004 furnishes Paper 1 with its historical anchor cohort for that regime, down to exact counts of compliant re-orbit, sub-recommended re-orbit, and abandonment drawn from a documented population of one hundred seventeen spacecraft</w:t>
      </w:r>
      <w:r>
        <w:t xml:space="preserve"> </w:t>
      </w:r>
      <w:hyperlink w:anchor="ref-13">
        <w:r>
          <w:rPr>
            <w:rStyle w:val="Hyperlink"/>
          </w:rPr>
          <w:t xml:space="preserve">[13]</w:t>
        </w:r>
      </w:hyperlink>
      <w:r>
        <w:t xml:space="preserve">. From Pardini and Anselmo’s study of the Italian satellites comes a national low-Earth-orbit anchor cohort together with the criticality-ranking method by which mass class is tied to the long-term environmental cost of failing to comply</w:t>
      </w:r>
      <w:r>
        <w:t xml:space="preserve"> </w:t>
      </w:r>
      <w:hyperlink w:anchor="ref-14">
        <w:r>
          <w:rPr>
            <w:rStyle w:val="Hyperlink"/>
          </w:rPr>
          <w:t xml:space="preserve">[14]</w:t>
        </w:r>
      </w:hyperlink>
      <w:r>
        <w:t xml:space="preserve">. Two more Pardini and Anselmo papers, one on the criticality of the low-Earth-orbit debris flux and one on the impact of space activities in the regime, ground the argument that when disposal happens, and not merely whether it eventually happens, is what drives orbital risk</w:t>
      </w:r>
      <w:r>
        <w:t xml:space="preserve"> </w:t>
      </w:r>
      <w:hyperlink w:anchor="ref-15">
        <w:r>
          <w:rPr>
            <w:rStyle w:val="Hyperlink"/>
          </w:rPr>
          <w:t xml:space="preserve">[15]</w:t>
        </w:r>
      </w:hyperlink>
      <w:r>
        <w:t xml:space="preserve">[18]. Cross-checks against alternative classifications of debris-environment outcomes come from Bottcher and Silvestri’s multi-perspective sustainability-metrics study</w:t>
      </w:r>
      <w:r>
        <w:t xml:space="preserve"> </w:t>
      </w:r>
      <w:hyperlink w:anchor="ref-19">
        <w:r>
          <w:rPr>
            <w:rStyle w:val="Hyperlink"/>
          </w:rPr>
          <w:t xml:space="preserve">[19]</w:t>
        </w:r>
      </w:hyperlink>
      <w:r>
        <w:t xml:space="preserve">. And the engineering warrant for treating mass and altitude as physical determinants of disposal feasibility, quantities any behavioral coefficient must be read net of, comes from Pontijas Fuentes et al. on the European Space Agency Debris Risk Assessment and Mitigation Analysis tool’s spacecraft entry survival analysis module</w:t>
      </w:r>
      <w:r>
        <w:t xml:space="preserve"> </w:t>
      </w:r>
      <w:hyperlink w:anchor="ref-17">
        <w:r>
          <w:rPr>
            <w:rStyle w:val="Hyperlink"/>
          </w:rPr>
          <w:t xml:space="preserve">[17]</w:t>
        </w:r>
      </w:hyperlink>
      <w:r>
        <w:t xml:space="preserve">.</w:t>
      </w:r>
    </w:p>
    <w:p>
      <w:pPr>
        <w:pStyle w:val="BodyText"/>
        <w:spacing w:line="480" w:lineRule="auto"/>
        <w:ind w:firstLine="720"/>
      </w:pPr>
      <w:r>
        <w:t xml:space="preserve">Third comes the orbital-debris-mitigation guideline corpus, together with the audit and ontology work that puts it to use. What counts as a compliant disposal outcome is defined at baseline by the Inter-Agency Space Debris Coordination Committee guidelines, read here through the ontology-based data-management approach of Walls and colleagues</w:t>
      </w:r>
      <w:r>
        <w:t xml:space="preserve"> </w:t>
      </w:r>
      <w:hyperlink w:anchor="ref-1">
        <w:r>
          <w:rPr>
            <w:rStyle w:val="Hyperlink"/>
          </w:rPr>
          <w:t xml:space="preserve">[1]</w:t>
        </w:r>
      </w:hyperlink>
      <w:r>
        <w:t xml:space="preserve">. That compliance deserves to be a variable rather than a constant is settled by Verspieren’s audit of United States Air Force disposal, which shows even institutionally mature operators falling short of the guideline</w:t>
      </w:r>
      <w:r>
        <w:t xml:space="preserve"> </w:t>
      </w:r>
      <w:hyperlink w:anchor="ref-5">
        <w:r>
          <w:rPr>
            <w:rStyle w:val="Hyperlink"/>
          </w:rPr>
          <w:t xml:space="preserve">[5]</w:t>
        </w:r>
      </w:hyperlink>
      <w:r>
        <w:t xml:space="preserve">. And the frame under which disposal practice becomes a measurable axis of operator accountability, rather than a self-reported attribute, comes from Karra and Jah’s independent transparency method for the geostationary regime</w:t>
      </w:r>
      <w:r>
        <w:t xml:space="preserve"> </w:t>
      </w:r>
      <w:hyperlink w:anchor="ref-2">
        <w:r>
          <w:rPr>
            <w:rStyle w:val="Hyperlink"/>
          </w:rPr>
          <w:t xml:space="preserve">[2]</w:t>
        </w:r>
      </w:hyperlink>
      <w:r>
        <w:t xml:space="preserve">[16].</w:t>
      </w:r>
    </w:p>
    <w:p>
      <w:pPr>
        <w:pStyle w:val="BodyText"/>
        <w:spacing w:line="480" w:lineRule="auto"/>
        <w:ind w:firstLine="720"/>
      </w:pPr>
      <w:r>
        <w:t xml:space="preserve">A handful of object-level dispositions in Paper 2 come straight from mission press kits and reentry bulletins issued by the operating agencies. These include controlled-reentry announcements for missions such as the Gravity field and steady-state Ocean Circulation Explorer, the Atmospheric Dynamics Mission Aeolus, and the Cluster Salsa spacecraft, alongside natural-decay records for the European Remote Sensing Satellite 2, the Roentgen Satellite, the Upper Atmosphere Research Satellite, and the Ice, Cloud, and land Elevation Satellite. Being first-party agency releases of decommissioning outcomes rather than secondary commentary, they enter the dataset at the same authority level as the European Space Agency reports.</w:t>
      </w:r>
    </w:p>
    <w:bookmarkEnd w:id="86"/>
    <w:bookmarkStart w:id="87" w:name="unit-of-analysis"/>
    <w:p>
      <w:pPr>
        <w:pStyle w:val="Heading2"/>
        <w:spacing w:line="480" w:lineRule="auto"/>
      </w:pPr>
      <w:r>
        <w:t xml:space="preserve">4.3 Unit of Analysis</w:t>
      </w:r>
    </w:p>
    <w:p>
      <w:pPr>
        <w:pStyle w:val="FirstParagraph"/>
        <w:spacing w:line="480" w:lineRule="auto"/>
      </w:pPr>
      <w:r>
        <w:t xml:space="preserve">By design, the two papers pool their records at different units.</w:t>
      </w:r>
    </w:p>
    <w:p>
      <w:pPr>
        <w:pStyle w:val="BodyText"/>
        <w:spacing w:line="480" w:lineRule="auto"/>
        <w:ind w:firstLine="720"/>
      </w:pPr>
      <w:r>
        <w:t xml:space="preserve">Cohorts are Paper 1’s unit. A cohort gathers payloads or rocket bodies that share an orbital regime, an object type, a mass class, and an era, and whose disposal outcome a single named source reports together. That is precisely the grain at which the European Space Agency report, the Anselmo and Pardini geostationary census, and the Pardini and Anselmo Italian study all publish their disposal fractions, so it is also the grain at which a binary compliance outcome can be built without pooling across mismatched reporting conventions</w:t>
      </w:r>
      <w:r>
        <w:t xml:space="preserve"> </w:t>
      </w:r>
      <w:hyperlink w:anchor="ref-10">
        <w:r>
          <w:rPr>
            <w:rStyle w:val="Hyperlink"/>
          </w:rPr>
          <w:t xml:space="preserve">[10]</w:t>
        </w:r>
      </w:hyperlink>
      <w:r>
        <w:t xml:space="preserve">[13][14]. Thirty cohort observations are assembled. Every one carries a source string in the dataset’s final column, so the provenance of any observation can be traced to its named authority on sight. Fewer than fifteen percent of the sample, a handful of cohort assignments, are flagged as illustrative where one published row had to be mapped onto a slightly coarser regime-by-mass cell for coding consistency, and the flags allow those observations to be dropped as a robustness check.</w:t>
      </w:r>
    </w:p>
    <w:p>
      <w:pPr>
        <w:pStyle w:val="BodyText"/>
        <w:spacing w:line="480" w:lineRule="auto"/>
        <w:ind w:firstLine="720"/>
      </w:pPr>
      <w:r>
        <w:t xml:space="preserve">Individual spacecraft are Paper 2’s unit. Each spacecraft observation logs the declared end-of-mission year, the year of compliant disposal where one occurred, the resulting duration in years, and a right-censoring flag for objects still operational or on orbit at the 2026 observation cutoff. Thirty-two spacecraft are assembled, of which nineteen are seen to reach compliant disposal inside the window and the remainder are censored at the cutoff. Coverage of the engineering envelope, not statistical representativeness, drives the sampling frame, which reaches across every disposal mechanism the proportional-hazards model is identified from: controlled reentry of the Gravity field and steady-state Ocean Circulation Explorer, Aeolus, and Cluster Salsa; assisted and natural decay of the European Remote Sensing Satellite 2, the Roentgen Satellite, the Upper Atmosphere Research Satellite, and the Ice, Cloud, and land Elevation Satellite; disposal-orbit transfer of the Cloud-Aerosol Lidar and Infrared Pathfinder Satellite Observation and CloudSat; commercial constellation deorbits across the Starlink, OneWeb, Iridium NEXT, Planet, and Spire programs; and long-lived censored objects that never disposed at all, Envisat, the Ocean Topography Experiment satellite, the Sea Satellite, Landsat 5, and the Jason series among them. Representing the active satellite population statistically would demand a sampling strategy the public record cannot support, so the frame does not attempt it. Where individual tail numbers lack their own published disposal dates, certain commercial constellations enter at the cohort level inside the spacecraft frame, again beneath the fifteen percent illustrative threshold.</w:t>
      </w:r>
    </w:p>
    <w:bookmarkEnd w:id="87"/>
    <w:bookmarkStart w:id="88" w:name="dependent-variable-compliant-disposal"/>
    <w:p>
      <w:pPr>
        <w:pStyle w:val="Heading2"/>
        <w:spacing w:line="480" w:lineRule="auto"/>
      </w:pPr>
      <w:r>
        <w:t xml:space="preserve">4.4 Dependent Variable: Compliant Disposal</w:t>
      </w:r>
    </w:p>
    <w:p>
      <w:pPr>
        <w:pStyle w:val="FirstParagraph"/>
        <w:spacing w:line="480" w:lineRule="auto"/>
      </w:pPr>
      <w:r>
        <w:t xml:space="preserve">Paper 1’s dependent variable is the binary indicator</w:t>
      </w:r>
      <w:r>
        <w:t xml:space="preserve"> </w:t>
      </w:r>
      <w:r>
        <w:rPr>
          <w:rStyle w:val="VerbatimChar"/>
        </w:rPr>
        <w:t xml:space="preserve">compliant</w:t>
      </w:r>
      <w:r>
        <w:t xml:space="preserve">, switched to one when a cohort reached a disposal outcome the European Space Agency treats as meeting the Inter-Agency Space Debris Coordination Committee guideline</w:t>
      </w:r>
      <w:r>
        <w:t xml:space="preserve"> </w:t>
      </w:r>
      <w:hyperlink w:anchor="ref-1">
        <w:r>
          <w:rPr>
            <w:rStyle w:val="Hyperlink"/>
          </w:rPr>
          <w:t xml:space="preserve">[1]</w:t>
        </w:r>
      </w:hyperlink>
      <w:r>
        <w:t xml:space="preserve">[10]. In geostationary orbit that outcome is a graveyard re-orbit above the protected region, per the European Space Agency report’s definition and the recommended altitude that Anselmo and Pardini adopt as their own classification threshold</w:t>
      </w:r>
      <w:r>
        <w:t xml:space="preserve"> </w:t>
      </w:r>
      <w:hyperlink w:anchor="ref-13">
        <w:r>
          <w:rPr>
            <w:rStyle w:val="Hyperlink"/>
          </w:rPr>
          <w:t xml:space="preserve">[13]</w:t>
        </w:r>
      </w:hyperlink>
      <w:r>
        <w:t xml:space="preserve">. In low Earth orbit it is clearance of the protected region within the lifetime limit, whether the twenty-five-year limit that governed historical cohorts or the five-year limit the European Space Agency Zero Debris Approach introduced for cohorts subject to it, and it counts successful controlled re-entry as clearance</w:t>
      </w:r>
      <w:r>
        <w:t xml:space="preserve"> </w:t>
      </w:r>
      <w:hyperlink w:anchor="ref-10">
        <w:r>
          <w:rPr>
            <w:rStyle w:val="Hyperlink"/>
          </w:rPr>
          <w:t xml:space="preserve">[10]</w:t>
        </w:r>
      </w:hyperlink>
      <w:r>
        <w:t xml:space="preserve">. Any cohort reaching none of these within the documented window is coded zero.</w:t>
      </w:r>
    </w:p>
    <w:p>
      <w:pPr>
        <w:pStyle w:val="BodyText"/>
        <w:spacing w:line="480" w:lineRule="auto"/>
        <w:ind w:firstLine="720"/>
      </w:pPr>
      <w:r>
        <w:t xml:space="preserve">Two conventions shape how the variable is built. The European Space Agency’s seven-class behavioral taxonomy separates compliance reached without an attempted maneuver from compliance reached after one, and splits non-compliance into several modes besides</w:t>
      </w:r>
      <w:r>
        <w:t xml:space="preserve"> </w:t>
      </w:r>
      <w:hyperlink w:anchor="ref-10">
        <w:r>
          <w:rPr>
            <w:rStyle w:val="Hyperlink"/>
          </w:rPr>
          <w:t xml:space="preserve">[10]</w:t>
        </w:r>
      </w:hyperlink>
      <w:r>
        <w:t xml:space="preserve">. Onto the compliant and non-compliant supersets the binary variable collapses all of that, recording the collapse in the metadata so the attempted-versus-naturally-compliant distinction stays recoverable for the controls of Section 4.6. And when a source gives a cohort’s disposal as a continuous proportion rather than a binary, that cohort enters as one row coded by which side of 0.5 the proportion falls on, with the underlying fractions kept in the dataset for the panel-logit robustness check the prospectus anticipated [44 of prospectus].</w:t>
      </w:r>
    </w:p>
    <w:p>
      <w:pPr>
        <w:pStyle w:val="BodyText"/>
        <w:spacing w:line="480" w:lineRule="auto"/>
        <w:ind w:firstLine="720"/>
      </w:pPr>
      <w:r>
        <w:t xml:space="preserve">For Paper 2 the dependent quantity is a time-to-event variable feeding the proportional-hazards fit. Each spacecraft’s duration is the gap, in years, from the declared end-of-mission year to the year of compliant disposal. Compliant disposal here carries exactly Paper 1’s definition: re-orbit above the protected region for geostationary objects, clearance inside the lifetime limit for low-Earth-orbit objects, and successful controlled reentry for missions that chose that route. When end-of-mission year and disposal year land in the same year, the duration is logged as zero, not as missing, because a same-year disposal is the fastest rate the construct can record. For any spacecraft still undisposed at the cutoff, the duration runs from end-of-mission year to the cutoff and the censoring flag is set, letting the partial-likelihood estimator read the observation as evidence of no event up to that point rather than as a non-event [50 of P2]. That coding is the working form of the verification-error bound Section 6 of the prospectus laid out.</w:t>
      </w:r>
    </w:p>
    <w:bookmarkEnd w:id="88"/>
    <w:bookmarkStart w:id="89" w:name="X0e6a789dddab876fdeaf66ddc0f3159186923b1"/>
    <w:p>
      <w:pPr>
        <w:pStyle w:val="Heading2"/>
        <w:spacing w:line="480" w:lineRule="auto"/>
      </w:pPr>
      <w:r>
        <w:t xml:space="preserve">4.5 Treatment Variable: Bonded Obligation and Financial Assurance</w:t>
      </w:r>
    </w:p>
    <w:p>
      <w:pPr>
        <w:pStyle w:val="FirstParagraph"/>
        <w:spacing w:line="480" w:lineRule="auto"/>
      </w:pPr>
      <w:r>
        <w:t xml:space="preserve">At the heart of the dissertation sits the treatment variable, and in both papers it is, by deliberate choice, an indicator instead of a continuous bond fraction. The prospectus paints the ideal instrument as a continuous bond fraction</w:t>
      </w:r>
      <w:r>
        <w:t xml:space="preserve"> </w:t>
      </w:r>
      <w:r>
        <w:rPr>
          <w:rStyle w:val="VerbatimChar"/>
        </w:rPr>
        <w:t xml:space="preserve">b</w:t>
      </w:r>
      <w:r>
        <w:t xml:space="preserve">, the share of an operator-specific reference cost withheld at authorization and returned on verified disposal</w:t>
      </w:r>
      <w:r>
        <w:t xml:space="preserve"> </w:t>
      </w:r>
      <w:hyperlink w:anchor="ref-4">
        <w:r>
          <w:rPr>
            <w:rStyle w:val="Hyperlink"/>
          </w:rPr>
          <w:t xml:space="preserve">[4]</w:t>
        </w:r>
      </w:hyperlink>
      <w:r>
        <w:t xml:space="preserve">[8]. No public registry yet lists that share as a number across operators. So the dissertation instead measures whether a binding obligation is present, using presence as a stand-in for dose, and presents the resulting estimates as identification of the presence effect, not of a dose-response curve. This is already the leading external-validity caveat the prospectus names, and Paper 1 raises it once more, in Section 6 of its prose, as the first of three limits on the inference.</w:t>
      </w:r>
    </w:p>
    <w:p>
      <w:pPr>
        <w:pStyle w:val="BodyText"/>
        <w:spacing w:line="480" w:lineRule="auto"/>
        <w:ind w:firstLine="720"/>
      </w:pPr>
      <w:r>
        <w:t xml:space="preserve">Within Paper 1 the</w:t>
      </w:r>
      <w:r>
        <w:t xml:space="preserve"> </w:t>
      </w:r>
      <w:r>
        <w:rPr>
          <w:rStyle w:val="VerbatimChar"/>
        </w:rPr>
        <w:t xml:space="preserve">bonded</w:t>
      </w:r>
      <w:r>
        <w:t xml:space="preserve"> </w:t>
      </w:r>
      <w:r>
        <w:t xml:space="preserve">indicator turns to one for cohorts operating under a binding disposal-commitment proxy and zero otherwise. Cohorts under the European Space Agency Zero Debris Approach and the 2023 five-year Standard, where operators posted a disposal commitment as a condition of the agency relationship, supply the main positive cases. Historical cohorts governed by the voluntary guideline regime, with no financial-assurance counterpart, supply the main negative cases</w:t>
      </w:r>
      <w:r>
        <w:t xml:space="preserve"> </w:t>
      </w:r>
      <w:hyperlink w:anchor="ref-1">
        <w:r>
          <w:rPr>
            <w:rStyle w:val="Hyperlink"/>
          </w:rPr>
          <w:t xml:space="preserve">[1]</w:t>
        </w:r>
      </w:hyperlink>
      <w:r>
        <w:t xml:space="preserve">[5]. Crossover is preserved on purpose: naturally compliant small-constellation cohorts that carry no binding obligation yet comply through low operational altitude score zero on obligation and one on outcome, whereas committed operators whose disposal attempts failed in the 2015 and 2022 geostationary dips the European Space Agency report flags score one on obligation and zero on outcome</w:t>
      </w:r>
      <w:r>
        <w:t xml:space="preserve"> </w:t>
      </w:r>
      <w:hyperlink w:anchor="ref-10">
        <w:r>
          <w:rPr>
            <w:rStyle w:val="Hyperlink"/>
          </w:rPr>
          <w:t xml:space="preserve">[10]</w:t>
        </w:r>
      </w:hyperlink>
      <w:r>
        <w:t xml:space="preserve">. That crossover is exactly what lets the binary logit estimator converge; an earlier coding under which compliance followed deterministically from the obligation indicator produced perfect separation, a non-identified likelihood, and was thrown out.</w:t>
      </w:r>
    </w:p>
    <w:p>
      <w:pPr>
        <w:pStyle w:val="BodyText"/>
        <w:spacing w:line="480" w:lineRule="auto"/>
        <w:ind w:firstLine="720"/>
      </w:pPr>
      <w:r>
        <w:t xml:space="preserve">Within Paper 2 the</w:t>
      </w:r>
      <w:r>
        <w:t xml:space="preserve"> </w:t>
      </w:r>
      <w:r>
        <w:rPr>
          <w:rStyle w:val="VerbatimChar"/>
        </w:rPr>
        <w:t xml:space="preserve">financial_assurance</w:t>
      </w:r>
      <w:r>
        <w:t xml:space="preserve"> </w:t>
      </w:r>
      <w:r>
        <w:t xml:space="preserve">indicator turns to one for spacecraft whose operators fell under a licensing regime bearing disposal commitments and commercial liability exposure, and zero for legacy government science missions disposed under guideline rather than financial obligation. Deliberately it is drawn narrower than Paper 1’s commitment proxy, since the timing test needs a cleaner line between regimes that attach a financial consequence to non-disposal and regimes that do not. Drawing it narrow reproduces a pattern Paper 2’s findings openly acknowledge: the bonded-regime objects in the historical sample skew toward commercial radar platforms flown high in low Earth orbit and still censored at the cutoff, while several unbonded government science missions came down quickly from low altitudes through assisted or natural decay. Rather than hide that confounding of the bond indicator with altitude, the dataset records it, and it is what motivates the altitude-graduated refund discussion in Paper 2’s discussion section.</w:t>
      </w:r>
    </w:p>
    <w:p>
      <w:pPr>
        <w:pStyle w:val="BodyText"/>
        <w:spacing w:line="480" w:lineRule="auto"/>
        <w:ind w:firstLine="720"/>
      </w:pPr>
      <w:r>
        <w:t xml:space="preserve">Bond magnitude, neither indicator captures. What the estimated coefficients recover is whether a binding obligation, when present, predicts the outcome and whether it speeds the rate, each net of the physical and operational characteristics built in the next section.</w:t>
      </w:r>
    </w:p>
    <w:p>
      <w:pPr>
        <w:pStyle w:val="BodyText"/>
        <w:spacing w:line="480" w:lineRule="auto"/>
        <w:ind w:firstLine="720"/>
      </w:pPr>
      <w:r>
        <w:t xml:space="preserve">How a continuous bond-fraction variable might be assembled from named licensing-authority records, once the historical record matures, is the question Section 4.8 returns to.</w:t>
      </w:r>
    </w:p>
    <w:bookmarkEnd w:id="89"/>
    <w:bookmarkStart w:id="90" w:name="control-variables"/>
    <w:p>
      <w:pPr>
        <w:pStyle w:val="Heading2"/>
        <w:spacing w:line="480" w:lineRule="auto"/>
      </w:pPr>
      <w:r>
        <w:t xml:space="preserve">4.6 Control Variables</w:t>
      </w:r>
    </w:p>
    <w:p>
      <w:pPr>
        <w:pStyle w:val="FirstParagraph"/>
        <w:spacing w:line="480" w:lineRule="auto"/>
      </w:pPr>
      <w:r>
        <w:t xml:space="preserve">Both papers build their controls from the physical and operational attributes that the engineering and economics literature marks as determinants of disposal feasibility apart from the financial-assurance question. Getting them right is more than statistical hygiene. It is the whole empirical content of the claim that a behavioral coefficient earns its interpretation only by surviving these controls.</w:t>
      </w:r>
    </w:p>
    <w:p>
      <w:pPr>
        <w:pStyle w:val="BodyText"/>
        <w:spacing w:line="480" w:lineRule="auto"/>
        <w:ind w:firstLine="720"/>
      </w:pPr>
      <w:r>
        <w:t xml:space="preserve">Paper 1’s active-propulsion indicator scores one for cohorts whose objects carry the propulsion needed to execute a maneuver-based disposal and zero for those that do not, following the European Space Agency report’s split between objects designed for active disposal and objects left to natural decay</w:t>
      </w:r>
      <w:r>
        <w:t xml:space="preserve"> </w:t>
      </w:r>
      <w:hyperlink w:anchor="ref-10">
        <w:r>
          <w:rPr>
            <w:rStyle w:val="Hyperlink"/>
          </w:rPr>
          <w:t xml:space="preserve">[10]</w:t>
        </w:r>
      </w:hyperlink>
      <w:r>
        <w:t xml:space="preserve">. Propulsion is required to re-orbit in geostationary orbit and to reenter under control from low Earth orbit; it is not required for natural decay from low operational altitudes, and that is why the indicator does not collapse into a deterministic function of the outcome.</w:t>
      </w:r>
    </w:p>
    <w:p>
      <w:pPr>
        <w:pStyle w:val="BodyText"/>
        <w:spacing w:line="480" w:lineRule="auto"/>
        <w:ind w:firstLine="720"/>
      </w:pPr>
      <w:r>
        <w:t xml:space="preserve">A geostationary-regime indicator scores one for cohorts in the geostationary protected region and zero for low-Earth-orbit cohorts. It encodes a physical fact: with no atmospheric drag to sweep abandoned objects out of geostationary orbit, compliant disposal there demands a deliberate, fuel-budgeted maneuver into the graveyard region</w:t>
      </w:r>
      <w:r>
        <w:t xml:space="preserve"> </w:t>
      </w:r>
      <w:hyperlink w:anchor="ref-13">
        <w:r>
          <w:rPr>
            <w:rStyle w:val="Hyperlink"/>
          </w:rPr>
          <w:t xml:space="preserve">[13]</w:t>
        </w:r>
      </w:hyperlink>
      <w:r>
        <w:t xml:space="preserve">. So the indicator reads as a structural control on how hard disposal is, not as a behavioral variable in its own right.</w:t>
      </w:r>
    </w:p>
    <w:p>
      <w:pPr>
        <w:pStyle w:val="BodyText"/>
        <w:spacing w:line="480" w:lineRule="auto"/>
        <w:ind w:firstLine="720"/>
      </w:pPr>
      <w:r>
        <w:t xml:space="preserve">A post-2015 era indicator scores one for cohorts whose end-of-life year falls after 2015 and zero otherwise. That threshold marks the inflection in mitigation uptake the European Space Agency report documents, including the constellation-driven natural-compliance contribution that started to dominate the low-Earth-orbit statistics in this stretch</w:t>
      </w:r>
      <w:r>
        <w:t xml:space="preserve"> </w:t>
      </w:r>
      <w:hyperlink w:anchor="ref-10">
        <w:r>
          <w:rPr>
            <w:rStyle w:val="Hyperlink"/>
          </w:rPr>
          <w:t xml:space="preserve">[10]</w:t>
        </w:r>
      </w:hyperlink>
      <w:r>
        <w:t xml:space="preserve">. Since binding commitments are themselves recent, the indicator correlates with the bonded-obligation indicator by construction, and Paper 1 flags that correlation as a structural limit on identifying the two effects separately at the present sample size.</w:t>
      </w:r>
    </w:p>
    <w:p>
      <w:pPr>
        <w:pStyle w:val="BodyText"/>
        <w:spacing w:line="480" w:lineRule="auto"/>
        <w:ind w:firstLine="720"/>
      </w:pPr>
      <w:r>
        <w:t xml:space="preserve">A large-mass indicator scores one for cohorts in the largest mass class the source reports and zero otherwise, following the European Space Agency report’s mass stratification together with the Pardini and Anselmo criticality-ranking method that weights long-term environmental consequence by mass</w:t>
      </w:r>
      <w:r>
        <w:t xml:space="preserve"> </w:t>
      </w:r>
      <w:hyperlink w:anchor="ref-10">
        <w:r>
          <w:rPr>
            <w:rStyle w:val="Hyperlink"/>
          </w:rPr>
          <w:t xml:space="preserve">[10]</w:t>
        </w:r>
      </w:hyperlink>
      <w:r>
        <w:t xml:space="preserve">[14]. It enters as a control on the engineering and consequence weight of disposal, not as a behavioral expectation.</w:t>
      </w:r>
    </w:p>
    <w:p>
      <w:pPr>
        <w:pStyle w:val="BodyText"/>
        <w:spacing w:line="480" w:lineRule="auto"/>
        <w:ind w:firstLine="720"/>
      </w:pPr>
      <w:r>
        <w:t xml:space="preserve">Paper 2 pares its controls down to two continuous physical variables, altitude in kilometers and mass in metric tons, both read from each spacecraft’s mission documentation. Continuous beats categorical here because the Cox model recovers altitude’s multiplicative effect on the disposal hazard in precisely estimated form, as the findings show</w:t>
      </w:r>
      <w:r>
        <w:t xml:space="preserve"> </w:t>
      </w:r>
      <w:hyperlink w:anchor="ref-17">
        <w:r>
          <w:rPr>
            <w:rStyle w:val="Hyperlink"/>
          </w:rPr>
          <w:t xml:space="preserve">[17]</w:t>
        </w:r>
      </w:hyperlink>
      <w:r>
        <w:t xml:space="preserve">[31]. Altitude carries that precise estimate, which makes its construction the single most consequential measurement in Paper 2: it is taken straight from the operational altitude in the mission documentation, not from a derived orbital element, and when operational altitude shifts across the mission the late-operational value is used, because that is the altitude at which the disposal decision actually arrives.</w:t>
      </w:r>
    </w:p>
    <w:bookmarkEnd w:id="90"/>
    <w:bookmarkStart w:id="91" w:name="X5559f5bcf1f0017660593e44daab538e3679412"/>
    <w:p>
      <w:pPr>
        <w:pStyle w:val="Heading2"/>
        <w:spacing w:line="480" w:lineRule="auto"/>
      </w:pPr>
      <w:r>
        <w:t xml:space="preserve">4.7 Linkage, Provenance, and Source-Column Discipline</w:t>
      </w:r>
    </w:p>
    <w:p>
      <w:pPr>
        <w:pStyle w:val="FirstParagraph"/>
        <w:spacing w:line="480" w:lineRule="auto"/>
      </w:pPr>
      <w:r>
        <w:t xml:space="preserve">In both datasets, every observation carries a source string in its final column naming the authority the row came from. Far from cosmetic, the practice delivers on the prospectus commitment that</w:t>
      </w:r>
      <w:r>
        <w:t xml:space="preserve"> </w:t>
      </w:r>
      <w:r>
        <w:t xml:space="preserve">“every layer is provenance-traceable to a named public authority, and no proprietary or restricted data is required for the lead specification”</w:t>
      </w:r>
      <w:r>
        <w:t xml:space="preserve"> </w:t>
      </w:r>
      <w:r>
        <w:t xml:space="preserve">[46 of prospectus]. Through that column any reader can check a row against its named authority, and any analyst can drop or reweight observations by authority class for robustness without touching the coding. A parallel column flags illustrative observations so they can be excluded on a robustness check, and Paper 1 and Paper 2 each land beneath the fifteen percent illustrative threshold.</w:t>
      </w:r>
    </w:p>
    <w:p>
      <w:pPr>
        <w:pStyle w:val="BodyText"/>
        <w:spacing w:line="480" w:lineRule="auto"/>
        <w:ind w:firstLine="720"/>
      </w:pPr>
      <w:r>
        <w:t xml:space="preserve">Regime, era, and operator class are what link the disposal-outcome layer to the obligation layer. No single primary key joins a European Space Agency reported cohort straight to a licensing-authority obligation record, because those cohorts are described by environmental and engineering attributes rather than by operator identity. Linkage therefore runs as a deterministic mapping from the regime-by-era-by-operator-class tuple onto the obligation indicator, applied uniformly across the cohort dataset, and the same mapping at the object level yields Paper 2’s financial-assurance indicator.</w:t>
      </w:r>
    </w:p>
    <w:bookmarkEnd w:id="91"/>
    <w:bookmarkStart w:id="92" w:name="X8e1315a466780288461fe203d95894460621f61"/>
    <w:p>
      <w:pPr>
        <w:pStyle w:val="Heading2"/>
        <w:spacing w:line="480" w:lineRule="auto"/>
      </w:pPr>
      <w:r>
        <w:t xml:space="preserve">4.8 Limits, Sensitivity, and the Path to Dose Response</w:t>
      </w:r>
    </w:p>
    <w:p>
      <w:pPr>
        <w:pStyle w:val="FirstParagraph"/>
        <w:spacing w:line="480" w:lineRule="auto"/>
      </w:pPr>
      <w:r>
        <w:t xml:space="preserve">Three limits on the present measurement go on the record here, so the inference in the empirical chapters stays within its reach. Both treatment indicators register the presence of a binding obligation, not the size of a posted bond, so the elasticity the prospectus wants,</w:t>
      </w:r>
      <w:r>
        <w:t xml:space="preserve"> </w:t>
      </w:r>
      <w:r>
        <w:rPr>
          <w:rStyle w:val="VerbatimChar"/>
        </w:rPr>
        <w:t xml:space="preserve">dC/db</w:t>
      </w:r>
      <w:r>
        <w:t xml:space="preserve">, is pinned at one point of the implicit</w:t>
      </w:r>
      <w:r>
        <w:t xml:space="preserve"> </w:t>
      </w:r>
      <w:r>
        <w:rPr>
          <w:rStyle w:val="VerbatimChar"/>
        </w:rPr>
        <w:t xml:space="preserve">b</w:t>
      </w:r>
      <w:r>
        <w:t xml:space="preserve"> </w:t>
      </w:r>
      <w:r>
        <w:t xml:space="preserve">distribution rather than traced along the curve</w:t>
      </w:r>
      <w:r>
        <w:t xml:space="preserve"> </w:t>
      </w:r>
      <w:hyperlink w:anchor="ref-4">
        <w:r>
          <w:rPr>
            <w:rStyle w:val="Hyperlink"/>
          </w:rPr>
          <w:t xml:space="preserve">[4]</w:t>
        </w:r>
      </w:hyperlink>
      <w:r>
        <w:t xml:space="preserve">[8]. Dose response opens up once bond fractions or financial-security determinations are published at the licensing-authority level, which the United States Federal Communications Commission and United Kingdom Civil Aviation Authority records already make visible in principle, and building a numerical</w:t>
      </w:r>
      <w:r>
        <w:t xml:space="preserve"> </w:t>
      </w:r>
      <w:r>
        <w:rPr>
          <w:rStyle w:val="VerbatimChar"/>
        </w:rPr>
        <w:t xml:space="preserve">b</w:t>
      </w:r>
      <w:r>
        <w:t xml:space="preserve"> </w:t>
      </w:r>
      <w:r>
        <w:t xml:space="preserve">variable from those records is the next measurement the dissertation flags.</w:t>
      </w:r>
    </w:p>
    <w:p>
      <w:pPr>
        <w:pStyle w:val="BodyText"/>
        <w:spacing w:line="480" w:lineRule="auto"/>
        <w:ind w:firstLine="720"/>
      </w:pPr>
      <w:r>
        <w:t xml:space="preserve">Then there is aggregation. Paper 1’s cohort unit pools heterogeneous objects, understating within-cohort variation and making the binary outcome look cleaner than it is. Paper 2’s object-level frame fixes this inside its own sample, yet the cross-paper comparison still has to make room for the aggregation gap.</w:t>
      </w:r>
    </w:p>
    <w:p>
      <w:pPr>
        <w:pStyle w:val="BodyText"/>
        <w:spacing w:line="480" w:lineRule="auto"/>
        <w:ind w:firstLine="720"/>
      </w:pPr>
      <w:r>
        <w:t xml:space="preserve">Finally, verifying compliant disposal in either paper rests on the orbital-lifetime bounds of the relevant authority, and the post-disposal lifetime is itself uncertain at the magnitudes the Ayala Fernandez et al. study puts numbers on</w:t>
      </w:r>
      <w:r>
        <w:t xml:space="preserve"> </w:t>
      </w:r>
      <w:hyperlink w:anchor="ref-6">
        <w:r>
          <w:rPr>
            <w:rStyle w:val="Hyperlink"/>
          </w:rPr>
          <w:t xml:space="preserve">[6]</w:t>
        </w:r>
      </w:hyperlink>
      <w:r>
        <w:t xml:space="preserve">. The lead specification takes the authority’s classification at its published threshold, and the conservative and lenient thresholds report as sensitivity bounds. Constellation operators that license at scale and dispose in correlated waves are absorbed by clustering at the operator and constellation level in Chapter 5’s inferential procedures, rather than by re-coding the dataset.</w:t>
      </w:r>
    </w:p>
    <w:p>
      <w:pPr>
        <w:pStyle w:val="BodyText"/>
        <w:spacing w:line="480" w:lineRule="auto"/>
        <w:ind w:firstLine="720"/>
      </w:pPr>
      <w:r>
        <w:t xml:space="preserve">On these terms the measurement framework does enough: it recovers the presence effect of a binding disposal obligation at two complementary units of analysis and fences the leading verification and aggregation threats behind named authorities. What it cannot yet do is recover the dose-response curve an instrumented bond fraction would trace, and Chapter 5 picks up the inferential consequences of that limit.</w:t>
      </w:r>
    </w:p>
    <w:bookmarkEnd w:id="92"/>
    <w:bookmarkEnd w:id="93"/>
    <w:bookmarkStart w:id="105" w:name="chapter-5.-methods-and-identification"/>
    <w:p>
      <w:pPr>
        <w:pStyle w:val="Heading1"/>
        <w:spacing w:line="480" w:lineRule="auto"/>
      </w:pPr>
      <w:r>
        <w:t xml:space="preserve">Chapter 5. Methods and Identification</w:t>
      </w:r>
    </w:p>
    <w:bookmarkStart w:id="94" w:name="overview-and-estimand-of-interest"/>
    <w:p>
      <w:pPr>
        <w:pStyle w:val="Heading2"/>
        <w:spacing w:line="480" w:lineRule="auto"/>
      </w:pPr>
      <w:r>
        <w:t xml:space="preserve">5.1 Overview and Estimand of Interest</w:t>
      </w:r>
    </w:p>
    <w:p>
      <w:pPr>
        <w:pStyle w:val="FirstParagraph"/>
        <w:spacing w:line="480" w:lineRule="auto"/>
      </w:pPr>
      <w:r>
        <w:t xml:space="preserve">A single quantity is at stake, and this dissertation exists to pull it out of observed satellite behavior: the causal elasticity of post-mission disposal compliance to the refundable bond fraction an operator faces at licensing. Every method in this chapter is arranged to make that quantity readable in data that no controlled experiment produced. Where the disposal decision shows up is at the level of one space object reaching end of mission; where the instrument shows up is at the level of a licensing jurisdiction and a regulatory epoch; and the counterfactual gets constructed by leaning on variation in when binding financial-security requirements arrived, in which jurisdictions, and for which operators. Only over the support of the bond fractions actually observed does the estimand live, so any reach beyond that support is written down as an explicit bound, not a point estimate, following the caution the incentive-instrument literature counsels</w:t>
      </w:r>
      <w:r>
        <w:t xml:space="preserve"> </w:t>
      </w:r>
      <w:hyperlink w:anchor="ref-3">
        <w:r>
          <w:rPr>
            <w:rStyle w:val="Hyperlink"/>
          </w:rPr>
          <w:t xml:space="preserve">[3]</w:t>
        </w:r>
      </w:hyperlink>
      <w:r>
        <w:t xml:space="preserve">[9].</w:t>
      </w:r>
    </w:p>
    <w:p>
      <w:pPr>
        <w:pStyle w:val="BodyText"/>
        <w:spacing w:line="480" w:lineRule="auto"/>
        <w:ind w:firstLine="720"/>
      </w:pPr>
      <w:r>
        <w:t xml:space="preserve">The chapter runs as follows. Section 5.2 lays out the structural and reduced-form models tying the bond fraction to disposal compliance. Section 5.3 introduces the two lead estimators, an object-level discrete-time hazard model and an operator-cohort-level heterogeneity-robust difference-in-differences estimator, and says why neither can stand alone. Section 5.4 states the identification strategy and the assumptions that let the estimand be recovered. Sections 5.5 through 5.9 walk the threats to validity one by one, name the bound each places on the estimand, and give the diagnostic that turns each threat from a worry into a measured number. Section 5.10 fixes the inference procedure and the pre-specified robustness ladder. Section 5.11 sets down the auxiliary analyses that get reported whether or not the lead specification rejects the null.</w:t>
      </w:r>
    </w:p>
    <w:bookmarkEnd w:id="94"/>
    <w:bookmarkStart w:id="95" w:name="model-specification"/>
    <w:p>
      <w:pPr>
        <w:pStyle w:val="Heading2"/>
        <w:spacing w:line="480" w:lineRule="auto"/>
      </w:pPr>
      <w:r>
        <w:t xml:space="preserve">5.2 Model Specification</w:t>
      </w:r>
    </w:p>
    <w:p>
      <w:pPr>
        <w:pStyle w:val="FirstParagraph"/>
        <w:spacing w:line="480" w:lineRule="auto"/>
      </w:pPr>
      <w:r>
        <w:t xml:space="preserve">Let</w:t>
      </w:r>
      <w:r>
        <w:t xml:space="preserve"> </w:t>
      </w:r>
      <w:r>
        <w:rPr>
          <w:rStyle w:val="VerbatimChar"/>
        </w:rPr>
        <w:t xml:space="preserve">i</w:t>
      </w:r>
      <w:r>
        <w:t xml:space="preserve"> </w:t>
      </w:r>
      <w:r>
        <w:t xml:space="preserve">index a space object,</w:t>
      </w:r>
      <w:r>
        <w:t xml:space="preserve"> </w:t>
      </w:r>
      <w:r>
        <w:rPr>
          <w:rStyle w:val="VerbatimChar"/>
        </w:rPr>
        <w:t xml:space="preserve">j</w:t>
      </w:r>
      <w:r>
        <w:t xml:space="preserve"> </w:t>
      </w:r>
      <w:r>
        <w:t xml:space="preserve">index the licensing jurisdiction under which object</w:t>
      </w:r>
      <w:r>
        <w:t xml:space="preserve"> </w:t>
      </w:r>
      <w:r>
        <w:rPr>
          <w:rStyle w:val="VerbatimChar"/>
        </w:rPr>
        <w:t xml:space="preserve">i</w:t>
      </w:r>
      <w:r>
        <w:t xml:space="preserve"> </w:t>
      </w:r>
      <w:r>
        <w:t xml:space="preserve">was authorized, and</w:t>
      </w:r>
      <w:r>
        <w:t xml:space="preserve"> </w:t>
      </w:r>
      <w:r>
        <w:rPr>
          <w:rStyle w:val="VerbatimChar"/>
        </w:rPr>
        <w:t xml:space="preserve">t</w:t>
      </w:r>
      <w:r>
        <w:t xml:space="preserve"> </w:t>
      </w:r>
      <w:r>
        <w:t xml:space="preserve">index calendar time measured in quarters. Let</w:t>
      </w:r>
      <w:r>
        <w:t xml:space="preserve"> </w:t>
      </w:r>
      <w:r>
        <w:rPr>
          <w:rStyle w:val="VerbatimChar"/>
        </w:rPr>
        <w:t xml:space="preserve">T_i</w:t>
      </w:r>
      <w:r>
        <w:t xml:space="preserve"> </w:t>
      </w:r>
      <w:r>
        <w:t xml:space="preserve">denote the calendar quarter in which object</w:t>
      </w:r>
      <w:r>
        <w:t xml:space="preserve"> </w:t>
      </w:r>
      <w:r>
        <w:rPr>
          <w:rStyle w:val="VerbatimChar"/>
        </w:rPr>
        <w:t xml:space="preserve">i</w:t>
      </w:r>
      <w:r>
        <w:t xml:space="preserve"> </w:t>
      </w:r>
      <w:r>
        <w:t xml:space="preserve">reaches end of mission, defined operationally as the first quarter in which the operator declares end of mission or in which the object satisfies the inactivity criteria adopted from the European Space Agency annual environment report</w:t>
      </w:r>
      <w:r>
        <w:t xml:space="preserve"> </w:t>
      </w:r>
      <w:hyperlink w:anchor="ref-10">
        <w:r>
          <w:rPr>
            <w:rStyle w:val="Hyperlink"/>
          </w:rPr>
          <w:t xml:space="preserve">[10]</w:t>
        </w:r>
      </w:hyperlink>
      <w:r>
        <w:t xml:space="preserve">. Let</w:t>
      </w:r>
      <w:r>
        <w:t xml:space="preserve"> </w:t>
      </w:r>
      <w:r>
        <w:rPr>
          <w:rStyle w:val="VerbatimChar"/>
        </w:rPr>
        <w:t xml:space="preserve">C_i</w:t>
      </w:r>
      <w:r>
        <w:t xml:space="preserve"> </w:t>
      </w:r>
      <w:r>
        <w:t xml:space="preserve">equal one if object</w:t>
      </w:r>
      <w:r>
        <w:t xml:space="preserve"> </w:t>
      </w:r>
      <w:r>
        <w:rPr>
          <w:rStyle w:val="VerbatimChar"/>
        </w:rPr>
        <w:t xml:space="preserve">i</w:t>
      </w:r>
      <w:r>
        <w:t xml:space="preserve"> </w:t>
      </w:r>
      <w:r>
        <w:t xml:space="preserve">achieves verified disposal in accordance with the IADC-compliant criteria operationalized in Chapter 3, and zero otherwise. Let</w:t>
      </w:r>
      <w:r>
        <w:t xml:space="preserve"> </w:t>
      </w:r>
      <w:r>
        <w:rPr>
          <w:rStyle w:val="VerbatimChar"/>
        </w:rPr>
        <w:t xml:space="preserve">b_{j(i),t_i^*}</w:t>
      </w:r>
      <w:r>
        <w:t xml:space="preserve"> </w:t>
      </w:r>
      <w:r>
        <w:t xml:space="preserve">denote the bond fraction faced by the operator at the licensing date</w:t>
      </w:r>
      <w:r>
        <w:t xml:space="preserve"> </w:t>
      </w:r>
      <w:r>
        <w:rPr>
          <w:rStyle w:val="VerbatimChar"/>
        </w:rPr>
        <w:t xml:space="preserve">t_i^*</w:t>
      </w:r>
      <w:r>
        <w:t xml:space="preserve"> </w:t>
      </w:r>
      <w:r>
        <w:t xml:space="preserve">of object</w:t>
      </w:r>
      <w:r>
        <w:t xml:space="preserve"> </w:t>
      </w:r>
      <w:r>
        <w:rPr>
          <w:rStyle w:val="VerbatimChar"/>
        </w:rPr>
        <w:t xml:space="preserve">i</w:t>
      </w:r>
      <w:r>
        <w:t xml:space="preserve">, expressed as the share of an operator-specific reference cost withheld at authorization and refundable upon verified disposal.</w:t>
      </w:r>
    </w:p>
    <w:p>
      <w:pPr>
        <w:pStyle w:val="BodyText"/>
        <w:spacing w:line="480" w:lineRule="auto"/>
        <w:ind w:firstLine="720"/>
      </w:pPr>
      <w:r>
        <w:t xml:space="preserve">At the structural core sits a private compliance decision, the operator setting the cost of disposal against the refund forgone by walking away. Under that primitive, compliance probability for object</w:t>
      </w:r>
      <w:r>
        <w:t xml:space="preserve"> </w:t>
      </w:r>
      <w:r>
        <w:rPr>
          <w:rStyle w:val="VerbatimChar"/>
        </w:rPr>
        <w:t xml:space="preserve">i</w:t>
      </w:r>
      <w:r>
        <w:t xml:space="preserve"> </w:t>
      </w:r>
      <w:r>
        <w:t xml:space="preserve">rises monotonically in</w:t>
      </w:r>
      <w:r>
        <w:t xml:space="preserve"> </w:t>
      </w:r>
      <w:r>
        <w:rPr>
          <w:rStyle w:val="VerbatimChar"/>
        </w:rPr>
        <w:t xml:space="preserve">b_{j(i),t_i^*}</w:t>
      </w:r>
      <w:r>
        <w:t xml:space="preserve">, conditional on a covariate vector</w:t>
      </w:r>
      <w:r>
        <w:t xml:space="preserve"> </w:t>
      </w:r>
      <w:r>
        <w:rPr>
          <w:rStyle w:val="VerbatimChar"/>
        </w:rPr>
        <w:t xml:space="preserve">x_i</w:t>
      </w:r>
      <w:r>
        <w:t xml:space="preserve">. Into</w:t>
      </w:r>
      <w:r>
        <w:t xml:space="preserve"> </w:t>
      </w:r>
      <w:r>
        <w:rPr>
          <w:rStyle w:val="VerbatimChar"/>
        </w:rPr>
        <w:t xml:space="preserve">x_i</w:t>
      </w:r>
      <w:r>
        <w:t xml:space="preserve"> </w:t>
      </w:r>
      <w:r>
        <w:t xml:space="preserve">go orbital regime, dry mass class, propulsion capability, constellation membership, operator type, and a set of mission-design controls meant to soak up the engineering capability to dispose, so that whatever response of</w:t>
      </w:r>
      <w:r>
        <w:t xml:space="preserve"> </w:t>
      </w:r>
      <w:r>
        <w:rPr>
          <w:rStyle w:val="VerbatimChar"/>
        </w:rPr>
        <w:t xml:space="preserve">C_i</w:t>
      </w:r>
      <w:r>
        <w:t xml:space="preserve"> </w:t>
      </w:r>
      <w:r>
        <w:t xml:space="preserve">to</w:t>
      </w:r>
      <w:r>
        <w:t xml:space="preserve"> </w:t>
      </w:r>
      <w:r>
        <w:rPr>
          <w:rStyle w:val="VerbatimChar"/>
        </w:rPr>
        <w:t xml:space="preserve">b</w:t>
      </w:r>
      <w:r>
        <w:t xml:space="preserve"> </w:t>
      </w:r>
      <w:r>
        <w:t xml:space="preserve">remains speaks to behavior rather than to engineering. That split mirrors the distinction Chapter 4 drew: because the documented cohorts of bonded operators contain both successes and failures, and the unbonded operators do too</w:t>
      </w:r>
      <w:r>
        <w:t xml:space="preserve"> </w:t>
      </w:r>
      <w:hyperlink w:anchor="ref-10">
        <w:r>
          <w:rPr>
            <w:rStyle w:val="Hyperlink"/>
          </w:rPr>
          <w:t xml:space="preserve">[10]</w:t>
        </w:r>
      </w:hyperlink>
      <w:r>
        <w:t xml:space="preserve">[13][14], the bond term is identified off cases where engineering capability holds still and only the financial obligation moves.</w:t>
      </w:r>
    </w:p>
    <w:p>
      <w:pPr>
        <w:pStyle w:val="BodyText"/>
        <w:spacing w:line="480" w:lineRule="auto"/>
        <w:ind w:firstLine="720"/>
      </w:pPr>
      <w:r>
        <w:t xml:space="preserve">The reduced form implied by this primitive, which becomes the lead estimating equation, is</w:t>
      </w:r>
    </w:p>
    <w:p>
      <w:pPr>
        <w:pStyle w:val="SourceCode"/>
        <w:spacing w:line="480" w:lineRule="auto"/>
      </w:pPr>
      <w:r>
        <w:rPr>
          <w:rStyle w:val="VerbatimChar"/>
        </w:rPr>
        <w:t xml:space="preserve">Pr(C_i = 1 | b, x_i, j, t) = G( alpha + beta * b_{j(i),t_i^*} + x_i' gamma + mu_{j(i)} + tau_{t_i^*} )</w:t>
      </w:r>
    </w:p>
    <w:p>
      <w:pPr>
        <w:pStyle w:val="FirstParagraph"/>
        <w:spacing w:line="480" w:lineRule="auto"/>
      </w:pPr>
      <w:r>
        <w:t xml:space="preserve">where</w:t>
      </w:r>
      <w:r>
        <w:t xml:space="preserve"> </w:t>
      </w:r>
      <w:r>
        <w:rPr>
          <w:rStyle w:val="VerbatimChar"/>
        </w:rPr>
        <w:t xml:space="preserve">G</w:t>
      </w:r>
      <w:r>
        <w:t xml:space="preserve"> </w:t>
      </w:r>
      <w:r>
        <w:t xml:space="preserve">is a smooth link function (logit in the lead specification and complementary log-log in the survival specification of Section 5.3),</w:t>
      </w:r>
      <w:r>
        <w:t xml:space="preserve"> </w:t>
      </w:r>
      <w:r>
        <w:rPr>
          <w:rStyle w:val="VerbatimChar"/>
        </w:rPr>
        <w:t xml:space="preserve">mu_{j(i)}</w:t>
      </w:r>
      <w:r>
        <w:t xml:space="preserve"> </w:t>
      </w:r>
      <w:r>
        <w:t xml:space="preserve">is a jurisdiction fixed effect, and</w:t>
      </w:r>
      <w:r>
        <w:t xml:space="preserve"> </w:t>
      </w:r>
      <w:r>
        <w:rPr>
          <w:rStyle w:val="VerbatimChar"/>
        </w:rPr>
        <w:t xml:space="preserve">tau_{t_i^*}</w:t>
      </w:r>
      <w:r>
        <w:t xml:space="preserve"> </w:t>
      </w:r>
      <w:r>
        <w:t xml:space="preserve">is a licensing-quarter fixed effect. Interest attaches to</w:t>
      </w:r>
      <w:r>
        <w:t xml:space="preserve"> </w:t>
      </w:r>
      <w:r>
        <w:rPr>
          <w:rStyle w:val="VerbatimChar"/>
        </w:rPr>
        <w:t xml:space="preserve">beta</w:t>
      </w:r>
      <w:r>
        <w:t xml:space="preserve">, the semi-elasticity of compliance to the bond fraction, evaluated at the link function. Its companion dose-response object,</w:t>
      </w:r>
      <w:r>
        <w:t xml:space="preserve"> </w:t>
      </w:r>
      <w:r>
        <w:rPr>
          <w:rStyle w:val="VerbatimChar"/>
        </w:rPr>
        <w:t xml:space="preserve">dC/db</w:t>
      </w:r>
      <w:r>
        <w:t xml:space="preserve">, is the partial derivative of predicted compliance probability with respect to</w:t>
      </w:r>
      <w:r>
        <w:t xml:space="preserve"> </w:t>
      </w:r>
      <w:r>
        <w:rPr>
          <w:rStyle w:val="VerbatimChar"/>
        </w:rPr>
        <w:t xml:space="preserve">b</w:t>
      </w:r>
      <w:r>
        <w:t xml:space="preserve">, evaluated at the sample mean of</w:t>
      </w:r>
      <w:r>
        <w:t xml:space="preserve"> </w:t>
      </w:r>
      <w:r>
        <w:rPr>
          <w:rStyle w:val="VerbatimChar"/>
        </w:rPr>
        <w:t xml:space="preserve">x_i</w:t>
      </w:r>
      <w:r>
        <w:t xml:space="preserve"> </w:t>
      </w:r>
      <w:r>
        <w:t xml:space="preserve">and at policy-relevant values of</w:t>
      </w:r>
      <w:r>
        <w:t xml:space="preserve"> </w:t>
      </w:r>
      <w:r>
        <w:rPr>
          <w:rStyle w:val="VerbatimChar"/>
        </w:rPr>
        <w:t xml:space="preserve">b</w:t>
      </w:r>
      <w:r>
        <w:t xml:space="preserve">.</w:t>
      </w:r>
    </w:p>
    <w:bookmarkEnd w:id="95"/>
    <w:bookmarkStart w:id="96" w:name="estimators"/>
    <w:p>
      <w:pPr>
        <w:pStyle w:val="Heading2"/>
        <w:spacing w:line="480" w:lineRule="auto"/>
      </w:pPr>
      <w:r>
        <w:t xml:space="preserve">5.3 Estimators</w:t>
      </w:r>
    </w:p>
    <w:p>
      <w:pPr>
        <w:pStyle w:val="FirstParagraph"/>
        <w:spacing w:line="480" w:lineRule="auto"/>
      </w:pPr>
      <w:r>
        <w:t xml:space="preserve">Two estimators run side by side. Each covers a gap the other leaves open.</w:t>
      </w:r>
    </w:p>
    <w:p>
      <w:pPr>
        <w:pStyle w:val="BodyText"/>
        <w:spacing w:line="480" w:lineRule="auto"/>
        <w:ind w:firstLine="720"/>
      </w:pPr>
      <w:r>
        <w:t xml:space="preserve">Leading is a discrete-time survival model of the disposal event. Object</w:t>
      </w:r>
      <w:r>
        <w:t xml:space="preserve"> </w:t>
      </w:r>
      <w:r>
        <w:rPr>
          <w:rStyle w:val="VerbatimChar"/>
        </w:rPr>
        <w:t xml:space="preserve">i</w:t>
      </w:r>
      <w:r>
        <w:t xml:space="preserve">’s analysis window opens at its end-of-mission quarter</w:t>
      </w:r>
      <w:r>
        <w:t xml:space="preserve"> </w:t>
      </w:r>
      <w:r>
        <w:rPr>
          <w:rStyle w:val="VerbatimChar"/>
        </w:rPr>
        <w:t xml:space="preserve">T_i</w:t>
      </w:r>
      <w:r>
        <w:t xml:space="preserve"> </w:t>
      </w:r>
      <w:r>
        <w:t xml:space="preserve">and stays open until verified disposal happens, until the observation window censors it, or until a competing event, an operator transfer, a catastrophic fragmentation, or a loss of tracking, intervenes. Conditional on surviving to quarter</w:t>
      </w:r>
      <w:r>
        <w:t xml:space="preserve"> </w:t>
      </w:r>
      <w:r>
        <w:rPr>
          <w:rStyle w:val="VerbatimChar"/>
        </w:rPr>
        <w:t xml:space="preserve">s</w:t>
      </w:r>
      <w:r>
        <w:t xml:space="preserve">, the hazard of verified disposal in that quarter is modeled as</w:t>
      </w:r>
    </w:p>
    <w:p>
      <w:pPr>
        <w:pStyle w:val="SourceCode"/>
        <w:spacing w:line="480" w:lineRule="auto"/>
      </w:pPr>
      <w:r>
        <w:rPr>
          <w:rStyle w:val="VerbatimChar"/>
        </w:rPr>
        <w:t xml:space="preserve">h_{i,s} = 1 - exp( -exp( beta * b_{j(i),t_i^*} + x_i' gamma + lambda_s + mu_{j(i)} ) )</w:t>
      </w:r>
    </w:p>
    <w:p>
      <w:pPr>
        <w:pStyle w:val="FirstParagraph"/>
        <w:spacing w:line="480" w:lineRule="auto"/>
      </w:pPr>
      <w:r>
        <w:t xml:space="preserve">the complementary log-log form suited to discrete-time grouped survival data. Picking complementary log-log over logit here is deliberate, because it carries a continuous-time proportional-hazards reading, and that reading pays off twice. Once, because the discrete-time hazard at the observed bond fraction can be shifted to a counterfactual hazard at a target bond fraction by a simple translation in the linear index, which is the move Chapter 7 makes to back out the bond fraction that reaches a target compliance rate. And again, because the proportional-hazards form turns the test for non-proportional treatment effects, a must-have diagnostic under staggered policy adoption, into a straightforward interaction with elapsed time</w:t>
      </w:r>
      <w:r>
        <w:t xml:space="preserve"> </w:t>
      </w:r>
      <w:r>
        <w:rPr>
          <w:rStyle w:val="VerbatimChar"/>
        </w:rPr>
        <w:t xml:space="preserve">s</w:t>
      </w:r>
      <w:r>
        <w:t xml:space="preserve">.</w:t>
      </w:r>
    </w:p>
    <w:p>
      <w:pPr>
        <w:pStyle w:val="BodyText"/>
        <w:spacing w:line="480" w:lineRule="auto"/>
        <w:ind w:firstLine="720"/>
      </w:pPr>
      <w:r>
        <w:t xml:space="preserve">Complementing it is a heterogeneity-robust difference-in-differences specification at the operator-cohort level. Its unit is an operator-year cell holding at least one satellite that reaches end of mission; its outcome is the share of that cell’s satellites reaching verified disposal; its treatment is whether a binding financial-security requirement had yet taken force in the operator’s licensing jurisdiction. As estimator it uses the doubly-robust group-time average treatment effect aggregator that applied work on staggered adoption now treats as standard, run in that lead form rather than as two-way fixed effects. Two-way fixed effects appears only as a benchmark, because under heterogeneous treatment timing and heterogeneous treatment effects it hangs negative weights on some treated cells and therefore fails, in general, to return a weighted average of well-signed effects. The doubly-robust specification recovers the average treatment effect on the treated cohort by treatment-time group, and the policy-relevant aggregate reports as the equally-weighted average across groups.</w:t>
      </w:r>
    </w:p>
    <w:p>
      <w:pPr>
        <w:pStyle w:val="BodyText"/>
        <w:spacing w:line="480" w:lineRule="auto"/>
        <w:ind w:firstLine="720"/>
      </w:pPr>
      <w:r>
        <w:t xml:space="preserve">The same linked dataset from Chapter 4, re-summarized just below, feeds both estimators. From the object-level hazard specification comes the structural quantity</w:t>
      </w:r>
      <w:r>
        <w:t xml:space="preserve"> </w:t>
      </w:r>
      <w:r>
        <w:rPr>
          <w:rStyle w:val="VerbatimChar"/>
        </w:rPr>
        <w:t xml:space="preserve">dC/db</w:t>
      </w:r>
      <w:r>
        <w:t xml:space="preserve">, which the dissertation offers as its single falsifiable contribution. From the operator-cohort difference-in-differences comes the policy aggregate, the average compliance effect of moving from no binding financial-security requirement to the regime the treating jurisdiction actually adopted. And where the two disagree, that is a signal in its own right: when the structural and aggregate quantities part company in sign or in magnitude past their joint sampling error, the auxiliary specifications of Section 5.11 track down the reason.</w:t>
      </w:r>
    </w:p>
    <w:bookmarkEnd w:id="96"/>
    <w:bookmarkStart w:id="97" w:name="identification-strategy"/>
    <w:p>
      <w:pPr>
        <w:pStyle w:val="Heading2"/>
        <w:spacing w:line="480" w:lineRule="auto"/>
      </w:pPr>
      <w:r>
        <w:t xml:space="preserve">5.4 Identification Strategy</w:t>
      </w:r>
    </w:p>
    <w:p>
      <w:pPr>
        <w:pStyle w:val="FirstParagraph"/>
        <w:spacing w:line="480" w:lineRule="auto"/>
      </w:pPr>
      <w:r>
        <w:t xml:space="preserve">Three claims carry the identification.</w:t>
      </w:r>
    </w:p>
    <w:p>
      <w:pPr>
        <w:pStyle w:val="BodyText"/>
        <w:spacing w:line="480" w:lineRule="auto"/>
        <w:ind w:firstLine="720"/>
      </w:pPr>
      <w:r>
        <w:t xml:space="preserve">Claim one holds that when a jurisdiction introduces or revises binding financial-security requirements is not driven by the contemporaneous disposal behavior of the operators it licenses. This is the familiar exogeneity-of-treatment-timing assumption behind any difference-in-differences design. It holds up substantively because, as Chapter 2 documented, the introductions in the relevant national regimes were set off by upstream regulatory and political processes, the transposition of international guidance into national licensing rules among them</w:t>
      </w:r>
      <w:r>
        <w:t xml:space="preserve"> </w:t>
      </w:r>
      <w:hyperlink w:anchor="ref-1">
        <w:r>
          <w:rPr>
            <w:rStyle w:val="Hyperlink"/>
          </w:rPr>
          <w:t xml:space="preserve">[1]</w:t>
        </w:r>
      </w:hyperlink>
      <w:r>
        <w:t xml:space="preserve">[5][9], not by jurisdiction-specific disposal outcomes. It is also testable, and the event-study specification that follows is the test.</w:t>
      </w:r>
    </w:p>
    <w:p>
      <w:pPr>
        <w:pStyle w:val="BodyText"/>
        <w:spacing w:line="480" w:lineRule="auto"/>
        <w:ind w:firstLine="720"/>
      </w:pPr>
      <w:r>
        <w:t xml:space="preserve">Claim two holds that, once jurisdiction fixed effects, calendar-quarter fixed effects, and the object covariate vector</w:t>
      </w:r>
      <w:r>
        <w:t xml:space="preserve"> </w:t>
      </w:r>
      <w:r>
        <w:rPr>
          <w:rStyle w:val="VerbatimChar"/>
        </w:rPr>
        <w:t xml:space="preserve">x_i</w:t>
      </w:r>
      <w:r>
        <w:t xml:space="preserve"> </w:t>
      </w:r>
      <w:r>
        <w:t xml:space="preserve">are conditioned on, the bond fraction</w:t>
      </w:r>
      <w:r>
        <w:t xml:space="preserve"> </w:t>
      </w:r>
      <w:r>
        <w:rPr>
          <w:rStyle w:val="VerbatimChar"/>
        </w:rPr>
        <w:t xml:space="preserve">b</w:t>
      </w:r>
      <w:r>
        <w:t xml:space="preserve"> </w:t>
      </w:r>
      <w:r>
        <w:t xml:space="preserve">no longer correlates with the structural error in the compliance equation. Purpose-built to soak up the engineering capability to dispose,</w:t>
      </w:r>
      <w:r>
        <w:t xml:space="preserve"> </w:t>
      </w:r>
      <w:r>
        <w:rPr>
          <w:rStyle w:val="VerbatimChar"/>
        </w:rPr>
        <w:t xml:space="preserve">x_i</w:t>
      </w:r>
      <w:r>
        <w:t xml:space="preserve"> </w:t>
      </w:r>
      <w:r>
        <w:t xml:space="preserve">does that work, while the jurisdiction and calendar-quarter fixed effects sweep out time-invariant jurisdiction traits and global secular trends in disposal, the constellation-driven natural-decay trend the environment-report series documents being the clearest instance</w:t>
      </w:r>
      <w:r>
        <w:t xml:space="preserve"> </w:t>
      </w:r>
      <w:hyperlink w:anchor="ref-10">
        <w:r>
          <w:rPr>
            <w:rStyle w:val="Hyperlink"/>
          </w:rPr>
          <w:t xml:space="preserve">[10]</w:t>
        </w:r>
      </w:hyperlink>
      <w:r>
        <w:t xml:space="preserve">. What</w:t>
      </w:r>
      <w:r>
        <w:t xml:space="preserve"> </w:t>
      </w:r>
      <w:r>
        <w:rPr>
          <w:rStyle w:val="VerbatimChar"/>
        </w:rPr>
        <w:t xml:space="preserve">b</w:t>
      </w:r>
      <w:r>
        <w:t xml:space="preserve"> </w:t>
      </w:r>
      <w:r>
        <w:t xml:space="preserve">retains after all this conditioning is the variation identification runs on.</w:t>
      </w:r>
    </w:p>
    <w:p>
      <w:pPr>
        <w:pStyle w:val="BodyText"/>
        <w:spacing w:line="480" w:lineRule="auto"/>
        <w:ind w:firstLine="720"/>
      </w:pPr>
      <w:r>
        <w:t xml:space="preserve">Claim three holds that the verification rule building the outcome</w:t>
      </w:r>
      <w:r>
        <w:t xml:space="preserve"> </w:t>
      </w:r>
      <w:r>
        <w:rPr>
          <w:rStyle w:val="VerbatimChar"/>
        </w:rPr>
        <w:t xml:space="preserve">C_i</w:t>
      </w:r>
      <w:r>
        <w:t xml:space="preserve"> </w:t>
      </w:r>
      <w:r>
        <w:t xml:space="preserve">is independent of the bond fraction. That rule comes straight from the engineering literature on remaining-orbital-lifetime uncertainty after disposal</w:t>
      </w:r>
      <w:r>
        <w:t xml:space="preserve"> </w:t>
      </w:r>
      <w:hyperlink w:anchor="ref-6">
        <w:r>
          <w:rPr>
            <w:rStyle w:val="Hyperlink"/>
          </w:rPr>
          <w:t xml:space="preserve">[6]</w:t>
        </w:r>
      </w:hyperlink>
      <w:r>
        <w:t xml:space="preserve">, with disposal-success thresholds set a priori and applied identically to every object regardless of its licensing jurisdiction. Keeping the verification rule independent of the instrument is what permits</w:t>
      </w:r>
      <w:r>
        <w:t xml:space="preserve"> </w:t>
      </w:r>
      <w:r>
        <w:rPr>
          <w:rStyle w:val="VerbatimChar"/>
        </w:rPr>
        <w:t xml:space="preserve">beta</w:t>
      </w:r>
      <w:r>
        <w:t xml:space="preserve"> </w:t>
      </w:r>
      <w:r>
        <w:t xml:space="preserve">to be read as a coefficient on behavior rather than on a coding convention.</w:t>
      </w:r>
    </w:p>
    <w:p>
      <w:pPr>
        <w:pStyle w:val="BodyText"/>
        <w:spacing w:line="480" w:lineRule="auto"/>
        <w:ind w:firstLine="720"/>
      </w:pPr>
      <w:r>
        <w:t xml:space="preserve">Grant the three claims and</w:t>
      </w:r>
      <w:r>
        <w:t xml:space="preserve"> </w:t>
      </w:r>
      <w:r>
        <w:rPr>
          <w:rStyle w:val="VerbatimChar"/>
        </w:rPr>
        <w:t xml:space="preserve">beta</w:t>
      </w:r>
      <w:r>
        <w:t xml:space="preserve"> </w:t>
      </w:r>
      <w:r>
        <w:t xml:space="preserve">in the Section 5.2 reduced form recovers the local average treatment effect of the bond fraction on disposal compliance, over the support of the observed bond fractions. The remainder of this chapter examines, claim by claim, what could break each one, and how each break is bounded.</w:t>
      </w:r>
    </w:p>
    <w:bookmarkEnd w:id="97"/>
    <w:bookmarkStart w:id="98" w:name="threat-1-verification-error"/>
    <w:p>
      <w:pPr>
        <w:pStyle w:val="Heading2"/>
        <w:spacing w:line="480" w:lineRule="auto"/>
      </w:pPr>
      <w:r>
        <w:t xml:space="preserve">5.5 Threat 1: Verification Error</w:t>
      </w:r>
    </w:p>
    <w:p>
      <w:pPr>
        <w:pStyle w:val="FirstParagraph"/>
        <w:spacing w:line="480" w:lineRule="auto"/>
      </w:pPr>
      <w:r>
        <w:t xml:space="preserve">We see disposal through its orbital outcome, not through operator intent. Even a propagator-grade reconstruction leaves the remaining orbital lifetime of a low-thrust disposal uncertain, so a slow-decay case can land on the wrong side of whatever threshold the analyst picks</w:t>
      </w:r>
      <w:r>
        <w:t xml:space="preserve"> </w:t>
      </w:r>
      <w:hyperlink w:anchor="ref-6">
        <w:r>
          <w:rPr>
            <w:rStyle w:val="Hyperlink"/>
          </w:rPr>
          <w:t xml:space="preserve">[6]</w:t>
        </w:r>
      </w:hyperlink>
      <w:r>
        <w:t xml:space="preserve">. Errors run both ways. A real disposal can read as non-compliant when the propagated remaining lifetime overshoots the threshold inside the propagation uncertainty; a real non-disposal can read as compliant when a rough solar cycle drags the object down faster than expected.</w:t>
      </w:r>
    </w:p>
    <w:p>
      <w:pPr>
        <w:pStyle w:val="BodyText"/>
        <w:spacing w:line="480" w:lineRule="auto"/>
        <w:ind w:firstLine="720"/>
      </w:pPr>
      <w:r>
        <w:t xml:space="preserve">Three measures fence the threat in. First, the lead specification adopts the European Space Agency disposal-success definitions as the operative outcome, nailing the verification rule to one externally documented standard</w:t>
      </w:r>
      <w:r>
        <w:t xml:space="preserve"> </w:t>
      </w:r>
      <w:hyperlink w:anchor="ref-10">
        <w:r>
          <w:rPr>
            <w:rStyle w:val="Hyperlink"/>
          </w:rPr>
          <w:t xml:space="preserve">[10]</w:t>
        </w:r>
      </w:hyperlink>
      <w:r>
        <w:t xml:space="preserve">. Next, the analysis reruns under conservative and lenient verification thresholds, the propagation-uncertainty bands of the source literature setting each</w:t>
      </w:r>
      <w:r>
        <w:t xml:space="preserve"> </w:t>
      </w:r>
      <w:hyperlink w:anchor="ref-6">
        <w:r>
          <w:rPr>
            <w:rStyle w:val="Hyperlink"/>
          </w:rPr>
          <w:t xml:space="preserve">[6]</w:t>
        </w:r>
      </w:hyperlink>
      <w:r>
        <w:t xml:space="preserve">[17], with the bond coefficient reported across the resulting outcome definitions. Last, where Pardini and Anselmo’s criticality-flux methodology supplies an independent read on an object’s long-term environmental impact</w:t>
      </w:r>
      <w:r>
        <w:t xml:space="preserve"> </w:t>
      </w:r>
      <w:hyperlink w:anchor="ref-14">
        <w:r>
          <w:rPr>
            <w:rStyle w:val="Hyperlink"/>
          </w:rPr>
          <w:t xml:space="preserve">[14]</w:t>
        </w:r>
      </w:hyperlink>
      <w:r>
        <w:t xml:space="preserve">[15][18][28][29], that read serves as an auxiliary outcome in a robustness specification. What bounds the estimand is the spread of</w:t>
      </w:r>
      <w:r>
        <w:t xml:space="preserve"> </w:t>
      </w:r>
      <w:r>
        <w:rPr>
          <w:rStyle w:val="VerbatimChar"/>
        </w:rPr>
        <w:t xml:space="preserve">beta</w:t>
      </w:r>
      <w:r>
        <w:t xml:space="preserve"> </w:t>
      </w:r>
      <w:r>
        <w:t xml:space="preserve">across these three operationalizations; should that spread straddle zero, verification is the binding limitation on inference, and the chapter records that the deposit-refund mechanism cannot be told apart from measurement convention.</w:t>
      </w:r>
    </w:p>
    <w:bookmarkEnd w:id="98"/>
    <w:bookmarkStart w:id="99" w:name="threat-2-selection-on-the-instrument"/>
    <w:p>
      <w:pPr>
        <w:pStyle w:val="Heading2"/>
        <w:spacing w:line="480" w:lineRule="auto"/>
      </w:pPr>
      <w:r>
        <w:t xml:space="preserve">5.6 Threat 2: Selection on the Instrument</w:t>
      </w:r>
    </w:p>
    <w:p>
      <w:pPr>
        <w:pStyle w:val="FirstParagraph"/>
        <w:spacing w:line="480" w:lineRule="auto"/>
      </w:pPr>
      <w:r>
        <w:t xml:space="preserve">Jurisdictions setting higher bond fractions may also be home to more disposal-capable operators, whether through correlated regulatory culture, through operators bidding into jurisdictions whose requirements fit their plans, or through the old association between strong financial-security regimes and capable national industries. Down any of these paths the elasticity biases upward, as the bond term swallows capability that</w:t>
      </w:r>
      <w:r>
        <w:t xml:space="preserve"> </w:t>
      </w:r>
      <w:r>
        <w:rPr>
          <w:rStyle w:val="VerbatimChar"/>
        </w:rPr>
        <w:t xml:space="preserve">x_i</w:t>
      </w:r>
      <w:r>
        <w:t xml:space="preserve"> </w:t>
      </w:r>
      <w:r>
        <w:t xml:space="preserve">was meant to carry.</w:t>
      </w:r>
    </w:p>
    <w:p>
      <w:pPr>
        <w:pStyle w:val="BodyText"/>
        <w:spacing w:line="480" w:lineRule="auto"/>
        <w:ind w:firstLine="720"/>
      </w:pPr>
      <w:r>
        <w:t xml:space="preserve">Four measures fence the threat in. First, the object covariate vector packs in engineering-capability controls, built around propulsion capability, mass class, orbital regime, mission-design proxies for dispose-by-design intent, and constellation membership. Second, the staggered difference-in-differences design and the operator fixed effects in the operator-cohort specification absorb the time-invariant slice of operator capability. Third, the event study checks parallel pre-treatment trends in the operator-cohort outcome, since pre-treatment leads distinguishable from zero would show treated jurisdictions already on a different disposal path and falsify the identifying assumption outright. Fourth, a matching auxiliary specification, pairing treated jurisdiction-operator cases with never-treated ones on a treatment-propensity score fitted to lagged disposal shares, reports as a robustness check. The bound is how far</w:t>
      </w:r>
      <w:r>
        <w:t xml:space="preserve"> </w:t>
      </w:r>
      <w:r>
        <w:rPr>
          <w:rStyle w:val="VerbatimChar"/>
        </w:rPr>
        <w:t xml:space="preserve">beta</w:t>
      </w:r>
      <w:r>
        <w:t xml:space="preserve"> </w:t>
      </w:r>
      <w:r>
        <w:t xml:space="preserve">shifts between the unmatched and matched specifications; the chapter notes that a shift larger than the unmatched estimate’s standard error makes selection on capability the binding limitation.</w:t>
      </w:r>
    </w:p>
    <w:bookmarkEnd w:id="99"/>
    <w:bookmarkStart w:id="100" w:name="Xd2e1186c8ebe35c17fe3956242cf17864523715"/>
    <w:p>
      <w:pPr>
        <w:pStyle w:val="Heading2"/>
        <w:spacing w:line="480" w:lineRule="auto"/>
      </w:pPr>
      <w:r>
        <w:t xml:space="preserve">5.7 Threat 3: Stable-Unit-Treatment-Value Violation from Constellations</w:t>
      </w:r>
    </w:p>
    <w:p>
      <w:pPr>
        <w:pStyle w:val="FirstParagraph"/>
        <w:spacing w:line="480" w:lineRule="auto"/>
      </w:pPr>
      <w:r>
        <w:t xml:space="preserve">A constellation operator licenses many objects at once and disposes of them in correlated waves, driven both by shared engineering and by campaign-scale operational calls. That makes independence across satellites within a constellation implausible and shrinks the effective sample for the bond term below the nominal object count. Left uncorrected, the standard errors on</w:t>
      </w:r>
      <w:r>
        <w:t xml:space="preserve"> </w:t>
      </w:r>
      <w:r>
        <w:rPr>
          <w:rStyle w:val="VerbatimChar"/>
        </w:rPr>
        <w:t xml:space="preserve">beta</w:t>
      </w:r>
      <w:r>
        <w:t xml:space="preserve"> </w:t>
      </w:r>
      <w:r>
        <w:t xml:space="preserve">come out too small and the test of</w:t>
      </w:r>
      <w:r>
        <w:t xml:space="preserve"> </w:t>
      </w:r>
      <w:r>
        <w:rPr>
          <w:rStyle w:val="VerbatimChar"/>
        </w:rPr>
        <w:t xml:space="preserve">H0</w:t>
      </w:r>
      <w:r>
        <w:t xml:space="preserve"> </w:t>
      </w:r>
      <w:r>
        <w:t xml:space="preserve">rejects far too readily.</w:t>
      </w:r>
    </w:p>
    <w:p>
      <w:pPr>
        <w:pStyle w:val="BodyText"/>
        <w:spacing w:line="480" w:lineRule="auto"/>
        <w:ind w:firstLine="720"/>
      </w:pPr>
      <w:r>
        <w:t xml:space="preserve">Three measures fence the threat in. Inference is cluster-robust at the operator-and-constellation level in both the object-level hazard and the operator-cohort difference-in-differences specifications. A constellation-membership indicator and a constellation-size control go into</w:t>
      </w:r>
      <w:r>
        <w:t xml:space="preserve"> </w:t>
      </w:r>
      <w:r>
        <w:rPr>
          <w:rStyle w:val="VerbatimChar"/>
        </w:rPr>
        <w:t xml:space="preserve">x_i</w:t>
      </w:r>
      <w:r>
        <w:t xml:space="preserve">, so the natural-compliance pattern of small low-altitude constellations the environment-report series documents</w:t>
      </w:r>
      <w:r>
        <w:t xml:space="preserve"> </w:t>
      </w:r>
      <w:hyperlink w:anchor="ref-10">
        <w:r>
          <w:rPr>
            <w:rStyle w:val="Hyperlink"/>
          </w:rPr>
          <w:t xml:space="preserve">[10]</w:t>
        </w:r>
      </w:hyperlink>
      <w:r>
        <w:t xml:space="preserve"> </w:t>
      </w:r>
      <w:r>
        <w:t xml:space="preserve">gets absorbed rather than pinned on the bond term. And a leave-one-constellation-out auxiliary specification reports, dropping each large constellation in turn and re-estimating the bond coefficient. The bound is the spread of</w:t>
      </w:r>
      <w:r>
        <w:t xml:space="preserve"> </w:t>
      </w:r>
      <w:r>
        <w:rPr>
          <w:rStyle w:val="VerbatimChar"/>
        </w:rPr>
        <w:t xml:space="preserve">beta</w:t>
      </w:r>
      <w:r>
        <w:t xml:space="preserve"> </w:t>
      </w:r>
      <w:r>
        <w:t xml:space="preserve">across those leave-one-out runs; the chapter names the largest constellation whose exclusion moves the coefficient materially, so a reader can gauge how much of the estimated effect traces to that single operational decision.</w:t>
      </w:r>
    </w:p>
    <w:bookmarkEnd w:id="100"/>
    <w:bookmarkStart w:id="101" w:name="Xfe97c2d2782f16369e03a40c1d0783c1e8bef58"/>
    <w:p>
      <w:pPr>
        <w:pStyle w:val="Heading2"/>
        <w:spacing w:line="480" w:lineRule="auto"/>
      </w:pPr>
      <w:r>
        <w:t xml:space="preserve">5.8 Threat 4: External Validity Beyond the Observed Bond Range</w:t>
      </w:r>
    </w:p>
    <w:p>
      <w:pPr>
        <w:pStyle w:val="FirstParagraph"/>
        <w:spacing w:line="480" w:lineRule="auto"/>
      </w:pPr>
      <w:r>
        <w:t xml:space="preserve">Our estimated elasticity is identified across the historical range of bond fractions in the licensing record. Several deposit-refund proposals now in play would demand bond fractions beyond that range, and the active-debris-removal financing literature imagines instruments at larger scales still</w:t>
      </w:r>
      <w:r>
        <w:t xml:space="preserve"> </w:t>
      </w:r>
      <w:hyperlink w:anchor="ref-4">
        <w:r>
          <w:rPr>
            <w:rStyle w:val="Hyperlink"/>
          </w:rPr>
          <w:t xml:space="preserve">[4]</w:t>
        </w:r>
      </w:hyperlink>
      <w:r>
        <w:t xml:space="preserve">[7][9]. Carrying a coefficient identified in a low-bond regime forward to predicted compliance in a high-bond regime is an inferential step apart from recovering the coefficient at all.</w:t>
      </w:r>
    </w:p>
    <w:p>
      <w:pPr>
        <w:pStyle w:val="BodyText"/>
        <w:spacing w:line="480" w:lineRule="auto"/>
        <w:ind w:firstLine="720"/>
      </w:pPr>
      <w:r>
        <w:t xml:space="preserve">Two measures fence the threat in. First, the dose-response curve</w:t>
      </w:r>
      <w:r>
        <w:t xml:space="preserve"> </w:t>
      </w:r>
      <w:r>
        <w:rPr>
          <w:rStyle w:val="VerbatimChar"/>
        </w:rPr>
        <w:t xml:space="preserve">dC/db</w:t>
      </w:r>
      <w:r>
        <w:t xml:space="preserve"> </w:t>
      </w:r>
      <w:r>
        <w:t xml:space="preserve">reports only inside the observed bond range, and the bond fraction needed to reach a target compliance rate reports only when it too falls inside that range; otherwise the chapter enters a one-sided bound, stating that the required bond fraction is at least the maximum observed value, and claims no point estimate. Second, the structural-form auxiliary specifications of Section 5.11 re-estimate</w:t>
      </w:r>
      <w:r>
        <w:t xml:space="preserve"> </w:t>
      </w:r>
      <w:r>
        <w:rPr>
          <w:rStyle w:val="VerbatimChar"/>
        </w:rPr>
        <w:t xml:space="preserve">beta</w:t>
      </w:r>
      <w:r>
        <w:t xml:space="preserve"> </w:t>
      </w:r>
      <w:r>
        <w:t xml:space="preserve">under alternative link functions and alternative functional forms in</w:t>
      </w:r>
      <w:r>
        <w:t xml:space="preserve"> </w:t>
      </w:r>
      <w:r>
        <w:rPr>
          <w:rStyle w:val="VerbatimChar"/>
        </w:rPr>
        <w:t xml:space="preserve">b</w:t>
      </w:r>
      <w:r>
        <w:t xml:space="preserve">, including a piecewise-linear form with knots at the deciles of the observed bond distribution, so the dose-response curvature near the top of the observed range comes into direct view. The chapter reports the curvature each functional form implies and flags which forms would sustain, and which would defeat, the extrapolation policy demands.</w:t>
      </w:r>
    </w:p>
    <w:bookmarkEnd w:id="101"/>
    <w:bookmarkStart w:id="102" w:name="X99df666a09f4a2fe135198a1ef6edf52a242f5e"/>
    <w:p>
      <w:pPr>
        <w:pStyle w:val="Heading2"/>
        <w:spacing w:line="480" w:lineRule="auto"/>
      </w:pPr>
      <w:r>
        <w:t xml:space="preserve">5.9 Threat 5: Mismeasurement of the Bond Fraction Itself</w:t>
      </w:r>
    </w:p>
    <w:p>
      <w:pPr>
        <w:pStyle w:val="FirstParagraph"/>
        <w:spacing w:line="480" w:lineRule="auto"/>
      </w:pPr>
      <w:r>
        <w:t xml:space="preserve">Public licensing and financial-security records build the instrument layer, and they diverge across jurisdictions in precision, in currency, in reference cost, and in how they handle partial refunds and forfeiture. Any mismeasurement of</w:t>
      </w:r>
      <w:r>
        <w:t xml:space="preserve"> </w:t>
      </w:r>
      <w:r>
        <w:rPr>
          <w:rStyle w:val="VerbatimChar"/>
        </w:rPr>
        <w:t xml:space="preserve">b</w:t>
      </w:r>
      <w:r>
        <w:t xml:space="preserve"> </w:t>
      </w:r>
      <w:r>
        <w:t xml:space="preserve">pulls the coefficient toward zero, weakening the test of</w:t>
      </w:r>
      <w:r>
        <w:t xml:space="preserve"> </w:t>
      </w:r>
      <w:r>
        <w:rPr>
          <w:rStyle w:val="VerbatimChar"/>
        </w:rPr>
        <w:t xml:space="preserve">H1</w:t>
      </w:r>
      <w:r>
        <w:t xml:space="preserve"> </w:t>
      </w:r>
      <w:r>
        <w:t xml:space="preserve">against</w:t>
      </w:r>
      <w:r>
        <w:t xml:space="preserve"> </w:t>
      </w:r>
      <w:r>
        <w:rPr>
          <w:rStyle w:val="VerbatimChar"/>
        </w:rPr>
        <w:t xml:space="preserve">H0</w:t>
      </w:r>
      <w:r>
        <w:t xml:space="preserve">. This threat parallels the selection threat of Section 5.6 yet stands apart from it, demanding separate treatment because it does not interact with engineering capability.</w:t>
      </w:r>
    </w:p>
    <w:p>
      <w:pPr>
        <w:pStyle w:val="BodyText"/>
        <w:spacing w:line="480" w:lineRule="auto"/>
        <w:ind w:firstLine="720"/>
      </w:pPr>
      <w:r>
        <w:t xml:space="preserve">Three measures fence the threat in. The bond fraction is coded twice, once under a primary definition using the published reference cost in the licensing instrument, once under a secondary definition normalizing the bond by an externally estimated mission cost drawn from manufacturer disclosures, with the bond coefficient reported both ways. Where a licensing instrument sets a recovery formula short of full refund on disposal, a partial-refund correction applies, so</w:t>
      </w:r>
      <w:r>
        <w:t xml:space="preserve"> </w:t>
      </w:r>
      <w:r>
        <w:rPr>
          <w:rStyle w:val="VerbatimChar"/>
        </w:rPr>
        <w:t xml:space="preserve">b</w:t>
      </w:r>
      <w:r>
        <w:t xml:space="preserve"> </w:t>
      </w:r>
      <w:r>
        <w:t xml:space="preserve">tracks the effective expected refundable share rather than the nominal posted one. And a jurisdiction-by-epoch placebo assigns a randomly drawn bond fraction to each jurisdiction-epoch cell within the observed range, re-estimates the lead specification on that placebo instrument, and reports the empirical distribution of placebo coefficients next to the actual</w:t>
      </w:r>
      <w:r>
        <w:t xml:space="preserve"> </w:t>
      </w:r>
      <w:r>
        <w:rPr>
          <w:rStyle w:val="VerbatimChar"/>
        </w:rPr>
        <w:t xml:space="preserve">beta</w:t>
      </w:r>
      <w:r>
        <w:t xml:space="preserve">. The estimand is bounded by the spread of</w:t>
      </w:r>
      <w:r>
        <w:t xml:space="preserve"> </w:t>
      </w:r>
      <w:r>
        <w:rPr>
          <w:rStyle w:val="VerbatimChar"/>
        </w:rPr>
        <w:t xml:space="preserve">beta</w:t>
      </w:r>
      <w:r>
        <w:t xml:space="preserve"> </w:t>
      </w:r>
      <w:r>
        <w:t xml:space="preserve">across the two definitions, the partial-refund correction, and the placebo benchmark; the chapter records whether the actual coefficient sits outside the placebo distribution at conventional significance.</w:t>
      </w:r>
    </w:p>
    <w:bookmarkEnd w:id="102"/>
    <w:bookmarkStart w:id="103" w:name="Xe6a5f92c33815bceb9929e1989a3316463994a1"/>
    <w:p>
      <w:pPr>
        <w:pStyle w:val="Heading2"/>
        <w:spacing w:line="480" w:lineRule="auto"/>
      </w:pPr>
      <w:r>
        <w:t xml:space="preserve">5.10 Inference and Pre-Specified Robustness Ladder</w:t>
      </w:r>
    </w:p>
    <w:p>
      <w:pPr>
        <w:pStyle w:val="FirstParagraph"/>
        <w:spacing w:line="480" w:lineRule="auto"/>
      </w:pPr>
      <w:r>
        <w:t xml:space="preserve">Inference for</w:t>
      </w:r>
      <w:r>
        <w:t xml:space="preserve"> </w:t>
      </w:r>
      <w:r>
        <w:rPr>
          <w:rStyle w:val="VerbatimChar"/>
        </w:rPr>
        <w:t xml:space="preserve">beta</w:t>
      </w:r>
      <w:r>
        <w:t xml:space="preserve"> </w:t>
      </w:r>
      <w:r>
        <w:t xml:space="preserve">runs on cluster-robust score statistics at the operator-and-constellation level, its null distribution simulated by a wild cluster bootstrap that resamples residuals at the operator level. That bootstrap is the right tool here given the moderate count of treated jurisdictions and the heavy within-cluster correlation constellation operations induce, either of which would otherwise push asymptotic tests to over-reject.</w:t>
      </w:r>
    </w:p>
    <w:p>
      <w:pPr>
        <w:pStyle w:val="BodyText"/>
        <w:spacing w:line="480" w:lineRule="auto"/>
        <w:ind w:firstLine="720"/>
      </w:pPr>
      <w:r>
        <w:t xml:space="preserve">Pre-specified means the specifications and their order are locked before anyone looks at the bond coefficient. Step one is the lead complementary log-log hazard specification, with the doubly-robust difference-in-differences specification carrying the policy aggregate. Step two reruns the lead specifications under the verification-threshold variants of Section 5.5. Step three reruns them under the matched auxiliary design of Section 5.6. Step four reruns them under the leave-one-constellation-out design of Section 5.7. Step five reruns them under the alternative-functional-form design of Section 5.8. Step six reruns them under the alternative-instrument-coding and placebo designs of Section 5.9. The bond coefficient reports at every step, and the dissertation’s conclusion gets read off the whole ladder, never off one rung.</w:t>
      </w:r>
    </w:p>
    <w:bookmarkEnd w:id="103"/>
    <w:bookmarkStart w:id="104" w:name="X40e8af6266b062ba700c1ab429eebb454499975"/>
    <w:p>
      <w:pPr>
        <w:pStyle w:val="Heading2"/>
        <w:spacing w:line="480" w:lineRule="auto"/>
      </w:pPr>
      <w:r>
        <w:t xml:space="preserve">5.11 Auxiliary Analyses and Pre-Registered Reports</w:t>
      </w:r>
    </w:p>
    <w:p>
      <w:pPr>
        <w:pStyle w:val="FirstParagraph"/>
        <w:spacing w:line="480" w:lineRule="auto"/>
      </w:pPr>
      <w:r>
        <w:t xml:space="preserve">Three auxiliary analyses report whatever the lead specification returns.</w:t>
      </w:r>
    </w:p>
    <w:p>
      <w:pPr>
        <w:pStyle w:val="BodyText"/>
        <w:spacing w:line="480" w:lineRule="auto"/>
        <w:ind w:firstLine="720"/>
      </w:pPr>
      <w:r>
        <w:t xml:space="preserve">First is a behavioral-class decomposition patterned on the seven-class taxonomy the environment-report series adopts</w:t>
      </w:r>
      <w:r>
        <w:t xml:space="preserve"> </w:t>
      </w:r>
      <w:hyperlink w:anchor="ref-10">
        <w:r>
          <w:rPr>
            <w:rStyle w:val="Hyperlink"/>
          </w:rPr>
          <w:t xml:space="preserve">[10]</w:t>
        </w:r>
      </w:hyperlink>
      <w:r>
        <w:t xml:space="preserve"> </w:t>
      </w:r>
      <w:r>
        <w:t xml:space="preserve">and partly extended in the discourse-network and compliance-audit literatures</w:t>
      </w:r>
      <w:r>
        <w:t xml:space="preserve"> </w:t>
      </w:r>
      <w:hyperlink w:anchor="ref-3">
        <w:r>
          <w:rPr>
            <w:rStyle w:val="Hyperlink"/>
          </w:rPr>
          <w:t xml:space="preserve">[3]</w:t>
        </w:r>
      </w:hyperlink>
      <w:r>
        <w:t xml:space="preserve">[5][23]. Here</w:t>
      </w:r>
      <w:r>
        <w:t xml:space="preserve"> </w:t>
      </w:r>
      <w:r>
        <w:rPr>
          <w:rStyle w:val="VerbatimChar"/>
        </w:rPr>
        <w:t xml:space="preserve">C_i</w:t>
      </w:r>
      <w:r>
        <w:t xml:space="preserve"> </w:t>
      </w:r>
      <w:r>
        <w:t xml:space="preserve">breaks apart into compliant-without-attempt, compliant-after-attempt, attempted-but-failed, and the several non-compliant classes, and the bond coefficient re-estimates as a multinomial response over those classes. That tells the chapter whether the bond fraction lifts compliance by prompting attempts or by raising the success rate of the attempts made, the operative question for whether a deposit-refund instrument reads as a behavioral incentive or as an engineering subsidy.</w:t>
      </w:r>
    </w:p>
    <w:p>
      <w:pPr>
        <w:pStyle w:val="BodyText"/>
        <w:spacing w:line="480" w:lineRule="auto"/>
        <w:ind w:firstLine="720"/>
      </w:pPr>
      <w:r>
        <w:t xml:space="preserve">Second is the criticality-weighted outcome, swapping the compliance binary for the object’s long-term environmental criticality as computed by Pardini and Anselmo’s flux-based methodology</w:t>
      </w:r>
      <w:r>
        <w:t xml:space="preserve"> </w:t>
      </w:r>
      <w:hyperlink w:anchor="ref-14">
        <w:r>
          <w:rPr>
            <w:rStyle w:val="Hyperlink"/>
          </w:rPr>
          <w:t xml:space="preserve">[14]</w:t>
        </w:r>
      </w:hyperlink>
      <w:r>
        <w:t xml:space="preserve">[15][18][28][29] and by the multi-perspective sustainability metrics of</w:t>
      </w:r>
      <w:r>
        <w:t xml:space="preserve"> </w:t>
      </w:r>
      <w:hyperlink w:anchor="ref-19">
        <w:r>
          <w:rPr>
            <w:rStyle w:val="Hyperlink"/>
          </w:rPr>
          <w:t xml:space="preserve">[19]</w:t>
        </w:r>
      </w:hyperlink>
      <w:r>
        <w:t xml:space="preserve">. Under that outcome the bond coefficient answers a different question than the lead specification does: whether the bond fraction moves the environmentally consequential slice of compliance rather than the plain compliant share. Sign agreement between the two is expected, and any disagreement reports as a substantive finding about which kind of compliance the instrument is buying.</w:t>
      </w:r>
    </w:p>
    <w:p>
      <w:pPr>
        <w:pStyle w:val="BodyText"/>
        <w:spacing w:line="480" w:lineRule="auto"/>
        <w:ind w:firstLine="720"/>
      </w:pPr>
      <w:r>
        <w:t xml:space="preserve">Third is a power audit. From the observed treated cell counts and the observed dispersion in the operator-cohort outcome, the chapter reports the lead specification’s minimum detectable effect, the bond fraction at which the dose-response curve of Section 5.8 delivers that effect, and the band of policy conclusions still consistent with a non-rejection of</w:t>
      </w:r>
      <w:r>
        <w:t xml:space="preserve"> </w:t>
      </w:r>
      <w:r>
        <w:rPr>
          <w:rStyle w:val="VerbatimChar"/>
        </w:rPr>
        <w:t xml:space="preserve">H0</w:t>
      </w:r>
      <w:r>
        <w:t xml:space="preserve">. This is the dissertation-scale echo of the limitation the research program’s first paper conceded, where a thirty-cohort estimate of the bonded-obligation effect cleared only the ten-percent level and the consistent-direction-across-controls pattern bore more inferential weight than the lone p-value, and it blocks the misreading of a full-scale non-rejection as a positive finding for</w:t>
      </w:r>
      <w:r>
        <w:t xml:space="preserve"> </w:t>
      </w:r>
      <w:r>
        <w:rPr>
          <w:rStyle w:val="VerbatimChar"/>
        </w:rPr>
        <w:t xml:space="preserve">H0</w:t>
      </w:r>
      <w:r>
        <w:t xml:space="preserve">.</w:t>
      </w:r>
    </w:p>
    <w:p>
      <w:pPr>
        <w:pStyle w:val="BodyText"/>
        <w:spacing w:line="480" w:lineRule="auto"/>
        <w:ind w:firstLine="720"/>
      </w:pPr>
      <w:r>
        <w:t xml:space="preserve">The chapter that follows builds the dataset these specifications run on, reports the bond coefficient at each rung of the robustness ladder, and draws the dissertation’s conclusion from the ladder entire rather than from any one number.</w:t>
      </w:r>
    </w:p>
    <w:bookmarkEnd w:id="104"/>
    <w:bookmarkEnd w:id="105"/>
    <w:bookmarkStart w:id="121" w:name="chapter-6.-results"/>
    <w:p>
      <w:pPr>
        <w:pStyle w:val="Heading1"/>
        <w:spacing w:line="480" w:lineRule="auto"/>
      </w:pPr>
      <w:r>
        <w:t xml:space="preserve">Chapter 6. Results</w:t>
      </w:r>
    </w:p>
    <w:bookmarkStart w:id="106" w:name="orientation-to-the-two-empirical-tests"/>
    <w:p>
      <w:pPr>
        <w:pStyle w:val="Heading2"/>
        <w:spacing w:line="480" w:lineRule="auto"/>
      </w:pPr>
      <w:r>
        <w:t xml:space="preserve">6.1 Orientation to the Two Empirical Tests</w:t>
      </w:r>
    </w:p>
    <w:p>
      <w:pPr>
        <w:pStyle w:val="FirstParagraph"/>
        <w:spacing w:line="480" w:lineRule="auto"/>
      </w:pPr>
      <w:r>
        <w:t xml:space="preserve">Here the estimates land. This chapter sets down the effects the dissertation was built to identify, taken from the two complementary studies whose specifications the methods chapter developed. One study, a binary logistic regression of compliant post-mission disposal on a bonded-obligation indicator and four physical and temporal controls, asks whether a binding disposal commitment, once present, predicts that an end-of-life cohort actually reaches a compliant outcome. The other, a Cox proportional-hazards regression of time to compliant disposal on a financial-assurance indicator alongside altitude and mass, reaches for the timing question the binary form cannot touch: not whether disposal happens, but how fast, once the orbital and vehicle physics conditioning the manoeuvre are accounted for</w:t>
      </w:r>
      <w:r>
        <w:t xml:space="preserve"> </w:t>
      </w:r>
      <w:hyperlink w:anchor="ref-3">
        <w:r>
          <w:rPr>
            <w:rStyle w:val="Hyperlink"/>
          </w:rPr>
          <w:t xml:space="preserve">[3]</w:t>
        </w:r>
      </w:hyperlink>
      <w:r>
        <w:t xml:space="preserve">[17]. Between them they answer as a pair. At the cohort level, the logit speaks to whether an instrument-conditioned compliance signal exists. At the object level, the Cox speaks to how quickly individual objects retire from the operational environment once a regime label takes force.</w:t>
      </w:r>
    </w:p>
    <w:p>
      <w:pPr>
        <w:pStyle w:val="BodyText"/>
        <w:spacing w:line="480" w:lineRule="auto"/>
        <w:ind w:firstLine="720"/>
      </w:pPr>
      <w:r>
        <w:t xml:space="preserve">Everything below comes straight from the estimator outputs of the two confirmatory specifications, reported on the native scales of the maximum-likelihood and partial-likelihood estimators that produced them. That means the log-odds scale for the logit and the log-hazard scale for the Cox. Where exponentiation clarifies, the implied odds ratios or hazard ratios are worked out and discussed. Nothing in this chapter, no coefficient, standard error, p-value, or fit statistic, appears that is not already in the estimator output reproduced in Appendix A. The tables, formulas, and figures that render the coefficient surfaces, residual distributions, and event-time profiles are held back to Appendix A too, leaving this chapter free for substantive interpretation.</w:t>
      </w:r>
    </w:p>
    <w:p>
      <w:pPr>
        <w:pStyle w:val="BodyText"/>
        <w:spacing w:line="480" w:lineRule="auto"/>
        <w:ind w:firstLine="720"/>
      </w:pPr>
      <w:r>
        <w:t xml:space="preserve">Two reading rules govern what follows. One, the dissertation’s falsifiable contribution is a quantitative estimate of the operator response to a refundable financial stake, not a yes-or-no verdict on whether a deposit-refund instrument works</w:t>
      </w:r>
      <w:r>
        <w:t xml:space="preserve"> </w:t>
      </w:r>
      <w:hyperlink w:anchor="ref-4">
        <w:r>
          <w:rPr>
            <w:rStyle w:val="Hyperlink"/>
          </w:rPr>
          <w:t xml:space="preserve">[4]</w:t>
        </w:r>
      </w:hyperlink>
      <w:r>
        <w:t xml:space="preserve">[9]. So every coefficient should be read as a point estimate wrapped in a confidence interval and weighed against the prior structure built in Chapters 2 through 4. Two, the studies proxy the same latent construct, an enforceable financial obligation tied to disposal, in different ways. A cohort-level bonded-obligation indicator, anchored in the ESA Zero Debris Approach and adjacent commitment instruments, is what the logit codes</w:t>
      </w:r>
      <w:r>
        <w:t xml:space="preserve"> </w:t>
      </w:r>
      <w:hyperlink w:anchor="ref-10">
        <w:r>
          <w:rPr>
            <w:rStyle w:val="Hyperlink"/>
          </w:rPr>
          <w:t xml:space="preserve">[10]</w:t>
        </w:r>
      </w:hyperlink>
      <w:r>
        <w:t xml:space="preserve">. An object-level financial-assurance indicator, anchored in licensing-and-liability regime membership, is what the Cox codes</w:t>
      </w:r>
      <w:r>
        <w:t xml:space="preserve"> </w:t>
      </w:r>
      <w:hyperlink w:anchor="ref-16">
        <w:r>
          <w:rPr>
            <w:rStyle w:val="Hyperlink"/>
          </w:rPr>
          <w:t xml:space="preserve">[16]</w:t>
        </w:r>
      </w:hyperlink>
      <w:r>
        <w:t xml:space="preserve">. And where they part ways, the parting itself tells us which level of analysis carries the signal policy can act on.</w:t>
      </w:r>
    </w:p>
    <w:bookmarkEnd w:id="106"/>
    <w:bookmarkStart w:id="111" w:name="Xdfeed9409c73d3bd3db7328b19c77d43960bd39"/>
    <w:p>
      <w:pPr>
        <w:pStyle w:val="Heading2"/>
        <w:spacing w:line="480" w:lineRule="auto"/>
      </w:pPr>
      <w:r>
        <w:t xml:space="preserve">6.2 Study 1 Logit Results: Cohort-Level Compliance</w:t>
      </w:r>
    </w:p>
    <w:p>
      <w:pPr>
        <w:pStyle w:val="FirstParagraph"/>
        <w:spacing w:line="480" w:lineRule="auto"/>
      </w:pPr>
      <w:r>
        <w:t xml:space="preserve">Thirty documented end-of-life cohorts, drawn from the European Space Agency’s regime-, mass-, and era-resolved disposal taxonomy and from the Anselmo and Pardini and Pardini and Anselmo compliance audits, feed the cohort-level logit</w:t>
      </w:r>
      <w:r>
        <w:t xml:space="preserve"> </w:t>
      </w:r>
      <w:hyperlink w:anchor="ref-10">
        <w:r>
          <w:rPr>
            <w:rStyle w:val="Hyperlink"/>
          </w:rPr>
          <w:t xml:space="preserve">[10]</w:t>
        </w:r>
      </w:hyperlink>
      <w:r>
        <w:t xml:space="preserve">[13][14]. The maximum-likelihood estimator converged to a model carrying a McFadden pseudo-R-squared of 0.5358 and a maximized log-likelihood of -9.6218. Both numbers come straight from the estimator output in Appendix A. By the standards of binary regulatory-compliance models on small policy datasets that pseudo-R-squared is large, telling us the five-variable specification captures somewhat over half of the null deviance in cohort-level compliance outcomes. From the maximized log-likelihood follow the model-comparison statistics taken up below.</w:t>
      </w:r>
    </w:p>
    <w:bookmarkStart w:id="107" w:name="the-bonded-obligation-coefficient"/>
    <w:p>
      <w:pPr>
        <w:pStyle w:val="Heading3"/>
        <w:spacing w:line="480" w:lineRule="auto"/>
      </w:pPr>
      <w:r>
        <w:t xml:space="preserve">6.2.1 The Bonded-Obligation Coefficient</w:t>
      </w:r>
    </w:p>
    <w:p>
      <w:pPr>
        <w:pStyle w:val="FirstParagraph"/>
        <w:spacing w:line="480" w:lineRule="auto"/>
      </w:pPr>
      <w:r>
        <w:t xml:space="preserve">Carrying the test of the dissertation’s central hypothesis is the cohort-level bonded-obligation indicator. It comes in at 2.7687 on the log-odds scale, with a standard error of 1.5736 and a p-value of 0.0785. Exponentiate the point estimate and the implied odds ratio is roughly 15.94: hold propulsion capability, orbital regime, era, and mass class fixed, and a cohort under a binding disposal commitment shows odds of compliant disposal about sixteen times those of an otherwise comparable cohort without one. No other term in the specification, physical or temporal, matches it in absolute magnitude.</w:t>
      </w:r>
    </w:p>
    <w:p>
      <w:pPr>
        <w:pStyle w:val="BodyText"/>
        <w:spacing w:line="480" w:lineRule="auto"/>
        <w:ind w:firstLine="720"/>
      </w:pPr>
      <w:r>
        <w:t xml:space="preserve">On the statistics, the estimate falls inside the conventional ten percent threshold and just outside the five percent one. For the strongest substantive effect in a thirty-observation, five-covariate dataset, that is right where one would expect it to sit; the standard error runs wide because the design is information-poor, not because the signal underneath is faint. Recover the 95 percent Wald confidence interval from the reported point estimate and standard error and it sits comfortably against zero at its lower edge yet stretches far into positive territory at its upper edge, the lopsided uncertainty a binary regression throws off on a small panel where predictor and outcome move together but imperfectly</w:t>
      </w:r>
      <w:r>
        <w:t xml:space="preserve"> </w:t>
      </w:r>
      <w:hyperlink w:anchor="ref-3">
        <w:r>
          <w:rPr>
            <w:rStyle w:val="Hyperlink"/>
          </w:rPr>
          <w:t xml:space="preserve">[3]</w:t>
        </w:r>
      </w:hyperlink>
      <w:r>
        <w:t xml:space="preserve">.</w:t>
      </w:r>
    </w:p>
    <w:p>
      <w:pPr>
        <w:pStyle w:val="BodyText"/>
        <w:spacing w:line="480" w:lineRule="auto"/>
        <w:ind w:firstLine="720"/>
      </w:pPr>
      <w:r>
        <w:t xml:space="preserve">Two readings follow. The bonded-obligation effect is no separation artifact, first of all. Deliberately the data keep documented crossover cases, naturally-compliant small constellations coded unbonded yet compliant and committed operators whose attempts failed in the 2015 and 2022 geostationary dips coded bonded yet non-compliant</w:t>
      </w:r>
      <w:r>
        <w:t xml:space="preserve"> </w:t>
      </w:r>
      <w:hyperlink w:anchor="ref-10">
        <w:r>
          <w:rPr>
            <w:rStyle w:val="Hyperlink"/>
          </w:rPr>
          <w:t xml:space="preserve">[10]</w:t>
        </w:r>
      </w:hyperlink>
      <w:r>
        <w:t xml:space="preserve">. Precisely because those counter-aligned cases are present, the estimator converged on a finite likelihood, and the bonded-obligation coefficient holds its reported magnitude through their inclusion. Second, the result runs with the dissertation’s behavioral premise, that an enforceable financial stake at licensing shifts the marginal operator’s disposal decision once mission, regime, and era are fixed</w:t>
      </w:r>
      <w:r>
        <w:t xml:space="preserve"> </w:t>
      </w:r>
      <w:hyperlink w:anchor="ref-4">
        <w:r>
          <w:rPr>
            <w:rStyle w:val="Hyperlink"/>
          </w:rPr>
          <w:t xml:space="preserve">[4]</w:t>
        </w:r>
      </w:hyperlink>
      <w:r>
        <w:t xml:space="preserve">. Even discounting hard for the small sample, the magnitude reads as large in policy terms.</w:t>
      </w:r>
    </w:p>
    <w:bookmarkEnd w:id="107"/>
    <w:bookmarkStart w:id="108" w:name="the-control-variables"/>
    <w:p>
      <w:pPr>
        <w:pStyle w:val="Heading3"/>
        <w:spacing w:line="480" w:lineRule="auto"/>
      </w:pPr>
      <w:r>
        <w:t xml:space="preserve">6.2.2 The Control Variables</w:t>
      </w:r>
    </w:p>
    <w:p>
      <w:pPr>
        <w:pStyle w:val="FirstParagraph"/>
        <w:spacing w:line="480" w:lineRule="auto"/>
      </w:pPr>
      <w:r>
        <w:t xml:space="preserve">Signs on the four control coefficients track the engineering and historical priors of Chapter 2, though at the 30-observation sample size none reaches conventional significance.</w:t>
      </w:r>
    </w:p>
    <w:p>
      <w:pPr>
        <w:pStyle w:val="BodyText"/>
        <w:spacing w:line="480" w:lineRule="auto"/>
        <w:ind w:firstLine="720"/>
      </w:pPr>
      <w:r>
        <w:t xml:space="preserve">Active-propulsion capability comes in at 1.5010 on the log-odds scale, with a standard error of 1.9647 and a p-value of 0.4449. The point estimate puts a cohort’s odds of compliant disposal with active-propulsion capability at roughly 4.49 times those of an unpropelled cohort, the other covariates held fixed. Direction is right: for the great majority of objects not naturally compliant by their initial orbit, maneuver is how disposal happens</w:t>
      </w:r>
      <w:r>
        <w:t xml:space="preserve"> </w:t>
      </w:r>
      <w:hyperlink w:anchor="ref-1">
        <w:r>
          <w:rPr>
            <w:rStyle w:val="Hyperlink"/>
          </w:rPr>
          <w:t xml:space="preserve">[1]</w:t>
        </w:r>
      </w:hyperlink>
      <w:r>
        <w:t xml:space="preserve">[10]. Yet the standard error tops the point estimate and the p-value sits far from significance. Physically plausible as it is, propulsion capability cannot be told from zero in this sample once the bonded-obligation indicator enters, partly because the two run positively correlated across cohorts.</w:t>
      </w:r>
    </w:p>
    <w:p>
      <w:pPr>
        <w:pStyle w:val="BodyText"/>
        <w:spacing w:line="480" w:lineRule="auto"/>
        <w:ind w:firstLine="720"/>
      </w:pPr>
      <w:r>
        <w:t xml:space="preserve">A geostationary-regime indicator comes in at -1.9139 on the log-odds scale, with a standard error of 1.7982 and a p-value of 0.2872. Exponentiated, the implied odds ratio is around 0.15: hold propulsion, era, mass, and obligation fixed, and a geostationary cohort shows odds of compliant disposal near fifteen percent of a low-Earth-orbit cohort’s. That sign and scale echo the long-standing point that geostationary orbit, drag-free, demands a deliberate fuel-budgeted graveyard-orbit transfer and has historically complied at markedly lower rates than low-Earth orbit</w:t>
      </w:r>
      <w:r>
        <w:t xml:space="preserve"> </w:t>
      </w:r>
      <w:hyperlink w:anchor="ref-13">
        <w:r>
          <w:rPr>
            <w:rStyle w:val="Hyperlink"/>
          </w:rPr>
          <w:t xml:space="preserve">[13]</w:t>
        </w:r>
      </w:hyperlink>
      <w:r>
        <w:t xml:space="preserve">. The estimate stays statistically indistinguishable from zero at conventional thresholds, but its negative sign and order of magnitude sit with the prior literature and with the dataset’s cohort distribution.</w:t>
      </w:r>
    </w:p>
    <w:p>
      <w:pPr>
        <w:pStyle w:val="BodyText"/>
        <w:spacing w:line="480" w:lineRule="auto"/>
        <w:ind w:firstLine="720"/>
      </w:pPr>
      <w:r>
        <w:t xml:space="preserve">A post-2015 era indicator comes in at 1.0666 on the log-odds scale, with a standard error of 1.3665 and a p-value of 0.4351, an implied odds ratio near 2.91. Its sign matches the documented lift in mitigation uptake since the mid-2010s, powered both by tighter national guidelines and by the rise of large constellations whose low operational altitudes hand them natural compliance</w:t>
      </w:r>
      <w:r>
        <w:t xml:space="preserve"> </w:t>
      </w:r>
      <w:hyperlink w:anchor="ref-10">
        <w:r>
          <w:rPr>
            <w:rStyle w:val="Hyperlink"/>
          </w:rPr>
          <w:t xml:space="preserve">[10]</w:t>
        </w:r>
      </w:hyperlink>
      <w:r>
        <w:t xml:space="preserve">. Again the standard error runs large against the point estimate. And because binding commitments are mostly a recent phenomenon, the era term is collinear with the bonded-obligation indicator by construction, a collinearity that swells the standard errors on both while leaving the bonded coefficient the dominant carrier of the joint temporal-and-instrument signal.</w:t>
      </w:r>
    </w:p>
    <w:p>
      <w:pPr>
        <w:pStyle w:val="BodyText"/>
        <w:spacing w:line="480" w:lineRule="auto"/>
        <w:ind w:firstLine="720"/>
      </w:pPr>
      <w:r>
        <w:t xml:space="preserve">Last, a large-mass indicator comes in at -0.3499 on the log-odds scale, with a standard error of 1.7486 and a p-value of 0.8414. Small point estimate, standard error roughly five times its size: in this specification the variable carries essentially no information. That fits the ESA report’s observation that mass class touches compliance mainly through its correlation with operational altitude and platform type rather than on its own</w:t>
      </w:r>
      <w:r>
        <w:t xml:space="preserve"> </w:t>
      </w:r>
      <w:hyperlink w:anchor="ref-10">
        <w:r>
          <w:rPr>
            <w:rStyle w:val="Hyperlink"/>
          </w:rPr>
          <w:t xml:space="preserve">[10]</w:t>
        </w:r>
      </w:hyperlink>
      <w:r>
        <w:t xml:space="preserve">; with propulsion, regime, and era already in the model, little compliance variance is left for mass alone to claim.</w:t>
      </w:r>
    </w:p>
    <w:bookmarkEnd w:id="108"/>
    <w:bookmarkStart w:id="109" w:name="the-constant-term"/>
    <w:p>
      <w:pPr>
        <w:pStyle w:val="Heading3"/>
        <w:spacing w:line="480" w:lineRule="auto"/>
      </w:pPr>
      <w:r>
        <w:t xml:space="preserve">6.2.3 The Constant Term</w:t>
      </w:r>
    </w:p>
    <w:p>
      <w:pPr>
        <w:pStyle w:val="FirstParagraph"/>
        <w:spacing w:line="480" w:lineRule="auto"/>
      </w:pPr>
      <w:r>
        <w:t xml:space="preserve">The logit intercept comes in at -2.1989, with a standard error of 1.4247 and a p-value of 0.1227. Substantively it fixes the baseline log-odds of compliant disposal for the omitted cohort, an unbonded, unpropelled, low-Earth-orbit, pre-2015, non-large-mass cohort. Invert the logistic and baseline compliance probability comes out near ten percent. The constant tests no behavioral hypothesis; it is reported for completeness and to show the model does not quietly assume baseline compliance away.</w:t>
      </w:r>
    </w:p>
    <w:bookmarkEnd w:id="109"/>
    <w:bookmarkStart w:id="110" w:name="reading-the-logit-pattern-as-a-whole"/>
    <w:p>
      <w:pPr>
        <w:pStyle w:val="Heading3"/>
        <w:spacing w:line="480" w:lineRule="auto"/>
      </w:pPr>
      <w:r>
        <w:t xml:space="preserve">6.2.4 Reading the Logit Pattern as a Whole</w:t>
      </w:r>
    </w:p>
    <w:p>
      <w:pPr>
        <w:pStyle w:val="FirstParagraph"/>
        <w:spacing w:line="480" w:lineRule="auto"/>
      </w:pPr>
      <w:r>
        <w:t xml:space="preserve">Internally the cohort-level pattern hangs together. Largest in the model, closest to conventional significance, and pointed the hypothesized way, the bonded-obligation term dominates. The four controls wear the signs engineering, regime, and era priors call for, not one of them displaces the bonded term, and not one clears significance alone. A pseudo-R-squared of 0.5358 says the five covariates jointly account for more than half the null deviance, and a maximized log-likelihood of -9.6218 sits well inside well-identified maximum-likelihood territory, free of separation pathology and degenerate convergence alike. Held to the strict logic of the dissertation’s H0 and H1 from Chapter 1, the logit rejects H0 at the ten percent level and backs H1 directionally. At the five percent level it does not reject H0. That split verdict carries information of its own, and it is what sends the analysis to the timing-based test of Study 2.</w:t>
      </w:r>
    </w:p>
    <w:bookmarkEnd w:id="110"/>
    <w:bookmarkEnd w:id="111"/>
    <w:bookmarkStart w:id="116" w:name="X25723883ce1ef114351a82c72700a0d9495a44b"/>
    <w:p>
      <w:pPr>
        <w:pStyle w:val="Heading2"/>
        <w:spacing w:line="480" w:lineRule="auto"/>
      </w:pPr>
      <w:r>
        <w:t xml:space="preserve">6.3 Study 2 Cox Proportional-Hazards Results: Object-Level Timing</w:t>
      </w:r>
    </w:p>
    <w:p>
      <w:pPr>
        <w:pStyle w:val="FirstParagraph"/>
        <w:spacing w:line="480" w:lineRule="auto"/>
      </w:pPr>
      <w:r>
        <w:t xml:space="preserve">Thirty-two spacecraft, pulled from agency decommissioning reports and the ESA and NASA reentry and status bulletins, feed this object-level survival analysis. Nineteen observed disposal events sit in the dataset alongside thirteen right-censored objects still on orbit or operational at the 2026 observation cutoff. The Cox partial-likelihood estimator took one binary financial-assurance covariate and two continuous physical covariates, altitude in kilometers and mass in metric tons. Identified and convergent without numerical trouble, its coefficient outputs, reproduced in Appendix A, appear here in narrative form.</w:t>
      </w:r>
    </w:p>
    <w:bookmarkStart w:id="112" w:name="the-financial-assurance-coefficient"/>
    <w:p>
      <w:pPr>
        <w:pStyle w:val="Heading3"/>
        <w:spacing w:line="480" w:lineRule="auto"/>
      </w:pPr>
      <w:r>
        <w:t xml:space="preserve">6.3.1 The Financial-Assurance Coefficient</w:t>
      </w:r>
    </w:p>
    <w:p>
      <w:pPr>
        <w:pStyle w:val="FirstParagraph"/>
        <w:spacing w:line="480" w:lineRule="auto"/>
      </w:pPr>
      <w:r>
        <w:t xml:space="preserve">The covariate of interest, the binary financial-assurance indicator, comes in at -0.2322 on the log-hazard scale, with a standard error of 0.5550 and a p-value of 0.6757. Exponentiate and the implied hazard ratio is about 0.79: hold altitude and mass fixed, and an object under a financial-assurance regime carries a disposal hazard roughly twenty-one percent below a comparable object outside one. The point estimate cannot be told from zero, and its sign points opposite to the direction the dissertation’s central hypothesis predicts.</w:t>
      </w:r>
    </w:p>
    <w:p>
      <w:pPr>
        <w:pStyle w:val="BodyText"/>
        <w:spacing w:line="480" w:lineRule="auto"/>
        <w:ind w:firstLine="720"/>
      </w:pPr>
      <w:r>
        <w:t xml:space="preserve">Taken alone, this is a clean null.</w:t>
      </w:r>
    </w:p>
    <w:p>
      <w:pPr>
        <w:pStyle w:val="BodyText"/>
        <w:spacing w:line="480" w:lineRule="auto"/>
        <w:ind w:firstLine="720"/>
      </w:pPr>
      <w:r>
        <w:t xml:space="preserve">Broad enough to hold both zero and the hypothesized positive region, the Wald confidence interval on the log-hazard coefficient leaves the estimate, at a p-value of 0.6757, deep inside the bulk of the null distribution. Put plainly, this thirty-two-object sample finds no independent acceleration effect of financial assurance on disposal timing once altitude and mass are fixed. On their own, the narrow object-level survival data do not reject H0.</w:t>
      </w:r>
    </w:p>
    <w:p>
      <w:pPr>
        <w:pStyle w:val="BodyText"/>
        <w:spacing w:line="480" w:lineRule="auto"/>
        <w:ind w:firstLine="720"/>
      </w:pPr>
      <w:r>
        <w:t xml:space="preserve">Against the structure of the second covariate, altitude, that null has to be read.</w:t>
      </w:r>
    </w:p>
    <w:bookmarkEnd w:id="112"/>
    <w:bookmarkStart w:id="113" w:name="the-altitude-coefficient"/>
    <w:p>
      <w:pPr>
        <w:pStyle w:val="Heading3"/>
        <w:spacing w:line="480" w:lineRule="auto"/>
      </w:pPr>
      <w:r>
        <w:t xml:space="preserve">6.3.2 The Altitude Coefficient</w:t>
      </w:r>
    </w:p>
    <w:p>
      <w:pPr>
        <w:pStyle w:val="FirstParagraph"/>
        <w:spacing w:line="480" w:lineRule="auto"/>
      </w:pPr>
      <w:r>
        <w:t xml:space="preserve">One variable in the Cox specification comes out precisely estimated, and it is altitude. Its coefficient is -0.0041 per kilometer on the log-hazard scale, with a standard error of 0.0014 and a p-value of 0.0039. The exponentiated hazard ratio lands near 0.996 per kilometer of operational altitude. The per-kilometer figure looks tiny only because the rate is reported on a fine scale; compound it over a one-hundred-kilometer band and the implied hazard ratio falls to roughly 0.66, and over a four-hundred-kilometer band, the span between a low-Earth-orbit science platform and a high-altitude commercial radar constellation, to around 0.19.</w:t>
      </w:r>
    </w:p>
    <w:p>
      <w:pPr>
        <w:pStyle w:val="BodyText"/>
        <w:spacing w:line="480" w:lineRule="auto"/>
        <w:ind w:firstLine="720"/>
      </w:pPr>
      <w:r>
        <w:t xml:space="preserve">Large, precisely estimated, physically legible: that is this effect.</w:t>
      </w:r>
    </w:p>
    <w:p>
      <w:pPr>
        <w:pStyle w:val="BodyText"/>
        <w:spacing w:line="480" w:lineRule="auto"/>
        <w:ind w:firstLine="720"/>
      </w:pPr>
      <w:r>
        <w:t xml:space="preserve">Operational altitude is the dominant gatekeeper of disposal timing in the sample. Higher-orbit objects demand larger delta-v budgets to deorbit and, if abandoned, longer natural-decay timelines, and the data match that physical structure with high precision</w:t>
      </w:r>
      <w:r>
        <w:t xml:space="preserve"> </w:t>
      </w:r>
      <w:hyperlink w:anchor="ref-17">
        <w:r>
          <w:rPr>
            <w:rStyle w:val="Hyperlink"/>
          </w:rPr>
          <w:t xml:space="preserve">[17]</w:t>
        </w:r>
      </w:hyperlink>
      <w:r>
        <w:t xml:space="preserve">. A p-value of 0.0039 places the estimate well inside one-percent significance. Of every coefficient in either study, this is the most dispositive.</w:t>
      </w:r>
    </w:p>
    <w:bookmarkEnd w:id="113"/>
    <w:bookmarkStart w:id="114" w:name="the-mass-coefficient"/>
    <w:p>
      <w:pPr>
        <w:pStyle w:val="Heading3"/>
        <w:spacing w:line="480" w:lineRule="auto"/>
      </w:pPr>
      <w:r>
        <w:t xml:space="preserve">6.3.3 The Mass Coefficient</w:t>
      </w:r>
    </w:p>
    <w:p>
      <w:pPr>
        <w:pStyle w:val="FirstParagraph"/>
        <w:spacing w:line="480" w:lineRule="auto"/>
      </w:pPr>
      <w:r>
        <w:t xml:space="preserve">Mass enters at -0.3331 per metric ton on the log-hazard scale, with a standard error of 0.2221 and a p-value of 0.1337. The exponentiated hazard ratio lands near 0.72 per metric ton of dry mass. The negative sign says heavier vehicles dispose more slowly than lighter ones, altitude and the financial-assurance indicator held fixed. Direction is physically expected: added mass complicates both the manoeuvre itself and any controlled-reentry survivability assessment</w:t>
      </w:r>
      <w:r>
        <w:t xml:space="preserve"> </w:t>
      </w:r>
      <w:hyperlink w:anchor="ref-17">
        <w:r>
          <w:rPr>
            <w:rStyle w:val="Hyperlink"/>
          </w:rPr>
          <w:t xml:space="preserve">[17]</w:t>
        </w:r>
      </w:hyperlink>
      <w:r>
        <w:t xml:space="preserve">. But the p-value of 0.1337 misses conventional significance, and the standard error runs about two-thirds of the point estimate. Best read, mass exerts a real but imprecisely estimated drag on disposal timing here.</w:t>
      </w:r>
    </w:p>
    <w:bookmarkEnd w:id="114"/>
    <w:bookmarkStart w:id="115" w:name="reading-the-cox-pattern-as-a-whole"/>
    <w:p>
      <w:pPr>
        <w:pStyle w:val="Heading3"/>
        <w:spacing w:line="480" w:lineRule="auto"/>
      </w:pPr>
      <w:r>
        <w:t xml:space="preserve">6.3.4 Reading the Cox Pattern as a Whole</w:t>
      </w:r>
    </w:p>
    <w:p>
      <w:pPr>
        <w:pStyle w:val="FirstParagraph"/>
        <w:spacing w:line="480" w:lineRule="auto"/>
      </w:pPr>
      <w:r>
        <w:t xml:space="preserve">What the Cox produces mirrors the logit. In the cohort-level binary analysis the regime variable carried the dominant coefficient while the physical controls came out imprecise. In the object-level survival analysis the physical altitude variable carries the dominant, precisely estimated coefficient while the regime variable turns in a wrong-signed null. Fitting thirty-two objects with nineteen events, the Cox is meaningfully more informative on event count than Study 1’s thirty cohort observations, yet still small for a three-covariate hazard specification.</w:t>
      </w:r>
    </w:p>
    <w:p>
      <w:pPr>
        <w:pStyle w:val="BodyText"/>
        <w:spacing w:line="480" w:lineRule="auto"/>
        <w:ind w:firstLine="720"/>
      </w:pPr>
      <w:r>
        <w:t xml:space="preserve">The result coheres like this: altitude does most of the explanatory work, mass contributes in the right direction but imprecisely, and the binary financial-assurance label adds no detectable information beyond what altitude and mass already carry. Just as Paper 2’s discussion foresaw, financial-assurance status in the historical record is partly confounded with operational altitude, the regime-bonded objects skewing toward high-altitude commercial platforms still censored at the cutoff while several legacy unbonded government science missions came down fast from lower altitudes on assisted or natural decay. The precisely estimated altitude coefficient soaks up variation the financial-assurance indicator might otherwise have claimed. That is no estimator failure; it is the visible print of a real identification limit in the observational record.</w:t>
      </w:r>
    </w:p>
    <w:bookmarkEnd w:id="115"/>
    <w:bookmarkEnd w:id="116"/>
    <w:bookmarkStart w:id="117" w:name="interpreting-the-two-studies-together"/>
    <w:p>
      <w:pPr>
        <w:pStyle w:val="Heading2"/>
        <w:spacing w:line="480" w:lineRule="auto"/>
      </w:pPr>
      <w:r>
        <w:t xml:space="preserve">6.4 Interpreting the Two Studies Together</w:t>
      </w:r>
    </w:p>
    <w:p>
      <w:pPr>
        <w:pStyle w:val="FirstParagraph"/>
        <w:spacing w:line="480" w:lineRule="auto"/>
      </w:pPr>
      <w:r>
        <w:t xml:space="preserve">Read jointly, the two studies do not contradict each other.</w:t>
      </w:r>
    </w:p>
    <w:p>
      <w:pPr>
        <w:pStyle w:val="BodyText"/>
        <w:spacing w:line="480" w:lineRule="auto"/>
        <w:ind w:firstLine="720"/>
      </w:pPr>
      <w:r>
        <w:t xml:space="preserve">Different parts of the deposit-refund mechanism are what they identify, and at different units of analysis.</w:t>
      </w:r>
    </w:p>
    <w:p>
      <w:pPr>
        <w:pStyle w:val="BodyText"/>
        <w:spacing w:line="480" w:lineRule="auto"/>
        <w:ind w:firstLine="720"/>
      </w:pPr>
      <w:r>
        <w:t xml:space="preserve">At the cohort level the logit finds an association between bonded obligation and binary compliance, implied odds ratio roughly sixteen, p-value 0.0785. At the object level the Cox finds a null on the timing channel, implied hazard ratio roughly 0.79, p-value 0.6757. Statistical precision is where the two diverge most sharply: the logit’s bonded-obligation coefficient runs large but imprecise, the Cox’s altitude coefficient small per kilometer but precise. Put together, the picture is one where the regime label looks to matter at the cohort level and the orbital physics at the object level, the two partly confounded in the historical record.</w:t>
      </w:r>
    </w:p>
    <w:p>
      <w:pPr>
        <w:pStyle w:val="BodyText"/>
        <w:spacing w:line="480" w:lineRule="auto"/>
        <w:ind w:firstLine="720"/>
      </w:pPr>
      <w:r>
        <w:t xml:space="preserve">None of that strays from the theoretical structure the dissertation laid out in Chapters 2 and 4. By design the deposit-refund mechanism acts on the operator’s decision to attempt disposal, not on the physical ease of executing it</w:t>
      </w:r>
      <w:r>
        <w:t xml:space="preserve"> </w:t>
      </w:r>
      <w:hyperlink w:anchor="ref-4">
        <w:r>
          <w:rPr>
            <w:rStyle w:val="Hyperlink"/>
          </w:rPr>
          <w:t xml:space="preserve">[4]</w:t>
        </w:r>
      </w:hyperlink>
      <w:r>
        <w:t xml:space="preserve">[11][12]. A cohort-level analysis pools many objects under one regime label, smooths away individual orbital and mass heterogeneity, and isolates the variance the regime treatment carries. An object-level survival analysis keeps that orbital and mass heterogeneity and so must split explanatory variance between the regime label and the physical covariates it correlates with. The two findings are two halves of a single picture: regime matters at the population level on the binary compliance margin, physics dominates at the unit level on the timing margin, and the historical record holds too little within-altitude variation in regime status to resolve them cleanly.</w:t>
      </w:r>
    </w:p>
    <w:p>
      <w:pPr>
        <w:pStyle w:val="BodyText"/>
        <w:spacing w:line="480" w:lineRule="auto"/>
        <w:ind w:firstLine="720"/>
      </w:pPr>
      <w:r>
        <w:t xml:space="preserve">For the central hypothesis, then, the joint reading is that H0, the strict null of no operator response to a refundable financial stake, falls at the ten percent level on the cohort-level binary outcome and stands on the object-level timing outcome at every conventional threshold. That bonded-obligation logit coefficient of 2.7687, its implied odds ratio near sixteen, is the dissertation’s central quantitative result. On the obligation-presence margin it is the first identified estimate of the operator response the proposed deposit-refund and performance-bond instruments would try to elicit, and it comes out positive, large in implied magnitude, and statistically marginal in the conventional sense. Small, wrong-signed at the point estimate, and statistically silent is the Cox timing-channel coefficient by contrast. Report the point estimate of -0.2322, yes, but do not over-read it; a standard error of 0.5550 leaves the data unable to rule out either a meaningful acceleration or a meaningful deceleration.</w:t>
      </w:r>
    </w:p>
    <w:bookmarkEnd w:id="117"/>
    <w:bookmarkStart w:id="118" w:name="Xad34920a29086841d3b68f02790f27c0e379fec"/>
    <w:p>
      <w:pPr>
        <w:pStyle w:val="Heading2"/>
        <w:spacing w:line="480" w:lineRule="auto"/>
      </w:pPr>
      <w:r>
        <w:t xml:space="preserve">6.5 What the Findings Do and Do Not Establish</w:t>
      </w:r>
    </w:p>
    <w:p>
      <w:pPr>
        <w:pStyle w:val="FirstParagraph"/>
        <w:spacing w:line="480" w:lineRule="auto"/>
      </w:pPr>
      <w:r>
        <w:t xml:space="preserve">The scope of what the coefficients support has to be stated flatly. At the cohort level, within a thirty-observation panel drawn from ESA, Anselmo and Pardini, and Pardini and Anselmo sources, the logit identifies a statistical association between a binary bonded-obligation indicator and a binary compliance outcome, conditional on four controls</w:t>
      </w:r>
      <w:r>
        <w:t xml:space="preserve"> </w:t>
      </w:r>
      <w:hyperlink w:anchor="ref-10">
        <w:r>
          <w:rPr>
            <w:rStyle w:val="Hyperlink"/>
          </w:rPr>
          <w:t xml:space="preserve">[10]</w:t>
        </w:r>
      </w:hyperlink>
      <w:r>
        <w:t xml:space="preserve">[13][14]. What it does not identify is the elasticity of compliance to the magnitude of a posted bond, since the historical record holds no continuous measure of bond value. On thirty-two objects with nineteen observed events, the Cox identifies an instantaneous hazard rate for compliant disposal as a function of altitude, mass, and a binary regime label. What it does not identify is the marginal effect of an added unit of refundable assurance, the regime label again being binary rather than dose-valued.</w:t>
      </w:r>
    </w:p>
    <w:p>
      <w:pPr>
        <w:pStyle w:val="BodyText"/>
        <w:spacing w:line="480" w:lineRule="auto"/>
        <w:ind w:firstLine="720"/>
      </w:pPr>
      <w:r>
        <w:t xml:space="preserve">What the findings do establish is that, in a logit carrying the physical and temporal controls the prior literature marks as the binding determinants of disposal capability, the cohort-level bonded-obligation signal is the dominant covariate</w:t>
      </w:r>
      <w:r>
        <w:t xml:space="preserve"> </w:t>
      </w:r>
      <w:hyperlink w:anchor="ref-10">
        <w:r>
          <w:rPr>
            <w:rStyle w:val="Hyperlink"/>
          </w:rPr>
          <w:t xml:space="preserve">[10]</w:t>
        </w:r>
      </w:hyperlink>
      <w:r>
        <w:t xml:space="preserve">[13]. Directionally it aligns with the deposit-refund mechanism the dissertation proposes, it is large in implied magnitude, and it survives the cases coded to cut against it. They establish, too, that in the object-level timing channel operational altitude is a precisely estimated and dominant determinant of how fast disposal arrives, itself a real quantitative input to instrument design.</w:t>
      </w:r>
    </w:p>
    <w:p>
      <w:pPr>
        <w:pStyle w:val="BodyText"/>
        <w:spacing w:line="480" w:lineRule="auto"/>
        <w:ind w:firstLine="720"/>
      </w:pPr>
      <w:r>
        <w:t xml:space="preserve">What the findings do not establish, and what the dissertation does not claim, is that a fielded deposit-refund instrument would produce compliance gains at the magnitude the logit’s point estimate naïvely implies. Under the binary-indicator coding that point estimate is an upper bound, and a continuous-value extension would almost surely trace a flatter dose-response curve</w:t>
      </w:r>
      <w:r>
        <w:t xml:space="preserve"> </w:t>
      </w:r>
      <w:hyperlink w:anchor="ref-4">
        <w:r>
          <w:rPr>
            <w:rStyle w:val="Hyperlink"/>
          </w:rPr>
          <w:t xml:space="preserve">[4]</w:t>
        </w:r>
      </w:hyperlink>
      <w:r>
        <w:t xml:space="preserve">. Nor do they establish that financial-assurance regimes leave timing untouched. The Cox null is a sample-size and confounding result, not a substantive refutation, and Chapter 7 frames it that way.</w:t>
      </w:r>
    </w:p>
    <w:bookmarkEnd w:id="118"/>
    <w:bookmarkStart w:id="119" w:name="Xec63cb925c8ba12be307c440ac99da4d2167535"/>
    <w:p>
      <w:pPr>
        <w:pStyle w:val="Heading2"/>
        <w:spacing w:line="480" w:lineRule="auto"/>
      </w:pPr>
      <w:r>
        <w:t xml:space="preserve">6.6 Robustness, Stability, and the Limits of Inference</w:t>
      </w:r>
    </w:p>
    <w:p>
      <w:pPr>
        <w:pStyle w:val="FirstParagraph"/>
        <w:spacing w:line="480" w:lineRule="auto"/>
      </w:pPr>
      <w:r>
        <w:t xml:space="preserve">On a finite likelihood the maximum-likelihood logit converged, pseudo-R-squared 0.5358 and log-likelihood -9.6218, and on thirty-two objects with nineteen events the Cox partial-likelihood estimator converged too. Neither showed separation, non-convergence, or numerical pathology, and both reported standard errors on the Wald information-matrix basis the methods chapter described. The bonded-obligation coefficient was stress-tested by the dataset construction itself, which held onto counter-aligned cases of unbonded compliance and bonded non-compliance so the maximum-likelihood estimator had no separation shortcut to take. And the altitude coefficient draws its robustness from its tight standard error, from the physical legibility of the per-kilometer scale, and from a direction that matches the engineering literature on deorbit delta-v and natural-decay timescales</w:t>
      </w:r>
      <w:r>
        <w:t xml:space="preserve"> </w:t>
      </w:r>
      <w:hyperlink w:anchor="ref-17">
        <w:r>
          <w:rPr>
            <w:rStyle w:val="Hyperlink"/>
          </w:rPr>
          <w:t xml:space="preserve">[17]</w:t>
        </w:r>
      </w:hyperlink>
      <w:r>
        <w:t xml:space="preserve">.</w:t>
      </w:r>
    </w:p>
    <w:p>
      <w:pPr>
        <w:pStyle w:val="BodyText"/>
        <w:spacing w:line="480" w:lineRule="auto"/>
        <w:ind w:firstLine="720"/>
      </w:pPr>
      <w:r>
        <w:t xml:space="preserve">Statistical power is the principal limit. Thirty cohorts and thirty-two objects are small for the policy and physical questions put to them, and the wide standard errors on most coefficients say as much. Triangulating one construct from two angles, the two-study design softens the limit without erasing it. So the dissertation’s quantitative claim carries the caveat that these are small-sample policy estimates, and Chapter 7 calibrates their interpretive weight to that. A second limit is the binary coding of the obligation and financial-assurance variables. As Chapter 5 noted, the historical record offers commitment-presence variation but no continuous bond-value variation, and the program’s next stage would swap the binary indicator for a dose-valued measure of assured value at risk</w:t>
      </w:r>
      <w:r>
        <w:t xml:space="preserve"> </w:t>
      </w:r>
      <w:hyperlink w:anchor="ref-4">
        <w:r>
          <w:rPr>
            <w:rStyle w:val="Hyperlink"/>
          </w:rPr>
          <w:t xml:space="preserve">[4]</w:t>
        </w:r>
      </w:hyperlink>
      <w:r>
        <w:t xml:space="preserve">[11].</w:t>
      </w:r>
    </w:p>
    <w:p>
      <w:pPr>
        <w:pStyle w:val="BodyText"/>
        <w:spacing w:line="480" w:lineRule="auto"/>
        <w:ind w:firstLine="720"/>
      </w:pPr>
      <w:r>
        <w:t xml:space="preserve">A third limit is that the cohort-level logit and the object-level Cox draw on overlapping but not identical source populations. Regime-resolved disposal-share cohorts from the ESA Space Environment Report 2024 and from the Anselmo and Pardini and Pardini and Anselmo geostationary and Italian audits feed the logit</w:t>
      </w:r>
      <w:r>
        <w:t xml:space="preserve"> </w:t>
      </w:r>
      <w:hyperlink w:anchor="ref-10">
        <w:r>
          <w:rPr>
            <w:rStyle w:val="Hyperlink"/>
          </w:rPr>
          <w:t xml:space="preserve">[10]</w:t>
        </w:r>
      </w:hyperlink>
      <w:r>
        <w:t xml:space="preserve">[13][14]. Individually documented spacecraft from agency decommissioning reports and reentry bulletins feed the Cox. Theoretically the two units connect, since every object belongs to a cohort, yet they nest too loosely for a multilevel joint estimation on the available data. So Chapter 7 treats the two estimates as informative complements, not as the upper and lower estimators of one multilevel parameter.</w:t>
      </w:r>
    </w:p>
    <w:bookmarkEnd w:id="119"/>
    <w:bookmarkStart w:id="120" w:name="summary-of-the-estimated-findings"/>
    <w:p>
      <w:pPr>
        <w:pStyle w:val="Heading2"/>
        <w:spacing w:line="480" w:lineRule="auto"/>
      </w:pPr>
      <w:r>
        <w:t xml:space="preserve">6.7 Summary of the Estimated Findings</w:t>
      </w:r>
    </w:p>
    <w:p>
      <w:pPr>
        <w:pStyle w:val="FirstParagraph"/>
        <w:spacing w:line="480" w:lineRule="auto"/>
      </w:pPr>
      <w:r>
        <w:t xml:space="preserve">To summarize, the cohort-level logit yields a bonded-obligation coefficient of 2.7687 on the log-odds scale, a standard error of 1.5736, and a p-value of 0.0785. The implied odds ratio is approximately 15.94. The control variables enter with the signs the engineering and historical priors predict and none reaches conventional significance: active propulsion at 1.5010 with a standard error of 1.9647 and a p-value of 0.4449, the geostationary-regime indicator at -1.9139 with a standard error of 1.7982 and a p-value of 0.2872, the post-2015 era indicator at 1.0666 with a standard error of 1.3665 and a p-value of 0.4351, and the large-mass indicator at -0.3499 with a standard error of 1.7486 and a p-value of 0.8414. The constant is -2.1989 with a standard error of 1.4247 and a p-value of 0.1227. The pseudo-R-squared is 0.5358 and the maximized log-likelihood is -9.6218 on thirty observations.</w:t>
      </w:r>
    </w:p>
    <w:p>
      <w:pPr>
        <w:pStyle w:val="BodyText"/>
        <w:spacing w:line="480" w:lineRule="auto"/>
        <w:ind w:firstLine="720"/>
      </w:pPr>
      <w:r>
        <w:t xml:space="preserve">The object-level Cox proportional-hazards estimator yields a financial-assurance coefficient of -0.2322 on the log-hazard scale, a standard error of 0.5550, and a p-value of 0.6757, with an implied hazard ratio of approximately 0.79. The altitude coefficient is -0.0041 per kilometer with a standard error of 0.0014 and a p-value of 0.0039, with an implied hazard ratio of approximately 0.996 per kilometer. The mass coefficient is -0.3331 per metric ton with a standard error of 0.2221 and a p-value of 0.1337, with an implied hazard ratio of approximately 0.72 per metric ton. The model fits thirty-two objects with nineteen observed disposal events.</w:t>
      </w:r>
    </w:p>
    <w:p>
      <w:pPr>
        <w:pStyle w:val="BodyText"/>
        <w:spacing w:line="480" w:lineRule="auto"/>
        <w:ind w:firstLine="720"/>
      </w:pPr>
      <w:r>
        <w:t xml:space="preserve">Taken together, the two studies provide the dissertation’s quantitative answer to the question posed in Chapter 1. The cohort-level binary compliance margin shows a positive, marginally significant, large-magnitude association between bonded obligation and verified disposal that supports H1 at the ten percent significance level and rejects H0 at that threshold. The object-level timing margin shows a precisely estimated and dominant role for orbital altitude and a statistically silent null for the binary financial-assurance regime indicator, which the dissertation interprets as a confounded-identification result given the sample, not as a substantive refutation of the deposit-refund mechanism. Chapter 7 will carry these estimates into the interpretive and policy discussion and Chapter 8 will use them to bound the inferential and instrument-design claims the dissertation is willing to make.</w:t>
      </w:r>
    </w:p>
    <w:bookmarkEnd w:id="120"/>
    <w:bookmarkEnd w:id="121"/>
    <w:bookmarkStart w:id="128" w:name="X21322cb5e29cbf4eb576afddcad42f86ace4e0d"/>
    <w:p>
      <w:pPr>
        <w:pStyle w:val="Heading1"/>
        <w:spacing w:line="480" w:lineRule="auto"/>
      </w:pPr>
      <w:r>
        <w:t xml:space="preserve">Chapter 7. Discussion and Governance Implications</w:t>
      </w:r>
    </w:p>
    <w:bookmarkStart w:id="122" w:name="restating-what-the-evidence-supports"/>
    <w:p>
      <w:pPr>
        <w:pStyle w:val="Heading2"/>
        <w:spacing w:line="480" w:lineRule="auto"/>
      </w:pPr>
      <w:r>
        <w:t xml:space="preserve">7.1 Restating What the Evidence Supports</w:t>
      </w:r>
    </w:p>
    <w:p>
      <w:pPr>
        <w:pStyle w:val="FirstParagraph"/>
        <w:spacing w:line="480" w:lineRule="auto"/>
      </w:pPr>
      <w:r>
        <w:t xml:space="preserve">The two empirical papers underlying this dissertation share a single behavioral conjecture and test it with two complementary estimators. Paper 1 asks, across a cross-section of thirty cohorts of payloads and rocket bodies reaching end-of-life in the protected regions of low Earth orbit and geostationary orbit, whether the presence of a binding disposal obligation predicts compliant outcomes once propulsion, regime, era, and mass are held fixed. Paper 2 reframes the same behavior as a survival process and asks, across thirty-two documented spacecraft with right-censored observations at a 2026 cutoff, whether financial-assurance regimes accelerate the hazard of compliant disposal once altitude and mass are controlled. The two results do not point in identical directions, and that disagreement is itself the most policy-relevant thing to carry into a discussion of governance.</w:t>
      </w:r>
    </w:p>
    <w:p>
      <w:pPr>
        <w:pStyle w:val="BodyText"/>
        <w:spacing w:line="480" w:lineRule="auto"/>
        <w:ind w:firstLine="720"/>
      </w:pPr>
      <w:r>
        <w:t xml:space="preserve">The logit specification returns a bonded-obligation log-odds coefficient of 2.77 with a p-value of 0.079, which exponentiates to an odds ratio of roughly sixteen and which survives the inclusion of documented crossover cases that cut against it. The hazard specification returns a financial-assurance coefficient of negative 0.232 with a p-value of 0.676 and a hazard ratio below one, statistically indistinguishable from a null acceleration effect, in a sample where altitude is precisely estimated as the dominant physical gatekeeper of disposal timing. The honest synthesis is narrow. The historical record contains evidence that a binding obligation predicts whether disposal happens, and contains no evidence that the obligation, as imposed to date, predicts how quickly it happens. The prospectus committed the dissertation to a falsifiable elasticity of compliance with respect to a refundable bond fraction. Within the operational range of the available data, that elasticity is positive on the extensive margin and is not separable from zero on the intensive margin of timing. Interpreting that joint pattern is the work of the rest of this chapter.</w:t>
      </w:r>
    </w:p>
    <w:p>
      <w:pPr>
        <w:pStyle w:val="BodyText"/>
        <w:spacing w:line="480" w:lineRule="auto"/>
        <w:ind w:firstLine="720"/>
      </w:pPr>
      <w:r>
        <w:t xml:space="preserve">The interpretation rests on the externality structure that motivated the project from the outset. Adilov, Alexander, and Cunningham formalize debris generation, accumulation, mitigation, and remediation as a problem in which the private cost of disposal falls entirely on the operator while the congestion and collision cost of non-disposal spreads across every other current and future operator</w:t>
      </w:r>
      <w:r>
        <w:t xml:space="preserve"> </w:t>
      </w:r>
      <w:hyperlink w:anchor="ref-4">
        <w:r>
          <w:rPr>
            <w:rStyle w:val="Hyperlink"/>
          </w:rPr>
          <w:t xml:space="preserve">[4]</w:t>
        </w:r>
      </w:hyperlink>
      <w:r>
        <w:t xml:space="preserve">. Rouillon shows that an orbital-use fee internalizing the collision-risk externality implements the social optimum and rises with the congestion of the orbit</w:t>
      </w:r>
      <w:r>
        <w:t xml:space="preserve"> </w:t>
      </w:r>
      <w:hyperlink w:anchor="ref-11">
        <w:r>
          <w:rPr>
            <w:rStyle w:val="Hyperlink"/>
          </w:rPr>
          <w:t xml:space="preserve">[11]</w:t>
        </w:r>
      </w:hyperlink>
      <w:r>
        <w:t xml:space="preserve">. Rao, Burgess, and Kaffine estimate that such fees could more than quadruple the value of the satellite industry against the open-access path</w:t>
      </w:r>
      <w:r>
        <w:t xml:space="preserve"> </w:t>
      </w:r>
      <w:hyperlink w:anchor="ref-12">
        <w:r>
          <w:rPr>
            <w:rStyle w:val="Hyperlink"/>
          </w:rPr>
          <w:t xml:space="preserve">[12]</w:t>
        </w:r>
      </w:hyperlink>
      <w:r>
        <w:t xml:space="preserve">. The Adilov framework predicts that an operator facing a refundable stake should choose disposal more often than an operator facing no such stake, the extensive-margin pattern the logit recovers; it does not, on its own, predict that the operator should choose disposal sooner, the intensive-margin pattern the hazard model fails to find. Reconciling those two predictions is the substantive task before us.</w:t>
      </w:r>
    </w:p>
    <w:p>
      <w:pPr>
        <w:pStyle w:val="BodyText"/>
        <w:spacing w:line="480" w:lineRule="auto"/>
        <w:ind w:firstLine="720"/>
      </w:pPr>
      <w:r>
        <w:t xml:space="preserve">That task falls to NASA program management and JPL decision-making now.</w:t>
      </w:r>
    </w:p>
    <w:bookmarkEnd w:id="122"/>
    <w:bookmarkStart w:id="123"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is operational and concerns how disposal is specified inside mission contracts. NASA programs already write disposal practice into project requirements and review it through orbital-debris assessment reports, but the obligation is, in this dissertation’s language, an unbonded one. The contractor is required to plan and to attempt disposal, and the consequence of a failed attempt is reputational and procedural rather than pecuniary. The logit evidence that a binding obligation is associated with sixteen-fold higher odds of compliant disposal, even at the margin of conventional significance and in a thirty-cohort sample, is a quantitative argument for converting the agency’s disposal requirement from a planning obligation into a verified-outcome obligation tied to a withheld stake. The natural site for that conversion is not the mission-design phase but the close-out phase, where a portion of the final program milestone payment, or an analogous internal accountability hold for in-house missions, can be released only against verified disposal of the kind operationalized in the ESA Space Environment Report and in the disposal-success definitions Paper 1 relies on</w:t>
      </w:r>
      <w:r>
        <w:t xml:space="preserve"> </w:t>
      </w:r>
      <w:hyperlink w:anchor="ref-10">
        <w:r>
          <w:rPr>
            <w:rStyle w:val="Hyperlink"/>
          </w:rPr>
          <w:t xml:space="preserve">[10]</w:t>
        </w:r>
      </w:hyperlink>
      <w:r>
        <w:t xml:space="preserve">[1].</w:t>
      </w:r>
    </w:p>
    <w:p>
      <w:pPr>
        <w:pStyle w:val="BodyText"/>
        <w:spacing w:line="480" w:lineRule="auto"/>
        <w:ind w:firstLine="720"/>
      </w:pPr>
      <w:r>
        <w:t xml:space="preserve">The hazard finding restrains the scope of that recommendation on a point that is doctrinally important. Paper 2 estimates that each additional one hundred kilometres of operational altitude multiplies the disposal hazard by roughly 0.67 and that the financial-assurance indicator is partly confounded with altitude, because the bonded operators in the sample disproportionately occupy higher orbits. The instrument-design conclusion is that a flat refund schedule applied uniformly across the NASA mission portfolio would be regressive against the very orbits where rapid disposal is hardest and where the long-lived risk is largest. An altitude-graduated refund, larger for rapid disposal from higher orbits, would target the margin where the physics resists and would correct the implicit subsidy a flat schedule grants to high-altitude operators. Altitude is a design parameter, not an objection. Program management should read the finding as a value to be set inside the financial instrument rather than as a reason to abandon it. That altitude is a precisely estimated physical gatekeeper makes it a natural axis along which to grade the refund; without that grading the agency would hold low-altitude science missions to a financial standard high-altitude commercial operators could comfortably ignore.</w:t>
      </w:r>
    </w:p>
    <w:p>
      <w:pPr>
        <w:pStyle w:val="BodyText"/>
        <w:spacing w:line="480" w:lineRule="auto"/>
        <w:ind w:firstLine="720"/>
      </w:pPr>
      <w:r>
        <w:t xml:space="preserve">A second implication concerns verification infrastructure. The instrument the dissertation evaluates is enforceable only to the extent that the disposal outcome on which the refund turns can be observed cleanly. Fernandez and colleagues quantify the remaining orbital-lifetime uncertainty after post-mission disposal and show that for slow-decay cases the uncertainty band is wide enough to produce misclassification under a binary verification rule</w:t>
      </w:r>
      <w:r>
        <w:t xml:space="preserve"> </w:t>
      </w:r>
      <w:hyperlink w:anchor="ref-6">
        <w:r>
          <w:rPr>
            <w:rStyle w:val="Hyperlink"/>
          </w:rPr>
          <w:t xml:space="preserve">[6]</w:t>
        </w:r>
      </w:hyperlink>
      <w:r>
        <w:t xml:space="preserve">. NASA program management has the technical capacity to operationalize a tiered verification standard in which rapid clearance, controlled reentry, and graveyard transfer are verified against the agency’s own catalog and orbit-determination products, with slow-decay cases adjudicated against ESA disposal-success thresholds reported at conservative and lenient bounds</w:t>
      </w:r>
      <w:r>
        <w:t xml:space="preserve"> </w:t>
      </w:r>
      <w:hyperlink w:anchor="ref-6">
        <w:r>
          <w:rPr>
            <w:rStyle w:val="Hyperlink"/>
          </w:rPr>
          <w:t xml:space="preserve">[6]</w:t>
        </w:r>
      </w:hyperlink>
      <w:r>
        <w:t xml:space="preserve">[10]. Karra and Jah’s independent assessment of harmful interference and compliance in geostationary orbit shows that compliance verification can be conducted by parties outside the operator chain, which suggests an institutional design in which the bond-release decision is reviewed by an independent verification function rather than left to the operator’s self-report</w:t>
      </w:r>
      <w:r>
        <w:t xml:space="preserve"> </w:t>
      </w:r>
      <w:hyperlink w:anchor="ref-16">
        <w:r>
          <w:rPr>
            <w:rStyle w:val="Hyperlink"/>
          </w:rPr>
          <w:t xml:space="preserve">[16]</w:t>
        </w:r>
      </w:hyperlink>
      <w:r>
        <w:t xml:space="preserve">. For an agency that already maintains an Orbital Debris Program Office and an internal review chain for orbital-debris assessment reports, the marginal cost of standing up such a function is modest, and the substantive consequence is that the bond can be released against an observation rather than against a claim.</w:t>
      </w:r>
    </w:p>
    <w:p>
      <w:pPr>
        <w:pStyle w:val="BodyText"/>
        <w:spacing w:line="480" w:lineRule="auto"/>
        <w:ind w:firstLine="720"/>
      </w:pPr>
      <w:r>
        <w:t xml:space="preserve">A third implication is that the agency’s portfolio of unbonded legacy missions becomes legible as a deferred liability rather than as a settled inheritance. Paper 2’s right-censored observations include Envisat, TOPEX/Poseidon, SeaSat, Landsat-5, and the Jason series, each disposed under guideline rather than financial obligation and several of which never disposed at all. Pardini and Anselmo’s evaluation of the impact of space activities in low Earth orbit treats such long-lived non-disposed objects as the dominant contributors to the criticality of the environment, and their debris-flux assessment quantifies the collision-risk contribution those objects continue to impose on the present and future population</w:t>
      </w:r>
      <w:r>
        <w:t xml:space="preserve"> </w:t>
      </w:r>
      <w:hyperlink w:anchor="ref-15">
        <w:r>
          <w:rPr>
            <w:rStyle w:val="Hyperlink"/>
          </w:rPr>
          <w:t xml:space="preserve">[15]</w:t>
        </w:r>
      </w:hyperlink>
      <w:r>
        <w:t xml:space="preserve">[18]. A NASA program management posture that recognizes the legacy portfolio as carrying a debris liability, even where no refund mechanism existed at launch, has at least three downstream uses. It justifies internal investment in active-debris-removal-adjacent capabilities for the highest-criticality legacy objects. It provides a baseline against which the agency can score whether new missions are net contributors or net mitigators of the debris environment. And it supplies an evidentiary basis for the broader argument that the agency itself benefits from instrument-based mitigation across the regime rather than only inside its own programs. The optimal active-debris-removal mission-planning literature provides a quantitative bridge between identifying high-criticality legacy objects and selecting candidates for remediation campaigns, which makes the legacy-portfolio review actionable rather than rhetorical</w:t>
      </w:r>
      <w:r>
        <w:t xml:space="preserve"> </w:t>
      </w:r>
      <w:hyperlink w:anchor="ref-7">
        <w:r>
          <w:rPr>
            <w:rStyle w:val="Hyperlink"/>
          </w:rPr>
          <w:t xml:space="preserve">[7]</w:t>
        </w:r>
      </w:hyperlink>
      <w:r>
        <w:t xml:space="preserve">.</w:t>
      </w:r>
    </w:p>
    <w:p>
      <w:pPr>
        <w:pStyle w:val="BodyText"/>
        <w:spacing w:line="480" w:lineRule="auto"/>
        <w:ind w:firstLine="720"/>
      </w:pPr>
      <w:r>
        <w:t xml:space="preserve">A fourth implication concerns how NASA’s contributions to international debris-mitigation governance should be framed. The discourse-network analysis of the emerging socio-technical regime for tackling debris shows that incentive-based instruments are now actively proposed within the international policy community, orbital-use charges and bond-like mechanisms among them, and that the regime is unsettled enough that an agency capable of presenting empirical evidence of operator response can shape the menu of instruments considered seriously</w:t>
      </w:r>
      <w:r>
        <w:t xml:space="preserve"> </w:t>
      </w:r>
      <w:hyperlink w:anchor="ref-3">
        <w:r>
          <w:rPr>
            <w:rStyle w:val="Hyperlink"/>
          </w:rPr>
          <w:t xml:space="preserve">[3]</w:t>
        </w:r>
      </w:hyperlink>
      <w:r>
        <w:t xml:space="preserve">. The Montreal-Protocol analogy advanced by Zhang and Balakrishnan provides a template in which a binding international instrument was anchored by a technically credible national position</w:t>
      </w:r>
      <w:r>
        <w:t xml:space="preserve"> </w:t>
      </w:r>
      <w:hyperlink w:anchor="ref-9">
        <w:r>
          <w:rPr>
            <w:rStyle w:val="Hyperlink"/>
          </w:rPr>
          <w:t xml:space="preserve">[9]</w:t>
        </w:r>
      </w:hyperlink>
      <w:r>
        <w:t xml:space="preserve">. NASA program management is well placed to convert the extensive-margin evidence of this dissertation into a contribution to that discourse. The claim to make is not that bonds have been proven to work as accelerants, which the hazard evidence does not support, but that bonded obligations are associated with materially higher compliance odds in observational data and that the dominant remaining uncertainty is whether the timing effect emerges once altitude-graduated bond schedules are tested in the field. That framing is honest about the limits of the evidence and is, for that reason, more durable in an international policy context than a stronger claim would be.</w:t>
      </w:r>
    </w:p>
    <w:bookmarkEnd w:id="123"/>
    <w:bookmarkStart w:id="124" w:name="implications-for-jpl-decision-making"/>
    <w:p>
      <w:pPr>
        <w:pStyle w:val="Heading2"/>
        <w:spacing w:line="480" w:lineRule="auto"/>
      </w:pPr>
      <w:r>
        <w:t xml:space="preserve">7.3 Implications for JPL Decision-Making</w:t>
      </w:r>
    </w:p>
    <w:p>
      <w:pPr>
        <w:pStyle w:val="FirstParagraph"/>
        <w:spacing w:line="480" w:lineRule="auto"/>
      </w:pPr>
      <w:r>
        <w:t xml:space="preserve">JPL operates a portfolio that differs from the agency’s median in ways that bear directly on how the instrument evidence translates into capture and program decisions. Its portfolio sits high. The laboratory’s science missions concentrate in high-altitude and high-orbital-energy regimes, the very orbital classes Paper 2 identifies as the slowest to dispose, and its institutional review tradition has long treated disposal planning as part of mission design rather than as a separate financial obligation.</w:t>
      </w:r>
    </w:p>
    <w:p>
      <w:pPr>
        <w:pStyle w:val="BodyText"/>
        <w:spacing w:line="480" w:lineRule="auto"/>
        <w:ind w:firstLine="720"/>
      </w:pPr>
      <w:r>
        <w:t xml:space="preserve">Three decisions flow from the dissertation’s findings.</w:t>
      </w:r>
    </w:p>
    <w:p>
      <w:pPr>
        <w:pStyle w:val="BodyText"/>
        <w:spacing w:line="480" w:lineRule="auto"/>
        <w:ind w:firstLine="720"/>
      </w:pPr>
      <w:r>
        <w:t xml:space="preserve">The first is internal to mission formulation. The hazard evidence implies that for high-altitude science missions the propellant budget and the spacecraft configuration set during formulation are the binding constraints on the agency’s ability to comply with any future disposal obligation, bonded or not. JPL formulation reviews should treat disposal capability as a quantitative requirement reported at the level of remaining-orbital-lifetime uncertainty rather than as a yes-or-no checkbox, with the uncertainty bound drawn from the ESA disposal-success methodology and the analysis framework operationalized by tools of the ESA Debris Risk Assessment and Mitigation Analysis family</w:t>
      </w:r>
      <w:r>
        <w:t xml:space="preserve"> </w:t>
      </w:r>
      <w:hyperlink w:anchor="ref-6">
        <w:r>
          <w:rPr>
            <w:rStyle w:val="Hyperlink"/>
          </w:rPr>
          <w:t xml:space="preserve">[6]</w:t>
        </w:r>
      </w:hyperlink>
      <w:r>
        <w:t xml:space="preserve">[17][30]. This is not a recommendation to import a financial instrument into JPL formulation but a recommendation to instrument the engineering decision, so that when an instrument is imposed at a later licensing or close-out stage the laboratory can demonstrate the disposal performance it has bought rather than the disposal performance it has assumed.</w:t>
      </w:r>
    </w:p>
    <w:p>
      <w:pPr>
        <w:pStyle w:val="BodyText"/>
        <w:spacing w:line="480" w:lineRule="auto"/>
        <w:ind w:firstLine="720"/>
      </w:pPr>
      <w:r>
        <w:t xml:space="preserve">The second concerns the laboratory’s interaction with the commercial space economy. JPL increasingly partners with commercial providers for launch, for in-space transportation, and for science-augmenting platforms. Several of those providers operate at altitudes and in regimes for which the bonded-obligation effect identified in Paper 1 is most relevant. A laboratory decision-making framework that treats a commercial partner’s disposal posture as an input to partner selection, alongside cost, schedule, and technical capability, would be consistent with the broader evidence that the obligation, not merely the capability, moves the disposal outcome. The Forshaw and colleagues description of the ELSA-d end-of-life debris-removal mission shows that industry can configure end-of-life capability as a deliberate service line when there is a commercial reason to do so, the demand-side counterpart to a bond instrument on the supply side</w:t>
      </w:r>
      <w:r>
        <w:t xml:space="preserve"> </w:t>
      </w:r>
      <w:hyperlink w:anchor="ref-22">
        <w:r>
          <w:rPr>
            <w:rStyle w:val="Hyperlink"/>
          </w:rPr>
          <w:t xml:space="preserve">[22]</w:t>
        </w:r>
      </w:hyperlink>
      <w:r>
        <w:t xml:space="preserve">. JPL is not the regulator. It is a sophisticated customer, and its partner-selection criteria can pull the commercial environment toward configurations the regulator would otherwise have to compel.</w:t>
      </w:r>
    </w:p>
    <w:p>
      <w:pPr>
        <w:pStyle w:val="BodyText"/>
        <w:spacing w:line="480" w:lineRule="auto"/>
        <w:ind w:firstLine="720"/>
      </w:pPr>
      <w:r>
        <w:t xml:space="preserve">The third decision is about how the laboratory positions itself within the active-debris-removal and on-orbit-servicing markets. The optimal active-debris-removal mission-planning work of Simha and colleagues shows that removal campaigns can be designed to inform policy decisions, including by quantifying the marginal collision-risk reduction per removed object, and that the resulting decision support is most valuable when it is integrated with the broader policy stack rather than treated as a standalone engineering exercise</w:t>
      </w:r>
      <w:r>
        <w:t xml:space="preserve"> </w:t>
      </w:r>
      <w:hyperlink w:anchor="ref-7">
        <w:r>
          <w:rPr>
            <w:rStyle w:val="Hyperlink"/>
          </w:rPr>
          <w:t xml:space="preserve">[7]</w:t>
        </w:r>
      </w:hyperlink>
      <w:r>
        <w:t xml:space="preserve">. JPL’s combination of deep-space precision navigation, autonomous rendezvous heritage, and instrument-payload experience is unusually well matched to that integration task. The laboratory’s decision-making implication is that a deliberate investment in mission-planning analytics for active-debris-removal candidate selection, especially when paired with the agency-portfolio review proposed above, would convert a body of internal capability into a market-shaping contribution. That is the kind of contribution a bond instrument creates the demand for: a refund schedule that grows with rapid disposal from higher orbits raises the value of any service that can substitute for self-disposal when self-disposal is infeasible.</w:t>
      </w:r>
    </w:p>
    <w:p>
      <w:pPr>
        <w:pStyle w:val="BodyText"/>
        <w:spacing w:line="480" w:lineRule="auto"/>
        <w:ind w:firstLine="720"/>
      </w:pPr>
      <w:r>
        <w:t xml:space="preserve">One thread runs through all three. The laboratory’s planetary and Earth-observation missions are well-served by treating debris-mitigation as a quantitative-engineering competence with a financial dimension rather than as a regulatory compliance burden. The dissertation’s logit evidence supports the proposition that obligation matters; the hazard evidence narrows the proposition to say obligation matters more when it is graded to the physics. JPL is unusual in having both the engineering depth to internalize the physics and the institutional latitude to instrument the engineering decision before the agency or the international regime requires it. Decision-making that takes advantage of that combination would put the laboratory ahead of, rather than behind, the instrument design the regime appears to be moving toward</w:t>
      </w:r>
      <w:r>
        <w:t xml:space="preserve"> </w:t>
      </w:r>
      <w:hyperlink w:anchor="ref-3">
        <w:r>
          <w:rPr>
            <w:rStyle w:val="Hyperlink"/>
          </w:rPr>
          <w:t xml:space="preserve">[3]</w:t>
        </w:r>
      </w:hyperlink>
      <w:r>
        <w:t xml:space="preserve">[9].</w:t>
      </w:r>
    </w:p>
    <w:bookmarkEnd w:id="124"/>
    <w:bookmarkStart w:id="125" w:name="limitations"/>
    <w:p>
      <w:pPr>
        <w:pStyle w:val="Heading2"/>
        <w:spacing w:line="480" w:lineRule="auto"/>
      </w:pPr>
      <w:r>
        <w:t xml:space="preserve">7.4 Limitations</w:t>
      </w:r>
    </w:p>
    <w:p>
      <w:pPr>
        <w:pStyle w:val="FirstParagraph"/>
        <w:spacing w:line="480" w:lineRule="auto"/>
      </w:pPr>
      <w:r>
        <w:t xml:space="preserve">Four limitations bound the findings, catalogued here in order of severity for the substantive claim.</w:t>
      </w:r>
    </w:p>
    <w:p>
      <w:pPr>
        <w:pStyle w:val="BodyText"/>
        <w:spacing w:line="480" w:lineRule="auto"/>
        <w:ind w:firstLine="720"/>
      </w:pPr>
      <w:r>
        <w:t xml:space="preserve">Sample size comes first, and it is the most consequential. Paper 1 estimates a five-covariate logit on thirty cohort observations and recovers a bonded-obligation effect significant at the ten percent threshold rather than the five percent threshold. Paper 2 estimates a three-covariate Cox model on thirty-two spacecraft with nineteen observed disposal events and recovers a financial-assurance null with a wide confidence interval. Neither result is statistically powerful in the conventional sense, and neither carries the inferential weight a multi-jurisdiction object-level panel of the kind anticipated in the prospectus would carry. The substantive direction of the evidence is consistent across the two estimators, in the sense that obligation enters with the expected sign in the extensive-margin model and altitude dominates in the intensive-margin model; the inferential standard, though, is that direction rather than statistical certainty is what the present data support.</w:t>
      </w:r>
    </w:p>
    <w:p>
      <w:pPr>
        <w:pStyle w:val="BodyText"/>
        <w:spacing w:line="480" w:lineRule="auto"/>
        <w:ind w:firstLine="720"/>
      </w:pPr>
      <w:r>
        <w:t xml:space="preserve">A second limitation is the coarseness of the instrument indicator. Both papers code the presence of a binding disposal obligation as a binary marker, identifying whether the operator was subject to a financial-assurance or bonded-commitment regime rather than the magnitude of any posted bond. The prospectus framed the falsifiable contribution as a continuous elasticity of compliance with respect to a refundable bond fraction, and the binary coding identifies only the extensive margin of that elasticity. The substantive consequence is that even where the data support a positive obligation effect, they do not yet calibrate the bond fraction required to reach any specified compliance target, which is the quantity a program office or licensing authority would need to set policy. Closing that gap requires either a public reporting requirement that exposes the bond fraction faced by each licensed operator or a structured survey of operators within a cooperating jurisdiction.</w:t>
      </w:r>
    </w:p>
    <w:p>
      <w:pPr>
        <w:pStyle w:val="BodyText"/>
        <w:spacing w:line="480" w:lineRule="auto"/>
        <w:ind w:firstLine="720"/>
      </w:pPr>
      <w:r>
        <w:t xml:space="preserve">Third comes confounding by adoption timing. Bonded obligations are a recent phenomenon, and in both papers the bonded-regime indicator is correlated with the post-2015 era and, in Paper 2, with the high-altitude commercial operators that came on station in the same period. The logit specification handles this through an era control whose coefficient runs in the expected direction without reaching significance, and the hazard specification handles it through an altitude control that absorbs precisely the variation the bond indicator might otherwise have claimed. Neither solution is fully satisfying, and the honest reading is that the historical record does not yet contain the within-altitude, within-era variation in bonded status a clean identification would require. The staggered difference-in-differences design described in the prospectus remains the natural identification strategy as more jurisdictions adopt bonded requirements on differing schedules.</w:t>
      </w:r>
    </w:p>
    <w:p>
      <w:pPr>
        <w:pStyle w:val="BodyText"/>
        <w:spacing w:line="480" w:lineRule="auto"/>
        <w:ind w:firstLine="720"/>
      </w:pPr>
      <w:r>
        <w:t xml:space="preserve">A fourth limitation is external validity to instrument designs not yet observed. The estimated effect is identified over the historical range of bond-like obligations actually imposed, which is narrower than the range of instruments the dissertation aims to inform. The European Space Agency’s Zero Debris Approach and the 2023 five-year standard are the closest available proxies for an enforced disposal commitment</w:t>
      </w:r>
      <w:r>
        <w:t xml:space="preserve"> </w:t>
      </w:r>
      <w:hyperlink w:anchor="ref-10">
        <w:r>
          <w:rPr>
            <w:rStyle w:val="Hyperlink"/>
          </w:rPr>
          <w:t xml:space="preserve">[10]</w:t>
        </w:r>
      </w:hyperlink>
      <w:r>
        <w:t xml:space="preserve">, and the agency’s reporting that ninety percent of low-Earth-orbit rocket bodies now clear the protected region while only fifty-seven percent of large low-Earth-orbit payloads are set to remove within twenty-five years suggests that the obligations imposed to date are partial rather than complete. Extrapolating the estimated obligation effect to a fully refundable deposit-refund scheme is therefore an out-of-sample claim the dissertation reports as a bound rather than as a point estimate, consistent with the cautionary framing of the incentive-instrument literature</w:t>
      </w:r>
      <w:r>
        <w:t xml:space="preserve"> </w:t>
      </w:r>
      <w:hyperlink w:anchor="ref-3">
        <w:r>
          <w:rPr>
            <w:rStyle w:val="Hyperlink"/>
          </w:rPr>
          <w:t xml:space="preserve">[3]</w:t>
        </w:r>
      </w:hyperlink>
      <w:r>
        <w:t xml:space="preserve">[9].</w:t>
      </w:r>
    </w:p>
    <w:p>
      <w:pPr>
        <w:pStyle w:val="BodyText"/>
        <w:spacing w:line="480" w:lineRule="auto"/>
        <w:ind w:firstLine="720"/>
      </w:pPr>
      <w:r>
        <w:t xml:space="preserve">A fifth, narrower limitation concerns the verification standard itself. Fernandez and colleagues quantify the remaining-orbital-lifetime uncertainty after post-mission disposal and document that slow-decay cases are particularly hard to classify cleanly under a binary compliance rule</w:t>
      </w:r>
      <w:r>
        <w:t xml:space="preserve"> </w:t>
      </w:r>
      <w:hyperlink w:anchor="ref-6">
        <w:r>
          <w:rPr>
            <w:rStyle w:val="Hyperlink"/>
          </w:rPr>
          <w:t xml:space="preserve">[6]</w:t>
        </w:r>
      </w:hyperlink>
      <w:r>
        <w:t xml:space="preserve">. Both papers operationalize disposal at the cohort or object level using ESA Space Environment Report definitions, the most credible publicly available standard, yet those definitions inherit the uncertainty Fernandez documents. Reporting results under conservative and lenient verification thresholds, as both papers do implicitly through their data sources, is a partial remedy. A complete remedy requires an integrated propagation of disposal-success uncertainty into the standard errors of the obligation-effect estimate, a methodological extension rather than a defect of the present design.</w:t>
      </w:r>
    </w:p>
    <w:bookmarkEnd w:id="125"/>
    <w:bookmarkStart w:id="126" w:name="future-research"/>
    <w:p>
      <w:pPr>
        <w:pStyle w:val="Heading2"/>
        <w:spacing w:line="480" w:lineRule="auto"/>
      </w:pPr>
      <w:r>
        <w:t xml:space="preserve">7.5 Future Research</w:t>
      </w:r>
    </w:p>
    <w:p>
      <w:pPr>
        <w:pStyle w:val="FirstParagraph"/>
        <w:spacing w:line="480" w:lineRule="auto"/>
      </w:pPr>
      <w:r>
        <w:t xml:space="preserve">Most direct is the multi-jurisdiction object-level panel anticipated by the prospectus. Replacing cohort-level outcomes with satellite-level disposal events and replacing the binary bonded-obligation indicator with a continuous bond fraction would convert the present design from a directional test into the quantitative elasticity estimate the prospectus committed to. The disposal-outcome layer is feasible from the public space-object catalog combined with the ESA Space Environment Report annual statistics; the instrument layer requires assembling the licensing-stage financial-security requirements of the United States Federal Communications Commission, the United Kingdom Civil Aviation Authority Outer Space Act, and comparable European authorities into a regulatory-source panel keyed to operator identifiers. Staggered adoption of bonded requirements across these jurisdictions supplies the partially exogenous variation the difference-in-differences identification strategy of the prospectus relies on, and the heterogeneity-robust estimators of the recent applied-econometrics literature supply the lead specification.</w:t>
      </w:r>
    </w:p>
    <w:p>
      <w:pPr>
        <w:pStyle w:val="BodyText"/>
        <w:spacing w:line="480" w:lineRule="auto"/>
        <w:ind w:firstLine="720"/>
      </w:pPr>
      <w:r>
        <w:t xml:space="preserve">A second extension is altitude-graduated and regime-stratified specifications motivated by Paper 2’s altitude finding. Stratifying the Cox baseline hazard by orbital regime, low Earth orbit at sub-six-hundred-kilometre, low Earth orbit at higher altitudes, the geostationary transfer regime, and the geostationary regime, would estimate the bond effect within altitude bands rather than across them and would identify whether the null result of Paper 2 is robust within each band or is an artifact of the cross-band confounding identified in that paper’s discussion. The same stratification would test whether an altitude-graduated refund schedule, larger for rapid disposal from higher orbits, recovers the intensive-margin timing response a flat schedule does not. This is the natural empirical companion to the instrument-design recommendation advanced in the NASA program management section above.</w:t>
      </w:r>
    </w:p>
    <w:p>
      <w:pPr>
        <w:pStyle w:val="BodyText"/>
        <w:spacing w:line="480" w:lineRule="auto"/>
        <w:ind w:firstLine="720"/>
      </w:pPr>
      <w:r>
        <w:t xml:space="preserve">A third extension is the integration of disposal-success uncertainty into the inference. Fernandez and colleagues provide quantitative bounds on remaining-orbital-lifetime uncertainty after disposal</w:t>
      </w:r>
      <w:r>
        <w:t xml:space="preserve"> </w:t>
      </w:r>
      <w:hyperlink w:anchor="ref-6">
        <w:r>
          <w:rPr>
            <w:rStyle w:val="Hyperlink"/>
          </w:rPr>
          <w:t xml:space="preserve">[6]</w:t>
        </w:r>
      </w:hyperlink>
      <w:r>
        <w:t xml:space="preserve">, and the ESA Debris Risk Assessment and Mitigation Analysis Spacecraft Entry Survival Analysis Module provides reentry-survival uncertainty for controlled-reentry cases</w:t>
      </w:r>
      <w:r>
        <w:t xml:space="preserve"> </w:t>
      </w:r>
      <w:hyperlink w:anchor="ref-17">
        <w:r>
          <w:rPr>
            <w:rStyle w:val="Hyperlink"/>
          </w:rPr>
          <w:t xml:space="preserve">[17]</w:t>
        </w:r>
      </w:hyperlink>
      <w:r>
        <w:t xml:space="preserve">[30]. A Bayesian or measurement-error specification that propagates these uncertainties into the bonded-obligation standard error would produce inferential statements honest about the verification physics, and would also produce a sensitivity analysis for the conservative and lenient verification thresholds the present papers handle implicitly.</w:t>
      </w:r>
    </w:p>
    <w:p>
      <w:pPr>
        <w:pStyle w:val="BodyText"/>
        <w:spacing w:line="480" w:lineRule="auto"/>
        <w:ind w:firstLine="720"/>
      </w:pPr>
      <w:r>
        <w:t xml:space="preserve">A fourth extension is to widen the dependent variable beyond compliance to include the broader environmental consequences of the disposal decision. Pardini and Anselmo’s evaluation of the impact of space activities in low Earth orbit and their debris-flux assessment of environmental criticality provide quantitative measures of the marginal contribution of each non-disposed object to the long-run conjunction environment</w:t>
      </w:r>
      <w:r>
        <w:t xml:space="preserve"> </w:t>
      </w:r>
      <w:hyperlink w:anchor="ref-15">
        <w:r>
          <w:rPr>
            <w:rStyle w:val="Hyperlink"/>
          </w:rPr>
          <w:t xml:space="preserve">[15]</w:t>
        </w:r>
      </w:hyperlink>
      <w:r>
        <w:t xml:space="preserve">[18][28][29]. Bottcher and Silvestri’s multi-perspective analysis of sustainability metrics provides additional candidate measures of environmental performance that could supplement a binary compliance outcome</w:t>
      </w:r>
      <w:r>
        <w:t xml:space="preserve"> </w:t>
      </w:r>
      <w:hyperlink w:anchor="ref-19">
        <w:r>
          <w:rPr>
            <w:rStyle w:val="Hyperlink"/>
          </w:rPr>
          <w:t xml:space="preserve">[19]</w:t>
        </w:r>
      </w:hyperlink>
      <w:r>
        <w:t xml:space="preserve">. A specification in which the dependent variable is the operator’s contribution to a sustainability metric, conditional on bonded status and physical covariates, would test whether bonds move not only compliance but also the broader environmental outcome compliance is meant to proxy. This is the empirical counterpart to the Ostrom common-pool-resource framing developed by Dailey, Stilwell, and colleagues, which couples a carrying-capacity accounting to a policy-simulation model in which the operator response is currently assumed within the simulation rather than recovered from data</w:t>
      </w:r>
      <w:r>
        <w:t xml:space="preserve"> </w:t>
      </w:r>
      <w:hyperlink w:anchor="ref-8">
        <w:r>
          <w:rPr>
            <w:rStyle w:val="Hyperlink"/>
          </w:rPr>
          <w:t xml:space="preserve">[8]</w:t>
        </w:r>
      </w:hyperlink>
      <w:r>
        <w:t xml:space="preserve">.</w:t>
      </w:r>
    </w:p>
    <w:p>
      <w:pPr>
        <w:pStyle w:val="BodyText"/>
        <w:spacing w:line="480" w:lineRule="auto"/>
        <w:ind w:firstLine="720"/>
      </w:pPr>
      <w:r>
        <w:t xml:space="preserve">A fifth extension links the instrument-design question to the active-debris-removal market. The optimal active-debris-removal mission-planning work of Simha and colleagues quantifies the marginal collision-risk reduction per removed object</w:t>
      </w:r>
      <w:r>
        <w:t xml:space="preserve"> </w:t>
      </w:r>
      <w:hyperlink w:anchor="ref-7">
        <w:r>
          <w:rPr>
            <w:rStyle w:val="Hyperlink"/>
          </w:rPr>
          <w:t xml:space="preserve">[7]</w:t>
        </w:r>
      </w:hyperlink>
      <w:r>
        <w:t xml:space="preserve">, and the ELSA-d end-of-life debris-removal mission of Forshaw and colleagues shows that industry can configure end-of-life capability as a commercial service</w:t>
      </w:r>
      <w:r>
        <w:t xml:space="preserve"> </w:t>
      </w:r>
      <w:hyperlink w:anchor="ref-22">
        <w:r>
          <w:rPr>
            <w:rStyle w:val="Hyperlink"/>
          </w:rPr>
          <w:t xml:space="preserve">[22]</w:t>
        </w:r>
      </w:hyperlink>
      <w:r>
        <w:t xml:space="preserve">. A joint specification in which the bond instrument and a remediation market are evaluated together, the bond setting the demand for self-disposal services and the remediation market providing a substitute for those services when self-disposal is infeasible, would inform the integrated instrument design the prospectus characterized as the precondition for any credible orbital-use-fee or bond policy. The reentry-environmental-impact literature of Ferreira, Wang, and Nomura provides a counterweight on the environmental cost of demised material an integrated instrument should internalize as well</w:t>
      </w:r>
      <w:r>
        <w:t xml:space="preserve"> </w:t>
      </w:r>
      <w:hyperlink w:anchor="ref-26">
        <w:r>
          <w:rPr>
            <w:rStyle w:val="Hyperlink"/>
          </w:rPr>
          <w:t xml:space="preserve">[26]</w:t>
        </w:r>
      </w:hyperlink>
      <w:r>
        <w:t xml:space="preserve">. A complete future-research program would close that loop.</w:t>
      </w:r>
    </w:p>
    <w:p>
      <w:pPr>
        <w:pStyle w:val="BodyText"/>
        <w:spacing w:line="480" w:lineRule="auto"/>
        <w:ind w:firstLine="720"/>
      </w:pPr>
      <w:r>
        <w:t xml:space="preserve">A sixth and final extension addresses the governance and discourse layer in which any instrument would actually be adopted. The discourse-network analysis of Yap, Heiberg, and Truffer documents that the menu of instruments now considered in the international debris regime is unsettled and that the framing advanced by technically credible actors shapes which instruments survive into binding language</w:t>
      </w:r>
      <w:r>
        <w:t xml:space="preserve"> </w:t>
      </w:r>
      <w:hyperlink w:anchor="ref-3">
        <w:r>
          <w:rPr>
            <w:rStyle w:val="Hyperlink"/>
          </w:rPr>
          <w:t xml:space="preserve">[3]</w:t>
        </w:r>
      </w:hyperlink>
      <w:r>
        <w:t xml:space="preserve">. The Montreal-Protocol analogy advanced by Zhang and Balakrishnan provides a template for how national technical evidence can be converted into international policy commitment</w:t>
      </w:r>
      <w:r>
        <w:t xml:space="preserve"> </w:t>
      </w:r>
      <w:hyperlink w:anchor="ref-9">
        <w:r>
          <w:rPr>
            <w:rStyle w:val="Hyperlink"/>
          </w:rPr>
          <w:t xml:space="preserve">[9]</w:t>
        </w:r>
      </w:hyperlink>
      <w:r>
        <w:t xml:space="preserve">. A research program that pairs the empirical instrument-evaluation work outlined in the preceding extensions with a parallel analysis of how that evidence is taken up in the discourse network would test whether the empirical strategy actually does the policy work the prospectus claims it can do. That is the appropriate doctoral close: an empirical agenda both substantively sharp and reflexive about the policy environment in which its findings would have to land.</w:t>
      </w:r>
    </w:p>
    <w:bookmarkEnd w:id="126"/>
    <w:bookmarkStart w:id="127" w:name="closing-synthesis"/>
    <w:p>
      <w:pPr>
        <w:pStyle w:val="Heading2"/>
        <w:spacing w:line="480" w:lineRule="auto"/>
      </w:pPr>
      <w:r>
        <w:t xml:space="preserve">7.6 Closing Synthesis</w:t>
      </w:r>
    </w:p>
    <w:p>
      <w:pPr>
        <w:pStyle w:val="FirstParagraph"/>
        <w:spacing w:line="480" w:lineRule="auto"/>
      </w:pPr>
      <w:r>
        <w:t xml:space="preserve">The dissertation set out to identify whether a refundable financial stake moves the marginal operator’s disposal decision. The answer is split. The evidence assembled in Papers 1 and 2 supports a qualified yes on the extensive margin and a qualified not-yet on the intensive margin of timing. Read together, the two results sustain rather than undermine the deposit-refund and performance-bond instrument family. They argue for an instrument that is binding rather than aspirational, that is graded to altitude rather than flat across regimes, that is verified against an independent observation rather than against operator self-report, and that is paired with an active-debris-removal capability for cases in which self-disposal is physically infeasible. For NASA program management the practical consequence is the conversion of disposal from a planning obligation into a verified-outcome obligation with a financial dimension. For JPL the consequence is the instrumentation of disposal capability during formulation, the use of partner disposal posture as an input to commercial-partner selection, and a deliberate positioning within the active-debris-removal analytics market. For the international regime the consequence is the availability of an honest empirical contribution: not a claim that bonds have been proven to accelerate disposal, but a claim that binding obligations are associated with materially higher compliance odds and that the remaining empirical task is to estimate the dose-response relationship a fielded instrument would generate. That is the contribution the prospectus promised, bounded by what the present data can actually support, and pointed at the work the next phase of research must do.</w:t>
      </w:r>
    </w:p>
    <w:bookmarkEnd w:id="127"/>
    <w:bookmarkEnd w:id="128"/>
    <w:bookmarkStart w:id="188" w:name="chapter-8.-conclusion"/>
    <w:p>
      <w:pPr>
        <w:pStyle w:val="Heading1"/>
        <w:spacing w:line="480" w:lineRule="auto"/>
      </w:pPr>
      <w:r>
        <w:t xml:space="preserve">Chapter 8. Conclusion</w:t>
      </w:r>
    </w:p>
    <w:bookmarkStart w:id="129" w:name="restating-the-question"/>
    <w:p>
      <w:pPr>
        <w:pStyle w:val="Heading2"/>
        <w:spacing w:line="480" w:lineRule="auto"/>
      </w:pPr>
      <w:r>
        <w:t xml:space="preserve">8.1 Restating the Question</w:t>
      </w:r>
    </w:p>
    <w:p>
      <w:pPr>
        <w:pStyle w:val="FirstParagraph"/>
        <w:spacing w:line="480" w:lineRule="auto"/>
      </w:pPr>
      <w:r>
        <w:t xml:space="preserve">This dissertation set out to adjudicate, against observed behavior rather than calibrated theory, whether a refundable financial stake placed at licensing changes the post-mission disposal decision of the marginal satellite operator. The question was posed narrowly and falsifiably: does the probability and the rate of verified end-of-life disposal respond to the presence and the strength of a deposit-refund or performance-bond obligation, once the physical, operational, and regulatory determinants of disposal are held fixed? The narrowness was deliberate. The orbital-debris literature has matured to the point that the existence of a negative externality over a common-pool resource is no longer in dispute, that the optimal corrective price has been characterized in closed form, and that the social value of internalizing the collision-risk externality has been estimated at scale</w:t>
      </w:r>
      <w:r>
        <w:t xml:space="preserve"> </w:t>
      </w:r>
      <w:hyperlink w:anchor="ref-4">
        <w:r>
          <w:rPr>
            <w:rStyle w:val="Hyperlink"/>
          </w:rPr>
          <w:t xml:space="preserve">[4]</w:t>
        </w:r>
      </w:hyperlink>
      <w:r>
        <w:t xml:space="preserve">[11][12]. One thing has been missing. What the policy debate over orbital-use fees and bond-like instruments now demands is an empirical anchor for the operator response every such instrument presumes. Supplying that anchor was the contribution this dissertation was designed to make.</w:t>
      </w:r>
    </w:p>
    <w:p>
      <w:pPr>
        <w:pStyle w:val="BodyText"/>
        <w:spacing w:line="480" w:lineRule="auto"/>
        <w:ind w:firstLine="720"/>
      </w:pPr>
      <w:r>
        <w:t xml:space="preserve">Preceding chapters assembled the conceptual and empirical apparatus required to do so. Chapter 2 located post-mission disposal as the load-bearing behavioral hinge of the established mitigation framework and documented, through the engineering-compliance and regime-tracking literatures, the persistent shortfall between recommended and realized disposal that motivates corrective instruments at all</w:t>
      </w:r>
      <w:r>
        <w:t xml:space="preserve"> </w:t>
      </w:r>
      <w:hyperlink w:anchor="ref-1">
        <w:r>
          <w:rPr>
            <w:rStyle w:val="Hyperlink"/>
          </w:rPr>
          <w:t xml:space="preserve">[1]</w:t>
        </w:r>
      </w:hyperlink>
      <w:r>
        <w:t xml:space="preserve">[5][10]. Chapter 3 reframed the shortfall as a price problem rather than a capability problem, building on the formal treatment of debris generation, accumulation, mitigation, and remediation as an economic process in which private and social marginal costs diverge</w:t>
      </w:r>
      <w:r>
        <w:t xml:space="preserve"> </w:t>
      </w:r>
      <w:hyperlink w:anchor="ref-4">
        <w:r>
          <w:rPr>
            <w:rStyle w:val="Hyperlink"/>
          </w:rPr>
          <w:t xml:space="preserve">[4]</w:t>
        </w:r>
      </w:hyperlink>
      <w:r>
        <w:t xml:space="preserve">, and on the common-pool-resource and carrying-capacity framing that situates low Earth orbit alongside other Ostrom-style commons</w:t>
      </w:r>
      <w:r>
        <w:t xml:space="preserve"> </w:t>
      </w:r>
      <w:hyperlink w:anchor="ref-8">
        <w:r>
          <w:rPr>
            <w:rStyle w:val="Hyperlink"/>
          </w:rPr>
          <w:t xml:space="preserve">[8]</w:t>
        </w:r>
      </w:hyperlink>
      <w:r>
        <w:t xml:space="preserve">. Chapter 4 surveyed the menu of incentive instruments now under active discussion, the Montreal-Protocol analogy and the discourse-network mapping of the emerging socio-technical regime among them</w:t>
      </w:r>
      <w:r>
        <w:t xml:space="preserve"> </w:t>
      </w:r>
      <w:hyperlink w:anchor="ref-3">
        <w:r>
          <w:rPr>
            <w:rStyle w:val="Hyperlink"/>
          </w:rPr>
          <w:t xml:space="preserve">[3]</w:t>
        </w:r>
      </w:hyperlink>
      <w:r>
        <w:t xml:space="preserve">[9], and identified the deposit-refund and performance-bond family as the instrument whose mechanism most directly targets the disposal decision and whose empirical response had not been estimated. Chapters 5 through 7 then carried out the estimation in two complementary modes: a binary-outcome logit analysis on cohort-level compliance and a continuous-time Cox proportional-hazards analysis on the timing of compliant disposal. These two chapters are the empirical core of the contribution.</w:t>
      </w:r>
    </w:p>
    <w:bookmarkEnd w:id="129"/>
    <w:bookmarkStart w:id="130" w:name="synthesis-of-the-empirical-argument"/>
    <w:p>
      <w:pPr>
        <w:pStyle w:val="Heading2"/>
        <w:spacing w:line="480" w:lineRule="auto"/>
      </w:pPr>
      <w:r>
        <w:t xml:space="preserve">8.2 Synthesis of the Empirical Argument</w:t>
      </w:r>
    </w:p>
    <w:p>
      <w:pPr>
        <w:pStyle w:val="FirstParagraph"/>
        <w:spacing w:line="480" w:lineRule="auto"/>
      </w:pPr>
      <w:r>
        <w:t xml:space="preserve">One mechanism, two angles.</w:t>
      </w:r>
    </w:p>
    <w:p>
      <w:pPr>
        <w:pStyle w:val="BodyText"/>
        <w:spacing w:line="480" w:lineRule="auto"/>
        <w:ind w:firstLine="720"/>
      </w:pPr>
      <w:r>
        <w:t xml:space="preserve">The two empirical chapters were designed to interrogate the same underlying mechanism from analytically distinct directions, so that the inference would not rest on a single specification. The logit study asked the binary question policy debate most often poses: does an obligation, once present, raise the odds that an object actually achieves compliant disposal? The hazard study asked the timing question policy economics most often presumes: does an obligation, once present, accelerate the rate at which disposal is realized? The two answers, read together, are the synthesis the dissertation now offers.</w:t>
      </w:r>
    </w:p>
    <w:p>
      <w:pPr>
        <w:pStyle w:val="BodyText"/>
        <w:spacing w:line="480" w:lineRule="auto"/>
        <w:ind w:firstLine="720"/>
      </w:pPr>
      <w:r>
        <w:t xml:space="preserve">A logit analysis on thirty documented cohorts returned a bonded-obligation coefficient of 2.77 on the log-odds scale with a p-value of 0.079, implying an odds ratio of roughly sixteen and a McFadden pseudo-R-squared of 0.54. The point estimate was the largest in the specification, retained its sign and magnitude against the inclusion of active-propulsion, regime, era, and mass-class controls, and was not an artifact of separation because the dataset retained the documented crossover cases in which bonded operators failed and unbonded operators succeeded. The control coefficients carried their expected physical signs without reaching individual significance, the modal pattern in a thirty-observation policy dataset and consistent with the documented engineering and regime-level facts that anchor the analysis</w:t>
      </w:r>
      <w:r>
        <w:t xml:space="preserve"> </w:t>
      </w:r>
      <w:hyperlink w:anchor="ref-1">
        <w:r>
          <w:rPr>
            <w:rStyle w:val="Hyperlink"/>
          </w:rPr>
          <w:t xml:space="preserve">[1]</w:t>
        </w:r>
      </w:hyperlink>
      <w:r>
        <w:t xml:space="preserve">[10][14]. The directional reading is clear: holding the physical capacity to dispose fixed, the presence of a binding disposal obligation predicts realized compliance at a magnitude consistent with the mechanism a deposit-refund instrument would create.</w:t>
      </w:r>
    </w:p>
    <w:p>
      <w:pPr>
        <w:pStyle w:val="BodyText"/>
        <w:spacing w:line="480" w:lineRule="auto"/>
        <w:ind w:firstLine="720"/>
      </w:pPr>
      <w:r>
        <w:t xml:space="preserve">The Cox analysis on thirty-two objects with nineteen observed disposal events returned a financial-assurance coefficient of negative 0.232 with a p-value of 0.676, a hazard ratio statistically indistinguishable from one, and an altitude coefficient of negative 0.0041 per kilometre with a p-value of 0.004 that was the only precisely estimated effect in the specification. Read in isolation, the timing study did not corroborate the acceleration prediction implicit in the bond mechanism. Read in the context the dissertation has built, the null carries a specific and informative content rather than an unconditional rejection. The bonded objects in the available historical record are disproportionately commercial radar and constellation platforms operated at altitudes where natural decay is slow and where many objects remained censored at the observation cutoff, while several unbonded legacy science missions disposed quickly from lower altitudes through assisted or natural decay. The bond indicator is therefore partly confounded with altitude in the only sample that can presently be constructed from public catalog and disposal reporting</w:t>
      </w:r>
      <w:r>
        <w:t xml:space="preserve"> </w:t>
      </w:r>
      <w:hyperlink w:anchor="ref-6">
        <w:r>
          <w:rPr>
            <w:rStyle w:val="Hyperlink"/>
          </w:rPr>
          <w:t xml:space="preserve">[6]</w:t>
        </w:r>
      </w:hyperlink>
      <w:r>
        <w:t xml:space="preserve">[10]. The precisely estimated altitude effect absorbs variation the bond indicator would otherwise have claimed, and the honest reading of the timing analysis is that the present observational record cannot separate the instrument from the orbits its operators occupy. It can, however, show that altitude is the dominant physical gatekeeper of disposal timing, a finding with direct implications for how a bond schedule should be designed.</w:t>
      </w:r>
    </w:p>
    <w:p>
      <w:pPr>
        <w:pStyle w:val="BodyText"/>
        <w:spacing w:line="480" w:lineRule="auto"/>
        <w:ind w:firstLine="720"/>
      </w:pPr>
      <w:r>
        <w:t xml:space="preserve">Read against the questions they answer, the two results are not in conflict. The logit study identifies the presence-of-obligation effect on the binary disposal outcome and finds it large, directional, and robust at the margin of conventional significance. The hazard study identifies the rate-of-disposal effect of a binary obligation indicator within an altitude-confounded sample and finds it indistinguishable from zero while pinning down the altitude effect with precision. The composite empirical claim of the dissertation is therefore narrower and more defensible than either chapter would license alone. It is that the presence of a binding disposal obligation appears to move the disposal outcome, that the magnitude of the obligation cannot yet be separated from the orbits its operators occupy in the available record, and that any instrument fielded against this problem must be graduated by altitude if it is to bind on the operators whose objects pose the longest-lived risk.</w:t>
      </w:r>
    </w:p>
    <w:bookmarkEnd w:id="130"/>
    <w:bookmarkStart w:id="131" w:name="contribution-to-knowledge"/>
    <w:p>
      <w:pPr>
        <w:pStyle w:val="Heading2"/>
        <w:spacing w:line="480" w:lineRule="auto"/>
      </w:pPr>
      <w:r>
        <w:t xml:space="preserve">8.3 Contribution to Knowledge</w:t>
      </w:r>
    </w:p>
    <w:p>
      <w:pPr>
        <w:pStyle w:val="FirstParagraph"/>
        <w:spacing w:line="480" w:lineRule="auto"/>
      </w:pPr>
      <w:r>
        <w:t xml:space="preserve">The contribution to knowledge advanced here is empirical, methodological, and instrumental, and each deserves to be stated in its own terms, because each clears a specific gap left open by prior work.</w:t>
      </w:r>
    </w:p>
    <w:p>
      <w:pPr>
        <w:pStyle w:val="BodyText"/>
        <w:spacing w:line="480" w:lineRule="auto"/>
        <w:ind w:firstLine="720"/>
      </w:pPr>
      <w:r>
        <w:t xml:space="preserve">Empirically, the contribution is the first identification, from observed operator behavior rather than from a calibrated representative-agent simulation, of a directional and quantitatively non-trivial association between a binding disposal obligation and realized post-mission disposal compliance. The economics literature that motivated the dissertation has shown that an internalized externality reorders the orbital economy and that price-type instruments can implement the social optimum in a model where the operator response is assumed</w:t>
      </w:r>
      <w:r>
        <w:t xml:space="preserve"> </w:t>
      </w:r>
      <w:hyperlink w:anchor="ref-4">
        <w:r>
          <w:rPr>
            <w:rStyle w:val="Hyperlink"/>
          </w:rPr>
          <w:t xml:space="preserve">[4]</w:t>
        </w:r>
      </w:hyperlink>
      <w:r>
        <w:t xml:space="preserve">[11][12]. The compliance-assessment literature has documented the persistence of the disposal shortfall and has begun to develop independent methods for verifying behavior in regimes such as geostationary orbit, where capability is not the binding constraint</w:t>
      </w:r>
      <w:r>
        <w:t xml:space="preserve"> </w:t>
      </w:r>
      <w:hyperlink w:anchor="ref-5">
        <w:r>
          <w:rPr>
            <w:rStyle w:val="Hyperlink"/>
          </w:rPr>
          <w:t xml:space="preserve">[5]</w:t>
        </w:r>
      </w:hyperlink>
      <w:r>
        <w:t xml:space="preserve">[16][20]. Neither tradition has, until the chapters reported here, estimated the operator response to a financial obligation against the historical record. The logit estimate of an odds ratio of roughly sixteen at the margin of conventional significance, recovered against documented crossover cases that cut against the hypothesis, is the empirical anchor the orbital-use-fee and bond-instrument debates have lacked. It does not close the question; it converts the question from a theoretical conjecture into an estimated effect with a magnitude, a sign, and a confidence interval, the form in which policy economics must henceforth carry it.</w:t>
      </w:r>
    </w:p>
    <w:p>
      <w:pPr>
        <w:pStyle w:val="BodyText"/>
        <w:spacing w:line="480" w:lineRule="auto"/>
        <w:ind w:firstLine="720"/>
      </w:pPr>
      <w:r>
        <w:t xml:space="preserve">Methodologically, the contribution is the explicit pairing of a binary-outcome model with a continuous-time hazard model on cohort and object data drawn from the same public regulatory and catalog provenance, with the documented confound between the obligation indicator and orbital altitude treated as a finding rather than as a nuisance. The compliance literature has historically reported disposal as a fraction at a regime level or as a per-object outcome under engineering definitions of success</w:t>
      </w:r>
      <w:r>
        <w:t xml:space="preserve"> </w:t>
      </w:r>
      <w:hyperlink w:anchor="ref-1">
        <w:r>
          <w:rPr>
            <w:rStyle w:val="Hyperlink"/>
          </w:rPr>
          <w:t xml:space="preserve">[1]</w:t>
        </w:r>
      </w:hyperlink>
      <w:r>
        <w:t xml:space="preserve">[13][14][15]. The criticality and impact literature has emphasized that the timing of disposal, not merely its eventual occurrence, drives the conjunction environment during the years when an object’s presence matters most</w:t>
      </w:r>
      <w:r>
        <w:t xml:space="preserve"> </w:t>
      </w:r>
      <w:hyperlink w:anchor="ref-15">
        <w:r>
          <w:rPr>
            <w:rStyle w:val="Hyperlink"/>
          </w:rPr>
          <w:t xml:space="preserve">[15]</w:t>
        </w:r>
      </w:hyperlink>
      <w:r>
        <w:t xml:space="preserve">[18][19][29]. The two strands have not been brought together in a single empirical design in which the binary-outcome and timing models share a provenance and interrogate the same instrument. Doing so disciplined the inference in both directions: the timing null kept the logit result from being over-read as an unconditional acceleration claim, and the binary directional finding kept the timing null from being over-read as a rejection of the mechanism. The dissertation argues that this pairing is the minimum empirical standard future tests of orbital-economy instruments should meet.</w:t>
      </w:r>
    </w:p>
    <w:p>
      <w:pPr>
        <w:pStyle w:val="BodyText"/>
        <w:spacing w:line="480" w:lineRule="auto"/>
        <w:ind w:firstLine="720"/>
      </w:pPr>
      <w:r>
        <w:t xml:space="preserve">Instrumentally, the contribution is the operational redirection that follows from reading the two empirical results together. The timing analysis identified altitude as the precisely estimated covariate and identified, in passing, the structural reason a flat bond schedule would underperform: the operators most likely to post bonds at scale are those operating in orbital regimes where natural decay is slowest and where the propellant cost of a controlled deorbit is highest, which is exactly the population a flat instrument would under-incentivize. The dissertation therefore advances, as the design implication of its own findings, an altitude-graduated refund schedule whose refund value rises with the altitude of the operational orbit and with the speed of the disposal event. Such a schedule places the largest financial stake on the margin where the physics resists, the margin at which the instrument must bind if it is to alter the long-lived risk profile of the protected regions</w:t>
      </w:r>
      <w:r>
        <w:t xml:space="preserve"> </w:t>
      </w:r>
      <w:hyperlink w:anchor="ref-7">
        <w:r>
          <w:rPr>
            <w:rStyle w:val="Hyperlink"/>
          </w:rPr>
          <w:t xml:space="preserve">[7]</w:t>
        </w:r>
      </w:hyperlink>
      <w:r>
        <w:t xml:space="preserve">[17][30]. The contribution here is not a fully specified rate card, which a single dissertation could not credibly deliver, but the demonstration that the structure of the instrument must be altitude-graduated and that the empirical case for any flat alternative is now harder to make.</w:t>
      </w:r>
    </w:p>
    <w:bookmarkEnd w:id="131"/>
    <w:bookmarkStart w:id="132" w:name="X76473ce14b24a22b8919c31d08a289768f79c8c"/>
    <w:p>
      <w:pPr>
        <w:pStyle w:val="Heading2"/>
        <w:spacing w:line="480" w:lineRule="auto"/>
      </w:pPr>
      <w:r>
        <w:t xml:space="preserve">8.4 Boundaries of the Claim and the Next Marginal Test</w:t>
      </w:r>
    </w:p>
    <w:p>
      <w:pPr>
        <w:pStyle w:val="FirstParagraph"/>
        <w:spacing w:line="480" w:lineRule="auto"/>
      </w:pPr>
      <w:r>
        <w:t xml:space="preserve">The dissertation is candid about what it does not show. The logit estimate is recovered from thirty cohorts and rests on a commitment proxy rather than on a measured bond amount, so the analysis identifies the presence of an obligation rather than the dose-response relationship between bond size and compliance a fielded instrument would generate. The hazard estimate is recovered from thirty-two objects with nineteen events and cannot, within the available historical record, separate the bond indicator from orbital altitude. The bonded-cohort and post-2015 era indicators are correlated by construction because binding commitments are a recent phenomenon, which limits the resolution at which their individual effects can be read. None of these boundaries is hidden in the empirical chapters, and none of them undermines the directional content of the synthesis above, but each defines the next marginal empirical test the field should now run.</w:t>
      </w:r>
    </w:p>
    <w:p>
      <w:pPr>
        <w:pStyle w:val="BodyText"/>
        <w:spacing w:line="480" w:lineRule="auto"/>
        <w:ind w:firstLine="720"/>
      </w:pPr>
      <w:r>
        <w:t xml:space="preserve">That next marginal test is an object-level dataset in which the bond indicator is replaced with a continuous measure of assured value at stake, in which altitude and mass enter as continuous controls rather than as broad indicators, and in which the baseline hazard is stratified by orbital regime so that the bond effect is estimated within rather than across altitude bands. The provenance for such a dataset is now within reach: the public space-object catalog distributed through Space-Track.org, the European Space Agency annual environment reports and DISCOS-derived disposal statistics, and the published financial-security and disposal-guarantee instruments of national licensing authorities together supply the layers required</w:t>
      </w:r>
      <w:r>
        <w:t xml:space="preserve"> </w:t>
      </w:r>
      <w:hyperlink w:anchor="ref-6">
        <w:r>
          <w:rPr>
            <w:rStyle w:val="Hyperlink"/>
          </w:rPr>
          <w:t xml:space="preserve">[6]</w:t>
        </w:r>
      </w:hyperlink>
      <w:r>
        <w:t xml:space="preserve">[10]. The active-debris-removal market-design literature</w:t>
      </w:r>
      <w:r>
        <w:t xml:space="preserve"> </w:t>
      </w:r>
      <w:hyperlink w:anchor="ref-7">
        <w:r>
          <w:rPr>
            <w:rStyle w:val="Hyperlink"/>
          </w:rPr>
          <w:t xml:space="preserve">[7]</w:t>
        </w:r>
      </w:hyperlink>
      <w:r>
        <w:t xml:space="preserve"> </w:t>
      </w:r>
      <w:r>
        <w:t xml:space="preserve">and the criticality-and-flux assessments of the protected regions</w:t>
      </w:r>
      <w:r>
        <w:t xml:space="preserve"> </w:t>
      </w:r>
      <w:hyperlink w:anchor="ref-18">
        <w:r>
          <w:rPr>
            <w:rStyle w:val="Hyperlink"/>
          </w:rPr>
          <w:t xml:space="preserve">[18]</w:t>
        </w:r>
      </w:hyperlink>
      <w:r>
        <w:t xml:space="preserve">[19][29] supply the welfare and risk weightings against which the recovered elasticity can be evaluated. Carrying out that test on the larger sample is the natural extension of the work reported here, and the design of the test follows directly from the structure the present chapters have left in place.</w:t>
      </w:r>
    </w:p>
    <w:bookmarkEnd w:id="132"/>
    <w:bookmarkStart w:id="133" w:name="closing-statement"/>
    <w:p>
      <w:pPr>
        <w:pStyle w:val="Heading2"/>
        <w:spacing w:line="480" w:lineRule="auto"/>
      </w:pPr>
      <w:r>
        <w:t xml:space="preserve">8.5 Closing Statement</w:t>
      </w:r>
    </w:p>
    <w:p>
      <w:pPr>
        <w:pStyle w:val="FirstParagraph"/>
        <w:spacing w:line="480" w:lineRule="auto"/>
      </w:pPr>
      <w:r>
        <w:t xml:space="preserve">The opening claim of this dissertation was that every orbital-use-fee or bond proposal in the current policy debate implicitly assumes an operator response nobody has ever estimated. The closing claim is simpler. The operator response now has an estimate. It is directional, it is large in magnitude, it is bounded by the sample on which it was recovered, and it is consistent with the mechanism the deposit-refund and performance-bond family of instruments was advanced to exploit. The timing analysis attached to that estimate identified altitude as the dominant physical gatekeeper of disposal and, in doing so, redirected the design of any fieldable instrument toward an altitude-graduated refund. The synthesis is therefore not that a bond will work, nor that a bond will fail, but that the empirical case for moving the marginal operator with a refundable financial stake is now stronger than the case for relying on guideline-based enforcement alone, and that the structure of the instrument that should be fielded is no longer a matter of pure theory. The orbital commons is governed today by soft instruments addressed to operators whose private cost of disposal exceeds their private cost of abandonment</w:t>
      </w:r>
      <w:r>
        <w:t xml:space="preserve"> </w:t>
      </w:r>
      <w:hyperlink w:anchor="ref-1">
        <w:r>
          <w:rPr>
            <w:rStyle w:val="Hyperlink"/>
          </w:rPr>
          <w:t xml:space="preserve">[1]</w:t>
        </w:r>
      </w:hyperlink>
      <w:r>
        <w:t xml:space="preserve">[5][8]. The contribution of this work is to have shown, against the historical record, that a refundable stake placed at licensing is a credible candidate for closing that gap, and to have left, as the next marginal task for the field, the cleaner identification a fielded or simulated instrument would now make possible.</w:t>
      </w:r>
    </w:p>
    <w:bookmarkEnd w:id="133"/>
    <w:bookmarkStart w:id="187" w:name="references"/>
    <w:p>
      <w:pPr>
        <w:pStyle w:val="Heading2"/>
        <w:spacing w:line="480" w:lineRule="auto"/>
      </w:pPr>
      <w:r>
        <w:t xml:space="preserve">References</w:t>
      </w:r>
    </w:p>
    <w:p>
      <w:pPr>
        <w:pStyle w:val="FirstParagraph"/>
        <w:spacing w:line="480" w:lineRule="auto"/>
      </w:pPr>
      <w:bookmarkStart w:id="134" w:name="ref-1"/>
      <w:bookmarkEnd w:id="134"/>
      <w:r>
        <w:t xml:space="preserve">1. R. Walls, D. Gaylor, V. Reddy, R. Furfaro, and M. Jah,</w:t>
      </w:r>
      <w:r>
        <w:t xml:space="preserve"> </w:t>
      </w:r>
      <w:r>
        <w:t xml:space="preserve">“Assessing the IADC Space Debris Mitigation Guidelines: A Case for Ontology-based Data Management,”</w:t>
      </w:r>
      <w:r>
        <w:t xml:space="preserve"> </w:t>
      </w:r>
      <w:r>
        <w:t xml:space="preserve">Proc. Advanced Maui Optical and Space Surveillance Technologies (AMOS) Conference, 2016.</w:t>
      </w:r>
    </w:p>
    <w:p>
      <w:pPr>
        <w:pStyle w:val="BodyText"/>
        <w:spacing w:line="480" w:lineRule="auto"/>
        <w:ind w:firstLine="720"/>
      </w:pPr>
      <w:bookmarkStart w:id="135" w:name="ref-2"/>
      <w:bookmarkEnd w:id="135"/>
      <w:r>
        <w:t xml:space="preserve">2. J. Seong, O. Jung, and D. W. Chung,</w:t>
      </w:r>
      <w:r>
        <w:t xml:space="preserve"> </w:t>
      </w:r>
      <w:r>
        <w:t xml:space="preserve">“KARI Recent Activities on SSA &amp; STM,”</w:t>
      </w:r>
      <w:r>
        <w:t xml:space="preserve"> </w:t>
      </w:r>
      <w:r>
        <w:t xml:space="preserve">Proc. Advanced Maui Optical and Space Surveillance Technologies (AMOS) Conference, 2019.</w:t>
      </w:r>
    </w:p>
    <w:p>
      <w:pPr>
        <w:pStyle w:val="BodyText"/>
        <w:spacing w:line="480" w:lineRule="auto"/>
        <w:ind w:firstLine="720"/>
      </w:pPr>
      <w:bookmarkStart w:id="136" w:name="ref-3"/>
      <w:bookmarkEnd w:id="136"/>
      <w:r>
        <w:t xml:space="preserve">3.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137">
        <w:r>
          <w:rPr>
            <w:rStyle w:val="Hyperlink"/>
          </w:rPr>
          <w:t xml:space="preserve">10.1016/j.actaastro.2023.01.016</w:t>
        </w:r>
      </w:hyperlink>
    </w:p>
    <w:p>
      <w:pPr>
        <w:pStyle w:val="BodyText"/>
        <w:spacing w:line="480" w:lineRule="auto"/>
        <w:ind w:firstLine="720"/>
      </w:pPr>
      <w:bookmarkStart w:id="138" w:name="ref-4"/>
      <w:bookmarkEnd w:id="138"/>
      <w:r>
        <w:t xml:space="preserve">4. N. Adilov, P. J. Alexander, and B. M. Cunningham,</w:t>
      </w:r>
      <w:r>
        <w:t xml:space="preserve"> </w:t>
      </w:r>
      <w:r>
        <w:t xml:space="preserve">“The economics of orbital debris generation, accumulation, mitigation, and remediation,”</w:t>
      </w:r>
      <w:r>
        <w:t xml:space="preserve"> </w:t>
      </w:r>
      <w:r>
        <w:t xml:space="preserve">Journal of Space Safety Engineering, 2020, doi:</w:t>
      </w:r>
      <w:r>
        <w:t xml:space="preserve"> </w:t>
      </w:r>
      <w:hyperlink r:id="rId139">
        <w:r>
          <w:rPr>
            <w:rStyle w:val="Hyperlink"/>
          </w:rPr>
          <w:t xml:space="preserve">10.1016/j.jsse.2020.07.016</w:t>
        </w:r>
      </w:hyperlink>
    </w:p>
    <w:p>
      <w:pPr>
        <w:pStyle w:val="BodyText"/>
        <w:spacing w:line="480" w:lineRule="auto"/>
        <w:ind w:firstLine="720"/>
      </w:pPr>
      <w:bookmarkStart w:id="140" w:name="ref-5"/>
      <w:bookmarkEnd w:id="140"/>
      <w:r>
        <w:t xml:space="preserve">5. Q. Verspieren,</w:t>
      </w:r>
      <w:r>
        <w:t xml:space="preserve"> </w:t>
      </w:r>
      <w:r>
        <w:t xml:space="preserve">“The US Air Force Compliance with the Orbital Debris Mitigation Standard Practices,”</w:t>
      </w:r>
      <w:r>
        <w:t xml:space="preserve"> </w:t>
      </w:r>
      <w:r>
        <w:t xml:space="preserve">Proc. Advanced Maui Optical and Space Surveillance Technologies (AMOS) Conference, 2020.</w:t>
      </w:r>
    </w:p>
    <w:p>
      <w:pPr>
        <w:pStyle w:val="BodyText"/>
        <w:spacing w:line="480" w:lineRule="auto"/>
        <w:ind w:firstLine="720"/>
      </w:pPr>
      <w:bookmarkStart w:id="141" w:name="ref-6"/>
      <w:bookmarkEnd w:id="141"/>
      <w:r>
        <w:t xml:space="preserve">6. L. Ayala Fernández, C. Wiedemann, V. Braun, and S. Lemmens,</w:t>
      </w:r>
      <w:r>
        <w:t xml:space="preserve"> </w:t>
      </w:r>
      <w:r>
        <w:t xml:space="preserve">“Uncertainty in Remaining Orbital Lifetime Estimation After Post-Mission Disposal,”</w:t>
      </w:r>
      <w:r>
        <w:t xml:space="preserve"> </w:t>
      </w:r>
      <w:r>
        <w:t xml:space="preserve">Proc. Advanced Maui Optical and Space Surveillance Technologies (AMOS) Conference, 2023, doi:</w:t>
      </w:r>
      <w:r>
        <w:t xml:space="preserve"> </w:t>
      </w:r>
      <w:hyperlink r:id="rId142">
        <w:r>
          <w:rPr>
            <w:rStyle w:val="Hyperlink"/>
          </w:rPr>
          <w:t xml:space="preserve">10.64861/QKCI9457</w:t>
        </w:r>
      </w:hyperlink>
    </w:p>
    <w:p>
      <w:pPr>
        <w:pStyle w:val="BodyText"/>
        <w:spacing w:line="480" w:lineRule="auto"/>
        <w:ind w:firstLine="720"/>
      </w:pPr>
      <w:bookmarkStart w:id="143" w:name="ref-7"/>
      <w:bookmarkEnd w:id="143"/>
      <w:r>
        <w:t xml:space="preserve">7. N. Simha, S. Servadio, M. Lifson, G. Lavezzi, and R. Linares,</w:t>
      </w:r>
      <w:r>
        <w:t xml:space="preserve"> </w:t>
      </w:r>
      <w:r>
        <w:t xml:space="preserve">“Optimal Active Debris Removal mission planning to inform policy decisions,”</w:t>
      </w:r>
      <w:r>
        <w:t xml:space="preserve"> </w:t>
      </w:r>
      <w:r>
        <w:t xml:space="preserve">Acta Astronautica, vol. 228, 2024, doi:</w:t>
      </w:r>
      <w:r>
        <w:t xml:space="preserve"> </w:t>
      </w:r>
      <w:hyperlink r:id="rId144">
        <w:r>
          <w:rPr>
            <w:rStyle w:val="Hyperlink"/>
          </w:rPr>
          <w:t xml:space="preserve">10.1016/j.actaastro.2024.11.050</w:t>
        </w:r>
      </w:hyperlink>
    </w:p>
    <w:p>
      <w:pPr>
        <w:pStyle w:val="BodyText"/>
        <w:spacing w:line="480" w:lineRule="auto"/>
        <w:ind w:firstLine="720"/>
      </w:pPr>
      <w:bookmarkStart w:id="145" w:name="ref-8"/>
      <w:bookmarkEnd w:id="145"/>
      <w:r>
        <w:t xml:space="preserve">8. N. Dailey, B. Stilwell, et al.,</w:t>
      </w:r>
      <w:r>
        <w:t xml:space="preserve"> </w:t>
      </w:r>
      <w:r>
        <w:t xml:space="preserve">“Integrating Elinor Ostrom’s Common Pool Resource Framework, the Kobe Plot Methodology, and the OPUS Model: An Integrated Research Design for Orbital Debris Management,”</w:t>
      </w:r>
      <w:r>
        <w:t xml:space="preserve"> </w:t>
      </w:r>
      <w:r>
        <w:t xml:space="preserve">IRD Project Research Designs V2.0 (working paper), Sept. 2024.</w:t>
      </w:r>
    </w:p>
    <w:p>
      <w:pPr>
        <w:pStyle w:val="BodyText"/>
        <w:spacing w:line="480" w:lineRule="auto"/>
        <w:ind w:firstLine="720"/>
      </w:pPr>
      <w:bookmarkStart w:id="146" w:name="ref-9"/>
      <w:bookmarkEnd w:id="146"/>
      <w:r>
        <w:t xml:space="preserve">9. R. Zhang and A. Balakrishnan,</w:t>
      </w:r>
      <w:r>
        <w:t xml:space="preserve"> </w:t>
      </w:r>
      <w:r>
        <w:t xml:space="preserve">“From Ozone Depletion to Orbital Debris: Lessons Learned from the Montreal Protocol,”</w:t>
      </w:r>
      <w:r>
        <w:t xml:space="preserve"> </w:t>
      </w:r>
      <w:r>
        <w:t xml:space="preserve">Proc. Advanced Maui Optical and Space Surveillance Technologies (AMOS) Conference, 2022.</w:t>
      </w:r>
    </w:p>
    <w:p>
      <w:pPr>
        <w:pStyle w:val="BodyText"/>
        <w:spacing w:line="480" w:lineRule="auto"/>
        <w:ind w:firstLine="720"/>
      </w:pPr>
      <w:bookmarkStart w:id="147" w:name="ref-10"/>
      <w:bookmarkEnd w:id="147"/>
      <w:r>
        <w:t xml:space="preserve">10. European Space Agency, ESA Space Environment Report 2024, ESA Space Debris Office, Darmstadt, 2024. https://www.sdo.esoc.esa.int/environment_report/Space_Environment_Report_latest.pdf</w:t>
      </w:r>
    </w:p>
    <w:p>
      <w:pPr>
        <w:pStyle w:val="BodyText"/>
        <w:spacing w:line="480" w:lineRule="auto"/>
        <w:ind w:firstLine="720"/>
      </w:pPr>
      <w:bookmarkStart w:id="148" w:name="ref-11"/>
      <w:bookmarkEnd w:id="148"/>
      <w:r>
        <w:t xml:space="preserve">11. S. Rouillon,</w:t>
      </w:r>
      <w:r>
        <w:t xml:space="preserve"> </w:t>
      </w:r>
      <w:r>
        <w:t xml:space="preserve">“A physico-economic model of low Earth orbit management,”</w:t>
      </w:r>
      <w:r>
        <w:t xml:space="preserve"> </w:t>
      </w:r>
      <w:r>
        <w:t xml:space="preserve">Environmental and Resource Economics, 2020. doi:</w:t>
      </w:r>
      <w:r>
        <w:t xml:space="preserve"> </w:t>
      </w:r>
      <w:hyperlink r:id="rId149">
        <w:r>
          <w:rPr>
            <w:rStyle w:val="Hyperlink"/>
          </w:rPr>
          <w:t xml:space="preserve">10.1007/s10640-020-00515-z</w:t>
        </w:r>
      </w:hyperlink>
    </w:p>
    <w:p>
      <w:pPr>
        <w:pStyle w:val="BodyText"/>
        <w:spacing w:line="480" w:lineRule="auto"/>
        <w:ind w:firstLine="720"/>
      </w:pPr>
      <w:bookmarkStart w:id="150" w:name="ref-12"/>
      <w:bookmarkEnd w:id="150"/>
      <w:r>
        <w:t xml:space="preserve">12. A. Rao, M. G. Burgess, and D. Kaffine,</w:t>
      </w:r>
      <w:r>
        <w:t xml:space="preserve"> </w:t>
      </w:r>
      <w:r>
        <w:t xml:space="preserve">“Orbital-use fees could more than quadruple the value of the space industry,”</w:t>
      </w:r>
      <w:r>
        <w:t xml:space="preserve"> </w:t>
      </w:r>
      <w:r>
        <w:t xml:space="preserve">Proceedings of the National Academy of Sciences, 2020. doi:</w:t>
      </w:r>
      <w:r>
        <w:t xml:space="preserve"> </w:t>
      </w:r>
      <w:hyperlink r:id="rId151">
        <w:r>
          <w:rPr>
            <w:rStyle w:val="Hyperlink"/>
          </w:rPr>
          <w:t xml:space="preserve">10.1073/pnas.1921260117</w:t>
        </w:r>
      </w:hyperlink>
    </w:p>
    <w:p>
      <w:pPr>
        <w:pStyle w:val="BodyText"/>
        <w:spacing w:line="480" w:lineRule="auto"/>
        <w:ind w:firstLine="720"/>
      </w:pPr>
      <w:bookmarkStart w:id="152" w:name="ref-13"/>
      <w:bookmarkEnd w:id="152"/>
      <w:r>
        <w:t xml:space="preserve">13. L. Anselmo and C. Pardini,</w:t>
      </w:r>
      <w:r>
        <w:t xml:space="preserve"> </w:t>
      </w:r>
      <w:r>
        <w:t xml:space="preserve">“End-of-life disposal of geostationary satellites,”</w:t>
      </w:r>
      <w:r>
        <w:t xml:space="preserve"> </w:t>
      </w:r>
      <w:r>
        <w:t xml:space="preserve">Proceedings of the 4th European Conference on Space Debris, ESA, SDC4-paper71, 2005. https://conference.sdo.esoc.esa.int/proceedings/sdc4/paper/71/SDC4-paper71.pdf</w:t>
      </w:r>
    </w:p>
    <w:p>
      <w:pPr>
        <w:pStyle w:val="BodyText"/>
        <w:spacing w:line="480" w:lineRule="auto"/>
        <w:ind w:firstLine="720"/>
      </w:pPr>
      <w:bookmarkStart w:id="153" w:name="ref-14"/>
      <w:bookmarkEnd w:id="153"/>
      <w:r>
        <w:t xml:space="preserve">14. C. Pardini and L. Anselmo,</w:t>
      </w:r>
      <w:r>
        <w:t xml:space="preserve"> </w:t>
      </w:r>
      <w:r>
        <w:t xml:space="preserve">“Compliance of the Italian satellites in low Earth orbit with the end-of-life disposal guidelines for space debris mitigation and ranking of their long-term criticality for the environment,”</w:t>
      </w:r>
      <w:r>
        <w:t xml:space="preserve"> </w:t>
      </w:r>
      <w:r>
        <w:t xml:space="preserve">Acta Astronautica, 2015. doi:</w:t>
      </w:r>
      <w:r>
        <w:t xml:space="preserve"> </w:t>
      </w:r>
      <w:hyperlink r:id="rId154">
        <w:r>
          <w:rPr>
            <w:rStyle w:val="Hyperlink"/>
          </w:rPr>
          <w:t xml:space="preserve">10.1016/j.actaastro.2015.05.001</w:t>
        </w:r>
      </w:hyperlink>
    </w:p>
    <w:p>
      <w:pPr>
        <w:pStyle w:val="BodyText"/>
        <w:spacing w:line="480" w:lineRule="auto"/>
        <w:ind w:firstLine="720"/>
      </w:pPr>
      <w:bookmarkStart w:id="155" w:name="ref-15"/>
      <w:bookmarkEnd w:id="155"/>
      <w:r>
        <w:t xml:space="preserve">15. C. Pardini and L. Anselmo,</w:t>
      </w:r>
      <w:r>
        <w:t xml:space="preserve"> </w:t>
      </w:r>
      <w:r>
        <w:t xml:space="preserve">“Evaluating the impact of space activities in low earth orbit,”</w:t>
      </w:r>
      <w:r>
        <w:t xml:space="preserve"> </w:t>
      </w:r>
      <w:r>
        <w:rPr>
          <w:i/>
          <w:iCs/>
        </w:rPr>
        <w:t xml:space="preserve">Acta Astronautica</w:t>
      </w:r>
      <w:r>
        <w:t xml:space="preserve">, vol. 184, 2021. doi:</w:t>
      </w:r>
      <w:r>
        <w:t xml:space="preserve"> </w:t>
      </w:r>
      <w:hyperlink r:id="rId156">
        <w:r>
          <w:rPr>
            <w:rStyle w:val="Hyperlink"/>
          </w:rPr>
          <w:t xml:space="preserve">10.1016/j.actaastro.2021.03.030</w:t>
        </w:r>
      </w:hyperlink>
    </w:p>
    <w:p>
      <w:pPr>
        <w:pStyle w:val="BodyText"/>
        <w:spacing w:line="480" w:lineRule="auto"/>
        <w:ind w:firstLine="720"/>
      </w:pPr>
      <w:bookmarkStart w:id="157" w:name="ref-16"/>
      <w:bookmarkEnd w:id="157"/>
      <w:r>
        <w:t xml:space="preserve">16. A. T. Karra and M. Jah,</w:t>
      </w:r>
      <w:r>
        <w:t xml:space="preserve"> </w:t>
      </w:r>
      <w:r>
        <w:t xml:space="preserve">“Towards Greater Transparency: An Independent Method for Assessing Harmful Interference and Compliance in GEO,”</w:t>
      </w:r>
      <w:r>
        <w:t xml:space="preserve"> </w:t>
      </w:r>
      <w:r>
        <w:t xml:space="preserve">in</w:t>
      </w:r>
      <w:r>
        <w:t xml:space="preserve"> </w:t>
      </w:r>
      <w:r>
        <w:rPr>
          <w:i/>
          <w:iCs/>
        </w:rPr>
        <w:t xml:space="preserve">Proc. Advanced Maui Optical and Space Surveillance Technologies (AMOS) Conference</w:t>
      </w:r>
      <w:r>
        <w:t xml:space="preserve">, 2025.</w:t>
      </w:r>
    </w:p>
    <w:p>
      <w:pPr>
        <w:pStyle w:val="BodyText"/>
        <w:spacing w:line="480" w:lineRule="auto"/>
        <w:ind w:firstLine="720"/>
      </w:pPr>
      <w:bookmarkStart w:id="158" w:name="ref-17"/>
      <w:bookmarkEnd w:id="158"/>
      <w:r>
        <w:t xml:space="preserve">17. I. Pontijas Fuentes, D. Bonetti, F. Letterio, et al.,</w:t>
      </w:r>
      <w:r>
        <w:t xml:space="preserve"> </w:t>
      </w:r>
      <w:r>
        <w:t xml:space="preserve">“Upgrade of ESA’s Debris Risk Assessment and Mitigation Analysis (DRAMA) tool: Spacecraft Entry Survival Analysis Module,”</w:t>
      </w:r>
      <w:r>
        <w:t xml:space="preserve"> </w:t>
      </w:r>
      <w:r>
        <w:rPr>
          <w:i/>
          <w:iCs/>
        </w:rPr>
        <w:t xml:space="preserve">Acta Astronautica</w:t>
      </w:r>
      <w:r>
        <w:t xml:space="preserve">, vol. 158, 2017. doi:</w:t>
      </w:r>
      <w:r>
        <w:t xml:space="preserve"> </w:t>
      </w:r>
      <w:hyperlink r:id="rId159">
        <w:r>
          <w:rPr>
            <w:rStyle w:val="Hyperlink"/>
          </w:rPr>
          <w:t xml:space="preserve">10.1016/j.actaastro.2017.12.001</w:t>
        </w:r>
      </w:hyperlink>
    </w:p>
    <w:p>
      <w:pPr>
        <w:pStyle w:val="BodyText"/>
        <w:spacing w:line="480" w:lineRule="auto"/>
        <w:ind w:firstLine="720"/>
      </w:pPr>
      <w:bookmarkStart w:id="160" w:name="ref-18"/>
      <w:bookmarkEnd w:id="160"/>
      <w:r>
        <w:t xml:space="preserve">18. C. Pardini and L. Anselmo,</w:t>
      </w:r>
      <w:r>
        <w:t xml:space="preserve"> </w:t>
      </w:r>
      <w:r>
        <w:t xml:space="preserve">“Using the space debris flux to assess the criticality of the environment in low Earth orbit,”</w:t>
      </w:r>
      <w:r>
        <w:t xml:space="preserve"> </w:t>
      </w:r>
      <w:r>
        <w:rPr>
          <w:i/>
          <w:iCs/>
        </w:rPr>
        <w:t xml:space="preserve">Acta Astronautica</w:t>
      </w:r>
      <w:r>
        <w:t xml:space="preserve">, vol. 198, 2022. doi:</w:t>
      </w:r>
      <w:r>
        <w:t xml:space="preserve"> </w:t>
      </w:r>
      <w:hyperlink r:id="rId161">
        <w:r>
          <w:rPr>
            <w:rStyle w:val="Hyperlink"/>
          </w:rPr>
          <w:t xml:space="preserve">10.1016/j.actaastro.2022.05.045</w:t>
        </w:r>
      </w:hyperlink>
    </w:p>
    <w:p>
      <w:pPr>
        <w:pStyle w:val="BodyText"/>
        <w:spacing w:line="480" w:lineRule="auto"/>
        <w:ind w:firstLine="720"/>
      </w:pPr>
      <w:bookmarkStart w:id="162" w:name="ref-19"/>
      <w:bookmarkEnd w:id="162"/>
      <w:r>
        <w:t xml:space="preserve">19. L. Bottcher and S. Silvestri,</w:t>
      </w:r>
      <w:r>
        <w:t xml:space="preserve"> </w:t>
      </w:r>
      <w:r>
        <w:t xml:space="preserve">“Multi-perspective analysis of sustainability metrics characterising the debris environment,”</w:t>
      </w:r>
      <w:r>
        <w:t xml:space="preserve"> </w:t>
      </w:r>
      <w:r>
        <w:rPr>
          <w:i/>
          <w:iCs/>
        </w:rPr>
        <w:t xml:space="preserve">Acta Astronautica</w:t>
      </w:r>
      <w:r>
        <w:t xml:space="preserve">, vol. 219, 2024. doi:</w:t>
      </w:r>
      <w:r>
        <w:t xml:space="preserve"> </w:t>
      </w:r>
      <w:hyperlink r:id="rId163">
        <w:r>
          <w:rPr>
            <w:rStyle w:val="Hyperlink"/>
          </w:rPr>
          <w:t xml:space="preserve">10.1016/j.actaastro.2024.03.002</w:t>
        </w:r>
      </w:hyperlink>
    </w:p>
    <w:p>
      <w:pPr>
        <w:pStyle w:val="BodyText"/>
        <w:spacing w:line="480" w:lineRule="auto"/>
        <w:ind w:firstLine="720"/>
      </w:pPr>
      <w:bookmarkStart w:id="164" w:name="ref-20"/>
      <w:bookmarkEnd w:id="164"/>
      <w:r>
        <w:t xml:space="preserve">20. Apoorva T Karra, The University of Texas at Austin; Moriba Jah, The University of Texas at Austin. Towards Greater Transparency: An Independent Method for Assessing Harmful Interference and Compliance in GEO (2025). doi:</w:t>
      </w:r>
      <w:r>
        <w:t xml:space="preserve"> </w:t>
      </w:r>
      <w:hyperlink r:id="rId165">
        <w:r>
          <w:rPr>
            <w:rStyle w:val="Hyperlink"/>
          </w:rPr>
          <w:t xml:space="preserve">10.64861/WFHJ7307</w:t>
        </w:r>
      </w:hyperlink>
    </w:p>
    <w:p>
      <w:pPr>
        <w:pStyle w:val="BodyText"/>
        <w:spacing w:line="480" w:lineRule="auto"/>
        <w:ind w:firstLine="720"/>
      </w:pPr>
      <w:bookmarkStart w:id="166" w:name="ref-21"/>
      <w:bookmarkEnd w:id="166"/>
      <w:r>
        <w:t xml:space="preserve">21. Leonid Beresnev (U.S. Army Research Laboratory), Mikhail Vorontsov (U.S. Army Research Laboratory), Peter Wangsness (Wangsness Optics). “Pocket” Deformable Mirror for an Integrated On-Mirror Adaptive System (2006).</w:t>
      </w:r>
    </w:p>
    <w:p>
      <w:pPr>
        <w:pStyle w:val="BodyText"/>
        <w:spacing w:line="480" w:lineRule="auto"/>
        <w:ind w:firstLine="720"/>
      </w:pPr>
      <w:bookmarkStart w:id="167" w:name="ref-22"/>
      <w:bookmarkEnd w:id="167"/>
      <w:r>
        <w:t xml:space="preserve">22. Jason Forshaw, Astroscale; Ron Lopez, Astroscale; Akira Okamoto, Astroscale; Chris Blackerby, Astroscale; Nobu Okada, Astroscale. The ELSA-d End-of-life Debris Removal Mission: Mission Design, In-flight Safety, and Preparations for Launch (2019).</w:t>
      </w:r>
    </w:p>
    <w:p>
      <w:pPr>
        <w:pStyle w:val="BodyText"/>
        <w:spacing w:line="480" w:lineRule="auto"/>
        <w:ind w:firstLine="720"/>
      </w:pPr>
      <w:bookmarkStart w:id="168" w:name="ref-23"/>
      <w:bookmarkEnd w:id="168"/>
      <w:r>
        <w:t xml:space="preserve">23. Quentin Verspieren, The University of Tokyo. The US Air Force Compliance with the Orbital Debris Mitigation Standard Practices (2020).</w:t>
      </w:r>
    </w:p>
    <w:p>
      <w:pPr>
        <w:pStyle w:val="BodyText"/>
        <w:spacing w:line="480" w:lineRule="auto"/>
        <w:ind w:firstLine="720"/>
      </w:pPr>
      <w:bookmarkStart w:id="169" w:name="ref-24"/>
      <w:bookmarkEnd w:id="169"/>
      <w:r>
        <w:t xml:space="preserve">24. Miles Bengtson, University of Colorado Boulder; Jordan Maxwell, University of Colorado Boulder; Ryan Hoffmann, Air Force Research Labratory; Russell Cooper, Air Force Research Laboratory; Stephanie Schieffer, Air Force Research Laboratory; Dale Ferguson, Air Force Research Laboratory; W. Robert Johnston, Air Force Research Laboratory; Heather Cowardin, Jacobs, NASA Johnson Space Center; Elena Plis, Assurance Technology Corp; Daniel Engelhart, Assurance Technology Corp. Optical Characterization of Commonly Used Thermal Control Paints in a Simulated GEO Environment (2018).</w:t>
      </w:r>
    </w:p>
    <w:p>
      <w:pPr>
        <w:pStyle w:val="BodyText"/>
        <w:spacing w:line="480" w:lineRule="auto"/>
        <w:ind w:firstLine="720"/>
      </w:pPr>
      <w:bookmarkStart w:id="170" w:name="ref-25"/>
      <w:bookmarkEnd w:id="170"/>
      <w:r>
        <w:t xml:space="preserve">25. Oswald Siegmund, University of California; John Vallerga, University of California; Jason McPhate, University of California; Travis Curtis, University of California; Nate Darling, University of California; Camden Ertley, Incom Inc.; Till Cremer, Incom Inc.; Alexey Lyashenko, Incom Inc.; Michael Minot, Incom Inc.; Gary Varner, University of Hawaii. Large Format Cross Strip Readout Image Sensors for High Temporal Resolution Astronomy and Remote Sensing (2019).</w:t>
      </w:r>
    </w:p>
    <w:p>
      <w:pPr>
        <w:pStyle w:val="BodyText"/>
        <w:spacing w:line="480" w:lineRule="auto"/>
        <w:ind w:firstLine="720"/>
      </w:pPr>
      <w:bookmarkStart w:id="171" w:name="ref-26"/>
      <w:bookmarkEnd w:id="171"/>
      <w:r>
        <w:t xml:space="preserve">26. Jose Pedro Ferreira, University of Southern California; Joseph Wang, University of Southern California; Ken-ichi Nomura, University of Southern California. Preliminary Assessment of the Environmental Impact of Space Debris Demise During Atmospheric Reentry (2023). doi:</w:t>
      </w:r>
      <w:r>
        <w:t xml:space="preserve"> </w:t>
      </w:r>
      <w:hyperlink r:id="rId172">
        <w:r>
          <w:rPr>
            <w:rStyle w:val="Hyperlink"/>
          </w:rPr>
          <w:t xml:space="preserve">10.64861/DXLD8507</w:t>
        </w:r>
      </w:hyperlink>
    </w:p>
    <w:p>
      <w:pPr>
        <w:pStyle w:val="BodyText"/>
        <w:spacing w:line="480" w:lineRule="auto"/>
        <w:ind w:firstLine="720"/>
      </w:pPr>
      <w:bookmarkStart w:id="173" w:name="ref-27"/>
      <w:bookmarkEnd w:id="173"/>
      <w:r>
        <w:t xml:space="preserve">27. Michael Minot, Incom Inc., Bernhard W. Adams, Incom Inc., Melvin Aviles, Incom Inc, Justin L. Bond, Incom Inc, Christopher A. Craven, Incom Inc., Till Cremer, Incom Inc., Michael R. Foley, Incom Inc., Alexey Lyashenko, Incom Inc., Mark A. Popecki, Incom Inc., Michael E. Stochaj, Incom Inc., William A. Worstell, Incom Inc., Jeffrey W. Elam, Argonne National Laboratory, Anil U. Mane, Argonne National Laboratory, Oswald H. W. Siegmund, University of California, Berkeley, Camden Ertley, University of California, Berkeley.. Pilot Production of Large Area Microchannel Plates and Picosecond Photodetectors (2016).</w:t>
      </w:r>
    </w:p>
    <w:p>
      <w:pPr>
        <w:pStyle w:val="BodyText"/>
        <w:spacing w:line="480" w:lineRule="auto"/>
        <w:ind w:firstLine="720"/>
      </w:pPr>
      <w:bookmarkStart w:id="174" w:name="ref-28"/>
      <w:bookmarkEnd w:id="174"/>
      <w:r>
        <w:t xml:space="preserve">28. Carmen Pardini; Luciano Anselmo. Using the space debris flux to assess the criticality of the environment in low Earth orbit (2022). doi:</w:t>
      </w:r>
      <w:r>
        <w:t xml:space="preserve"> </w:t>
      </w:r>
      <w:hyperlink r:id="rId161">
        <w:r>
          <w:rPr>
            <w:rStyle w:val="Hyperlink"/>
          </w:rPr>
          <w:t xml:space="preserve">10.1016/j.actaastro.2022.05.045</w:t>
        </w:r>
      </w:hyperlink>
    </w:p>
    <w:p>
      <w:pPr>
        <w:pStyle w:val="BodyText"/>
        <w:spacing w:line="480" w:lineRule="auto"/>
        <w:ind w:firstLine="720"/>
      </w:pPr>
      <w:bookmarkStart w:id="175" w:name="ref-29"/>
      <w:bookmarkEnd w:id="175"/>
      <w:r>
        <w:t xml:space="preserve">29. Carmen Pardini; Luciano Anselmo. Evaluating the impact of space activities in low earth orbit (2021). doi:</w:t>
      </w:r>
      <w:r>
        <w:t xml:space="preserve"> </w:t>
      </w:r>
      <w:hyperlink r:id="rId156">
        <w:r>
          <w:rPr>
            <w:rStyle w:val="Hyperlink"/>
          </w:rPr>
          <w:t xml:space="preserve">10.1016/j.actaastro.2021.03.030</w:t>
        </w:r>
      </w:hyperlink>
    </w:p>
    <w:p>
      <w:pPr>
        <w:pStyle w:val="BodyText"/>
        <w:spacing w:line="480" w:lineRule="auto"/>
        <w:ind w:firstLine="720"/>
      </w:pPr>
      <w:bookmarkStart w:id="176" w:name="ref-30"/>
      <w:bookmarkEnd w:id="176"/>
      <w:r>
        <w:t xml:space="preserve">30. Irene Pontijas Fuentes; Davide Bonetti; Federico Letterio; G. Vicario de Miguel; Gonzalo Blanco Arnao; Pedro Palomo; Cristina Parigini; Stijn Lemmens; T. Lips; R. Kanzler. Upgrade of ESA’s Debris Risk Assessment and Mitigation Analysis (DRAMA) tool: Spacecraft Entry Survival Analysis Module (2017). doi:</w:t>
      </w:r>
      <w:r>
        <w:t xml:space="preserve"> </w:t>
      </w:r>
      <w:hyperlink r:id="rId159">
        <w:r>
          <w:rPr>
            <w:rStyle w:val="Hyperlink"/>
          </w:rPr>
          <w:t xml:space="preserve">10.1016/j.actaastro.2017.12.001</w:t>
        </w:r>
      </w:hyperlink>
    </w:p>
    <w:p>
      <w:pPr>
        <w:pStyle w:val="BodyText"/>
        <w:spacing w:line="480" w:lineRule="auto"/>
        <w:ind w:firstLine="720"/>
      </w:pPr>
      <w:bookmarkStart w:id="177" w:name="ref-31"/>
      <w:bookmarkEnd w:id="177"/>
      <w:r>
        <w:t xml:space="preserve">31. Brenton Smith; Christopher Capon; Melrose Brown; Russell Boyce. Ionospheric drag for accelerated deorbit from upper low earth orbit (2020). doi:</w:t>
      </w:r>
      <w:r>
        <w:t xml:space="preserve"> </w:t>
      </w:r>
      <w:hyperlink r:id="rId178">
        <w:r>
          <w:rPr>
            <w:rStyle w:val="Hyperlink"/>
          </w:rPr>
          <w:t xml:space="preserve">10.1016/j.actaastro.2020.07.007</w:t>
        </w:r>
      </w:hyperlink>
    </w:p>
    <w:p>
      <w:pPr>
        <w:pStyle w:val="BodyText"/>
        <w:spacing w:line="480" w:lineRule="auto"/>
        <w:ind w:firstLine="720"/>
      </w:pPr>
      <w:bookmarkStart w:id="179" w:name="ref-32"/>
      <w:bookmarkEnd w:id="179"/>
      <w:r>
        <w:t xml:space="preserve">32. Thasshwin Mathanlal; Miracle Israel Nazarious; Abhilash Vakkada Ramachandran; María‐Paz Zorzano; Javier Martín‐Torres; Petra Rettberg. Implementing bioburden reduction and control on the deliquescent hydrogel of the HABIT/ExoMars 2022 instrument (2020). doi:</w:t>
      </w:r>
      <w:r>
        <w:t xml:space="preserve"> </w:t>
      </w:r>
      <w:hyperlink r:id="rId180">
        <w:r>
          <w:rPr>
            <w:rStyle w:val="Hyperlink"/>
          </w:rPr>
          <w:t xml:space="preserve">10.1016/j.actaastro.2020.04.030</w:t>
        </w:r>
      </w:hyperlink>
    </w:p>
    <w:p>
      <w:pPr>
        <w:pStyle w:val="BodyText"/>
        <w:spacing w:line="480" w:lineRule="auto"/>
        <w:ind w:firstLine="720"/>
      </w:pPr>
      <w:bookmarkStart w:id="181" w:name="ref-33"/>
      <w:bookmarkEnd w:id="181"/>
      <w:r>
        <w:t xml:space="preserve">33. Chengwei Bao; Yanen Wang; Garth Pearce; Pan Zhao; Minyan Liu; Ray Tahir Mushtaq. 3D printing of regolith-based epoxy composites with excellent temperature resistance and mechanical strength (2025). doi:</w:t>
      </w:r>
      <w:r>
        <w:t xml:space="preserve"> </w:t>
      </w:r>
      <w:hyperlink r:id="rId182">
        <w:r>
          <w:rPr>
            <w:rStyle w:val="Hyperlink"/>
          </w:rPr>
          <w:t xml:space="preserve">10.1016/j.actaastro.2025.02.001</w:t>
        </w:r>
      </w:hyperlink>
    </w:p>
    <w:p>
      <w:pPr>
        <w:pStyle w:val="BodyText"/>
        <w:spacing w:line="480" w:lineRule="auto"/>
        <w:ind w:firstLine="720"/>
      </w:pPr>
      <w:bookmarkStart w:id="183" w:name="ref-34"/>
      <w:bookmarkEnd w:id="183"/>
      <w:r>
        <w:t xml:space="preserve">34. Md Tusher Mollah; Berin Šeta; Jon Spangenberg. A virtual 3D printing framework for off-Earth construction (2026). doi:</w:t>
      </w:r>
      <w:r>
        <w:t xml:space="preserve"> </w:t>
      </w:r>
      <w:hyperlink r:id="rId184">
        <w:r>
          <w:rPr>
            <w:rStyle w:val="Hyperlink"/>
          </w:rPr>
          <w:t xml:space="preserve">10.1016/j.actaastro.2026.02.001</w:t>
        </w:r>
      </w:hyperlink>
    </w:p>
    <w:p>
      <w:pPr>
        <w:pStyle w:val="BodyText"/>
        <w:spacing w:line="480" w:lineRule="auto"/>
        <w:ind w:firstLine="720"/>
      </w:pPr>
      <w:bookmarkStart w:id="185" w:name="ref-35"/>
      <w:bookmarkEnd w:id="185"/>
      <w:r>
        <w:t xml:space="preserve">35. Angela Huang; Zheng Zhu. An experimental investigation of microgravity conditions on FDM-based in-space polymer additive manufacturing (2024). doi:</w:t>
      </w:r>
      <w:r>
        <w:t xml:space="preserve"> </w:t>
      </w:r>
      <w:hyperlink r:id="rId186">
        <w:r>
          <w:rPr>
            <w:rStyle w:val="Hyperlink"/>
          </w:rPr>
          <w:t xml:space="preserve">10.1016/j.actaastro.2024.12.052</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6a83389d5a1b8c93c1f53b307a915e2e6a2014b"/>
    <w:p>
      <w:pPr>
        <w:pStyle w:val="Heading2"/>
        <w:spacing w:line="480" w:lineRule="auto"/>
      </w:pPr>
      <w:r>
        <w:t xml:space="preserve">A.1 Does a Bonded Disposal Obligation Predict End-of-Life Compliance? A Logit Analysis of Post-Mission Disposal Outcomes Across Orbital Regimes</w:t>
      </w:r>
    </w:p>
    <w:p>
      <w:pPr>
        <w:pStyle w:val="FirstParagraph"/>
        <w:spacing w:line="480" w:lineRule="auto"/>
      </w:pPr>
      <m:oMathPara>
        <m:oMathParaPr>
          <m:jc m:val="center"/>
        </m:oMathParaPr>
        <m:oMath>
          <m:r>
            <m:rPr>
              <m:sty m:val="p"/>
            </m:rPr>
            <m:t>Pr</m:t>
          </m:r>
          <m:r>
            <m:rPr>
              <m:sty m:val="p"/>
            </m:rPr>
            <m:t>(</m:t>
          </m:r>
          <m:sSub>
            <m:e>
              <m:r>
                <m:rPr>
                  <m:nor/>
                  <m:sty m:val="p"/>
                </m:rPr>
                <m:t>compliant</m:t>
              </m:r>
            </m:e>
            <m:sub>
              <m:r>
                <m:t>i</m:t>
              </m:r>
            </m:sub>
          </m:sSub>
          <m:r>
            <m:rPr>
              <m:sty m:val="p"/>
            </m:rPr>
            <m:t>=</m:t>
          </m:r>
          <m:r>
            <m:t>1</m:t>
          </m:r>
          <m:r>
            <m:rPr>
              <m:sty m:val="p"/>
            </m:rPr>
            <m:t>∣</m:t>
          </m:r>
          <m:sSub>
            <m:e>
              <m:r>
                <m:rPr>
                  <m:sty m:val="b"/>
                </m:rP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bonded</m:t>
                  </m:r>
                </m:e>
                <m:sub>
                  <m:r>
                    <m:t>i</m:t>
                  </m:r>
                </m:sub>
              </m:sSub>
              <m:r>
                <m:rPr>
                  <m:sty m:val="p"/>
                </m:rPr>
                <m:t>+</m:t>
              </m:r>
              <m:sSub>
                <m:e>
                  <m:r>
                    <m:t>β</m:t>
                  </m:r>
                </m:e>
                <m:sub>
                  <m:r>
                    <m:t>2</m:t>
                  </m:r>
                </m:sub>
              </m:sSub>
              <m:sSub>
                <m:e>
                  <m:r>
                    <m:rPr>
                      <m:nor/>
                      <m:sty m:val="p"/>
                    </m:rPr>
                    <m:t>prop</m:t>
                  </m:r>
                </m:e>
                <m:sub>
                  <m:r>
                    <m:t>i</m:t>
                  </m:r>
                </m:sub>
              </m:sSub>
              <m:r>
                <m:rPr>
                  <m:sty m:val="p"/>
                </m:rPr>
                <m:t>+</m:t>
              </m:r>
              <m:sSub>
                <m:e>
                  <m:r>
                    <m:t>β</m:t>
                  </m:r>
                </m:e>
                <m:sub>
                  <m:r>
                    <m:t>3</m:t>
                  </m:r>
                </m:sub>
              </m:sSub>
              <m:sSub>
                <m:e>
                  <m:r>
                    <m:rPr>
                      <m:nor/>
                      <m:sty m:val="p"/>
                    </m:rPr>
                    <m:t>geo</m:t>
                  </m:r>
                </m:e>
                <m:sub>
                  <m:r>
                    <m:t>i</m:t>
                  </m:r>
                </m:sub>
              </m:sSub>
              <m:r>
                <m:rPr>
                  <m:sty m:val="p"/>
                </m:rPr>
                <m:t>+</m:t>
              </m:r>
              <m:sSub>
                <m:e>
                  <m:r>
                    <m:t>β</m:t>
                  </m:r>
                </m:e>
                <m:sub>
                  <m:r>
                    <m:t>4</m:t>
                  </m:r>
                </m:sub>
              </m:sSub>
              <m:sSub>
                <m:e>
                  <m:r>
                    <m:rPr>
                      <m:nor/>
                      <m:sty m:val="p"/>
                    </m:rPr>
                    <m:t>era</m:t>
                  </m:r>
                </m:e>
                <m:sub>
                  <m:r>
                    <m:t>i</m:t>
                  </m:r>
                </m:sub>
              </m:sSub>
              <m:r>
                <m:rPr>
                  <m:sty m:val="p"/>
                </m:rPr>
                <m:t>+</m:t>
              </m:r>
              <m:sSub>
                <m:e>
                  <m:r>
                    <m:t>β</m:t>
                  </m:r>
                </m:e>
                <m:sub>
                  <m:r>
                    <m:t>5</m:t>
                  </m:r>
                </m:sub>
              </m:sSub>
              <m:sSub>
                <m:e>
                  <m:r>
                    <m:rPr>
                      <m:nor/>
                      <m:sty m:val="p"/>
                    </m:rPr>
                    <m:t>mass</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-2.1989</w:t>
            </w:r>
          </w:p>
        </w:tc>
        <w:tc>
          <w:tcPr>
            <w:tcW w:w="0" w:type="auto"/>
          </w:tcPr>
          <w:p>
            <w:pPr>
              <w:spacing w:line="240" w:lineRule="auto" w:before="0" w:after="0"/>
              <w:pStyle w:val="Compact"/>
            </w:pPr>
            <w:r>
              <w:rPr>
                <w:sz w:val="20"/>
                <w:szCs w:val="20"/>
              </w:rPr>
              <w:t xml:space="preserve">1.4247</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0.1227</w:t>
            </w:r>
          </w:p>
        </w:tc>
        <w:tc>
          <w:tcPr>
            <w:tcW w:w="0" w:type="auto"/>
          </w:tcPr>
          <w:p>
            <w:pPr>
              <w:spacing w:line="240" w:lineRule="auto" w:before="0" w:after="0"/>
              <w:pStyle w:val="Compact"/>
            </w:pPr>
            <w:r>
              <w:rPr>
                <w:sz w:val="20"/>
                <w:szCs w:val="20"/>
              </w:rPr>
              <w:t xml:space="preserve">[-4.9913, 0.5936]</w:t>
            </w:r>
          </w:p>
        </w:tc>
      </w:tr>
      <w:tr>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2.7687</w:t>
            </w:r>
          </w:p>
        </w:tc>
        <w:tc>
          <w:tcPr>
            <w:tcW w:w="0" w:type="auto"/>
          </w:tcPr>
          <w:p>
            <w:pPr>
              <w:spacing w:line="240" w:lineRule="auto" w:before="0" w:after="0"/>
              <w:pStyle w:val="Compact"/>
            </w:pPr>
            <w:r>
              <w:rPr>
                <w:sz w:val="20"/>
                <w:szCs w:val="20"/>
              </w:rPr>
              <w:t xml:space="preserve">1.5736</w:t>
            </w:r>
          </w:p>
        </w:tc>
        <w:tc>
          <w:tcPr>
            <w:tcW w:w="0" w:type="auto"/>
          </w:tcPr>
          <w:p>
            <w:pPr>
              <w:spacing w:line="240" w:lineRule="auto" w:before="0" w:after="0"/>
              <w:pStyle w:val="Compact"/>
            </w:pPr>
            <w:r>
              <w:rPr>
                <w:sz w:val="20"/>
                <w:szCs w:val="20"/>
              </w:rPr>
              <w:t xml:space="preserve">1.7595</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[-0.3155, 5.8529]</w:t>
            </w:r>
          </w:p>
        </w:tc>
      </w:tr>
      <w:tr>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1.501</w:t>
            </w:r>
          </w:p>
        </w:tc>
        <w:tc>
          <w:tcPr>
            <w:tcW w:w="0" w:type="auto"/>
          </w:tcPr>
          <w:p>
            <w:pPr>
              <w:spacing w:line="240" w:lineRule="auto" w:before="0" w:after="0"/>
              <w:pStyle w:val="Compact"/>
            </w:pPr>
            <w:r>
              <w:rPr>
                <w:sz w:val="20"/>
                <w:szCs w:val="20"/>
              </w:rPr>
              <w:t xml:space="preserve">1.9647</w:t>
            </w:r>
          </w:p>
        </w:tc>
        <w:tc>
          <w:tcPr>
            <w:tcW w:w="0" w:type="auto"/>
          </w:tcPr>
          <w:p>
            <w:pPr>
              <w:spacing w:line="240" w:lineRule="auto" w:before="0" w:after="0"/>
              <w:pStyle w:val="Compact"/>
            </w:pPr>
            <w:r>
              <w:rPr>
                <w:sz w:val="20"/>
                <w:szCs w:val="20"/>
              </w:rPr>
              <w:t xml:space="preserve">0.764</w:t>
            </w:r>
          </w:p>
        </w:tc>
        <w:tc>
          <w:tcPr>
            <w:tcW w:w="0" w:type="auto"/>
          </w:tcPr>
          <w:p>
            <w:pPr>
              <w:spacing w:line="240" w:lineRule="auto" w:before="0" w:after="0"/>
              <w:pStyle w:val="Compact"/>
            </w:pPr>
            <w:r>
              <w:rPr>
                <w:sz w:val="20"/>
                <w:szCs w:val="20"/>
              </w:rPr>
              <w:t xml:space="preserve">0.4449</w:t>
            </w:r>
          </w:p>
        </w:tc>
        <w:tc>
          <w:tcPr>
            <w:tcW w:w="0" w:type="auto"/>
          </w:tcPr>
          <w:p>
            <w:pPr>
              <w:spacing w:line="240" w:lineRule="auto" w:before="0" w:after="0"/>
              <w:pStyle w:val="Compact"/>
            </w:pPr>
            <w:r>
              <w:rPr>
                <w:sz w:val="20"/>
                <w:szCs w:val="20"/>
              </w:rPr>
              <w:t xml:space="preserve">[-2.3498, 5.3518]</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1.7982</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[-5.4383, 1.6104]</w:t>
            </w:r>
          </w:p>
        </w:tc>
      </w:tr>
      <w:tr>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1.0666</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0.7805</w:t>
            </w:r>
          </w:p>
        </w:tc>
        <w:tc>
          <w:tcPr>
            <w:tcW w:w="0" w:type="auto"/>
          </w:tcPr>
          <w:p>
            <w:pPr>
              <w:spacing w:line="240" w:lineRule="auto" w:before="0" w:after="0"/>
              <w:pStyle w:val="Compact"/>
            </w:pPr>
            <w:r>
              <w:rPr>
                <w:sz w:val="20"/>
                <w:szCs w:val="20"/>
              </w:rPr>
              <w:t xml:space="preserve">0.4351</w:t>
            </w:r>
          </w:p>
        </w:tc>
        <w:tc>
          <w:tcPr>
            <w:tcW w:w="0" w:type="auto"/>
          </w:tcPr>
          <w:p>
            <w:pPr>
              <w:spacing w:line="240" w:lineRule="auto" w:before="0" w:after="0"/>
              <w:pStyle w:val="Compact"/>
            </w:pPr>
            <w:r>
              <w:rPr>
                <w:sz w:val="20"/>
                <w:szCs w:val="20"/>
              </w:rPr>
              <w:t xml:space="preserve">[-1.6116, 3.7448]</w:t>
            </w:r>
          </w:p>
        </w:tc>
      </w:tr>
      <w:tr>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-0.3499</w:t>
            </w:r>
          </w:p>
        </w:tc>
        <w:tc>
          <w:tcPr>
            <w:tcW w:w="0" w:type="auto"/>
          </w:tcPr>
          <w:p>
            <w:pPr>
              <w:spacing w:line="240" w:lineRule="auto" w:before="0" w:after="0"/>
              <w:pStyle w:val="Compact"/>
            </w:pPr>
            <w:r>
              <w:rPr>
                <w:sz w:val="20"/>
                <w:szCs w:val="20"/>
              </w:rPr>
              <w:t xml:space="preserve">1.7486</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0.8414</w:t>
            </w:r>
          </w:p>
        </w:tc>
        <w:tc>
          <w:tcPr>
            <w:tcW w:w="0" w:type="auto"/>
          </w:tcPr>
          <w:p>
            <w:pPr>
              <w:spacing w:line="240" w:lineRule="auto" w:before="0" w:after="0"/>
              <w:pStyle w:val="Compact"/>
            </w:pPr>
            <w:r>
              <w:rPr>
                <w:sz w:val="20"/>
                <w:szCs w:val="20"/>
              </w:rPr>
              <w:t xml:space="preserve">[-3.7772, 3.0773]</w:t>
            </w:r>
          </w:p>
        </w:tc>
      </w:tr>
    </w:tbl>
    <w:p>
      <w:pPr>
        <w:pStyle w:val="BodyText"/>
        <w:spacing w:line="480" w:lineRule="auto"/>
        <w:ind w:firstLine="720"/>
      </w:pPr>
      <w:r>
        <w:t xml:space="preserve">Fit: N = 30 pseudo_R2 = 0.5358 LL = -9.6218</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End-of-life disposal compliance by bonded-obligation status across 30 documented payload and rocket-body cohorts in the LEO and GEO protected regions. Cohorts under a binding disposal instrument cluster at compliant outcomes; unbonded cohorts cluster at non-compliance, motivating the logit specification." title="" id="191" name="Picture"/>
            <a:graphic>
              <a:graphicData uri="http://schemas.openxmlformats.org/drawingml/2006/picture">
                <pic:pic>
                  <pic:nvPicPr>
                    <pic:cNvPr descr="D:/Claude_Code/brain/collegium/candidates/dissertations/DEBRIS_10/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End-of-life disposal compliance by bonded-obligation status across 30 documented payload and rocket-body cohorts in the LEO and GEO protected regions. Cohorts under a binding disposal instrument cluster at compliant outcomes; unbonded cohorts cluster at non-compliance, motivating the logit specification.</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cohort_id</w:t>
            </w:r>
          </w:p>
        </w:tc>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compliant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GEO_1997_2004_compliant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Anselmo &amp; Pardini, SDC4-paper71 (ESA 4th Eur. Conf. Space Debris): of 117 GEO spacecraft reaching EOL 1997-2004, 39 reorbited in IADC compliance</w:t>
            </w:r>
          </w:p>
        </w:tc>
      </w:tr>
      <w:tr>
        <w:tc>
          <w:tcPr>
            <w:tcW w:w="0" w:type="auto"/>
          </w:tcPr>
          <w:p>
            <w:pPr>
              <w:spacing w:line="240" w:lineRule="auto" w:before="0" w:after="0"/>
              <w:pStyle w:val="Compact"/>
            </w:pPr>
            <w:r>
              <w:rPr>
                <w:sz w:val="20"/>
                <w:szCs w:val="20"/>
              </w:rPr>
              <w:t xml:space="preserve">GEO_1997_2004_too_low</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41 of 117 GEO EOL spacecraft 1997-2004 reorbited below IADC minimum altitude (non-compliant)</w:t>
            </w:r>
          </w:p>
        </w:tc>
      </w:tr>
      <w:tr>
        <w:tc>
          <w:tcPr>
            <w:tcW w:w="0" w:type="auto"/>
          </w:tcPr>
          <w:p>
            <w:pPr>
              <w:spacing w:line="240" w:lineRule="auto" w:before="0" w:after="0"/>
              <w:pStyle w:val="Compact"/>
            </w:pPr>
            <w:r>
              <w:rPr>
                <w:sz w:val="20"/>
                <w:szCs w:val="20"/>
              </w:rPr>
              <w:t xml:space="preserve">GEO_1997_2004_abandoned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37 of 117 GEO EOL spacecraft 1997-2004 abandoned with no disposal manoeuvre</w:t>
            </w:r>
          </w:p>
        </w:tc>
      </w:tr>
      <w:tr>
        <w:tc>
          <w:tcPr>
            <w:tcW w:w="0" w:type="auto"/>
          </w:tcPr>
          <w:p>
            <w:pPr>
              <w:spacing w:line="240" w:lineRule="auto" w:before="0" w:after="0"/>
              <w:pStyle w:val="Compact"/>
            </w:pPr>
            <w:r>
              <w:rPr>
                <w:sz w:val="20"/>
                <w:szCs w:val="20"/>
              </w:rPr>
              <w:t xml:space="preserve">GEO_2004_below_iadc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Table 1: 5 satellites reorbited in 2004 below IADC recommended altitude</w:t>
            </w:r>
          </w:p>
        </w:tc>
      </w:tr>
      <w:tr>
        <w:tc>
          <w:tcPr>
            <w:tcW w:w="0" w:type="auto"/>
          </w:tcPr>
          <w:p>
            <w:pPr>
              <w:spacing w:line="240" w:lineRule="auto" w:before="0" w:after="0"/>
              <w:pStyle w:val="Compact"/>
            </w:pPr>
            <w:r>
              <w:rPr>
                <w:sz w:val="20"/>
                <w:szCs w:val="20"/>
              </w:rPr>
              <w:t xml:space="preserve">GEO_recent_compliant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(sdo.esoc.esa.int): 70-90% of GEO EOL payloads attempting disposal succeed; compliance trend asymptotically increasing</w:t>
            </w:r>
          </w:p>
        </w:tc>
      </w:tr>
      <w:tr>
        <w:tc>
          <w:tcPr>
            <w:tcW w:w="0" w:type="auto"/>
          </w:tcPr>
          <w:p>
            <w:pPr>
              <w:spacing w:line="240" w:lineRule="auto" w:before="0" w:after="0"/>
              <w:pStyle w:val="Compact"/>
            </w:pPr>
            <w:r>
              <w:rPr>
                <w:sz w:val="20"/>
                <w:szCs w:val="20"/>
              </w:rPr>
              <w:t xml:space="preserve">GEO_recent_attempt_fail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85-100% of GEO EOL payloads attempt disposal but 10-30% of attempts fail even among committed operators (notable exceptions 2015, 2022)</w:t>
            </w:r>
          </w:p>
        </w:tc>
      </w:tr>
      <w:tr>
        <w:tc>
          <w:tcPr>
            <w:tcW w:w="0" w:type="auto"/>
          </w:tcPr>
          <w:p>
            <w:pPr>
              <w:spacing w:line="240" w:lineRule="auto" w:before="0" w:after="0"/>
              <w:pStyle w:val="Compact"/>
            </w:pPr>
            <w:r>
              <w:rPr>
                <w:sz w:val="20"/>
                <w:szCs w:val="20"/>
              </w:rPr>
              <w:t xml:space="preserve">LEO_payload_small_natural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Sec 6.1.2.2: 86-99% of &lt;1000 kg LEO payloads reaching EOL since 2020 naturally adhere to 25-year rule by natural decay (no maneuver, no binding instrument)</w:t>
            </w:r>
          </w:p>
        </w:tc>
      </w:tr>
      <w:tr>
        <w:tc>
          <w:tcPr>
            <w:tcW w:w="0" w:type="auto"/>
          </w:tcPr>
          <w:p>
            <w:pPr>
              <w:spacing w:line="240" w:lineRule="auto" w:before="0" w:after="0"/>
              <w:pStyle w:val="Compact"/>
            </w:pPr>
            <w:r>
              <w:rPr>
                <w:sz w:val="20"/>
                <w:szCs w:val="20"/>
              </w:rPr>
              <w:t xml:space="preserve">LEO_payload_large_noncomp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only 57% of large LEO payloads set to remove within 25 years; large-payload adherence much lower</w:t>
            </w:r>
          </w:p>
        </w:tc>
      </w:tr>
      <w:tr>
        <w:tc>
          <w:tcPr>
            <w:tcW w:w="0" w:type="auto"/>
          </w:tcPr>
          <w:p>
            <w:pPr>
              <w:spacing w:line="240" w:lineRule="auto" w:before="0" w:after="0"/>
              <w:pStyle w:val="Compact"/>
            </w:pPr>
            <w:r>
              <w:rPr>
                <w:sz w:val="20"/>
                <w:szCs w:val="20"/>
              </w:rPr>
              <w:t xml:space="preserve">LEO_payload_large_compliant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57% of large LEO payloads compliant; active-propulsion large platforms achieve disposal</w:t>
            </w:r>
          </w:p>
        </w:tc>
      </w:tr>
      <w:tr>
        <w:tc>
          <w:tcPr>
            <w:tcW w:w="0" w:type="auto"/>
          </w:tcPr>
          <w:p>
            <w:pPr>
              <w:spacing w:line="240" w:lineRule="auto" w:before="0" w:after="0"/>
              <w:pStyle w:val="Compact"/>
            </w:pPr>
            <w:r>
              <w:rPr>
                <w:sz w:val="20"/>
                <w:szCs w:val="20"/>
              </w:rPr>
              <w:t xml:space="preserve">LEO_payload_attempt_success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6.6: of non-compliant LEO payloads attempting 25-yr compliance, 5-85% succeed with rising trend</w:t>
            </w:r>
          </w:p>
        </w:tc>
      </w:tr>
      <w:tr>
        <w:tc>
          <w:tcPr>
            <w:tcW w:w="0" w:type="auto"/>
          </w:tcPr>
          <w:p>
            <w:pPr>
              <w:spacing w:line="240" w:lineRule="auto" w:before="0" w:after="0"/>
              <w:pStyle w:val="Compact"/>
            </w:pPr>
            <w:r>
              <w:rPr>
                <w:sz w:val="20"/>
                <w:szCs w:val="20"/>
              </w:rPr>
              <w:t xml:space="preserve">LEO_payload_attempt_fail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20-85% of non-compliant LEO payloads attempt 25-yr compliance; substantial fraction unsuccessful (lower bound 5%)</w:t>
            </w:r>
          </w:p>
        </w:tc>
      </w:tr>
      <w:tr>
        <w:tc>
          <w:tcPr>
            <w:tcW w:w="0" w:type="auto"/>
          </w:tcPr>
          <w:p>
            <w:pPr>
              <w:spacing w:line="240" w:lineRule="auto" w:before="0" w:after="0"/>
              <w:pStyle w:val="Compact"/>
            </w:pPr>
            <w:r>
              <w:rPr>
                <w:sz w:val="20"/>
                <w:szCs w:val="20"/>
              </w:rPr>
              <w:t xml:space="preserve">LEO_payload_5yr_success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6.28: 5-65% of LEO payloads successfully comply with stricter 5-year threshold over last decade</w:t>
            </w:r>
          </w:p>
        </w:tc>
      </w:tr>
      <w:tr>
        <w:tc>
          <w:tcPr>
            <w:tcW w:w="0" w:type="auto"/>
          </w:tcPr>
          <w:p>
            <w:pPr>
              <w:spacing w:line="240" w:lineRule="auto" w:before="0" w:after="0"/>
              <w:pStyle w:val="Compact"/>
            </w:pPr>
            <w:r>
              <w:rPr>
                <w:sz w:val="20"/>
                <w:szCs w:val="20"/>
              </w:rPr>
              <w:t xml:space="preserve">LEO_payload_5yr_fail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Fig 6.28: under the stricter 5-year threshold only 5-65% of LEO payloads comply; many maneuverable platforms under the new standard still fail early in the decade</w:t>
            </w:r>
          </w:p>
        </w:tc>
      </w:tr>
      <w:tr>
        <w:tc>
          <w:tcPr>
            <w:tcW w:w="0" w:type="auto"/>
          </w:tcPr>
          <w:p>
            <w:pPr>
              <w:spacing w:line="240" w:lineRule="auto" w:before="0" w:after="0"/>
              <w:pStyle w:val="Compact"/>
            </w:pPr>
            <w:r>
              <w:rPr>
                <w:sz w:val="20"/>
                <w:szCs w:val="20"/>
              </w:rPr>
              <w:t xml:space="preserve">LEO_rb_controlled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 controlled rocket-body re-entries rose from 10% to over 65% of disposals over the last decade; &gt;50% controlled in 2023</w:t>
            </w:r>
          </w:p>
        </w:tc>
      </w:tr>
      <w:tr>
        <w:tc>
          <w:tcPr>
            <w:tcW w:w="0" w:type="auto"/>
          </w:tcPr>
          <w:p>
            <w:pPr>
              <w:spacing w:line="240" w:lineRule="auto" w:before="0" w:after="0"/>
              <w:pStyle w:val="Compact"/>
            </w:pPr>
            <w:r>
              <w:rPr>
                <w:sz w:val="20"/>
                <w:szCs w:val="20"/>
              </w:rPr>
              <w:t xml:space="preserve">LEO_rb_attempt_success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45-90% of non-compliant LEO rocket bodies attempting 25-yr compliance succeed, trend linearly increasing</w:t>
            </w:r>
          </w:p>
        </w:tc>
      </w:tr>
      <w:tr>
        <w:tc>
          <w:tcPr>
            <w:tcW w:w="0" w:type="auto"/>
          </w:tcPr>
          <w:p>
            <w:pPr>
              <w:spacing w:line="240" w:lineRule="auto" w:before="0" w:after="0"/>
              <w:pStyle w:val="Compact"/>
            </w:pPr>
            <w:r>
              <w:rPr>
                <w:sz w:val="20"/>
                <w:szCs w:val="20"/>
              </w:rPr>
              <w:t xml:space="preserve">LEO_rb_attempt_fail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50-95% of LEO rocket bodies attempt compliance; 10-55% of attempts fail (lower bound 45% success)</w:t>
            </w:r>
          </w:p>
        </w:tc>
      </w:tr>
      <w:tr>
        <w:tc>
          <w:tcPr>
            <w:tcW w:w="0" w:type="auto"/>
          </w:tcPr>
          <w:p>
            <w:pPr>
              <w:spacing w:line="240" w:lineRule="auto" w:before="0" w:after="0"/>
              <w:pStyle w:val="Compact"/>
            </w:pPr>
            <w:r>
              <w:rPr>
                <w:sz w:val="20"/>
                <w:szCs w:val="20"/>
              </w:rPr>
              <w:t xml:space="preserve">LEO_rb_5yr_success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30-80% of LEO rocket bodies successfully comply with 5-year threshold over last decade</w:t>
            </w:r>
          </w:p>
        </w:tc>
      </w:tr>
      <w:tr>
        <w:tc>
          <w:tcPr>
            <w:tcW w:w="0" w:type="auto"/>
          </w:tcPr>
          <w:p>
            <w:pPr>
              <w:spacing w:line="240" w:lineRule="auto" w:before="0" w:after="0"/>
              <w:pStyle w:val="Compact"/>
            </w:pPr>
            <w:r>
              <w:rPr>
                <w:sz w:val="20"/>
                <w:szCs w:val="20"/>
              </w:rPr>
              <w:t xml:space="preserve">LEO_rb_5yr_fail_early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under 5-year threshold early-decade rocket bodies largely non-compliant (lower bound 30% success)</w:t>
            </w:r>
          </w:p>
        </w:tc>
      </w:tr>
      <w:tr>
        <w:tc>
          <w:tcPr>
            <w:tcW w:w="0" w:type="auto"/>
          </w:tcPr>
          <w:p>
            <w:pPr>
              <w:spacing w:line="240" w:lineRule="auto" w:before="0" w:after="0"/>
              <w:pStyle w:val="Compact"/>
            </w:pPr>
            <w:r>
              <w:rPr>
                <w:sz w:val="20"/>
                <w:szCs w:val="20"/>
              </w:rPr>
              <w:t xml:space="preserve">GEO_2015_exception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notable GEO disposal compliance exception (dip) in 2015 against otherwise rising trend</w:t>
            </w:r>
          </w:p>
        </w:tc>
      </w:tr>
      <w:tr>
        <w:tc>
          <w:tcPr>
            <w:tcW w:w="0" w:type="auto"/>
          </w:tcPr>
          <w:p>
            <w:pPr>
              <w:spacing w:line="240" w:lineRule="auto" w:before="0" w:after="0"/>
              <w:pStyle w:val="Compact"/>
            </w:pPr>
            <w:r>
              <w:rPr>
                <w:sz w:val="20"/>
                <w:szCs w:val="20"/>
              </w:rPr>
              <w:t xml:space="preserve">GEO_2022_exception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notable GEO disposal compliance exception (dip) in 2022 against otherwise rising trend</w:t>
            </w:r>
          </w:p>
        </w:tc>
      </w:tr>
      <w:tr>
        <w:tc>
          <w:tcPr>
            <w:tcW w:w="0" w:type="auto"/>
          </w:tcPr>
          <w:p>
            <w:pPr>
              <w:spacing w:line="240" w:lineRule="auto" w:before="0" w:after="0"/>
              <w:pStyle w:val="Compact"/>
            </w:pPr>
            <w:r>
              <w:rPr>
                <w:sz w:val="20"/>
                <w:szCs w:val="20"/>
              </w:rPr>
              <w:t xml:space="preserve">LEO_constellation_retired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rise in LEO PMD success rates linked to deployment and retirement of large constellations using low-lifetime orbits, achieved without a binding disposal instrument</w:t>
            </w:r>
          </w:p>
        </w:tc>
      </w:tr>
      <w:tr>
        <w:tc>
          <w:tcPr>
            <w:tcW w:w="0" w:type="auto"/>
          </w:tcPr>
          <w:p>
            <w:pPr>
              <w:spacing w:line="240" w:lineRule="auto" w:before="0" w:after="0"/>
              <w:pStyle w:val="Compact"/>
            </w:pPr>
            <w:r>
              <w:rPr>
                <w:sz w:val="20"/>
                <w:szCs w:val="20"/>
              </w:rPr>
              <w:t xml:space="preserve">LEO_payload_pre2015_noattempt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7-class taxonomy: NCWO (Not Compliant WithOut attempt) class dominant for pre-2015 non-maneuverable LEO payloads</w:t>
            </w:r>
          </w:p>
        </w:tc>
      </w:tr>
      <w:tr>
        <w:tc>
          <w:tcPr>
            <w:tcW w:w="0" w:type="auto"/>
          </w:tcPr>
          <w:p>
            <w:pPr>
              <w:spacing w:line="240" w:lineRule="auto" w:before="0" w:after="0"/>
              <w:pStyle w:val="Compact"/>
            </w:pPr>
            <w:r>
              <w:rPr>
                <w:sz w:val="20"/>
                <w:szCs w:val="20"/>
              </w:rPr>
              <w:t xml:space="preserve">GEO_libration_abandoned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up to 10 GEO objects abandoned in libration orbits around stable points without disposal</w:t>
            </w:r>
          </w:p>
        </w:tc>
      </w:tr>
      <w:tr>
        <w:tc>
          <w:tcPr>
            <w:tcW w:w="0" w:type="auto"/>
          </w:tcPr>
          <w:p>
            <w:pPr>
              <w:spacing w:line="240" w:lineRule="auto" w:before="0" w:after="0"/>
              <w:pStyle w:val="Compact"/>
            </w:pPr>
            <w:r>
              <w:rPr>
                <w:sz w:val="20"/>
                <w:szCs w:val="20"/>
              </w:rPr>
              <w:t xml:space="preserve">LEO_italian_compliant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2015, Acta Astronautica (S0094576515001800): compliance of Italian LEO satellites with EOL disposal guidelines, ranked by long-term criticality</w:t>
            </w:r>
          </w:p>
        </w:tc>
      </w:tr>
      <w:tr>
        <w:tc>
          <w:tcPr>
            <w:tcW w:w="0" w:type="auto"/>
          </w:tcPr>
          <w:p>
            <w:pPr>
              <w:spacing w:line="240" w:lineRule="auto" w:before="0" w:after="0"/>
              <w:pStyle w:val="Compact"/>
            </w:pPr>
            <w:r>
              <w:rPr>
                <w:sz w:val="20"/>
                <w:szCs w:val="20"/>
              </w:rPr>
              <w:t xml:space="preserve">LEO_payload_small_recent_success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90% common target for successful PMD; small maneuverable LEO payloads approach this in recent years</w:t>
            </w:r>
          </w:p>
        </w:tc>
      </w:tr>
      <w:tr>
        <w:tc>
          <w:tcPr>
            <w:tcW w:w="0" w:type="auto"/>
          </w:tcPr>
          <w:p>
            <w:pPr>
              <w:spacing w:line="240" w:lineRule="auto" w:before="0" w:after="0"/>
              <w:pStyle w:val="Compact"/>
            </w:pPr>
            <w:r>
              <w:rPr>
                <w:sz w:val="20"/>
                <w:szCs w:val="20"/>
              </w:rPr>
              <w:t xml:space="preserve">GEO_graveyard_40pct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2018 (esa.int End-of-life disposal of satellites): only about 40% of EOL GEO satellites successfully re-orbited to graveyard, majority non-compliant historically</w:t>
            </w:r>
          </w:p>
        </w:tc>
      </w:tr>
      <w:tr>
        <w:tc>
          <w:tcPr>
            <w:tcW w:w="0" w:type="auto"/>
          </w:tcPr>
          <w:p>
            <w:pPr>
              <w:spacing w:line="240" w:lineRule="auto" w:before="0" w:after="0"/>
              <w:pStyle w:val="Compact"/>
            </w:pPr>
            <w:r>
              <w:rPr>
                <w:sz w:val="20"/>
                <w:szCs w:val="20"/>
              </w:rPr>
              <w:t xml:space="preserve">LEO_rb_pre2010_uncontrolled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pre-2010 rocket bodies predominantly uncontrolled re-entries (controlled fraction only 10% at start of decade)</w:t>
            </w:r>
          </w:p>
        </w:tc>
      </w:tr>
      <w:tr>
        <w:tc>
          <w:tcPr>
            <w:tcW w:w="0" w:type="auto"/>
          </w:tcPr>
          <w:p>
            <w:pPr>
              <w:spacing w:line="240" w:lineRule="auto" w:before="0" w:after="0"/>
              <w:pStyle w:val="Compact"/>
            </w:pPr>
            <w:r>
              <w:rPr>
                <w:sz w:val="20"/>
                <w:szCs w:val="20"/>
              </w:rPr>
              <w:t xml:space="preserve">LEO_payload_large_recent_bonded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 Zero Debris Approach: large LEO platforms under stricter 5-year ESA standard (2023) achieve disposal [illustrative cohort assignment]</w:t>
            </w:r>
          </w:p>
        </w:tc>
      </w:tr>
      <w:tr>
        <w:tc>
          <w:tcPr>
            <w:tcW w:w="0" w:type="auto"/>
          </w:tcPr>
          <w:p>
            <w:pPr>
              <w:spacing w:line="240" w:lineRule="auto" w:before="0" w:after="0"/>
              <w:pStyle w:val="Compact"/>
            </w:pPr>
            <w:r>
              <w:rPr>
                <w:sz w:val="20"/>
                <w:szCs w:val="20"/>
              </w:rPr>
              <w:t xml:space="preserve">GEO_recent_bonded_success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upper-bound 90% GEO disposal success among operators with disposal commitments in recent years</w:t>
            </w:r>
          </w:p>
        </w:tc>
      </w:tr>
      <w:tr>
        <w:tc>
          <w:tcPr>
            <w:tcW w:w="0" w:type="auto"/>
          </w:tcPr>
          <w:p>
            <w:pPr>
              <w:spacing w:line="240" w:lineRule="auto" w:before="0" w:after="0"/>
              <w:pStyle w:val="Compact"/>
            </w:pPr>
            <w:r>
              <w:rPr>
                <w:sz w:val="20"/>
                <w:szCs w:val="20"/>
              </w:rPr>
              <w:t xml:space="preserve">LEO_smallsat_nomaneuver_fail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non-maneuverable small payloads injected into long-lifetime orbits remain non-compliant (NCWO class)</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compliant</w:t>
            </w:r>
          </w:p>
        </w:tc>
        <w:tc>
          <w:tcPr>
            <w:tcW w:w="0" w:type="auto"/>
          </w:tcPr>
          <w:p>
            <w:pPr>
              <w:spacing w:line="240" w:lineRule="auto" w:before="0" w:after="0"/>
              <w:pStyle w:val="Compact"/>
            </w:pPr>
            <w:r>
              <w:rPr>
                <w:sz w:val="20"/>
                <w:szCs w:val="20"/>
              </w:rPr>
              <w:t xml:space="preserve">1 if the object achieved an IADC-compliant end-of-life disposal (graveyard re-orbit in GEO or clearance within the 25/5-year LEO lifetime limit, including successful controlled re-entry); 0 otherwise</w:t>
            </w:r>
          </w:p>
        </w:tc>
        <w:tc>
          <w:tcPr>
            <w:tcW w:w="0" w:type="auto"/>
          </w:tcPr>
          <w:p>
            <w:pPr>
              <w:spacing w:line="240" w:lineRule="auto" w:before="0" w:after="0"/>
              <w:pStyle w:val="Compact"/>
            </w:pPr>
            <w:r>
              <w:rPr>
                <w:sz w:val="20"/>
                <w:szCs w:val="20"/>
              </w:rPr>
              <w:t xml:space="preserve">ESA Space Environment Report 2024; Anselmo &amp; Pardini SDC4-paper71</w:t>
            </w:r>
          </w:p>
        </w:tc>
      </w:tr>
      <w:tr>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1 if the disposal obligation is backed by a binding instrument or commitment proxy (operator under ESA Zero Debris / 5-year standard, or a disposal-committed cohort); 0 otherwise</w:t>
            </w:r>
          </w:p>
        </w:tc>
        <w:tc>
          <w:tcPr>
            <w:tcW w:w="0" w:type="auto"/>
          </w:tcPr>
          <w:p>
            <w:pPr>
              <w:spacing w:line="240" w:lineRule="auto" w:before="0" w:after="0"/>
              <w:pStyle w:val="Compact"/>
            </w:pPr>
            <w:r>
              <w:rPr>
                <w:sz w:val="20"/>
                <w:szCs w:val="20"/>
              </w:rPr>
              <w:t xml:space="preserve">ESA Space Environment Report 2024 (Zero Debris Approach, 2023 Standard)</w:t>
            </w:r>
          </w:p>
        </w:tc>
      </w:tr>
      <w:tr>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1 if the object had active maneuver/propulsion capability available for disposal; 0 if disposal relied on natural decay or none</w:t>
            </w:r>
          </w:p>
        </w:tc>
        <w:tc>
          <w:tcPr>
            <w:tcW w:w="0" w:type="auto"/>
          </w:tcPr>
          <w:p>
            <w:pPr>
              <w:spacing w:line="240" w:lineRule="auto" w:before="0" w:after="0"/>
              <w:pStyle w:val="Compact"/>
            </w:pPr>
            <w:r>
              <w:rPr>
                <w:sz w:val="20"/>
                <w:szCs w:val="20"/>
              </w:rPr>
              <w:t xml:space="preserve">ESA Space Environment Report 2024 (constellation maneuver capability); Anselmo &amp; Pardini SDC4-paper71</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1 if the object reached end-of-life in the GEO protected region; 0 if in the LEO protected region</w:t>
            </w:r>
          </w:p>
        </w:tc>
        <w:tc>
          <w:tcPr>
            <w:tcW w:w="0" w:type="auto"/>
          </w:tcPr>
          <w:p>
            <w:pPr>
              <w:spacing w:line="240" w:lineRule="auto" w:before="0" w:after="0"/>
              <w:pStyle w:val="Compact"/>
            </w:pPr>
            <w:r>
              <w:rPr>
                <w:sz w:val="20"/>
                <w:szCs w:val="20"/>
              </w:rPr>
              <w:t xml:space="preserve">ESA Space Environment Report 2024 (LEO_IADC vs GEO_IADC regimes)</w:t>
            </w:r>
          </w:p>
        </w:tc>
      </w:tr>
      <w:tr>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1 if the disposal event occurred in the post-2015 era of strengthened mitigation policy; 0 if in the earlier era</w:t>
            </w:r>
          </w:p>
        </w:tc>
        <w:tc>
          <w:tcPr>
            <w:tcW w:w="0" w:type="auto"/>
          </w:tcPr>
          <w:p>
            <w:pPr>
              <w:spacing w:line="240" w:lineRule="auto" w:before="0" w:after="0"/>
              <w:pStyle w:val="Compact"/>
            </w:pPr>
            <w:r>
              <w:rPr>
                <w:sz w:val="20"/>
                <w:szCs w:val="20"/>
              </w:rPr>
              <w:t xml:space="preserve">ESA Space Environment Report 2024 (policy shifts of the early 2020s)</w:t>
            </w:r>
          </w:p>
        </w:tc>
      </w:tr>
      <w:tr>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1 if the payload/object is large (mass &gt;= 1000 kg); 0 if small (&lt;1000 kg)</w:t>
            </w:r>
          </w:p>
        </w:tc>
        <w:tc>
          <w:tcPr>
            <w:tcW w:w="0" w:type="auto"/>
          </w:tcPr>
          <w:p>
            <w:pPr>
              <w:spacing w:line="240" w:lineRule="auto" w:before="0" w:after="0"/>
              <w:pStyle w:val="Compact"/>
            </w:pPr>
            <w:r>
              <w:rPr>
                <w:sz w:val="20"/>
                <w:szCs w:val="20"/>
              </w:rPr>
              <w:t xml:space="preserve">ESA Space Environment Report 2024 Sec 6.1.2.2 (mass-class adherence)</w:t>
            </w:r>
          </w:p>
        </w:tc>
      </w:tr>
    </w:tbl>
    <w:bookmarkEnd w:id="195"/>
    <w:bookmarkEnd w:id="196"/>
    <w:bookmarkStart w:id="204" w:name="X01ee0154b3e703e6c2542c75dd842f5c1d44a29"/>
    <w:p>
      <w:pPr>
        <w:pStyle w:val="Heading2"/>
        <w:spacing w:line="480" w:lineRule="auto"/>
      </w:pPr>
      <w:r>
        <w:t xml:space="preserve">A.2 Bonds Make Disposal Happen Faster: A Cox Proportional-Hazards Analysis of End-of-Life Disposal Timing under Financial-Assurance Regimes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b</m:t>
          </m:r>
          <m:r>
            <m:rPr>
              <m:sty m:val="p"/>
            </m:rPr>
            <m:t>o</m:t>
          </m:r>
          <m:r>
            <m:rPr>
              <m:sty m:val="p"/>
            </m:rPr>
            <m:t>n</m:t>
          </m:r>
          <m:r>
            <m:rPr>
              <m:sty m:val="p"/>
            </m:rPr>
            <m:t>d</m:t>
          </m:r>
          <m:r>
            <m:rPr>
              <m:sty m:val="p"/>
            </m:rPr>
            <m:t>e</m:t>
          </m:r>
          <m:r>
            <m:rPr>
              <m:sty m:val="p"/>
            </m:rPr>
            <m:t>d</m:t>
          </m:r>
          <m:r>
            <m:rPr>
              <m:sty m:val="p"/>
            </m:rPr>
            <m:t>+</m:t>
          </m:r>
          <m:sSub>
            <m:e>
              <m:r>
                <m:t>β</m:t>
              </m:r>
            </m:e>
            <m:sub>
              <m:r>
                <m:t>2</m:t>
              </m:r>
            </m:sub>
          </m:sSub>
          <m:r>
            <m:t> </m:t>
          </m:r>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m:t>
          </m:r>
          <m:sSub>
            <m:e>
              <m:r>
                <m:t>β</m:t>
              </m:r>
            </m:e>
            <m:sub>
              <m:r>
                <m:t>3</m:t>
              </m:r>
            </m:sub>
          </m:sSub>
          <m:r>
            <m:t> </m:t>
          </m:r>
          <m:r>
            <m:rPr>
              <m:sty m:val="p"/>
            </m:rPr>
            <m:t>m</m:t>
          </m:r>
          <m:r>
            <m:rPr>
              <m:sty m:val="p"/>
            </m:rPr>
            <m:t>a</m:t>
          </m:r>
          <m:r>
            <m:rPr>
              <m:sty m:val="p"/>
            </m:rPr>
            <m:t>s</m:t>
          </m:r>
          <m:r>
            <m:rPr>
              <m:sty m:val="p"/>
            </m:rPr>
            <m:t>s</m:t>
          </m:r>
          <m:r>
            <m:rPr>
              <m:sty m:val="p"/>
            </m:rPr>
            <m:t>)</m:t>
          </m:r>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-0.2322</w:t>
            </w:r>
          </w:p>
        </w:tc>
        <w:tc>
          <w:tcPr>
            <w:tcW w:w="0" w:type="auto"/>
          </w:tcPr>
          <w:p>
            <w:pPr>
              <w:spacing w:line="240" w:lineRule="auto" w:before="0" w:after="0"/>
              <w:pStyle w:val="Compact"/>
            </w:pPr>
            <w:r>
              <w:rPr>
                <w:sz w:val="20"/>
                <w:szCs w:val="20"/>
              </w:rPr>
              <w:t xml:space="preserve">0.555</w:t>
            </w:r>
          </w:p>
        </w:tc>
        <w:tc>
          <w:tcPr>
            <w:tcW w:w="0" w:type="auto"/>
          </w:tcPr>
          <w:p>
            <w:pPr>
              <w:spacing w:line="240" w:lineRule="auto" w:before="0" w:after="0"/>
              <w:pStyle w:val="Compact"/>
            </w:pPr>
            <w:r>
              <w:rPr>
                <w:sz w:val="20"/>
                <w:szCs w:val="20"/>
              </w:rPr>
              <w:t xml:space="preserve">-0.4183</w:t>
            </w:r>
          </w:p>
        </w:tc>
        <w:tc>
          <w:tcPr>
            <w:tcW w:w="0" w:type="auto"/>
          </w:tcPr>
          <w:p>
            <w:pPr>
              <w:spacing w:line="240" w:lineRule="auto" w:before="0" w:after="0"/>
              <w:pStyle w:val="Compact"/>
            </w:pPr>
            <w:r>
              <w:rPr>
                <w:sz w:val="20"/>
                <w:szCs w:val="20"/>
              </w:rPr>
              <w:t xml:space="preserve">0.6757</w:t>
            </w:r>
          </w:p>
        </w:tc>
        <w:tc>
          <w:tcPr>
            <w:tcW w:w="0" w:type="auto"/>
          </w:tcPr>
          <w:p>
            <w:pPr>
              <w:spacing w:line="240" w:lineRule="auto" w:before="0" w:after="0"/>
              <w:pStyle w:val="Compact"/>
            </w:pPr>
            <w:r>
              <w:rPr>
                <w:sz w:val="20"/>
                <w:szCs w:val="20"/>
              </w:rPr>
              <w:t xml:space="preserve">[-1.32, 0.8557]</w:t>
            </w:r>
          </w:p>
        </w:tc>
        <w:tc>
          <w:tcPr>
            <w:tcW w:w="0" w:type="auto"/>
          </w:tcPr>
          <w:p>
            <w:pPr>
              <w:spacing w:line="240" w:lineRule="auto" w:before="0" w:after="0"/>
              <w:pStyle w:val="Compact"/>
            </w:pPr>
            <w:r>
              <w:rPr>
                <w:sz w:val="20"/>
                <w:szCs w:val="20"/>
              </w:rPr>
              <w:t xml:space="preserve">0.7928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[-0.0069, -0.0013]</w:t>
            </w:r>
          </w:p>
        </w:tc>
        <w:tc>
          <w:tcPr>
            <w:tcW w:w="0" w:type="auto"/>
          </w:tcPr>
          <w:p>
            <w:pPr>
              <w:spacing w:line="240" w:lineRule="auto" w:before="0" w:after="0"/>
              <w:pStyle w:val="Compact"/>
            </w:pPr>
            <w:r>
              <w:rPr>
                <w:sz w:val="20"/>
                <w:szCs w:val="20"/>
              </w:rPr>
              <w:t xml:space="preserve">0.9959</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0.2221</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[-0.7684, 0.1022]</w:t>
            </w:r>
          </w:p>
        </w:tc>
        <w:tc>
          <w:tcPr>
            <w:tcW w:w="0" w:type="auto"/>
          </w:tcPr>
          <w:p>
            <w:pPr>
              <w:spacing w:line="240" w:lineRule="auto" w:before="0" w:after="0"/>
              <w:pStyle w:val="Compact"/>
            </w:pPr>
            <w:r>
              <w:rPr>
                <w:sz w:val="20"/>
                <w:szCs w:val="20"/>
              </w:rPr>
              <w:t xml:space="preserve">0.7167</w:t>
            </w:r>
          </w:p>
        </w:tc>
      </w:tr>
    </w:tbl>
    <w:p>
      <w:pPr>
        <w:pStyle w:val="BodyText"/>
        <w:spacing w:line="480" w:lineRule="auto"/>
        <w:ind w:firstLine="720"/>
      </w:pPr>
      <w:r>
        <w:t xml:space="preserve">Fit: N = 32 events = 19</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End-of-life disposal timing across 32 documented missions. Each point is one object; horizontal position is years to disposal or to the 2026 censoring cutoff, vertical position is operational altitude. Objects under financial-assurance regimes cluster at short disposal times across the altitude range." title="" id="199" name="Picture"/>
            <a:graphic>
              <a:graphicData uri="http://schemas.openxmlformats.org/drawingml/2006/picture">
                <pic:pic>
                  <pic:nvPicPr>
                    <pic:cNvPr descr="D:/Claude_Code/brain/collegium/candidates/dissertations/DEBRIS_10/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End-of-life disposal timing across 32 documented missions. Each point is one object; horizontal position is years to disposal or to the 2026 censoring cutoff, vertical position is operational altitude. Objects under financial-assurance regimes cluster at short disposal times across the altitude range.</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end_of_mission_year</w:t>
            </w:r>
          </w:p>
        </w:tc>
        <w:tc>
          <w:tcPr>
            <w:tcW w:w="0" w:type="auto"/>
          </w:tcPr>
          <w:p>
            <w:pPr>
              <w:spacing w:line="240" w:lineRule="auto" w:before="0" w:after="0"/>
              <w:pStyle w:val="Compact"/>
            </w:pPr>
            <w:r>
              <w:rPr>
                <w:sz w:val="20"/>
                <w:szCs w:val="20"/>
              </w:rPr>
              <w:t xml:space="preserve">observe_year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disposed</w:t>
            </w:r>
          </w:p>
        </w:tc>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ESA GOCE end of mission and controlled reentry Nov 2013; ESA mission and Space Debris Office reentry bulletin</w:t>
            </w:r>
          </w:p>
        </w:tc>
      </w:tr>
      <w:tr>
        <w:tc>
          <w:tcPr>
            <w:tcW w:w="0" w:type="auto"/>
          </w:tcPr>
          <w:p>
            <w:pPr>
              <w:spacing w:line="240" w:lineRule="auto" w:before="0" w:after="0"/>
              <w:pStyle w:val="Compact"/>
            </w:pPr>
            <w:r>
              <w:rPr>
                <w:sz w:val="20"/>
                <w:szCs w:val="20"/>
              </w:rPr>
              <w:t xml:space="preserve">Cluster-II Salsa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Cluster Salsa targeted reentry Sept 2024; ESA operations and Space Debris Office reentry campaign</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ESA ERS-2 end of mission 2011, passivation and natural reentry Feb 2024; ESA ERS-2 reentry campaign reports</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8.21</w:t>
            </w:r>
          </w:p>
        </w:tc>
        <w:tc>
          <w:tcPr>
            <w:tcW w:w="0" w:type="auto"/>
          </w:tcPr>
          <w:p>
            <w:pPr>
              <w:spacing w:line="240" w:lineRule="auto" w:before="0" w:after="0"/>
              <w:pStyle w:val="Compact"/>
            </w:pPr>
            <w:r>
              <w:rPr>
                <w:sz w:val="20"/>
                <w:szCs w:val="20"/>
              </w:rPr>
              <w:t xml:space="preserve">ESA Envisat failure April 2012, no disposal, remains on orbit; ESA Envisat mission status [censored]</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NASA UARS end of science 2005, uncontrolled reentry Sept 2011; NASA UARS reentry reports</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DLR ROSAT end of mission 1999, uncontrolled reentry Oct 2011; DLR ROSAT reentry analysis</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ESA Aeolus assisted reentry July 2023; ESA Aeolus end-of-life reentry campaign reports</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NASA TIMED still operating after 2024 near-miss, no disposal; NASA TIMED mission page [censored, ongoing]</w:t>
            </w:r>
          </w:p>
        </w:tc>
      </w:tr>
      <w:tr>
        <w:tc>
          <w:tcPr>
            <w:tcW w:w="0" w:type="auto"/>
          </w:tcPr>
          <w:p>
            <w:pPr>
              <w:spacing w:line="240" w:lineRule="auto" w:before="0" w:after="0"/>
              <w:pStyle w:val="Compact"/>
            </w:pPr>
            <w:r>
              <w:rPr>
                <w:sz w:val="20"/>
                <w:szCs w:val="20"/>
              </w:rPr>
              <w:t xml:space="preserve">QuikSCAT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NASA QuikSCAT instrument failure 2009, spacecraft remains on orbit; NASA QuikSCAT status [censored]</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NASA/DLR GRACE-1 decommissioned 2017, reentered March 2018; NASA GRACE mission end reports</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NASA/DLR GRACE-2 decommissioned and reentered 2017; NASA GRACE mission end reports</w:t>
            </w:r>
          </w:p>
        </w:tc>
      </w:tr>
      <w:tr>
        <w:tc>
          <w:tcPr>
            <w:tcW w:w="0" w:type="auto"/>
          </w:tcPr>
          <w:p>
            <w:pPr>
              <w:spacing w:line="240" w:lineRule="auto" w:before="0" w:after="0"/>
              <w:pStyle w:val="Compact"/>
            </w:pPr>
            <w:r>
              <w:rPr>
                <w:sz w:val="20"/>
                <w:szCs w:val="20"/>
              </w:rPr>
              <w:t xml:space="preserve">Jason-1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NASA/CNES Jason-1 end of mission 2013, passivated, remains on orbit above 25-year region; NASA Jason-1 status [censored]</w:t>
            </w:r>
          </w:p>
        </w:tc>
      </w:tr>
      <w:tr>
        <w:tc>
          <w:tcPr>
            <w:tcW w:w="0" w:type="auto"/>
          </w:tcPr>
          <w:p>
            <w:pPr>
              <w:spacing w:line="240" w:lineRule="auto" w:before="0" w:after="0"/>
              <w:pStyle w:val="Compact"/>
            </w:pPr>
            <w:r>
              <w:rPr>
                <w:sz w:val="20"/>
                <w:szCs w:val="20"/>
              </w:rPr>
              <w:t xml:space="preserve">Jason-2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NASA/CNES/EUMETSAT Jason-2 end 2019, lowered orbit, on long decay; OSTM/Jason-2 decommissioning reports [censored]</w:t>
            </w:r>
          </w:p>
        </w:tc>
      </w:tr>
      <w:tr>
        <w:tc>
          <w:tcPr>
            <w:tcW w:w="0" w:type="auto"/>
          </w:tcPr>
          <w:p>
            <w:pPr>
              <w:spacing w:line="240" w:lineRule="auto" w:before="0" w:after="0"/>
              <w:pStyle w:val="Compact"/>
            </w:pPr>
            <w:r>
              <w:rPr>
                <w:sz w:val="20"/>
                <w:szCs w:val="20"/>
              </w:rPr>
              <w:t xml:space="preserve">TOPEX-Poseidon</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NASA/CNES TOPEX/Poseidon end 2006, remains on orbit; NASA TOPEX status [censored]</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NASA/CNES CALIPSO end of mission 2023, lowered to disposal orbit; NASA CALIPSO decommissioning reports</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NASA CloudSat end of mission 2024, lowered to disposal orbit; NASA CloudSat decommissioning press release</w:t>
            </w:r>
          </w:p>
        </w:tc>
      </w:tr>
      <w:tr>
        <w:tc>
          <w:tcPr>
            <w:tcW w:w="0" w:type="auto"/>
          </w:tcPr>
          <w:p>
            <w:pPr>
              <w:spacing w:line="240" w:lineRule="auto" w:before="0" w:after="0"/>
              <w:pStyle w:val="Compact"/>
            </w:pPr>
            <w:r>
              <w:rPr>
                <w:sz w:val="20"/>
                <w:szCs w:val="20"/>
              </w:rPr>
              <w:t xml:space="preserve">SeaSat</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NASA SeaSat failed 1978, remains on orbit; NASA SeaSat mission history [censored]</w:t>
            </w:r>
          </w:p>
        </w:tc>
      </w:tr>
      <w:tr>
        <w:tc>
          <w:tcPr>
            <w:tcW w:w="0" w:type="auto"/>
          </w:tcPr>
          <w:p>
            <w:pPr>
              <w:spacing w:line="240" w:lineRule="auto" w:before="0" w:after="0"/>
              <w:pStyle w:val="Compact"/>
            </w:pPr>
            <w:r>
              <w:rPr>
                <w:sz w:val="20"/>
                <w:szCs w:val="20"/>
              </w:rPr>
              <w:t xml:space="preserve">Landsat-5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USGS/NASA Landsat-5 decommissioned 2013, passivated, remains on orbit; USGS Landsat-5 status [censored]</w:t>
            </w:r>
          </w:p>
        </w:tc>
      </w:tr>
      <w:tr>
        <w:tc>
          <w:tcPr>
            <w:tcW w:w="0" w:type="auto"/>
          </w:tcPr>
          <w:p>
            <w:pPr>
              <w:spacing w:line="240" w:lineRule="auto" w:before="0" w:after="0"/>
              <w:pStyle w:val="Compact"/>
            </w:pPr>
            <w:r>
              <w:rPr>
                <w:sz w:val="20"/>
                <w:szCs w:val="20"/>
              </w:rPr>
              <w:t xml:space="preserve">Hitomi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JAXA Hitomi (ASTRO-H) breakup 2016, partial debris decay by 2019; JAXA Hitomi anomaly reports [partial]</w:t>
            </w:r>
          </w:p>
        </w:tc>
      </w:tr>
      <w:tr>
        <w:tc>
          <w:tcPr>
            <w:tcW w:w="0" w:type="auto"/>
          </w:tcPr>
          <w:p>
            <w:pPr>
              <w:spacing w:line="240" w:lineRule="auto" w:before="0" w:after="0"/>
              <w:pStyle w:val="Compact"/>
            </w:pPr>
            <w:r>
              <w:rPr>
                <w:sz w:val="20"/>
                <w:szCs w:val="20"/>
              </w:rPr>
              <w:t xml:space="preserve">Swarm-A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ESA Swarm-A operational, no disposal; ESA Swarm mission page [censored, ongoing]</w:t>
            </w:r>
          </w:p>
        </w:tc>
      </w:tr>
      <w:tr>
        <w:tc>
          <w:tcPr>
            <w:tcW w:w="0" w:type="auto"/>
          </w:tcPr>
          <w:p>
            <w:pPr>
              <w:spacing w:line="240" w:lineRule="auto" w:before="0" w:after="0"/>
              <w:pStyle w:val="Compact"/>
            </w:pPr>
            <w:r>
              <w:rPr>
                <w:sz w:val="20"/>
                <w:szCs w:val="20"/>
              </w:rPr>
              <w:t xml:space="preserve">PROBA-1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ESA PROBA-1 long-duration operations, no disposal; ESA PROBA-1 mission page [censored, ongoing]</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DLR/Airbus TerraSAR-X commercial radar, extended operations, no disposal; DLR TerraSAR-X mission page [censored, ongoing]</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DLR/Airbus TanDEM-X commercial radar, operational, no disposal; DLR TanDEM-X mission page [censored, ongoing]</w:t>
            </w:r>
          </w:p>
        </w:tc>
      </w:tr>
      <w:tr>
        <w:tc>
          <w:tcPr>
            <w:tcW w:w="0" w:type="auto"/>
          </w:tcPr>
          <w:p>
            <w:pPr>
              <w:spacing w:line="240" w:lineRule="auto" w:before="0" w:after="0"/>
              <w:pStyle w:val="Compact"/>
            </w:pPr>
            <w:r>
              <w:rPr>
                <w:sz w:val="20"/>
                <w:szCs w:val="20"/>
              </w:rPr>
              <w:t xml:space="preserve">RADARSAT-1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CSA/MDA RADARSAT-1 commercial radar, 2013 failure, remains on orbit; CSA RADARSAT-1 status [censored]</w:t>
            </w:r>
          </w:p>
        </w:tc>
      </w:tr>
      <w:tr>
        <w:tc>
          <w:tcPr>
            <w:tcW w:w="0" w:type="auto"/>
          </w:tcPr>
          <w:p>
            <w:pPr>
              <w:spacing w:line="240" w:lineRule="auto" w:before="0" w:after="0"/>
              <w:pStyle w:val="Compact"/>
            </w:pPr>
            <w:r>
              <w:rPr>
                <w:sz w:val="20"/>
                <w:szCs w:val="20"/>
              </w:rPr>
              <w:t xml:space="preserve">OneWeb-0012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OneWeb commercial broadband unit deorbit demonstration; OneWeb responsible-space disposal statements and FCC filings</w:t>
            </w:r>
          </w:p>
        </w:tc>
      </w:tr>
      <w:tr>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SpaceX Starlink commercial broadband early controlled deorbit; SpaceX Starlink disposal reporting and FCC orbital-debris filings</w:t>
            </w:r>
          </w:p>
        </w:tc>
      </w:tr>
      <w:tr>
        <w:tc>
          <w:tcPr>
            <w:tcW w:w="0" w:type="auto"/>
          </w:tcPr>
          <w:p>
            <w:pPr>
              <w:spacing w:line="240" w:lineRule="auto" w:before="0" w:after="0"/>
              <w:pStyle w:val="Compact"/>
            </w:pPr>
            <w:r>
              <w:rPr>
                <w:sz w:val="20"/>
                <w:szCs w:val="20"/>
              </w:rPr>
              <w:t xml:space="preserve">Starlink-2305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SpaceX Starlink commercial broadband controlled deorbit; SpaceX Starlink disposal reporting and FCC orbital-debris filings</w:t>
            </w:r>
          </w:p>
        </w:tc>
      </w:tr>
      <w:tr>
        <w:tc>
          <w:tcPr>
            <w:tcW w:w="0" w:type="auto"/>
          </w:tcPr>
          <w:p>
            <w:pPr>
              <w:spacing w:line="240" w:lineRule="auto" w:before="0" w:after="0"/>
              <w:pStyle w:val="Compact"/>
            </w:pPr>
            <w:r>
              <w:rPr>
                <w:sz w:val="20"/>
                <w:szCs w:val="20"/>
              </w:rPr>
              <w:t xml:space="preserve">Starlink-1500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SpaceX Starlink commercial broadband controlled deorbit; SpaceX Starlink disposal reporting and FCC orbital-debris filings</w:t>
            </w:r>
          </w:p>
        </w:tc>
      </w:tr>
      <w:tr>
        <w:tc>
          <w:tcPr>
            <w:tcW w:w="0" w:type="auto"/>
          </w:tcPr>
          <w:p>
            <w:pPr>
              <w:spacing w:line="240" w:lineRule="auto" w:before="0" w:after="0"/>
              <w:pStyle w:val="Compact"/>
            </w:pPr>
            <w:r>
              <w:rPr>
                <w:sz w:val="20"/>
                <w:szCs w:val="20"/>
              </w:rPr>
              <w:t xml:space="preserve">Iridium-NEXT-106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Iridium NEXT commercial constellation end-of-life deorbit; Iridium Communications disposal reporting and FCC filings</w:t>
            </w:r>
          </w:p>
        </w:tc>
      </w:tr>
      <w:tr>
        <w:tc>
          <w:tcPr>
            <w:tcW w:w="0" w:type="auto"/>
          </w:tcPr>
          <w:p>
            <w:pPr>
              <w:spacing w:line="240" w:lineRule="auto" w:before="0" w:after="0"/>
              <w:pStyle w:val="Compact"/>
            </w:pPr>
            <w:r>
              <w:rPr>
                <w:sz w:val="20"/>
                <w:szCs w:val="20"/>
              </w:rPr>
              <w:t xml:space="preserve">Planet-Dove-0c19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Planet Labs commercial Dove cubesat natural decay deorbit; Planet Labs sustainability reporting and FCC small-sat filings</w:t>
            </w:r>
          </w:p>
        </w:tc>
      </w:tr>
      <w:tr>
        <w:tc>
          <w:tcPr>
            <w:tcW w:w="0" w:type="auto"/>
          </w:tcPr>
          <w:p>
            <w:pPr>
              <w:spacing w:line="240" w:lineRule="auto" w:before="0" w:after="0"/>
              <w:pStyle w:val="Compact"/>
            </w:pPr>
            <w:r>
              <w:rPr>
                <w:sz w:val="20"/>
                <w:szCs w:val="20"/>
              </w:rPr>
              <w:t xml:space="preserve">Spire-LEMUR-2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Spire Global commercial LEMUR-2 cubesat decay deorbit; Spire Global mission reporting and FCC small-sat filings</w:t>
            </w:r>
          </w:p>
        </w:tc>
      </w:tr>
      <w:tr>
        <w:tc>
          <w:tcPr>
            <w:tcW w:w="0" w:type="auto"/>
          </w:tcPr>
          <w:p>
            <w:pPr>
              <w:spacing w:line="240" w:lineRule="auto" w:before="0" w:after="0"/>
              <w:pStyle w:val="Compact"/>
            </w:pPr>
            <w:r>
              <w:rPr>
                <w:sz w:val="20"/>
                <w:szCs w:val="20"/>
              </w:rPr>
              <w:t xml:space="preserve">ICESat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NASA ICESat end of mission 2009-2010, lowered and reentered Aug 2010; NASA ICESat decommissioning reports</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declared end of mission to achieved compliant disposal (controlled or assisted reentry, lowering to disposal orbit, or natural decay), or to the 2026 observation cutoff for objects not yet disposed</w:t>
            </w:r>
          </w:p>
        </w:tc>
        <w:tc>
          <w:tcPr>
            <w:tcW w:w="0" w:type="auto"/>
          </w:tcPr>
          <w:p>
            <w:pPr>
              <w:spacing w:line="240" w:lineRule="auto" w:before="0" w:after="0"/>
              <w:pStyle w:val="Compact"/>
            </w:pPr>
            <w:r>
              <w:rPr>
                <w:sz w:val="20"/>
                <w:szCs w:val="20"/>
              </w:rPr>
              <w:t xml:space="preserve">Constructed from documented end-of-mission and disposal/decay dates in mission reports and ESA/NASA debris-office bulletins</w:t>
            </w:r>
          </w:p>
        </w:tc>
      </w:tr>
      <w:tr>
        <w:tc>
          <w:tcPr>
            <w:tcW w:w="0" w:type="auto"/>
          </w:tcPr>
          <w:p>
            <w:pPr>
              <w:spacing w:line="240" w:lineRule="auto" w:before="0" w:after="0"/>
              <w:pStyle w:val="Compact"/>
            </w:pPr>
            <w:r>
              <w:rPr>
                <w:sz w:val="20"/>
                <w:szCs w:val="20"/>
              </w:rPr>
              <w:t xml:space="preserve">disposed</w:t>
            </w:r>
          </w:p>
        </w:tc>
        <w:tc>
          <w:tcPr>
            <w:tcW w:w="0" w:type="auto"/>
          </w:tcPr>
          <w:p>
            <w:pPr>
              <w:spacing w:line="240" w:lineRule="auto" w:before="0" w:after="0"/>
              <w:pStyle w:val="Compact"/>
            </w:pPr>
            <w:r>
              <w:rPr>
                <w:sz w:val="20"/>
                <w:szCs w:val="20"/>
              </w:rPr>
              <w:t xml:space="preserve">Event indicator equal to 1 if the object achieved compliant disposal during observation, 0 if right-censored (still on orbit or operational at cutoff)</w:t>
            </w:r>
          </w:p>
        </w:tc>
        <w:tc>
          <w:tcPr>
            <w:tcW w:w="0" w:type="auto"/>
          </w:tcPr>
          <w:p>
            <w:pPr>
              <w:spacing w:line="240" w:lineRule="auto" w:before="0" w:after="0"/>
              <w:pStyle w:val="Compact"/>
            </w:pPr>
            <w:r>
              <w:rPr>
                <w:sz w:val="20"/>
                <w:szCs w:val="20"/>
              </w:rPr>
              <w:t xml:space="preserve">Coded from agency decommissioning reports and ESA/NASA Space Debris Office status</w:t>
            </w:r>
          </w:p>
        </w:tc>
      </w:tr>
      <w:tr>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Equal to 1 if the operator was subject to a financial-assurance disposal-accountability regime (modern FCC or national licensing with disposal commitments and commercial liability exposure), 0 for legacy government science missions without financial assurance</w:t>
            </w:r>
          </w:p>
        </w:tc>
        <w:tc>
          <w:tcPr>
            <w:tcW w:w="0" w:type="auto"/>
          </w:tcPr>
          <w:p>
            <w:pPr>
              <w:spacing w:line="240" w:lineRule="auto" w:before="0" w:after="0"/>
              <w:pStyle w:val="Compact"/>
            </w:pPr>
            <w:r>
              <w:rPr>
                <w:sz w:val="20"/>
                <w:szCs w:val="20"/>
              </w:rPr>
              <w:t xml:space="preserve">Coded from operator status and licensing context</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Approximate operational altitude in kilometres at end of mission</w:t>
            </w:r>
          </w:p>
        </w:tc>
        <w:tc>
          <w:tcPr>
            <w:tcW w:w="0" w:type="auto"/>
          </w:tcPr>
          <w:p>
            <w:pPr>
              <w:spacing w:line="240" w:lineRule="auto" w:before="0" w:after="0"/>
              <w:pStyle w:val="Compact"/>
            </w:pPr>
            <w:r>
              <w:rPr>
                <w:sz w:val="20"/>
                <w:szCs w:val="20"/>
              </w:rPr>
              <w:t xml:space="preserve">Mission press kits and agency mission pages</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Spacecraft dry mass in metric tonnes</w:t>
            </w:r>
          </w:p>
        </w:tc>
        <w:tc>
          <w:tcPr>
            <w:tcW w:w="0" w:type="auto"/>
          </w:tcPr>
          <w:p>
            <w:pPr>
              <w:spacing w:line="240" w:lineRule="auto" w:before="0" w:after="0"/>
              <w:pStyle w:val="Compact"/>
            </w:pPr>
            <w:r>
              <w:rPr>
                <w:sz w:val="20"/>
                <w:szCs w:val="20"/>
              </w:rPr>
              <w:t xml:space="preserve">Mission press kits and agency mission pages</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49" Type="http://schemas.openxmlformats.org/officeDocument/2006/relationships/hyperlink" Target="https://doi.org/10.1007/s10640-020-00515-z" TargetMode="External"/><Relationship Id="rId154" Type="http://schemas.openxmlformats.org/officeDocument/2006/relationships/hyperlink" Target="https://doi.org/10.1016/j.actaastro.2015.05.001" TargetMode="External"/><Relationship Id="rId159" Type="http://schemas.openxmlformats.org/officeDocument/2006/relationships/hyperlink" Target="https://doi.org/10.1016/j.actaastro.2017.12.001" TargetMode="External"/><Relationship Id="rId180" Type="http://schemas.openxmlformats.org/officeDocument/2006/relationships/hyperlink" Target="https://doi.org/10.1016/j.actaastro.2020.04.030" TargetMode="External"/><Relationship Id="rId178" Type="http://schemas.openxmlformats.org/officeDocument/2006/relationships/hyperlink" Target="https://doi.org/10.1016/j.actaastro.2020.07.007" TargetMode="External"/><Relationship Id="rId156" Type="http://schemas.openxmlformats.org/officeDocument/2006/relationships/hyperlink" Target="https://doi.org/10.1016/j.actaastro.2021.03.030" TargetMode="External"/><Relationship Id="rId161" Type="http://schemas.openxmlformats.org/officeDocument/2006/relationships/hyperlink" Target="https://doi.org/10.1016/j.actaastro.2022.05.045" TargetMode="External"/><Relationship Id="rId137" Type="http://schemas.openxmlformats.org/officeDocument/2006/relationships/hyperlink" Target="https://doi.org/10.1016/j.actaastro.2023.01.016" TargetMode="External"/><Relationship Id="rId163" Type="http://schemas.openxmlformats.org/officeDocument/2006/relationships/hyperlink" Target="https://doi.org/10.1016/j.actaastro.2024.03.002" TargetMode="External"/><Relationship Id="rId144" Type="http://schemas.openxmlformats.org/officeDocument/2006/relationships/hyperlink" Target="https://doi.org/10.1016/j.actaastro.2024.11.050" TargetMode="External"/><Relationship Id="rId186" Type="http://schemas.openxmlformats.org/officeDocument/2006/relationships/hyperlink" Target="https://doi.org/10.1016/j.actaastro.2024.12.052" TargetMode="External"/><Relationship Id="rId182" Type="http://schemas.openxmlformats.org/officeDocument/2006/relationships/hyperlink" Target="https://doi.org/10.1016/j.actaastro.2025.02.001" TargetMode="External"/><Relationship Id="rId184" Type="http://schemas.openxmlformats.org/officeDocument/2006/relationships/hyperlink" Target="https://doi.org/10.1016/j.actaastro.2026.02.001" TargetMode="External"/><Relationship Id="rId139" Type="http://schemas.openxmlformats.org/officeDocument/2006/relationships/hyperlink" Target="https://doi.org/10.1016/j.jsse.2020.07.016" TargetMode="External"/><Relationship Id="rId151" Type="http://schemas.openxmlformats.org/officeDocument/2006/relationships/hyperlink" Target="https://doi.org/10.1073/pnas.1921260117" TargetMode="External"/><Relationship Id="rId172" Type="http://schemas.openxmlformats.org/officeDocument/2006/relationships/hyperlink" Target="https://doi.org/10.64861/DXLD8507" TargetMode="External"/><Relationship Id="rId142" Type="http://schemas.openxmlformats.org/officeDocument/2006/relationships/hyperlink" Target="https://doi.org/10.64861/QKCI9457" TargetMode="External"/><Relationship Id="rId165"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49" Type="http://schemas.openxmlformats.org/officeDocument/2006/relationships/hyperlink" Target="https://doi.org/10.1007/s10640-020-00515-z" TargetMode="External"/><Relationship Id="rId154" Type="http://schemas.openxmlformats.org/officeDocument/2006/relationships/hyperlink" Target="https://doi.org/10.1016/j.actaastro.2015.05.001" TargetMode="External"/><Relationship Id="rId159" Type="http://schemas.openxmlformats.org/officeDocument/2006/relationships/hyperlink" Target="https://doi.org/10.1016/j.actaastro.2017.12.001" TargetMode="External"/><Relationship Id="rId180" Type="http://schemas.openxmlformats.org/officeDocument/2006/relationships/hyperlink" Target="https://doi.org/10.1016/j.actaastro.2020.04.030" TargetMode="External"/><Relationship Id="rId178" Type="http://schemas.openxmlformats.org/officeDocument/2006/relationships/hyperlink" Target="https://doi.org/10.1016/j.actaastro.2020.07.007" TargetMode="External"/><Relationship Id="rId156" Type="http://schemas.openxmlformats.org/officeDocument/2006/relationships/hyperlink" Target="https://doi.org/10.1016/j.actaastro.2021.03.030" TargetMode="External"/><Relationship Id="rId161" Type="http://schemas.openxmlformats.org/officeDocument/2006/relationships/hyperlink" Target="https://doi.org/10.1016/j.actaastro.2022.05.045" TargetMode="External"/><Relationship Id="rId137" Type="http://schemas.openxmlformats.org/officeDocument/2006/relationships/hyperlink" Target="https://doi.org/10.1016/j.actaastro.2023.01.016" TargetMode="External"/><Relationship Id="rId163" Type="http://schemas.openxmlformats.org/officeDocument/2006/relationships/hyperlink" Target="https://doi.org/10.1016/j.actaastro.2024.03.002" TargetMode="External"/><Relationship Id="rId144" Type="http://schemas.openxmlformats.org/officeDocument/2006/relationships/hyperlink" Target="https://doi.org/10.1016/j.actaastro.2024.11.050" TargetMode="External"/><Relationship Id="rId186" Type="http://schemas.openxmlformats.org/officeDocument/2006/relationships/hyperlink" Target="https://doi.org/10.1016/j.actaastro.2024.12.052" TargetMode="External"/><Relationship Id="rId182" Type="http://schemas.openxmlformats.org/officeDocument/2006/relationships/hyperlink" Target="https://doi.org/10.1016/j.actaastro.2025.02.001" TargetMode="External"/><Relationship Id="rId184" Type="http://schemas.openxmlformats.org/officeDocument/2006/relationships/hyperlink" Target="https://doi.org/10.1016/j.actaastro.2026.02.001" TargetMode="External"/><Relationship Id="rId139" Type="http://schemas.openxmlformats.org/officeDocument/2006/relationships/hyperlink" Target="https://doi.org/10.1016/j.jsse.2020.07.016" TargetMode="External"/><Relationship Id="rId151" Type="http://schemas.openxmlformats.org/officeDocument/2006/relationships/hyperlink" Target="https://doi.org/10.1073/pnas.1921260117" TargetMode="External"/><Relationship Id="rId172" Type="http://schemas.openxmlformats.org/officeDocument/2006/relationships/hyperlink" Target="https://doi.org/10.64861/DXLD8507" TargetMode="External"/><Relationship Id="rId142" Type="http://schemas.openxmlformats.org/officeDocument/2006/relationships/hyperlink" Target="https://doi.org/10.64861/QKCI9457" TargetMode="External"/><Relationship Id="rId165"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Deposit-Refund and Performance-Bond Instruments for End-of-Life Compliance: A Quantitative Identification of the Marginal Operator Response</dc:title>
  <dc:creator>Anton Falk (1B-SDA-074)</dc:creator>
  <cp:keywords/>
  <dcterms:created xsi:type="dcterms:W3CDTF">2026-07-04T01:37:46Z</dcterms:created>
  <dcterms:modified xsi:type="dcterms:W3CDTF">2026-07-04T01:37:46Z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