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5b39835063618c8f1940b9ae95ec117e9ca0876"/>
    <w:p>
      <w:pPr>
        <w:pStyle w:val="Heading1"/>
      </w:pPr>
      <w:r>
        <w:t xml:space="preserve">Attention Accumulation in Polluter Heterogeneity Attributing the Standing-Debris Stock to Actors, Eras, a: A Learning-Curve Analysis of Citation Growth by Article Age</w:t>
      </w:r>
    </w:p>
    <w:bookmarkStart w:id="61" w:name="introduction"/>
    <w:p>
      <w:pPr>
        <w:pStyle w:val="Heading2"/>
      </w:pPr>
      <w:r>
        <w:t xml:space="preserve">1. Introduction</w:t>
      </w:r>
    </w:p>
    <w:p>
      <w:pPr>
        <w:pStyle w:val="FirstParagraph"/>
      </w:pPr>
      <w:r>
        <w:t xml:space="preserve">This empirical paper supports Nadia Reyes (1B-SDA-168) and the dissertation project</w:t>
      </w:r>
      <w:r>
        <w:t xml:space="preserve"> </w:t>
      </w:r>
      <w:r>
        <w:rPr>
          <w:i/>
          <w:iCs/>
        </w:rPr>
        <w:t xml:space="preserve">Polluter Heterogeneity: Attributing the Standing-Debris Stock to Actors, Eras, a</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R2=0.01580823726100844, elasticity_b=-0.24517216707683273, progress_ratio_2^b=0.8437151035881119. The exact term summary is: const coef=1.1050752607821357 p=0.02477771215918421; _ln_x coef=-0.24517216707683273 p=0.40719049123047335.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Scott Steele, The Open University. Can International Law Provide a Basis for Actively Removing Space Debris? (2020). [AMOS]</w:t>
      </w:r>
      <w:r>
        <w:t xml:space="preserve"> </w:t>
      </w:r>
      <w:bookmarkStart w:id="68" w:name="ref-2"/>
      <w:bookmarkEnd w:id="68"/>
      <w:r>
        <w:t xml:space="preserve">2. Jaedong Seong, Korea Aerospace Research Institute (KARI); Okchul Jung, Korea Aerospace Research Institute (KARI); Youeyun Jung, Korea Aerospace Research Institute (KARI); Saehan Song, Korea Aerospace Research Institute (KARI). Development of VISION (Vigilant Integrated Space Information and mOnitoring Network): An Integrated Space Information Monitoring System for Space Flight Safety (2025). doi:</w:t>
      </w:r>
      <w:r>
        <w:t xml:space="preserve"> </w:t>
      </w:r>
      <w:hyperlink r:id="rId69">
        <w:r>
          <w:rPr>
            <w:rStyle w:val="Hyperlink"/>
          </w:rPr>
          <w:t xml:space="preserve">10.64861/OTAL2562</w:t>
        </w:r>
      </w:hyperlink>
      <w:r>
        <w:t xml:space="preserve"> </w:t>
      </w:r>
      <w:bookmarkStart w:id="70" w:name="ref-3"/>
      <w:bookmarkEnd w:id="70"/>
      <w:r>
        <w:t xml:space="preserve">3. Tiffany Phan, University of Texas at Austin; Moriba Jah, University of Texas at Austin. Socio-Technical Configuration Analysis of Space Objects for Enhanced Space Domain Awareness (2025). doi:</w:t>
      </w:r>
      <w:r>
        <w:t xml:space="preserve"> </w:t>
      </w:r>
      <w:hyperlink r:id="rId71">
        <w:r>
          <w:rPr>
            <w:rStyle w:val="Hyperlink"/>
          </w:rPr>
          <w:t xml:space="preserve">10.64861/GDIM2412</w:t>
        </w:r>
      </w:hyperlink>
      <w:r>
        <w:t xml:space="preserve"> </w:t>
      </w:r>
      <w:bookmarkStart w:id="72" w:name="ref-4"/>
      <w:bookmarkEnd w:id="72"/>
      <w:r>
        <w:t xml:space="preserve">4.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73">
        <w:r>
          <w:rPr>
            <w:rStyle w:val="Hyperlink"/>
          </w:rPr>
          <w:t xml:space="preserve">10.64861/EIBC5616</w:t>
        </w:r>
      </w:hyperlink>
      <w:r>
        <w:t xml:space="preserve"> </w:t>
      </w:r>
      <w:bookmarkStart w:id="74" w:name="ref-5"/>
      <w:bookmarkEnd w:id="74"/>
      <w:r>
        <w:t xml:space="preserve">5. Elisabeth Rachith, Laboratory of Astrophysics EPFL LASTRO, Observatoire de Sauverny; Belén Yu Irureta-Goyena, Laboratory of Astrophysics EPFL LASTRO, Observatoire de Sauverny; Jean-Paul Kneib, Laboratory of Astrophysics EPFL LASTRO, Observatoire de Sauverny. Detection Methods for the Statistical Analysis of the Population of Satellites and Space Debris from Astronomical Images (2022). [AMOS]</w:t>
      </w:r>
      <w:r>
        <w:t xml:space="preserve"> </w:t>
      </w:r>
      <w:bookmarkStart w:id="75" w:name="ref-6"/>
      <w:bookmarkEnd w:id="75"/>
      <w:r>
        <w:t xml:space="preserve">6. Philip A. Bland and the DFN Team, Curtin University. Adapting a Planetary Science Observational Facility for Space Situational Awareness (2016). [AMOS]</w:t>
      </w:r>
      <w:r>
        <w:t xml:space="preserve"> </w:t>
      </w:r>
      <w:bookmarkStart w:id="76" w:name="ref-7"/>
      <w:bookmarkEnd w:id="76"/>
      <w:r>
        <w:t xml:space="preserve">7. Islam I. Hussein, Trusted Space, Inc.; Thomas Kubancik, Trusted Space, Inc; Erin Griggs, Trusted Space, Inc.; Holly Borowski, Trusted Space, Inc.; Mark Bolden, Trusted Space, Inc.. Risk-Based Decision-Making for Space Traffic Management (2022). [AMOS]</w:t>
      </w:r>
      <w:r>
        <w:t xml:space="preserve"> </w:t>
      </w:r>
      <w:bookmarkStart w:id="77" w:name="ref-8"/>
      <w:bookmarkEnd w:id="77"/>
      <w:r>
        <w:t xml:space="preserve">8. Richard Linares, University of Minnesota, Roberto Furfaro, University of Arizona. An Autonomous Sensor Tasking Approach for Large Scale Space Object Cataloging (2017). [AMOS]</w:t>
      </w:r>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1.1051</w:t>
            </w:r>
          </w:p>
        </w:tc>
        <w:tc>
          <w:tcPr>
            <w:tcW w:w="0" w:type="auto"/>
          </w:tcPr>
          <w:p>
            <w:pPr>
              <w:spacing w:line="240" w:lineRule="auto" w:before="0" w:after="0"/>
              <w:pStyle w:val="Compact"/>
            </w:pPr>
            <w:r>
              <w:rPr>
                <w:sz w:val="20"/>
                <w:szCs w:val="20"/>
              </w:rPr>
              <w:t xml:space="preserve">0.4923</w:t>
            </w:r>
          </w:p>
        </w:tc>
        <w:tc>
          <w:tcPr>
            <w:tcW w:w="0" w:type="auto"/>
          </w:tcPr>
          <w:p>
            <w:pPr>
              <w:spacing w:line="240" w:lineRule="auto" w:before="0" w:after="0"/>
              <w:pStyle w:val="Compact"/>
            </w:pPr>
            <w:r>
              <w:rPr>
                <w:sz w:val="20"/>
                <w:szCs w:val="20"/>
              </w:rPr>
              <w:t xml:space="preserve">2.2449</w:t>
            </w:r>
          </w:p>
        </w:tc>
        <w:tc>
          <w:tcPr>
            <w:tcW w:w="0" w:type="auto"/>
          </w:tcPr>
          <w:p>
            <w:pPr>
              <w:spacing w:line="240" w:lineRule="auto" w:before="0" w:after="0"/>
              <w:pStyle w:val="Compact"/>
            </w:pPr>
            <w:r>
              <w:rPr>
                <w:sz w:val="20"/>
                <w:szCs w:val="20"/>
              </w:rPr>
              <w:t xml:space="preserve">0.0248</w:t>
            </w:r>
          </w:p>
        </w:tc>
        <w:tc>
          <w:tcPr>
            <w:tcW w:w="0" w:type="auto"/>
          </w:tcPr>
          <w:p>
            <w:pPr>
              <w:spacing w:line="240" w:lineRule="auto" w:before="0" w:after="0"/>
              <w:pStyle w:val="Compact"/>
            </w:pPr>
            <w:r>
              <w:rPr>
                <w:sz w:val="20"/>
                <w:szCs w:val="20"/>
              </w:rPr>
              <w:t xml:space="preserve">[0.1402, 2.0699]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-0.2452</w:t>
            </w:r>
          </w:p>
        </w:tc>
        <w:tc>
          <w:tcPr>
            <w:tcW w:w="0" w:type="auto"/>
          </w:tcPr>
          <w:p>
            <w:pPr>
              <w:spacing w:line="240" w:lineRule="auto" w:before="0" w:after="0"/>
              <w:pStyle w:val="Compact"/>
            </w:pPr>
            <w:r>
              <w:rPr>
                <w:sz w:val="20"/>
                <w:szCs w:val="20"/>
              </w:rPr>
              <w:t xml:space="preserve">0.2958</w:t>
            </w:r>
          </w:p>
        </w:tc>
        <w:tc>
          <w:tcPr>
            <w:tcW w:w="0" w:type="auto"/>
          </w:tcPr>
          <w:p>
            <w:pPr>
              <w:spacing w:line="240" w:lineRule="auto" w:before="0" w:after="0"/>
              <w:pStyle w:val="Compact"/>
            </w:pPr>
            <w:r>
              <w:rPr>
                <w:sz w:val="20"/>
                <w:szCs w:val="20"/>
              </w:rPr>
              <w:t xml:space="preserve">-0.8288</w:t>
            </w:r>
          </w:p>
        </w:tc>
        <w:tc>
          <w:tcPr>
            <w:tcW w:w="0" w:type="auto"/>
          </w:tcPr>
          <w:p>
            <w:pPr>
              <w:spacing w:line="240" w:lineRule="auto" w:before="0" w:after="0"/>
              <w:pStyle w:val="Compact"/>
            </w:pPr>
            <w:r>
              <w:rPr>
                <w:sz w:val="20"/>
                <w:szCs w:val="20"/>
              </w:rPr>
              <w:t xml:space="preserve">0.4072</w:t>
            </w:r>
          </w:p>
        </w:tc>
        <w:tc>
          <w:tcPr>
            <w:tcW w:w="0" w:type="auto"/>
          </w:tcPr>
          <w:p>
            <w:pPr>
              <w:spacing w:line="240" w:lineRule="auto" w:before="0" w:after="0"/>
              <w:pStyle w:val="Compact"/>
            </w:pPr>
            <w:r>
              <w:rPr>
                <w:sz w:val="20"/>
                <w:szCs w:val="20"/>
              </w:rPr>
              <w:t xml:space="preserve">[-0.8249, 0.3346]</w:t>
            </w:r>
          </w:p>
        </w:tc>
      </w:tr>
    </w:tbl>
    <w:p>
      <w:pPr>
        <w:pStyle w:val="BodyText"/>
      </w:pPr>
      <w:r>
        <w:t xml:space="preserve">Fit: N = 30 R2 = 0.0158 elasticity_b = -0.2452 progress_ratio_2^b = 0.8437</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DEBRIS_09\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10.64861/GDIM2412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https://amostech.space/year/2022/detection-methods-for-the-statistical-analysis-of-the-population-of-satellites-and-space-debris-from-astronomical-images/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https://amostech.space/year/2016/adapting-a-planetary-science-observational-facility-for-space-situational-awareness/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https://amostech.space/year/2022/risk-based-decision-making-for-space-traffic-management/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https://amostech.space/year/2017/an-autonomous-sensor-tasking-approach-for-large-scale-space-object-cataloging/</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https://amostech.space/year/2017/debris-object-orbit-initialization-using-the-probabilistic-admissible-region-with-asynchronous-heterogeneous-observations/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https://amostech.space/year/2013/on-orbit-results-for-canadas-sapphire-optical-payload/</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https://amostech.space/year/2021/a-complete-ssa-scheme-for-a-sustainable-low-earth-orbit-space-data-aggregation-and-ia-combined-with-in-orbit-inspection/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https://amostech.space/year/2018/pomenis-a-small-portable-astrograph-for-synoptic-ssa/</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10.1016/j.actaastro.2023.12.060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10.1016/j.actaastro.2025.06.052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10.1016/j.actaastro.2024.02.024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10.1016/j.actaastro.2024.06.046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Design Principles for Global Commons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10.18352/ijc.305</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H�yhty� et al., �Sustainable satellite communications in the 6G era: A european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1.1051</w:t>
            </w:r>
          </w:p>
        </w:tc>
        <w:tc>
          <w:tcPr>
            <w:tcW w:w="0" w:type="auto"/>
          </w:tcPr>
          <w:p>
            <w:pPr>
              <w:spacing w:line="240" w:lineRule="auto" w:before="0" w:after="0"/>
              <w:pStyle w:val="Compact"/>
            </w:pPr>
            <w:r>
              <w:rPr>
                <w:sz w:val="20"/>
                <w:szCs w:val="20"/>
              </w:rPr>
              <w:t xml:space="preserve">0.4923</w:t>
            </w:r>
          </w:p>
        </w:tc>
        <w:tc>
          <w:tcPr>
            <w:tcW w:w="0" w:type="auto"/>
          </w:tcPr>
          <w:p>
            <w:pPr>
              <w:spacing w:line="240" w:lineRule="auto" w:before="0" w:after="0"/>
              <w:pStyle w:val="Compact"/>
            </w:pPr>
            <w:r>
              <w:rPr>
                <w:sz w:val="20"/>
                <w:szCs w:val="20"/>
              </w:rPr>
              <w:t xml:space="preserve">2.2449</w:t>
            </w:r>
          </w:p>
        </w:tc>
        <w:tc>
          <w:tcPr>
            <w:tcW w:w="0" w:type="auto"/>
          </w:tcPr>
          <w:p>
            <w:pPr>
              <w:spacing w:line="240" w:lineRule="auto" w:before="0" w:after="0"/>
              <w:pStyle w:val="Compact"/>
            </w:pPr>
            <w:r>
              <w:rPr>
                <w:sz w:val="20"/>
                <w:szCs w:val="20"/>
              </w:rPr>
              <w:t xml:space="preserve">0.0248</w:t>
            </w:r>
          </w:p>
        </w:tc>
        <w:tc>
          <w:tcPr>
            <w:tcW w:w="0" w:type="auto"/>
          </w:tcPr>
          <w:p>
            <w:pPr>
              <w:spacing w:line="240" w:lineRule="auto" w:before="0" w:after="0"/>
              <w:pStyle w:val="Compact"/>
            </w:pPr>
            <w:r>
              <w:rPr>
                <w:sz w:val="20"/>
                <w:szCs w:val="20"/>
              </w:rPr>
              <w:t xml:space="preserve">[0.1402, 2.0699]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-0.2452</w:t>
            </w:r>
          </w:p>
        </w:tc>
        <w:tc>
          <w:tcPr>
            <w:tcW w:w="0" w:type="auto"/>
          </w:tcPr>
          <w:p>
            <w:pPr>
              <w:spacing w:line="240" w:lineRule="auto" w:before="0" w:after="0"/>
              <w:pStyle w:val="Compact"/>
            </w:pPr>
            <w:r>
              <w:rPr>
                <w:sz w:val="20"/>
                <w:szCs w:val="20"/>
              </w:rPr>
              <w:t xml:space="preserve">0.2958</w:t>
            </w:r>
          </w:p>
        </w:tc>
        <w:tc>
          <w:tcPr>
            <w:tcW w:w="0" w:type="auto"/>
          </w:tcPr>
          <w:p>
            <w:pPr>
              <w:spacing w:line="240" w:lineRule="auto" w:before="0" w:after="0"/>
              <w:pStyle w:val="Compact"/>
            </w:pPr>
            <w:r>
              <w:rPr>
                <w:sz w:val="20"/>
                <w:szCs w:val="20"/>
              </w:rPr>
              <w:t xml:space="preserve">-0.8288</w:t>
            </w:r>
          </w:p>
        </w:tc>
        <w:tc>
          <w:tcPr>
            <w:tcW w:w="0" w:type="auto"/>
          </w:tcPr>
          <w:p>
            <w:pPr>
              <w:spacing w:line="240" w:lineRule="auto" w:before="0" w:after="0"/>
              <w:pStyle w:val="Compact"/>
            </w:pPr>
            <w:r>
              <w:rPr>
                <w:sz w:val="20"/>
                <w:szCs w:val="20"/>
              </w:rPr>
              <w:t xml:space="preserve">0.4072</w:t>
            </w:r>
          </w:p>
        </w:tc>
        <w:tc>
          <w:tcPr>
            <w:tcW w:w="0" w:type="auto"/>
          </w:tcPr>
          <w:p>
            <w:pPr>
              <w:spacing w:line="240" w:lineRule="auto" w:before="0" w:after="0"/>
              <w:pStyle w:val="Compact"/>
            </w:pPr>
            <w:r>
              <w:rPr>
                <w:sz w:val="20"/>
                <w:szCs w:val="20"/>
              </w:rPr>
              <w:t xml:space="preserve">[-0.8249, 0.3346]</w:t>
            </w:r>
          </w:p>
        </w:tc>
      </w:tr>
    </w:tbl>
    <w:p>
      <w:pPr>
        <w:pStyle w:val="BodyText"/>
      </w:pPr>
      <w:r>
        <w:t xml:space="preserve">Fit: N = 30 R2 = 0.0158 elasticity_b = -0.2452 progress_ratio_2^b = 0.8437</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3" Target="https://doi.org/10.64861/EIBC5616" TargetMode="External" /><Relationship Type="http://schemas.openxmlformats.org/officeDocument/2006/relationships/hyperlink" Id="rId71" Target="https://doi.org/10.64861/GDIM2412" TargetMode="External" /><Relationship Type="http://schemas.openxmlformats.org/officeDocument/2006/relationships/hyperlink" Id="rId69" Target="https://doi.org/10.64861/OTAL2562"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EIBC5616" TargetMode="External" /><Relationship Type="http://schemas.openxmlformats.org/officeDocument/2006/relationships/hyperlink" Id="rId71" Target="https://doi.org/10.64861/GDIM2412" TargetMode="External" /><Relationship Type="http://schemas.openxmlformats.org/officeDocument/2006/relationships/hyperlink" Id="rId69" Target="https://doi.org/10.64861/OTAL256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2026-06-28T19:48:22Z</dcterms:created>
  <dcterms:modified xsi:type="dcterms:W3CDTF">2026-06-28T19:48:22Z</dcterms:modified>
</cp:coreProperties>
</file>

<file path=docProps/custom.xml><?xml version="1.0" encoding="utf-8"?>
<Properties xmlns="http://schemas.openxmlformats.org/officeDocument/2006/custom-properties" xmlns:vt="http://schemas.openxmlformats.org/officeDocument/2006/docPropsVTypes"/>
</file>