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POLLUTER HETEROGENEITY: ATTRIBUTING THE STANDING-DEBRIS STOCK TO ACTORS, ERAS, A</w:t>
      </w:r>
    </w:p>
    <w:p>
      <w:pPr>
        <w:jc w:val="center"/>
      </w:pPr>
    </w:p>
    <w:p>
      <w:pPr>
        <w:jc w:val="center"/>
      </w:pPr>
      <w:r>
        <w:rPr>
          <w:rFonts w:ascii="Times New Roman" w:hAnsi="Times New Roman"/>
          <w:sz w:val="24"/>
        </w:rPr>
        <w:t>by</w:t>
      </w:r>
    </w:p>
    <w:p>
      <w:pPr>
        <w:jc w:val="center"/>
      </w:pPr>
      <w:r>
        <w:rPr>
          <w:rFonts w:ascii="Times New Roman" w:hAnsi="Times New Roman"/>
          <w:b/>
          <w:sz w:val="28"/>
        </w:rPr>
        <w:t>Nadia Reyes</w:t>
      </w:r>
    </w:p>
    <w:p>
      <w:pPr>
        <w:jc w:val="center"/>
      </w:pPr>
      <w:r>
        <w:rPr>
          <w:rFonts w:ascii="Times New Roman" w:hAnsi="Times New Roman"/>
          <w:sz w:val="24"/>
        </w:rPr>
        <w:t>1B-SDA-168</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1" w:name="chapter-1.-introduction"/>
    <w:p>
      <w:pPr>
        <w:pStyle w:val="Heading1"/>
        <w:spacing w:line="480" w:lineRule="auto"/>
      </w:pPr>
      <w:r>
        <w:t xml:space="preserve">Chapter 1. Introduction</w:t>
      </w:r>
    </w:p>
    <w:p>
      <w:pPr>
        <w:pStyle w:val="FirstParagraph"/>
        <w:spacing w:line="480" w:lineRule="auto"/>
      </w:pPr>
      <w:r>
        <w:t xml:space="preserve">Orbital debris did not fall out of the sky by chance. Every fragment above the Karman line got there because some actor, working in some era, ran some identifiable program. So attribution is possible in principle. The harder matter, and the one this dissertation confronts, is whether it stays possible in practice once a doctoral researcher is confined to the evidence he can actually lay hands on. Nadia Reyes puts the problem without dressing it up: the debris population is heterogeneous in its origins, and that heterogeneity is really a fact about who acted, when, and under which governing rules</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Two intuitions pull against each other here. One treats responsibility for the debris environment as diffuse, a tragedy of the commons where no operator can fairly be singled out. The other holds that a handful of state and commercial actors, launching across a few decades, account for most of the standing hazard. The stories are not interchangeable. They point toward different remedies, different liability regimes, and different diplomatic postures at the multilateral level</w:t>
      </w:r>
      <w:r>
        <w:t xml:space="preserve"> </w:t>
      </w:r>
      <w:hyperlink w:anchor="ref-1">
        <w:r>
          <w:rPr>
            <w:rStyle w:val="Hyperlink"/>
          </w:rPr>
          <w:t xml:space="preserve">[1]</w:t>
        </w:r>
      </w:hyperlink>
      <w:r>
        <w:t xml:space="preserve"> </w:t>
      </w:r>
      <w:hyperlink w:anchor="ref-3">
        <w:r>
          <w:rPr>
            <w:rStyle w:val="Hyperlink"/>
          </w:rPr>
          <w:t xml:space="preserve">[3]</w:t>
        </w:r>
      </w:hyperlink>
      <w:r>
        <w:t xml:space="preserve">. This study does not try to referee the whole policy contest. Its question is narrower and, deliberately, more disciplined: does the documentary and bibliometric record a researcher can retrieve actually carry a measurable signal about polluter heterogeneity, or does the topic dissolve into noise the moment an exact test is applied to it?</w:t>
      </w:r>
    </w:p>
    <w:p>
      <w:pPr>
        <w:pStyle w:val="BodyText"/>
        <w:spacing w:line="480" w:lineRule="auto"/>
        <w:ind w:firstLine="720"/>
      </w:pPr>
      <w:r>
        <w:t xml:space="preserve">The reframing is chosen on purpose. A dissertation can clarify an evidentiary chain, or it can dress a weak inference in confident prose. This one takes the first road. Every number becomes the output of an auditable estimator, and every substantive claim stays conditional on the records the candidate could reach. Nothing is asserted on faith.</w:t>
      </w:r>
    </w:p>
    <w:bookmarkStart w:id="61" w:name="the-problem-and-why-it-matters"/>
    <w:p>
      <w:pPr>
        <w:pStyle w:val="Heading2"/>
        <w:spacing w:line="480" w:lineRule="auto"/>
      </w:pPr>
      <w:r>
        <w:t xml:space="preserve">1.1 The problem and why it matters</w:t>
      </w:r>
    </w:p>
    <w:p>
      <w:pPr>
        <w:pStyle w:val="FirstParagraph"/>
        <w:spacing w:line="480" w:lineRule="auto"/>
      </w:pPr>
      <w:r>
        <w:t xml:space="preserve">Space governance problems have a habit of becoming visible well before institutions settle on the operating rule that would contain them. Debris is the textbook case. For decades the technical communities have tracked, cataloged, and modeled the resident space object population, and yet the governance language around attribution and responsibility stays loose, hedged, and slow to harden</w:t>
      </w:r>
      <w:r>
        <w:t xml:space="preserve"> </w:t>
      </w:r>
      <w:hyperlink w:anchor="ref-1">
        <w:r>
          <w:rPr>
            <w:rStyle w:val="Hyperlink"/>
          </w:rPr>
          <w:t xml:space="preserve">[1]</w:t>
        </w:r>
      </w:hyperlink>
      <w:r>
        <w:t xml:space="preserve"> </w:t>
      </w:r>
      <w:hyperlink w:anchor="ref-7">
        <w:r>
          <w:rPr>
            <w:rStyle w:val="Hyperlink"/>
          </w:rPr>
          <w:t xml:space="preserve">[7]</w:t>
        </w:r>
      </w:hyperlink>
      <w:r>
        <w:t xml:space="preserve">. That lag is where the practical stakes sit. Concentrate the standing hazard in a knowable set of actors and eras, and attribution becomes a lever for remediation policy, for liability, and for the design of active removal missions</w:t>
      </w:r>
      <w:r>
        <w:t xml:space="preserve"> </w:t>
      </w:r>
      <w:hyperlink w:anchor="ref-1">
        <w:r>
          <w:rPr>
            <w:rStyle w:val="Hyperlink"/>
          </w:rPr>
          <w:t xml:space="preserve">[1]</w:t>
        </w:r>
      </w:hyperlink>
      <w:r>
        <w:t xml:space="preserve">. Leave the hazard genuinely diffuse, and attribution-based remedies point the wrong way, with effort owed elsewhere.</w:t>
      </w:r>
    </w:p>
    <w:p>
      <w:pPr>
        <w:pStyle w:val="BodyText"/>
        <w:spacing w:line="480" w:lineRule="auto"/>
        <w:ind w:firstLine="720"/>
      </w:pPr>
      <w:r>
        <w:t xml:space="preserve">This is not an academic distinction. Active debris removal runs expensive, legally contested, and politically raw, because to remove an object is to touch hardware some state still claims</w:t>
      </w:r>
      <w:r>
        <w:t xml:space="preserve"> </w:t>
      </w:r>
      <w:hyperlink w:anchor="ref-1">
        <w:r>
          <w:rPr>
            <w:rStyle w:val="Hyperlink"/>
          </w:rPr>
          <w:t xml:space="preserve">[1]</w:t>
        </w:r>
      </w:hyperlink>
      <w:r>
        <w:t xml:space="preserve">. Sensor tasking and cataloging budgets run finite, so the community has to choose which orbital regimes and which object classes earn scarce observing time</w:t>
      </w:r>
      <w:r>
        <w:t xml:space="preserve"> </w:t>
      </w:r>
      <w:hyperlink w:anchor="ref-8">
        <w:r>
          <w:rPr>
            <w:rStyle w:val="Hyperlink"/>
          </w:rPr>
          <w:t xml:space="preserve">[8]</w:t>
        </w:r>
      </w:hyperlink>
      <w:r>
        <w:t xml:space="preserve">. Decision frameworks for space traffic management already ration attention under uncertainty</w:t>
      </w:r>
      <w:r>
        <w:t xml:space="preserve"> </w:t>
      </w:r>
      <w:hyperlink w:anchor="ref-7">
        <w:r>
          <w:rPr>
            <w:rStyle w:val="Hyperlink"/>
          </w:rPr>
          <w:t xml:space="preserve">[7]</w:t>
        </w:r>
      </w:hyperlink>
      <w:r>
        <w:t xml:space="preserve">. Each of those choices runs cleaner when the debris population can be tied with confidence to actors and eras, and each collapses into a guessing game when it cannot.</w:t>
      </w:r>
    </w:p>
    <w:p>
      <w:pPr>
        <w:pStyle w:val="BodyText"/>
        <w:spacing w:line="480" w:lineRule="auto"/>
        <w:ind w:firstLine="720"/>
      </w:pPr>
      <w:r>
        <w:t xml:space="preserve">Reyes plants the inquiry inside that operational reality rather than hovering above it. The debris environment is a socio-technical system, and its present configuration is the residue of decades of launch behavior by heterogeneous operators</w:t>
      </w:r>
      <w:r>
        <w:t xml:space="preserve"> </w:t>
      </w:r>
      <w:hyperlink w:anchor="ref-3">
        <w:r>
          <w:rPr>
            <w:rStyle w:val="Hyperlink"/>
          </w:rPr>
          <w:t xml:space="preserve">[3]</w:t>
        </w:r>
      </w:hyperlink>
      <w:r>
        <w:t xml:space="preserve">. In geostationary orbit, attribution has been shown to carry strategic weight, since the ability to assign responsibility for a collision or a fragmentation feeds directly into deterrence and escalation dynamics</w:t>
      </w:r>
      <w:r>
        <w:t xml:space="preserve"> </w:t>
      </w:r>
      <w:hyperlink w:anchor="ref-4">
        <w:r>
          <w:rPr>
            <w:rStyle w:val="Hyperlink"/>
          </w:rPr>
          <w:t xml:space="preserve">[4]</w:t>
        </w:r>
      </w:hyperlink>
      <w:r>
        <w:t xml:space="preserve">. Who owns the mess is not a bookkeeping question. It sits close to the center of whether the orbital commons can be governed at all</w:t>
      </w:r>
      <w:r>
        <w:t xml:space="preserve"> </w:t>
      </w:r>
      <w:hyperlink w:anchor="ref-16">
        <w:r>
          <w:rPr>
            <w:rStyle w:val="Hyperlink"/>
          </w:rPr>
          <w:t xml:space="preserve">[16]</w:t>
        </w:r>
      </w:hyperlink>
      <w:r>
        <w:t xml:space="preserve">.</w:t>
      </w:r>
    </w:p>
    <w:bookmarkEnd w:id="61"/>
    <w:bookmarkStart w:id="62" w:name="the-single-falsifiable-contribution"/>
    <w:p>
      <w:pPr>
        <w:pStyle w:val="Heading2"/>
        <w:spacing w:line="480" w:lineRule="auto"/>
      </w:pPr>
      <w:r>
        <w:t xml:space="preserve">1.2 The single falsifiable contribution</w:t>
      </w:r>
    </w:p>
    <w:p>
      <w:pPr>
        <w:pStyle w:val="FirstParagraph"/>
        <w:spacing w:line="480" w:lineRule="auto"/>
      </w:pPr>
      <w:r>
        <w:t xml:space="preserve">The contribution is bounded, and bounded by choice. What this dissertation proposes is one document-level test, and what it reports is only the deterministic output the empirical workbooks produce. Stated as a null against its alternative, the falsifiable claim reads as follows.</w:t>
      </w:r>
    </w:p>
    <w:p>
      <w:pPr>
        <w:pStyle w:val="BodyText"/>
        <w:spacing w:line="480" w:lineRule="auto"/>
        <w:ind w:firstLine="720"/>
      </w:pPr>
      <w:r>
        <w:t xml:space="preserve">H0: the candidate topic signal is unrelated to publication recency, citation attention, and venue family in the retrieved source corpus.</w:t>
      </w:r>
    </w:p>
    <w:p>
      <w:pPr>
        <w:pStyle w:val="BodyText"/>
        <w:spacing w:line="480" w:lineRule="auto"/>
        <w:ind w:firstLine="720"/>
      </w:pPr>
      <w:r>
        <w:t xml:space="preserve">H1: the candidate topic signal is systematically related to publication recency, citation attention, and venue family in the retrieved source corpus.</w:t>
      </w:r>
    </w:p>
    <w:p>
      <w:pPr>
        <w:pStyle w:val="BodyText"/>
        <w:spacing w:line="480" w:lineRule="auto"/>
        <w:ind w:firstLine="720"/>
      </w:pPr>
      <w:r>
        <w:t xml:space="preserve">Put this way, the test can fail, which is exactly the point. A design that cannot be falsified is not a contribution but a mood. Should the retrieved corpus carry a genuine, structured signal about how the polluter-heterogeneity topic distributes across time, attention, and venue, the estimators will surface it. Should the topic turn out to be a broad intuition that evaporates under measurement, the estimators will hand back weak, imprecise, or unstable associations, and the honest reading becomes that the documentary record does not yet support a strong attributional claim</w:t>
      </w:r>
      <w:r>
        <w:t xml:space="preserve"> </w:t>
      </w:r>
      <w:hyperlink w:anchor="ref-2">
        <w:r>
          <w:rPr>
            <w:rStyle w:val="Hyperlink"/>
          </w:rPr>
          <w:t xml:space="preserve">[2]</w:t>
        </w:r>
      </w:hyperlink>
      <w:r>
        <w:t xml:space="preserve"> </w:t>
      </w:r>
      <w:hyperlink w:anchor="ref-5">
        <w:r>
          <w:rPr>
            <w:rStyle w:val="Hyperlink"/>
          </w:rPr>
          <w:t xml:space="preserve">[5]</w:t>
        </w:r>
      </w:hyperlink>
      <w:r>
        <w:t xml:space="preserve">. Both outcomes teach something. A negative result disciplines the field by marking exactly where a more direct document-coding design would have to precede any assertion of attribution.</w:t>
      </w:r>
    </w:p>
    <w:bookmarkEnd w:id="62"/>
    <w:bookmarkStart w:id="63" w:name="the-empirical-spine"/>
    <w:p>
      <w:pPr>
        <w:pStyle w:val="Heading2"/>
        <w:spacing w:line="480" w:lineRule="auto"/>
      </w:pPr>
      <w:r>
        <w:t xml:space="preserve">1.3 The empirical spine</w:t>
      </w:r>
    </w:p>
    <w:p>
      <w:pPr>
        <w:pStyle w:val="FirstParagraph"/>
        <w:spacing w:line="480" w:lineRule="auto"/>
      </w:pPr>
      <w:r>
        <w:t xml:space="preserve">Two research papers carry the empirical weight, and they complement rather than substitute for each other, because each interrogates a different kind of structure in the same corpus.</w:t>
      </w:r>
    </w:p>
    <w:p>
      <w:pPr>
        <w:pStyle w:val="BodyText"/>
        <w:spacing w:line="480" w:lineRule="auto"/>
        <w:ind w:firstLine="720"/>
      </w:pPr>
      <w:r>
        <w:t xml:space="preserve">Paper 1 works on cross-sectional structure. Its question is whether a composite topic-signal score, built deterministically from theme-term hits in each retrieved record, moves with publication recency, reported citation attention, and venue family. The estimator is ordinary least squares with robust standard errors, fit on thirty retrieved source records</w:t>
      </w:r>
      <w:r>
        <w:t xml:space="preserve"> </w:t>
      </w:r>
      <w:hyperlink w:anchor="ref-3">
        <w:r>
          <w:rPr>
            <w:rStyle w:val="Hyperlink"/>
          </w:rPr>
          <w:t xml:space="preserve">[3]</w:t>
        </w:r>
      </w:hyperlink>
      <w:r>
        <w:t xml:space="preserve"> </w:t>
      </w:r>
      <w:hyperlink w:anchor="ref-6">
        <w:r>
          <w:rPr>
            <w:rStyle w:val="Hyperlink"/>
          </w:rPr>
          <w:t xml:space="preserve">[6]</w:t>
        </w:r>
      </w:hyperlink>
      <w:r>
        <w:t xml:space="preserve">. What it probes is whether the topic has grown more visible along any of those three axes.</w:t>
      </w:r>
    </w:p>
    <w:p>
      <w:pPr>
        <w:pStyle w:val="BodyText"/>
        <w:spacing w:line="480" w:lineRule="auto"/>
        <w:ind w:firstLine="720"/>
      </w:pPr>
      <w:r>
        <w:t xml:space="preserve">Paper 2 works on accumulation over time. Its question is whether citation attention grows or decays as a function of article age, and it answers with a log-log learning-curve specification on the same thirty records</w:t>
      </w:r>
      <w:r>
        <w:t xml:space="preserve"> </w:t>
      </w:r>
      <w:hyperlink w:anchor="ref-8">
        <w:r>
          <w:rPr>
            <w:rStyle w:val="Hyperlink"/>
          </w:rPr>
          <w:t xml:space="preserve">[8]</w:t>
        </w:r>
      </w:hyperlink>
      <w:r>
        <w:t xml:space="preserve">. Where Paper 1 photographs the corpus at a moment, Paper 2 watches attention accrue as documents age. Read together, the two hand the dissertation a two-sided empirical posture, one lens trained on structure and one on dynamics.</w:t>
      </w:r>
    </w:p>
    <w:p>
      <w:pPr>
        <w:pStyle w:val="BodyText"/>
        <w:spacing w:line="480" w:lineRule="auto"/>
        <w:ind w:firstLine="720"/>
      </w:pPr>
      <w:r>
        <w:t xml:space="preserve">Neither paper settles the full policy question, and neither pretends it does. Their job is to discipline the evidence, to show which parts of the polluter-heterogeneity claim already surface in retrievable metadata and which parts still wait on a purpose-built coding instrument</w:t>
      </w:r>
      <w:r>
        <w:t xml:space="preserve"> </w:t>
      </w:r>
      <w:hyperlink w:anchor="ref-4">
        <w:r>
          <w:rPr>
            <w:rStyle w:val="Hyperlink"/>
          </w:rPr>
          <w:t xml:space="preserve">[4]</w:t>
        </w:r>
      </w:hyperlink>
      <w:r>
        <w:t xml:space="preserve">.</w:t>
      </w:r>
    </w:p>
    <w:bookmarkEnd w:id="63"/>
    <w:bookmarkStart w:id="64" w:name="data-and-provenance-in-brief"/>
    <w:p>
      <w:pPr>
        <w:pStyle w:val="Heading2"/>
        <w:spacing w:line="480" w:lineRule="auto"/>
      </w:pPr>
      <w:r>
        <w:t xml:space="preserve">1.4 Data and provenance in brief</w:t>
      </w:r>
    </w:p>
    <w:p>
      <w:pPr>
        <w:pStyle w:val="FirstParagraph"/>
        <w:spacing w:line="480" w:lineRule="auto"/>
      </w:pPr>
      <w:r>
        <w:t xml:space="preserve">The evidence base is a candidate-specific source corpus, drawn together from local technical, governance, and policy records that span conference proceedings, peer-reviewed journal articles, and commons-theory literature</w:t>
      </w:r>
      <w:r>
        <w:t xml:space="preserve"> </w:t>
      </w:r>
      <w:hyperlink w:anchor="ref-1">
        <w:r>
          <w:rPr>
            <w:rStyle w:val="Hyperlink"/>
          </w:rPr>
          <w:t xml:space="preserve">[1]</w:t>
        </w:r>
      </w:hyperlink>
      <w:r>
        <w:t xml:space="preserve"> </w:t>
      </w:r>
      <w:hyperlink w:anchor="ref-16">
        <w:r>
          <w:rPr>
            <w:rStyle w:val="Hyperlink"/>
          </w:rPr>
          <w:t xml:space="preserve">[16]</w:t>
        </w:r>
      </w:hyperlink>
      <w:r>
        <w:t xml:space="preserve">. Because every observation in the estimation files keeps a source column, the workbooks stay auditable from one end to the other. A reader can walk a coefficient back to the rows that produced it, and each row back to the document it encodes. That traceability is the methodological spine of the whole project, and Chapter 5 lays it out in full.</w:t>
      </w:r>
    </w:p>
    <w:p>
      <w:pPr>
        <w:pStyle w:val="BodyText"/>
        <w:spacing w:line="480" w:lineRule="auto"/>
        <w:ind w:firstLine="720"/>
      </w:pPr>
      <w:r>
        <w:t xml:space="preserve">Provenance also fences in the claims. Citation counts come from a local index rather than a universal citation service, so what they measure is attention as one system recorded it, not attention in the abstract</w:t>
      </w:r>
      <w:r>
        <w:t xml:space="preserve"> </w:t>
      </w:r>
      <w:hyperlink w:anchor="ref-5">
        <w:r>
          <w:rPr>
            <w:rStyle w:val="Hyperlink"/>
          </w:rPr>
          <w:t xml:space="preserve">[5]</w:t>
        </w:r>
      </w:hyperlink>
      <w:r>
        <w:t xml:space="preserve">. Venue-family coding is ordinal and coarse. None of this is fatal, but all of it is real, and the dissertation carries these features forward into every interpretation instead of burying them.</w:t>
      </w:r>
    </w:p>
    <w:bookmarkEnd w:id="64"/>
    <w:bookmarkStart w:id="65" w:name="roadmap"/>
    <w:p>
      <w:pPr>
        <w:pStyle w:val="Heading2"/>
        <w:spacing w:line="480" w:lineRule="auto"/>
      </w:pPr>
      <w:r>
        <w:t xml:space="preserve">1.5 Roadmap</w:t>
      </w:r>
    </w:p>
    <w:p>
      <w:pPr>
        <w:pStyle w:val="FirstParagraph"/>
        <w:spacing w:line="480" w:lineRule="auto"/>
      </w:pPr>
      <w:r>
        <w:t xml:space="preserve">Seven further chapters carry the argument. Chapter 2 sets the study against prior work on debris governance, attribution, detection, and space sustainability, drawing the line between what that literature settles and what it leaves open</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16">
        <w:r>
          <w:rPr>
            <w:rStyle w:val="Hyperlink"/>
          </w:rPr>
          <w:t xml:space="preserve">[16]</w:t>
        </w:r>
      </w:hyperlink>
      <w:r>
        <w:t xml:space="preserve">. Chapter 3 develops the mechanism, the reason a real attributional structure in the world should leave a measurable trace in the documentary record, and it derives the testable predictions that follow. Chapter 4 lays out the estimators and the identification logic, explaining why ordinary least squares and a learning-curve specification suit a corpus-screen design</w:t>
      </w:r>
      <w:r>
        <w:t xml:space="preserve"> </w:t>
      </w:r>
      <w:hyperlink w:anchor="ref-7">
        <w:r>
          <w:rPr>
            <w:rStyle w:val="Hyperlink"/>
          </w:rPr>
          <w:t xml:space="preserve">[7]</w:t>
        </w:r>
      </w:hyperlink>
      <w:r>
        <w:t xml:space="preserve"> </w:t>
      </w:r>
      <w:hyperlink w:anchor="ref-8">
        <w:r>
          <w:rPr>
            <w:rStyle w:val="Hyperlink"/>
          </w:rPr>
          <w:t xml:space="preserve">[8]</w:t>
        </w:r>
      </w:hyperlink>
      <w:r>
        <w:t xml:space="preserve">. Chapter 5 documents the dataset, the variable construction rules, the sources, and the sample size in full. Chapter 6 reports the estimator output as the workbooks produced it and reads the signs and magnitudes. Chapter 7 turns to discussion and limitations, separating what the findings mean from what the data cannot show</w:t>
      </w:r>
      <w:r>
        <w:t xml:space="preserve"> </w:t>
      </w:r>
      <w:hyperlink w:anchor="ref-4">
        <w:r>
          <w:rPr>
            <w:rStyle w:val="Hyperlink"/>
          </w:rPr>
          <w:t xml:space="preserve">[4]</w:t>
        </w:r>
      </w:hyperlink>
      <w:r>
        <w:t xml:space="preserve"> </w:t>
      </w:r>
      <w:hyperlink w:anchor="ref-5">
        <w:r>
          <w:rPr>
            <w:rStyle w:val="Hyperlink"/>
          </w:rPr>
          <w:t xml:space="preserve">[5]</w:t>
        </w:r>
      </w:hyperlink>
      <w:r>
        <w:t xml:space="preserve">. Chapter 8 states the contribution, its governance and program relevance, and the next step in the empirical program</w:t>
      </w:r>
      <w:r>
        <w:t xml:space="preserve"> </w:t>
      </w:r>
      <w:hyperlink w:anchor="ref-1">
        <w:r>
          <w:rPr>
            <w:rStyle w:val="Hyperlink"/>
          </w:rPr>
          <w:t xml:space="preserve">[1]</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Whoever finishes this dissertation should be able to rebuild the entire chain, from source selection through variable construction to estimator output and final interpretation, without taking a single claim on trust. That is the standard the design holds itself to, and it is the standard against which the following chapters ask to be judged.</w:t>
      </w:r>
    </w:p>
    <w:bookmarkEnd w:id="65"/>
    <w:bookmarkStart w:id="66" w:name="X4e1c2ac521d98a27eda2c11284e219cd41aceea"/>
    <w:p>
      <w:pPr>
        <w:pStyle w:val="Heading2"/>
        <w:spacing w:line="480" w:lineRule="auto"/>
      </w:pPr>
      <w:r>
        <w:t xml:space="preserve">1.6 Why a corpus screen, and not a bigger claim</w:t>
      </w:r>
    </w:p>
    <w:p>
      <w:pPr>
        <w:pStyle w:val="FirstParagraph"/>
        <w:spacing w:line="480" w:lineRule="auto"/>
      </w:pPr>
      <w:r>
        <w:t xml:space="preserve">A reader might reasonably wonder why a dissertation on so consequential a subject boxes itself into a screen of retrievable metadata rather than a direct census of the debris population. The answer comes down to honesty about what a doctoral researcher can obtain. A small number of state and quasi-state sensor networks maintain the physical catalog of resident space objects, and the launch records that map an object to its originating program lie scattered across registries with uneven completeness and access</w:t>
      </w:r>
      <w:r>
        <w:t xml:space="preserve"> </w:t>
      </w:r>
      <w:hyperlink w:anchor="ref-2">
        <w:r>
          <w:rPr>
            <w:rStyle w:val="Hyperlink"/>
          </w:rPr>
          <w:t xml:space="preserve">[2]</w:t>
        </w:r>
      </w:hyperlink>
      <w:r>
        <w:t xml:space="preserve"> </w:t>
      </w:r>
      <w:hyperlink w:anchor="ref-8">
        <w:r>
          <w:rPr>
            <w:rStyle w:val="Hyperlink"/>
          </w:rPr>
          <w:t xml:space="preserve">[8]</w:t>
        </w:r>
      </w:hyperlink>
      <w:r>
        <w:t xml:space="preserve">. Anyone claiming to attribute the standing stock directly, from those records, would be claiming access to instrumentation and provenance data that the sensing literature itself treats as hard-won and incomplete</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screen is the modest thing that can be done well, in place of the grand thing that would be done badly.</w:t>
      </w:r>
    </w:p>
    <w:p>
      <w:pPr>
        <w:pStyle w:val="BodyText"/>
        <w:spacing w:line="480" w:lineRule="auto"/>
        <w:ind w:firstLine="720"/>
      </w:pPr>
      <w:r>
        <w:t xml:space="preserve">A second reason is methodological rather than practical. A screen of the documentary record answers a prior question the grand claim skips right over. Before anyone asserts that the field knows how the debris hazard distributes across actors and eras, it pays to ask whether the field has organized its own attention around that distribution in the first place</w:t>
      </w:r>
      <w:r>
        <w:t xml:space="preserve"> </w:t>
      </w:r>
      <w:hyperlink w:anchor="ref-3">
        <w:r>
          <w:rPr>
            <w:rStyle w:val="Hyperlink"/>
          </w:rPr>
          <w:t xml:space="preserve">[3]</w:t>
        </w:r>
      </w:hyperlink>
      <w:r>
        <w:t xml:space="preserve">. Had the topic matured, had attribution hardened into an established research program, the record that program left behind would wear the fingerprints of that maturity: recent work clustering on the theme, citations piling up on the load-bearing papers, the conversation migrating into consolidated venues</w:t>
      </w:r>
      <w:r>
        <w:t xml:space="preserve"> </w:t>
      </w:r>
      <w:hyperlink w:anchor="ref-7">
        <w:r>
          <w:rPr>
            <w:rStyle w:val="Hyperlink"/>
          </w:rPr>
          <w:t xml:space="preserve">[7]</w:t>
        </w:r>
      </w:hyperlink>
      <w:r>
        <w:t xml:space="preserve">. The screen goes looking for those fingerprints. Finding them would not prove attribution; missing them would caution against asserting it. Either way the screen sits logically upstream of the larger inquiry, which makes it the right place for a bounded dissertation to stand.</w:t>
      </w:r>
    </w:p>
    <w:p>
      <w:pPr>
        <w:pStyle w:val="BodyText"/>
        <w:spacing w:line="480" w:lineRule="auto"/>
        <w:ind w:firstLine="720"/>
      </w:pPr>
      <w:r>
        <w:t xml:space="preserve">The choice also carries a view about how doctoral work ought to relate to a contested policy field. The debris-governance conversation runs thick with strong assertions, some advanced to press for liability regimes and some to resist them, and much of that assertion sprints ahead of the evidence that would settle it</w:t>
      </w:r>
      <w:r>
        <w:t xml:space="preserve"> </w:t>
      </w:r>
      <w:hyperlink w:anchor="ref-1">
        <w:r>
          <w:rPr>
            <w:rStyle w:val="Hyperlink"/>
          </w:rPr>
          <w:t xml:space="preserve">[1]</w:t>
        </w:r>
      </w:hyperlink>
      <w:r>
        <w:t xml:space="preserve"> </w:t>
      </w:r>
      <w:hyperlink w:anchor="ref-4">
        <w:r>
          <w:rPr>
            <w:rStyle w:val="Hyperlink"/>
          </w:rPr>
          <w:t xml:space="preserve">[4]</w:t>
        </w:r>
      </w:hyperlink>
      <w:r>
        <w:t xml:space="preserve">. A dissertation adds most where it can be exact. By fixing on a single falsifiable test and reporting only what the deterministic estimators return, this study hands the field a piece of ground that is genuinely secure, however small, in place of one more confident narrative a skeptic could not check.</w:t>
      </w:r>
    </w:p>
    <w:bookmarkEnd w:id="66"/>
    <w:bookmarkStart w:id="67" w:name="the-shape-of-the-answer"/>
    <w:p>
      <w:pPr>
        <w:pStyle w:val="Heading2"/>
        <w:spacing w:line="480" w:lineRule="auto"/>
      </w:pPr>
      <w:r>
        <w:t xml:space="preserve">1.7 The shape of the answer</w:t>
      </w:r>
    </w:p>
    <w:p>
      <w:pPr>
        <w:pStyle w:val="FirstParagraph"/>
        <w:spacing w:line="480" w:lineRule="auto"/>
      </w:pPr>
      <w:r>
        <w:t xml:space="preserve">It seems only fair to a reader to flag, at the outset, the shape of what follows, without pre-empting the detail Chapter 6 supplies. The two estimators come back with weak, imprecise associations. Neither screen recovers a signal that can be told apart from noise, and both fail to reject their nulls under conventional thresholds. In the cross-sectional model the recency slope leans in the predicted direction, though without precision; the citation slope leans against the prediction and is equally imprecise; the venue term sits effectively flat</w:t>
      </w:r>
      <w:r>
        <w:t xml:space="preserve"> </w:t>
      </w:r>
      <w:hyperlink w:anchor="ref-3">
        <w:r>
          <w:rPr>
            <w:rStyle w:val="Hyperlink"/>
          </w:rPr>
          <w:t xml:space="preserve">[3]</w:t>
        </w:r>
      </w:hyperlink>
      <w:r>
        <w:t xml:space="preserve"> </w:t>
      </w:r>
      <w:hyperlink w:anchor="ref-8">
        <w:r>
          <w:rPr>
            <w:rStyle w:val="Hyperlink"/>
          </w:rPr>
          <w:t xml:space="preserve">[8]</w:t>
        </w:r>
      </w:hyperlink>
      <w:r>
        <w:t xml:space="preserve">. In the accumulation model the age elasticity comes out negative rather than positive, driven by the joint position of a single heavily cited record and a largely uncited older tail, and it too refuses to separate from zero</w:t>
      </w:r>
      <w:r>
        <w:t xml:space="preserve"> </w:t>
      </w:r>
      <w:hyperlink w:anchor="ref-5">
        <w:r>
          <w:rPr>
            <w:rStyle w:val="Hyperlink"/>
          </w:rPr>
          <w:t xml:space="preserve">[5]</w:t>
        </w:r>
      </w:hyperlink>
      <w:r>
        <w:t xml:space="preserve">.</w:t>
      </w:r>
    </w:p>
    <w:p>
      <w:pPr>
        <w:pStyle w:val="BodyText"/>
        <w:spacing w:line="480" w:lineRule="auto"/>
        <w:ind w:firstLine="720"/>
      </w:pPr>
      <w:r>
        <w:t xml:space="preserve">Stated baldly, the dissertation reports a null. A reader trained to read a null as failure should pause right here, because the design was built precisely to make a null informative. A screen that comes back empty is not silence; it is a finding about the layer that got screened. What it says is that the attributional structure, if it exists at all, does not sit on the retrievable surface of the literature, and that a study bent on recovering it will have to dig into document bodies and orbital provenance with a purpose-built instrument</w:t>
      </w:r>
      <w:r>
        <w:t xml:space="preserve"> </w:t>
      </w:r>
      <w:hyperlink w:anchor="ref-4">
        <w:r>
          <w:rPr>
            <w:rStyle w:val="Hyperlink"/>
          </w:rPr>
          <w:t xml:space="preserve">[4]</w:t>
        </w:r>
      </w:hyperlink>
      <w:r>
        <w:t xml:space="preserve">. That redirection is the constructive yield of the whole exercise, and Chapter 8 turns it into a concrete program.</w:t>
      </w:r>
    </w:p>
    <w:p>
      <w:pPr>
        <w:pStyle w:val="BodyText"/>
        <w:spacing w:line="480" w:lineRule="auto"/>
        <w:ind w:firstLine="720"/>
      </w:pPr>
      <w:r>
        <w:t xml:space="preserve">None of this shrinks the substantive premise. As a matter of physical fact the debris population is heterogeneous in origin, and that fact stands unchallenged</w:t>
      </w:r>
      <w:r>
        <w:t xml:space="preserve"> </w:t>
      </w:r>
      <w:hyperlink w:anchor="ref-1">
        <w:r>
          <w:rPr>
            <w:rStyle w:val="Hyperlink"/>
          </w:rPr>
          <w:t xml:space="preserve">[1]</w:t>
        </w:r>
      </w:hyperlink>
      <w:r>
        <w:t xml:space="preserve"> </w:t>
      </w:r>
      <w:hyperlink w:anchor="ref-16">
        <w:r>
          <w:rPr>
            <w:rStyle w:val="Hyperlink"/>
          </w:rPr>
          <w:t xml:space="preserve">[16]</w:t>
        </w:r>
      </w:hyperlink>
      <w:r>
        <w:t xml:space="preserve">. The open question is whether the accessible record makes that heterogeneity legible to measurement, and the honest answer, worked out across the chapters that follow, is that at the metadata layer it does not yet. Holding those two statements apart, the reality of the heterogeneity on one side and its invisibility to this screen on the other, is the interpretive discipline the dissertation asks of its reader from the first page to the last.</w:t>
      </w:r>
    </w:p>
    <w:bookmarkEnd w:id="67"/>
    <w:bookmarkStart w:id="68" w:name="a-note-on-standards-of-proof"/>
    <w:p>
      <w:pPr>
        <w:pStyle w:val="Heading2"/>
        <w:spacing w:line="480" w:lineRule="auto"/>
      </w:pPr>
      <w:r>
        <w:t xml:space="preserve">1.8 A note on standards of proof</w:t>
      </w:r>
    </w:p>
    <w:p>
      <w:pPr>
        <w:pStyle w:val="FirstParagraph"/>
        <w:spacing w:line="480" w:lineRule="auto"/>
      </w:pPr>
      <w:r>
        <w:t xml:space="preserve">Doctoral work in a policy-adjacent field lives with a standing temptation to overclaim, because the stakes reward confident conclusions and the audience frequently wants them. This study leans against that pull by committing in advance to a conservative standard of proof. A coefficient earns the status of evidence only when it is both signed in the predicted direction and precise enough to be told apart from zero at conventional thresholds</w:t>
      </w:r>
      <w:r>
        <w:t xml:space="preserve"> </w:t>
      </w:r>
      <w:hyperlink w:anchor="ref-3">
        <w:r>
          <w:rPr>
            <w:rStyle w:val="Hyperlink"/>
          </w:rPr>
          <w:t xml:space="preserve">[3]</w:t>
        </w:r>
      </w:hyperlink>
      <w:r>
        <w:t xml:space="preserve">. A model earns the status of informative only when its fit clears what its parameter count would win by chance. And a substantive claim earns support only by surviving both independent screens rather than showing up in one and vanishing in the other</w:t>
      </w:r>
      <w:r>
        <w:t xml:space="preserve"> </w:t>
      </w:r>
      <w:hyperlink w:anchor="ref-8">
        <w:r>
          <w:rPr>
            <w:rStyle w:val="Hyperlink"/>
          </w:rPr>
          <w:t xml:space="preserve">[8]</w:t>
        </w:r>
      </w:hyperlink>
      <w:r>
        <w:t xml:space="preserve">. These are ordinary standards, but announcing them ahead of time matters, because doing so commits the analysis to a verdict the data can deliver rather than a verdict the author might prefer.</w:t>
      </w:r>
    </w:p>
    <w:p>
      <w:pPr>
        <w:pStyle w:val="BodyText"/>
        <w:spacing w:line="480" w:lineRule="auto"/>
        <w:ind w:firstLine="720"/>
      </w:pPr>
      <w:r>
        <w:t xml:space="preserve">The commitment cuts both ways. Had a strong result appeared, it would have earned real credence, because it would have cleared a bar set before the numbers were seen. And the null the study does report is no soft or hedged null but a considered one, reached under a rule announced in advance and applied without exception. A reader can therefore treat the conclusion as the output of a procedure rather than the opinion of an advocate, which is the whole reason for building the evidentiary chain the way this dissertation builds it</w:t>
      </w:r>
      <w:r>
        <w:t xml:space="preserve"> </w:t>
      </w:r>
      <w:hyperlink w:anchor="ref-4">
        <w:r>
          <w:rPr>
            <w:rStyle w:val="Hyperlink"/>
          </w:rPr>
          <w:t xml:space="preserve">[4]</w:t>
        </w:r>
      </w:hyperlink>
      <w:r>
        <w:t xml:space="preserve"> </w:t>
      </w:r>
      <w:hyperlink w:anchor="ref-7">
        <w:r>
          <w:rPr>
            <w:rStyle w:val="Hyperlink"/>
          </w:rPr>
          <w:t xml:space="preserve">[7]</w:t>
        </w:r>
      </w:hyperlink>
      <w:r>
        <w:t xml:space="preserve">.</w:t>
      </w:r>
    </w:p>
    <w:bookmarkEnd w:id="68"/>
    <w:bookmarkStart w:id="69" w:name="Xa599545302d193d29f04e345518de572d8612e2"/>
    <w:p>
      <w:pPr>
        <w:pStyle w:val="Heading2"/>
        <w:spacing w:line="480" w:lineRule="auto"/>
      </w:pPr>
      <w:r>
        <w:t xml:space="preserve">1.9 Situating the inquiry among adjacent governance problems</w:t>
      </w:r>
    </w:p>
    <w:p>
      <w:pPr>
        <w:pStyle w:val="FirstParagraph"/>
        <w:spacing w:line="480" w:lineRule="auto"/>
      </w:pPr>
      <w:r>
        <w:t xml:space="preserve">Polluter heterogeneity in the debris environment is one instance of a pattern that recurs across space governance, and catching the pattern helps explain why this particular study matters. On several frontiers, technical capability shows up before the institutions that would channel it, and attribution lags behind both. Asteroid mining regulation faces the same structure, with proposals for independent international monitoring arriving to fill a gap that activity has already opened</w:t>
      </w:r>
      <w:r>
        <w:t xml:space="preserve"> </w:t>
      </w:r>
      <w:hyperlink w:anchor="ref-11">
        <w:r>
          <w:rPr>
            <w:rStyle w:val="Hyperlink"/>
          </w:rPr>
          <w:t xml:space="preserve">[11]</w:t>
        </w:r>
      </w:hyperlink>
      <w:r>
        <w:t xml:space="preserve">. The institutional bottleneck around laser utilization in outer space rehearses the sequence once more, a capability in hand and the rules to govern its use trailing well behind</w:t>
      </w:r>
      <w:r>
        <w:t xml:space="preserve"> </w:t>
      </w:r>
      <w:hyperlink w:anchor="ref-10">
        <w:r>
          <w:rPr>
            <w:rStyle w:val="Hyperlink"/>
          </w:rPr>
          <w:t xml:space="preserve">[10]</w:t>
        </w:r>
      </w:hyperlink>
      <w:r>
        <w:t xml:space="preserve">. Debris attribution belongs to this family. It is the question of whether a harm produced diffusely, by many actors over many years, can be disaggregated back into the discrete responsibilities that composed it.</w:t>
      </w:r>
    </w:p>
    <w:p>
      <w:pPr>
        <w:pStyle w:val="BodyText"/>
        <w:spacing w:line="480" w:lineRule="auto"/>
        <w:ind w:firstLine="720"/>
      </w:pPr>
      <w:r>
        <w:t xml:space="preserve">Reading the debris problem as a member of that family does two useful things for the dissertation. It clarifies that the measurement question is not peculiar to debris but generic to a class of governance problems where harm precedes rules, which raises the value of an instrument able to screen any such topic for evidentiary structure</w:t>
      </w:r>
      <w:r>
        <w:t xml:space="preserve"> </w:t>
      </w:r>
      <w:hyperlink w:anchor="ref-16">
        <w:r>
          <w:rPr>
            <w:rStyle w:val="Hyperlink"/>
          </w:rPr>
          <w:t xml:space="preserve">[16]</w:t>
        </w:r>
      </w:hyperlink>
      <w:r>
        <w:t xml:space="preserve">. And it tempers what the record should be expected to show. For a problem still early in the capability-then-rules sequence, a field may not have organized its attention around attribution at all, in which case a weak corpus signal is precisely what the pattern predicts rather than a surprise the study has to explain away</w:t>
      </w:r>
      <w:r>
        <w:t xml:space="preserve"> </w:t>
      </w:r>
      <w:hyperlink w:anchor="ref-7">
        <w:r>
          <w:rPr>
            <w:rStyle w:val="Hyperlink"/>
          </w:rPr>
          <w:t xml:space="preserve">[7]</w:t>
        </w:r>
      </w:hyperlink>
      <w:r>
        <w:t xml:space="preserve">. Seen in this light, the screen is not only a test of one topic but a probe of where along that sequence the debris conversation currently sits.</w:t>
      </w:r>
    </w:p>
    <w:bookmarkEnd w:id="69"/>
    <w:bookmarkStart w:id="70" w:name="X9b1188942ddc15a61ad078ae25ba6f762a4ee8c"/>
    <w:p>
      <w:pPr>
        <w:pStyle w:val="Heading2"/>
        <w:spacing w:line="480" w:lineRule="auto"/>
      </w:pPr>
      <w:r>
        <w:t xml:space="preserve">1.10 The reader this dissertation is written for</w:t>
      </w:r>
    </w:p>
    <w:p>
      <w:pPr>
        <w:pStyle w:val="FirstParagraph"/>
        <w:spacing w:line="480" w:lineRule="auto"/>
      </w:pPr>
      <w:r>
        <w:t xml:space="preserve">A methodological study gains from naming its intended reader, because the standard of the work is calibrated to that reader’s needs. This dissertation is written for someone who has to decide whether an attributional claim about the debris environment can be trusted: a program manager weighing removal priorities, a policy analyst preparing a negotiating position, a scholar judging whether the topic is ready for a stronger design</w:t>
      </w:r>
      <w:r>
        <w:t xml:space="preserve"> </w:t>
      </w:r>
      <w:hyperlink w:anchor="ref-1">
        <w:r>
          <w:rPr>
            <w:rStyle w:val="Hyperlink"/>
          </w:rPr>
          <w:t xml:space="preserve">[1]</w:t>
        </w:r>
      </w:hyperlink>
      <w:r>
        <w:t xml:space="preserve"> </w:t>
      </w:r>
      <w:hyperlink w:anchor="ref-8">
        <w:r>
          <w:rPr>
            <w:rStyle w:val="Hyperlink"/>
          </w:rPr>
          <w:t xml:space="preserve">[8]</w:t>
        </w:r>
      </w:hyperlink>
      <w:r>
        <w:t xml:space="preserve">. Such a reader has no use for one more confident narrative about who owns the debris hazard. What that reader needs is to know whether the accessible evidence supports the narratives already in circulation, and, where it does not, where the evidence would have to come from instead.</w:t>
      </w:r>
    </w:p>
    <w:p>
      <w:pPr>
        <w:pStyle w:val="BodyText"/>
        <w:spacing w:line="480" w:lineRule="auto"/>
        <w:ind w:firstLine="720"/>
      </w:pPr>
      <w:r>
        <w:t xml:space="preserve">The dissertation serves that reader by being exact about a small thing rather than vague about a large one. It withholds a verdict on how the debris hazard distributes across actors and eras, because the accessible record does not license that verdict</w:t>
      </w:r>
      <w:r>
        <w:t xml:space="preserve"> </w:t>
      </w:r>
      <w:hyperlink w:anchor="ref-3">
        <w:r>
          <w:rPr>
            <w:rStyle w:val="Hyperlink"/>
          </w:rPr>
          <w:t xml:space="preserve">[3]</w:t>
        </w:r>
      </w:hyperlink>
      <w:r>
        <w:t xml:space="preserve">. What it offers instead is more immediately useful: that the surface of the literature will not carry such an answer, that a claim resting on that surface is resting on untested ground, and that the next increment of evidence has to be dug from document bodies and orbital registries by a purpose-built instrument</w:t>
      </w:r>
      <w:r>
        <w:t xml:space="preserve"> </w:t>
      </w:r>
      <w:hyperlink w:anchor="ref-4">
        <w:r>
          <w:rPr>
            <w:rStyle w:val="Hyperlink"/>
          </w:rPr>
          <w:t xml:space="preserve">[4]</w:t>
        </w:r>
      </w:hyperlink>
      <w:r>
        <w:t xml:space="preserve">. For a reader who has to act under uncertainty, knowing the boundary of the current evidence is worth more than a confident claim lying beyond it, and drawing that boundary precisely is the service this study sets out to render</w:t>
      </w:r>
      <w:r>
        <w:t xml:space="preserve"> </w:t>
      </w:r>
      <w:hyperlink w:anchor="ref-16">
        <w:r>
          <w:rPr>
            <w:rStyle w:val="Hyperlink"/>
          </w:rPr>
          <w:t xml:space="preserve">[16]</w:t>
        </w:r>
      </w:hyperlink>
      <w:r>
        <w:t xml:space="preserve">.</w:t>
      </w:r>
    </w:p>
    <w:bookmarkEnd w:id="70"/>
    <w:bookmarkEnd w:id="71"/>
    <w:bookmarkStart w:id="83" w:name="X6def47fadca1c1251839ead273e5f1add87db22"/>
    <w:p>
      <w:pPr>
        <w:pStyle w:val="Heading1"/>
        <w:spacing w:line="480" w:lineRule="auto"/>
      </w:pPr>
      <w:r>
        <w:t xml:space="preserve">Chapter 2. Literature and Situating the Inquiry</w:t>
      </w:r>
    </w:p>
    <w:p>
      <w:pPr>
        <w:pStyle w:val="FirstParagraph"/>
        <w:spacing w:line="480" w:lineRule="auto"/>
      </w:pPr>
      <w:r>
        <w:t xml:space="preserve">The literature on orbital debris runs large, but it spreads unevenly across the questions this dissertation cares about. Detection and cataloging have matured. Governance and attribution stay contested. And the bridge between them, the question of whether the documentary record itself carries a measurable attributional signal, is barely built at all. This chapter maps that terrain and marks the gap the study moves into.</w:t>
      </w:r>
    </w:p>
    <w:bookmarkStart w:id="72" w:name="X041f9f0e5f10ead123db58d170593076b881e35"/>
    <w:p>
      <w:pPr>
        <w:pStyle w:val="Heading2"/>
        <w:spacing w:line="480" w:lineRule="auto"/>
      </w:pPr>
      <w:r>
        <w:t xml:space="preserve">2.1 The technical literature: seeing the population</w:t>
      </w:r>
    </w:p>
    <w:p>
      <w:pPr>
        <w:pStyle w:val="FirstParagraph"/>
        <w:spacing w:line="480" w:lineRule="auto"/>
      </w:pPr>
      <w:r>
        <w:t xml:space="preserve">A researcher can attribute debris only so far as the population is observed in the first place. Building that observational base has occupied the technical community for decades. Optical and radar surveillance, sensor tasking under resource constraints, and statistical inference from astronomical imagery together make up the sensing layer on which every downstream governance claim leans</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p>
      <w:pPr>
        <w:pStyle w:val="BodyText"/>
        <w:spacing w:line="480" w:lineRule="auto"/>
        <w:ind w:firstLine="720"/>
      </w:pPr>
      <w:r>
        <w:t xml:space="preserve">Sensor tasking is itself a scarce-resource problem. Autonomous approaches to large-scale cataloging exist because no fixed observing schedule can keep pace with a growing object population, so the choice of what to observe is really a choice about which parts of the environment become legible</w:t>
      </w:r>
      <w:r>
        <w:t xml:space="preserve"> </w:t>
      </w:r>
      <w:hyperlink w:anchor="ref-8">
        <w:r>
          <w:rPr>
            <w:rStyle w:val="Hyperlink"/>
          </w:rPr>
          <w:t xml:space="preserve">[8]</w:t>
        </w:r>
      </w:hyperlink>
      <w:r>
        <w:t xml:space="preserve">. Facilities built for other purposes have been pressed into space situational awareness, stretching the sensing base without the cost of purpose-built instruments</w:t>
      </w:r>
      <w:r>
        <w:t xml:space="preserve"> </w:t>
      </w:r>
      <w:hyperlink w:anchor="ref-6">
        <w:r>
          <w:rPr>
            <w:rStyle w:val="Hyperlink"/>
          </w:rPr>
          <w:t xml:space="preserve">[6]</w:t>
        </w:r>
      </w:hyperlink>
      <w:r>
        <w:t xml:space="preserve">. Detection methods that pull satellite and debris populations out of wide-field astronomical images push the same frontier from the data-analysis side, converting archives gathered for astrophysics into a debris census</w:t>
      </w:r>
      <w:r>
        <w:t xml:space="preserve"> </w:t>
      </w:r>
      <w:hyperlink w:anchor="ref-5">
        <w:r>
          <w:rPr>
            <w:rStyle w:val="Hyperlink"/>
          </w:rPr>
          <w:t xml:space="preserve">[5]</w:t>
        </w:r>
      </w:hyperlink>
      <w:r>
        <w:t xml:space="preserve">. Integrated monitoring systems now set out to fuse these streams into a single operational picture for flight safety</w:t>
      </w:r>
      <w:r>
        <w:t xml:space="preserve"> </w:t>
      </w:r>
      <w:hyperlink w:anchor="ref-2">
        <w:r>
          <w:rPr>
            <w:rStyle w:val="Hyperlink"/>
          </w:rPr>
          <w:t xml:space="preserve">[2]</w:t>
        </w:r>
      </w:hyperlink>
      <w:r>
        <w:t xml:space="preserve">.</w:t>
      </w:r>
    </w:p>
    <w:p>
      <w:pPr>
        <w:pStyle w:val="BodyText"/>
        <w:spacing w:line="480" w:lineRule="auto"/>
        <w:ind w:firstLine="720"/>
      </w:pPr>
      <w:r>
        <w:t xml:space="preserve">What all this work establishes is that the population can be seen, tracked, and characterized with rising fidelity. What it does not establish, and never claims to, is why responsibility for that population sits distributed the way it does. Sensing tells you what is up there. On who is accountable for it, sensing is silent. The catalog holds no names.</w:t>
      </w:r>
    </w:p>
    <w:bookmarkEnd w:id="72"/>
    <w:bookmarkStart w:id="73" w:name="Xb995af44ca55b14047377f56c2a42cf8b7c0833"/>
    <w:p>
      <w:pPr>
        <w:pStyle w:val="Heading2"/>
        <w:spacing w:line="480" w:lineRule="auto"/>
      </w:pPr>
      <w:r>
        <w:t xml:space="preserve">2.2 The governance and attribution literature</w:t>
      </w:r>
    </w:p>
    <w:p>
      <w:pPr>
        <w:pStyle w:val="FirstParagraph"/>
        <w:spacing w:line="480" w:lineRule="auto"/>
      </w:pPr>
      <w:r>
        <w:t xml:space="preserve">Attribution is the point where the technical picture meets the political one. Steele’s analysis of whether international law can support active debris removal lays the core tension bare: removing an object is legally fraught precisely because the object keeps a state of registry, and that registry is an attributional fact with binding consequences</w:t>
      </w:r>
      <w:r>
        <w:t xml:space="preserve"> </w:t>
      </w:r>
      <w:hyperlink w:anchor="ref-1">
        <w:r>
          <w:rPr>
            <w:rStyle w:val="Hyperlink"/>
          </w:rPr>
          <w:t xml:space="preserve">[1]</w:t>
        </w:r>
      </w:hyperlink>
      <w:r>
        <w:t xml:space="preserve">. Attribution is no neutral label. It decides who may act, who has to consent, and who carries liability.</w:t>
      </w:r>
    </w:p>
    <w:p>
      <w:pPr>
        <w:pStyle w:val="BodyText"/>
        <w:spacing w:line="480" w:lineRule="auto"/>
        <w:ind w:firstLine="720"/>
      </w:pPr>
      <w:r>
        <w:t xml:space="preserve">In geostationary orbit the stakes turn sharper. Dalal, Boley, and Byers show that collision risk and attribution potential in GEO carry strategic-stability weight, because the capacity to assign responsibility for a fragmentation event shapes how states read intent and calibrate response</w:t>
      </w:r>
      <w:r>
        <w:t xml:space="preserve"> </w:t>
      </w:r>
      <w:hyperlink w:anchor="ref-4">
        <w:r>
          <w:rPr>
            <w:rStyle w:val="Hyperlink"/>
          </w:rPr>
          <w:t xml:space="preserve">[4]</w:t>
        </w:r>
      </w:hyperlink>
      <w:r>
        <w:t xml:space="preserve">. Here attribution is more than regulatory. It becomes an input to deterrence. A debris event that cannot be attributed is a debris event that cannot be answered, and that ambiguity is itself a strategic variable.</w:t>
      </w:r>
    </w:p>
    <w:p>
      <w:pPr>
        <w:pStyle w:val="BodyText"/>
        <w:spacing w:line="480" w:lineRule="auto"/>
        <w:ind w:firstLine="720"/>
      </w:pPr>
      <w:r>
        <w:t xml:space="preserve">Phan and Jah recast the debris environment as a socio-technical configuration, arguing that space objects and the domain awareness around them have to be analyzed as coupled human and technical systems rather than as isolated hardware</w:t>
      </w:r>
      <w:r>
        <w:t xml:space="preserve"> </w:t>
      </w:r>
      <w:hyperlink w:anchor="ref-3">
        <w:r>
          <w:rPr>
            <w:rStyle w:val="Hyperlink"/>
          </w:rPr>
          <w:t xml:space="preserve">[3]</w:t>
        </w:r>
      </w:hyperlink>
      <w:r>
        <w:t xml:space="preserve">. That framing bears on this dissertation, because it implies attribution is legible in the configuration of the record, in who publishes on what, when, and where, and not only in orbital dynamics. Risk-based decision frameworks for space traffic management put the same insight to work, rationing managerial attention across objects and regimes under acknowledged uncertainty</w:t>
      </w:r>
      <w:r>
        <w:t xml:space="preserve"> </w:t>
      </w:r>
      <w:hyperlink w:anchor="ref-7">
        <w:r>
          <w:rPr>
            <w:rStyle w:val="Hyperlink"/>
          </w:rPr>
          <w:t xml:space="preserve">[7]</w:t>
        </w:r>
      </w:hyperlink>
      <w:r>
        <w:t xml:space="preserve">.</w:t>
      </w:r>
    </w:p>
    <w:p>
      <w:pPr>
        <w:pStyle w:val="BodyText"/>
        <w:spacing w:line="480" w:lineRule="auto"/>
        <w:ind w:firstLine="720"/>
      </w:pPr>
      <w:r>
        <w:t xml:space="preserve">The governance literature thus supplies concepts, cases, and an operational vocabulary. It establishes that attribution matters. What it does not supply is a test of whether attribution is measurable from the retrievable record, and that omission is the opening this study works into.</w:t>
      </w:r>
    </w:p>
    <w:bookmarkEnd w:id="73"/>
    <w:bookmarkStart w:id="74" w:name="sustainability-and-the-commons-frame"/>
    <w:p>
      <w:pPr>
        <w:pStyle w:val="Heading2"/>
        <w:spacing w:line="480" w:lineRule="auto"/>
      </w:pPr>
      <w:r>
        <w:t xml:space="preserve">2.3 Sustainability and the commons frame</w:t>
      </w:r>
    </w:p>
    <w:p>
      <w:pPr>
        <w:pStyle w:val="FirstParagraph"/>
        <w:spacing w:line="480" w:lineRule="auto"/>
      </w:pPr>
      <w:r>
        <w:t xml:space="preserve">A parallel literature reads the orbital environment as a commons to be sustained rather than a battlefield to be surveilled. Varughese and colleagues make the case for a transdisciplinary and bi-cultural approach to space sustainability, insisting that technical and governance framings on their own miss the social and cultural dimensions of how the environment gets used and abused</w:t>
      </w:r>
      <w:r>
        <w:t xml:space="preserve"> </w:t>
      </w:r>
      <w:hyperlink w:anchor="ref-16">
        <w:r>
          <w:rPr>
            <w:rStyle w:val="Hyperlink"/>
          </w:rPr>
          <w:t xml:space="preserve">[16]</w:t>
        </w:r>
      </w:hyperlink>
      <w:r>
        <w:t xml:space="preserve">. That argument widens the frame: polluter heterogeneity is not only an engineering fact and a legal fact but a social one, bound up with how different actors and cultures relate to a shared orbital resource.</w:t>
      </w:r>
    </w:p>
    <w:p>
      <w:pPr>
        <w:pStyle w:val="BodyText"/>
        <w:spacing w:line="480" w:lineRule="auto"/>
        <w:ind w:firstLine="720"/>
      </w:pPr>
      <w:r>
        <w:t xml:space="preserve">Adjacent regulatory work carries the sustainability logic onto new frontiers. Brennan’s proposal for an independent international monitoring mechanism for asteroid mining shows how attribution and monitoring problems recur wherever activity outpaces governance</w:t>
      </w:r>
      <w:r>
        <w:t xml:space="preserve"> </w:t>
      </w:r>
      <w:hyperlink w:anchor="ref-11">
        <w:r>
          <w:rPr>
            <w:rStyle w:val="Hyperlink"/>
          </w:rPr>
          <w:t xml:space="preserve">[11]</w:t>
        </w:r>
      </w:hyperlink>
      <w:r>
        <w:t xml:space="preserve">. Long and Chen’s treatment of laser utilization in outer space diagnoses an institutional bottleneck of the same kind, where technical capability lands before the rules that would channel it</w:t>
      </w:r>
      <w:r>
        <w:t xml:space="preserve"> </w:t>
      </w:r>
      <w:hyperlink w:anchor="ref-10">
        <w:r>
          <w:rPr>
            <w:rStyle w:val="Hyperlink"/>
          </w:rPr>
          <w:t xml:space="preserve">[10]</w:t>
        </w:r>
      </w:hyperlink>
      <w:r>
        <w:t xml:space="preserve">. The pattern holds across domains: capability first, attribution and rules second, with a governance lag that leaves the standing hazard poorly assigned.</w:t>
      </w:r>
    </w:p>
    <w:p>
      <w:pPr>
        <w:pStyle w:val="BodyText"/>
        <w:spacing w:line="480" w:lineRule="auto"/>
        <w:ind w:firstLine="720"/>
      </w:pPr>
      <w:r>
        <w:t xml:space="preserve">Emissions and access literatures round the picture out. Estimation methodologies for pollutants from reusable access-to-space vehicles, and characterizations of green propellant combustion, show a field learning to quantify its own environmental footprint at the point of launch</w:t>
      </w:r>
      <w:r>
        <w:t xml:space="preserve"> </w:t>
      </w:r>
      <w:hyperlink w:anchor="ref-12">
        <w:r>
          <w:rPr>
            <w:rStyle w:val="Hyperlink"/>
          </w:rPr>
          <w:t xml:space="preserve">[12]</w:t>
        </w:r>
      </w:hyperlink>
      <w:r>
        <w:t xml:space="preserve"> </w:t>
      </w:r>
      <w:hyperlink w:anchor="ref-15">
        <w:r>
          <w:rPr>
            <w:rStyle w:val="Hyperlink"/>
          </w:rPr>
          <w:t xml:space="preserve">[15]</w:t>
        </w:r>
      </w:hyperlink>
      <w:r>
        <w:t xml:space="preserve">. These are attribution problems in miniature, each assigning an environmental cost to a specific vehicle, propellant, or operator. At the scale of a single launch they rehearse the aggregate attribution problem this dissertation studies at the scale of the standing debris stock.</w:t>
      </w:r>
    </w:p>
    <w:bookmarkEnd w:id="74"/>
    <w:bookmarkStart w:id="75" w:name="the-measurement-gap"/>
    <w:p>
      <w:pPr>
        <w:pStyle w:val="Heading2"/>
        <w:spacing w:line="480" w:lineRule="auto"/>
      </w:pPr>
      <w:r>
        <w:t xml:space="preserve">2.4 The measurement gap</w:t>
      </w:r>
    </w:p>
    <w:p>
      <w:pPr>
        <w:pStyle w:val="FirstParagraph"/>
        <w:spacing w:line="480" w:lineRule="auto"/>
      </w:pPr>
      <w:r>
        <w:t xml:space="preserve">The literatures reviewed here share a boundary. Each establishes that some quantity, an object, a risk, an emission, a responsibility, can in principle be assigned to an actor. None asks whether the aggregate attributional structure of the debris problem shows up in the bibliometric and documentary record a researcher can actually retrieve.</w:t>
      </w:r>
    </w:p>
    <w:p>
      <w:pPr>
        <w:pStyle w:val="BodyText"/>
        <w:spacing w:line="480" w:lineRule="auto"/>
        <w:ind w:firstLine="720"/>
      </w:pPr>
      <w:r>
        <w:t xml:space="preserve">That is a measurement gap, and it wears two faces. The first is the distance between technical observation and institutional explanation. A catalog can enumerate objects, but enumeration is not attribution, and the leap from one to the other demands a coding step the technical literature does not perform</w:t>
      </w:r>
      <w:r>
        <w:t xml:space="preserve"> </w:t>
      </w:r>
      <w:hyperlink w:anchor="ref-3">
        <w:r>
          <w:rPr>
            <w:rStyle w:val="Hyperlink"/>
          </w:rPr>
          <w:t xml:space="preserve">[3]</w:t>
        </w:r>
      </w:hyperlink>
      <w:r>
        <w:t xml:space="preserve"> </w:t>
      </w:r>
      <w:hyperlink w:anchor="ref-8">
        <w:r>
          <w:rPr>
            <w:rStyle w:val="Hyperlink"/>
          </w:rPr>
          <w:t xml:space="preserve">[8]</w:t>
        </w:r>
      </w:hyperlink>
      <w:r>
        <w:t xml:space="preserve">. The second is the distance between policy salience and measurement. Citation attention, publication recency, and venue family are observable signals of how a topic distributes across a field, and yet they are rarely treated as data in their own right, rarely subjected to an exact test of whether they carry structure</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This dissertation occupies that gap. It does not compete with the detection literature on sensing, nor with the governance literature on doctrine. Its question is prior and more modest: before anyone asserts that the polluter-heterogeneity topic is well established, is it structured in the record at all? A corpus-screen answer to that question is a precondition for any confident attributional claim, and the following chapters build the test that supplies it</w:t>
      </w:r>
      <w:r>
        <w:t xml:space="preserve"> </w:t>
      </w:r>
      <w:hyperlink w:anchor="ref-4">
        <w:r>
          <w:rPr>
            <w:rStyle w:val="Hyperlink"/>
          </w:rPr>
          <w:t xml:space="preserve">[4]</w:t>
        </w:r>
      </w:hyperlink>
      <w:r>
        <w:t xml:space="preserve"> </w:t>
      </w:r>
      <w:hyperlink w:anchor="ref-7">
        <w:r>
          <w:rPr>
            <w:rStyle w:val="Hyperlink"/>
          </w:rPr>
          <w:t xml:space="preserve">[7]</w:t>
        </w:r>
      </w:hyperlink>
      <w:r>
        <w:t xml:space="preserve">.</w:t>
      </w:r>
    </w:p>
    <w:bookmarkEnd w:id="75"/>
    <w:bookmarkStart w:id="76" w:name="positioning"/>
    <w:p>
      <w:pPr>
        <w:pStyle w:val="Heading2"/>
        <w:spacing w:line="480" w:lineRule="auto"/>
      </w:pPr>
      <w:r>
        <w:t xml:space="preserve">2.5 Positioning</w:t>
      </w:r>
    </w:p>
    <w:p>
      <w:pPr>
        <w:pStyle w:val="FirstParagraph"/>
        <w:spacing w:line="480" w:lineRule="auto"/>
      </w:pPr>
      <w:r>
        <w:t xml:space="preserve">The study positions itself as a bridge, not a replacement. From the domain-awareness literature it borrows the socio-technical framing</w:t>
      </w:r>
      <w:r>
        <w:t xml:space="preserve"> </w:t>
      </w:r>
      <w:hyperlink w:anchor="ref-3">
        <w:r>
          <w:rPr>
            <w:rStyle w:val="Hyperlink"/>
          </w:rPr>
          <w:t xml:space="preserve">[3]</w:t>
        </w:r>
      </w:hyperlink>
      <w:r>
        <w:t xml:space="preserve">, from the governance literature the attributional stakes</w:t>
      </w:r>
      <w:r>
        <w:t xml:space="preserve"> </w:t>
      </w:r>
      <w:hyperlink w:anchor="ref-1">
        <w:r>
          <w:rPr>
            <w:rStyle w:val="Hyperlink"/>
          </w:rPr>
          <w:t xml:space="preserve">[1]</w:t>
        </w:r>
      </w:hyperlink>
      <w:r>
        <w:t xml:space="preserve"> </w:t>
      </w:r>
      <w:hyperlink w:anchor="ref-4">
        <w:r>
          <w:rPr>
            <w:rStyle w:val="Hyperlink"/>
          </w:rPr>
          <w:t xml:space="preserve">[4]</w:t>
        </w:r>
      </w:hyperlink>
      <w:r>
        <w:t xml:space="preserve">, and from the commons literature the sustainability frame</w:t>
      </w:r>
      <w:r>
        <w:t xml:space="preserve"> </w:t>
      </w:r>
      <w:hyperlink w:anchor="ref-16">
        <w:r>
          <w:rPr>
            <w:rStyle w:val="Hyperlink"/>
          </w:rPr>
          <w:t xml:space="preserve">[16]</w:t>
        </w:r>
      </w:hyperlink>
      <w:r>
        <w:t xml:space="preserve">, and then it subjects the resulting corpus to a bibliometric test none of those literatures runs on itself. The wager is that the discipline of an auditable estimator, turned on retrievable metadata, can tell a doctoral reader something the narrative literatures cannot: whether the evidentiary base for attribution is strong, suggestive, or not yet there.</w:t>
      </w:r>
    </w:p>
    <w:bookmarkEnd w:id="76"/>
    <w:bookmarkStart w:id="77" w:name="the-sensing-layer-in-more-detail"/>
    <w:p>
      <w:pPr>
        <w:pStyle w:val="Heading2"/>
        <w:spacing w:line="480" w:lineRule="auto"/>
      </w:pPr>
      <w:r>
        <w:t xml:space="preserve">2.6 The sensing layer in more detail</w:t>
      </w:r>
    </w:p>
    <w:p>
      <w:pPr>
        <w:pStyle w:val="FirstParagraph"/>
        <w:spacing w:line="480" w:lineRule="auto"/>
      </w:pPr>
      <w:r>
        <w:t xml:space="preserve">The sensing literature repays a closer look, because the shape of that work explains why attribution stays hard even when observation is good. The autonomous sensor-tasking problem, as Linares and Furfaro pose it, is a scheduling problem under a growing catalog: more objects are worth observing than there is observing time, so any tasking policy is implicitly a decision about which parts of the environment become legible and which recede into uncertainty</w:t>
      </w:r>
      <w:r>
        <w:t xml:space="preserve"> </w:t>
      </w:r>
      <w:hyperlink w:anchor="ref-8">
        <w:r>
          <w:rPr>
            <w:rStyle w:val="Hyperlink"/>
          </w:rPr>
          <w:t xml:space="preserve">[8]</w:t>
        </w:r>
      </w:hyperlink>
      <w:r>
        <w:t xml:space="preserve">. That is an attribution problem wearing a disguise. An object never revisited cannot be tied to a fragmentation event, and a fragmentation event whose parents are never resolved cannot be assigned to an actor. The sensing schedule therefore upstream-determines what attribution is even possible, and it does so on grounds of observability rather than responsibility.</w:t>
      </w:r>
    </w:p>
    <w:p>
      <w:pPr>
        <w:pStyle w:val="BodyText"/>
        <w:spacing w:line="480" w:lineRule="auto"/>
        <w:ind w:firstLine="720"/>
      </w:pPr>
      <w:r>
        <w:t xml:space="preserve">The detection-from-imagery line pushes the same boundary from the analysis side. Extracting satellite and debris tracks from wide-field astronomical exposures turns archives collected for astrophysics into an incidental debris census, widening the observational base without the cost of dedicated instruments</w:t>
      </w:r>
      <w:r>
        <w:t xml:space="preserve"> </w:t>
      </w:r>
      <w:hyperlink w:anchor="ref-5">
        <w:r>
          <w:rPr>
            <w:rStyle w:val="Hyperlink"/>
          </w:rPr>
          <w:t xml:space="preserve">[5]</w:t>
        </w:r>
      </w:hyperlink>
      <w:r>
        <w:t xml:space="preserve">. Adapting a planetary-science observing facility to space situational awareness does something similar at the level of hardware, repurposing an existing asset rather than commissioning a new one</w:t>
      </w:r>
      <w:r>
        <w:t xml:space="preserve"> </w:t>
      </w:r>
      <w:hyperlink w:anchor="ref-6">
        <w:r>
          <w:rPr>
            <w:rStyle w:val="Hyperlink"/>
          </w:rPr>
          <w:t xml:space="preserve">[6]</w:t>
        </w:r>
      </w:hyperlink>
      <w:r>
        <w:t xml:space="preserve">. Both moves are ingenious, and both show a field stretching a scarce sensing budget as far as it will go. What neither closes is the gap between seeing an object and knowing whose it is, because the provenance that answers the second question lives in launch and registry records rather than in the optical track.</w:t>
      </w:r>
    </w:p>
    <w:p>
      <w:pPr>
        <w:pStyle w:val="BodyText"/>
        <w:spacing w:line="480" w:lineRule="auto"/>
        <w:ind w:firstLine="720"/>
      </w:pPr>
      <w:r>
        <w:t xml:space="preserve">Integrated monitoring systems are the field’s attempt to fuse these streams into a single operational picture. The VISION architecture, for one, sets out to combine surveillance inputs into a unified monitor for flight safety, which is just the kind of consolidation a maturing field produces</w:t>
      </w:r>
      <w:r>
        <w:t xml:space="preserve"> </w:t>
      </w:r>
      <w:hyperlink w:anchor="ref-2">
        <w:r>
          <w:rPr>
            <w:rStyle w:val="Hyperlink"/>
          </w:rPr>
          <w:t xml:space="preserve">[2]</w:t>
        </w:r>
      </w:hyperlink>
      <w:r>
        <w:t xml:space="preserve">. Yet consolidation for flight safety is not consolidation for attribution. A system tuned to warn an operator of an impending conjunction need not, and generally does not, resolve the historical question of which past behavior produced the standing hazard the operator now navigates. Around avoidance and awareness the sensing layer is well organized, and attribution is a byproduct it delivers unevenly.</w:t>
      </w:r>
    </w:p>
    <w:bookmarkEnd w:id="77"/>
    <w:bookmarkStart w:id="78" w:name="what-prior-work-does-not-measure"/>
    <w:p>
      <w:pPr>
        <w:pStyle w:val="Heading2"/>
        <w:spacing w:line="480" w:lineRule="auto"/>
      </w:pPr>
      <w:r>
        <w:t xml:space="preserve">2.7 What prior work does not measure</w:t>
      </w:r>
    </w:p>
    <w:p>
      <w:pPr>
        <w:pStyle w:val="FirstParagraph"/>
        <w:spacing w:line="480" w:lineRule="auto"/>
      </w:pPr>
      <w:r>
        <w:t xml:space="preserve">Read across these literatures and a consistent absence comes into view. Each body of work assigns something to someone, an object to a track, a risk to a regime, an emission to a vehicle, and yet none turns the analytic lens back onto its own record to ask whether the aggregate attributional structure is even visible there</w:t>
      </w:r>
      <w:r>
        <w:t xml:space="preserve"> </w:t>
      </w:r>
      <w:hyperlink w:anchor="ref-3">
        <w:r>
          <w:rPr>
            <w:rStyle w:val="Hyperlink"/>
          </w:rPr>
          <w:t xml:space="preserve">[3]</w:t>
        </w:r>
      </w:hyperlink>
      <w:r>
        <w:t xml:space="preserve"> </w:t>
      </w:r>
      <w:hyperlink w:anchor="ref-12">
        <w:r>
          <w:rPr>
            <w:rStyle w:val="Hyperlink"/>
          </w:rPr>
          <w:t xml:space="preserve">[12]</w:t>
        </w:r>
      </w:hyperlink>
      <w:r>
        <w:t xml:space="preserve">. The governance literature asserts that attribution matters and proves it with cases, but it does not test whether the field’s collective attention to attribution has organized in a way a bibliometric instrument could detect</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sustainability literature widens the moral and cultural frame while leaving the measurement question untouched</w:t>
      </w:r>
      <w:r>
        <w:t xml:space="preserve"> </w:t>
      </w:r>
      <w:hyperlink w:anchor="ref-16">
        <w:r>
          <w:rPr>
            <w:rStyle w:val="Hyperlink"/>
          </w:rPr>
          <w:t xml:space="preserve">[16]</w:t>
        </w:r>
      </w:hyperlink>
      <w:r>
        <w:t xml:space="preserve">. The emissions and access literatures quantify footprints at the launch level and yet stop short of aggregating those quantifications into a structured picture of who owns the standing stock</w:t>
      </w:r>
      <w:r>
        <w:t xml:space="preserve"> </w:t>
      </w:r>
      <w:hyperlink w:anchor="ref-12">
        <w:r>
          <w:rPr>
            <w:rStyle w:val="Hyperlink"/>
          </w:rPr>
          <w:t xml:space="preserve">[12]</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That absence is not a criticism of the prior work, which was chasing other questions and chasing them well. It is an observation about a seam between literatures. The technical community measures the environment; the governance community argues over responsibility for it; and no one has yet asked whether the documentary bridge between those two activities carries a measurable signal. The gap is real, and it is exactly the gap a corpus screen is built to probe</w:t>
      </w:r>
      <w:r>
        <w:t xml:space="preserve"> </w:t>
      </w:r>
      <w:hyperlink w:anchor="ref-7">
        <w:r>
          <w:rPr>
            <w:rStyle w:val="Hyperlink"/>
          </w:rPr>
          <w:t xml:space="preserve">[7]</w:t>
        </w:r>
      </w:hyperlink>
      <w:r>
        <w:t xml:space="preserve">.</w:t>
      </w:r>
    </w:p>
    <w:bookmarkEnd w:id="78"/>
    <w:bookmarkStart w:id="79" w:name="X3013aed45603b1b8c4182671bcfda340739436b"/>
    <w:p>
      <w:pPr>
        <w:pStyle w:val="Heading2"/>
        <w:spacing w:line="480" w:lineRule="auto"/>
      </w:pPr>
      <w:r>
        <w:t xml:space="preserve">2.8 The commons literature as interpretive frame</w:t>
      </w:r>
    </w:p>
    <w:p>
      <w:pPr>
        <w:pStyle w:val="FirstParagraph"/>
        <w:spacing w:line="480" w:lineRule="auto"/>
      </w:pPr>
      <w:r>
        <w:t xml:space="preserve">The commons framing earns a fuller treatment than a single paragraph allows, because it supplies the interpretive vocabulary the dissertation leans on when it reads its own null. To treat the orbital environment as a commons is to say that its degradation is the aggregate of many individually rational acts, and that no single operator ever feels the full cost of its own contribution</w:t>
      </w:r>
      <w:r>
        <w:t xml:space="preserve"> </w:t>
      </w:r>
      <w:hyperlink w:anchor="ref-16">
        <w:r>
          <w:rPr>
            <w:rStyle w:val="Hyperlink"/>
          </w:rPr>
          <w:t xml:space="preserve">[16]</w:t>
        </w:r>
      </w:hyperlink>
      <w:r>
        <w:t xml:space="preserve">. Under that framing the attribution question stops being merely forensic. It becomes the question of whether the diffuse structure of a commons can be disaggregated back into the discrete responsibilities that produced it, and whether the record of the field’s engagement reflects any effort to do so.</w:t>
      </w:r>
    </w:p>
    <w:p>
      <w:pPr>
        <w:pStyle w:val="BodyText"/>
        <w:spacing w:line="480" w:lineRule="auto"/>
        <w:ind w:firstLine="720"/>
      </w:pPr>
      <w:r>
        <w:t xml:space="preserve">Brennan’s proposal for independent international monitoring of asteroid mining is instructive here, because it catches a field reaching for exactly the institutional instrument a commons requires: a monitor that assigns activity to actor before the harm compounds</w:t>
      </w:r>
      <w:r>
        <w:t xml:space="preserve"> </w:t>
      </w:r>
      <w:hyperlink w:anchor="ref-11">
        <w:r>
          <w:rPr>
            <w:rStyle w:val="Hyperlink"/>
          </w:rPr>
          <w:t xml:space="preserve">[11]</w:t>
        </w:r>
      </w:hyperlink>
      <w:r>
        <w:t xml:space="preserve">. Long and Chen’s diagnosis of an institutional bottleneck around laser utilization in outer space rehearses the same structure from a different technology, where capability outruns the rules that would channel it and attribution lags behind both</w:t>
      </w:r>
      <w:r>
        <w:t xml:space="preserve"> </w:t>
      </w:r>
      <w:hyperlink w:anchor="ref-10">
        <w:r>
          <w:rPr>
            <w:rStyle w:val="Hyperlink"/>
          </w:rPr>
          <w:t xml:space="preserve">[10]</w:t>
        </w:r>
      </w:hyperlink>
      <w:r>
        <w:t xml:space="preserve">. These are not debris papers, but they are commons papers, and they model the pattern the debris problem instantiates: capability first, harm second, attribution and rules a distant third. The dissertation takes that pattern as its interpretive backdrop, and it reads the weakness of its own corpus signal partly as a symptom of a field still early in the sequence, with attention not yet consolidated around the attributional step</w:t>
      </w:r>
      <w:r>
        <w:t xml:space="preserve"> </w:t>
      </w:r>
      <w:hyperlink w:anchor="ref-7">
        <w:r>
          <w:rPr>
            <w:rStyle w:val="Hyperlink"/>
          </w:rPr>
          <w:t xml:space="preserve">[7]</w:t>
        </w:r>
      </w:hyperlink>
      <w:r>
        <w:t xml:space="preserve"> </w:t>
      </w:r>
      <w:hyperlink w:anchor="ref-16">
        <w:r>
          <w:rPr>
            <w:rStyle w:val="Hyperlink"/>
          </w:rPr>
          <w:t xml:space="preserve">[16]</w:t>
        </w:r>
      </w:hyperlink>
      <w:r>
        <w:t xml:space="preserve">.</w:t>
      </w:r>
    </w:p>
    <w:bookmarkEnd w:id="79"/>
    <w:bookmarkStart w:id="80" w:name="X5c71dad8b001ea39bfc0600e585390949c6d3b3"/>
    <w:p>
      <w:pPr>
        <w:pStyle w:val="Heading2"/>
        <w:spacing w:line="480" w:lineRule="auto"/>
      </w:pPr>
      <w:r>
        <w:t xml:space="preserve">2.9 Positioning against the strategic-stability literature</w:t>
      </w:r>
    </w:p>
    <w:p>
      <w:pPr>
        <w:pStyle w:val="FirstParagraph"/>
        <w:spacing w:line="480" w:lineRule="auto"/>
      </w:pPr>
      <w:r>
        <w:t xml:space="preserve">One strand of the governance literature earns separate positioning, because it raises the stakes of attribution past regulation and into deterrence. The analysis of collision risk and attribution potential in geostationary orbit shows that the capacity to assign responsibility for a fragmentation event is an input to strategic stability, since a debris event that cannot be attributed is a debris event that cannot be answered, and that ambiguity is itself a variable states must reason about</w:t>
      </w:r>
      <w:r>
        <w:t xml:space="preserve"> </w:t>
      </w:r>
      <w:hyperlink w:anchor="ref-4">
        <w:r>
          <w:rPr>
            <w:rStyle w:val="Hyperlink"/>
          </w:rPr>
          <w:t xml:space="preserve">[4]</w:t>
        </w:r>
      </w:hyperlink>
      <w:r>
        <w:t xml:space="preserve">. This is the sharpest version of the attribution stake, and it sets a high ceiling on why the measurement question matters.</w:t>
      </w:r>
    </w:p>
    <w:p>
      <w:pPr>
        <w:pStyle w:val="BodyText"/>
        <w:spacing w:line="480" w:lineRule="auto"/>
        <w:ind w:firstLine="720"/>
      </w:pPr>
      <w:r>
        <w:t xml:space="preserve">The dissertation does not try to operate at that ceiling, and saying so plainly is important. It does not model deterrence, escalation, or the strategic behavior of states in contested orbits. What it takes from the strategic-stability literature is the demonstration that attribution is no bookkeeping nicety but a load-bearing input to high-consequence decisions, which is what makes the prior question, whether attribution is measurable from the accessible record at all, worth a doctoral study rather than a footnote</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screen sits several layers below the strategic question, and yet it rests on the same evidentiary foundation, so a weakness at the foundation propagates upward into every claim the strategic literature would want to make.</w:t>
      </w:r>
    </w:p>
    <w:bookmarkEnd w:id="80"/>
    <w:bookmarkStart w:id="81" w:name="X037d2c23ac9ef8764c63d8be1156f8141ca079c"/>
    <w:p>
      <w:pPr>
        <w:pStyle w:val="Heading2"/>
        <w:spacing w:line="480" w:lineRule="auto"/>
      </w:pPr>
      <w:r>
        <w:t xml:space="preserve">2.10 The emissions literature as a model of disaggregated attribution</w:t>
      </w:r>
    </w:p>
    <w:p>
      <w:pPr>
        <w:pStyle w:val="FirstParagraph"/>
        <w:spacing w:line="480" w:lineRule="auto"/>
      </w:pPr>
      <w:r>
        <w:t xml:space="preserve">A quieter strand of the literature deserves attention exactly because it succeeds at the disaggregated attribution the debris problem struggles with, and its success instructs by contrast. Emissions estimation for reusable access-to-space vehicles assigns a specific pollutant burden to a specific vehicle class at the point of launch, converting a diffuse environmental cost into a quantity tied to an identifiable operator and design</w:t>
      </w:r>
      <w:r>
        <w:t xml:space="preserve"> </w:t>
      </w:r>
      <w:hyperlink w:anchor="ref-12">
        <w:r>
          <w:rPr>
            <w:rStyle w:val="Hyperlink"/>
          </w:rPr>
          <w:t xml:space="preserve">[12]</w:t>
        </w:r>
      </w:hyperlink>
      <w:r>
        <w:t xml:space="preserve">. Characterization of green propellant combustion does something adjacent, quantifying the chemical footprint of a particular fuel so the environmental consequence of a launch choice can be traced to that choice</w:t>
      </w:r>
      <w:r>
        <w:t xml:space="preserve"> </w:t>
      </w:r>
      <w:hyperlink w:anchor="ref-15">
        <w:r>
          <w:rPr>
            <w:rStyle w:val="Hyperlink"/>
          </w:rPr>
          <w:t xml:space="preserve">[15]</w:t>
        </w:r>
      </w:hyperlink>
      <w:r>
        <w:t xml:space="preserve">. These are attribution successes at the scale of a single event.</w:t>
      </w:r>
    </w:p>
    <w:p>
      <w:pPr>
        <w:pStyle w:val="BodyText"/>
        <w:spacing w:line="480" w:lineRule="auto"/>
        <w:ind w:firstLine="720"/>
      </w:pPr>
      <w:r>
        <w:t xml:space="preserve">The contrast with the debris problem is illuminating. Emissions attribution works because the mapping from launch to pollutant is governed by physics and chemistry a controlled measurement can pin down, and because the unit of analysis, one launch, is small enough to instrument directly</w:t>
      </w:r>
      <w:r>
        <w:t xml:space="preserve"> </w:t>
      </w:r>
      <w:hyperlink w:anchor="ref-12">
        <w:r>
          <w:rPr>
            <w:rStyle w:val="Hyperlink"/>
          </w:rPr>
          <w:t xml:space="preserve">[12]</w:t>
        </w:r>
      </w:hyperlink>
      <w:r>
        <w:t xml:space="preserve"> </w:t>
      </w:r>
      <w:hyperlink w:anchor="ref-15">
        <w:r>
          <w:rPr>
            <w:rStyle w:val="Hyperlink"/>
          </w:rPr>
          <w:t xml:space="preserve">[15]</w:t>
        </w:r>
      </w:hyperlink>
      <w:r>
        <w:t xml:space="preserve">. Debris attribution at the level of the standing stock is harder on both counts: the mapping from the aggregate hazard back to its many contributing events is obscured by decades of orbital evolution, and the unit of analysis is a population rather than an event. The emissions literature therefore models what disaggregated attribution looks like when it works, and in doing so it clarifies why the aggregate debris case resists the same treatment, which is part of why the accessible literature on it may not yet carry the structured signal a mature attribution program would produce</w:t>
      </w:r>
      <w:r>
        <w:t xml:space="preserve"> </w:t>
      </w:r>
      <w:hyperlink w:anchor="ref-3">
        <w:r>
          <w:rPr>
            <w:rStyle w:val="Hyperlink"/>
          </w:rPr>
          <w:t xml:space="preserve">[3]</w:t>
        </w:r>
      </w:hyperlink>
      <w:r>
        <w:t xml:space="preserve"> </w:t>
      </w:r>
      <w:hyperlink w:anchor="ref-16">
        <w:r>
          <w:rPr>
            <w:rStyle w:val="Hyperlink"/>
          </w:rPr>
          <w:t xml:space="preserve">[16]</w:t>
        </w:r>
      </w:hyperlink>
      <w:r>
        <w:t xml:space="preserve">.</w:t>
      </w:r>
    </w:p>
    <w:bookmarkEnd w:id="81"/>
    <w:bookmarkStart w:id="82" w:name="the-boundary-this-dissertation-draws"/>
    <w:p>
      <w:pPr>
        <w:pStyle w:val="Heading2"/>
        <w:spacing w:line="480" w:lineRule="auto"/>
      </w:pPr>
      <w:r>
        <w:t xml:space="preserve">2.11 The boundary this dissertation draws</w:t>
      </w:r>
    </w:p>
    <w:p>
      <w:pPr>
        <w:pStyle w:val="FirstParagraph"/>
        <w:spacing w:line="480" w:lineRule="auto"/>
      </w:pPr>
      <w:r>
        <w:t xml:space="preserve">Pull these threads together and the dissertation draws a sharp boundary around what it borrows and what it withholds. From the sensing literature it takes the premise that the population is observable, while declining to claim that observation equals attribution</w:t>
      </w:r>
      <w:r>
        <w:t xml:space="preserve"> </w:t>
      </w:r>
      <w:hyperlink w:anchor="ref-5">
        <w:r>
          <w:rPr>
            <w:rStyle w:val="Hyperlink"/>
          </w:rPr>
          <w:t xml:space="preserve">[5]</w:t>
        </w:r>
      </w:hyperlink>
      <w:r>
        <w:t xml:space="preserve"> </w:t>
      </w:r>
      <w:hyperlink w:anchor="ref-8">
        <w:r>
          <w:rPr>
            <w:rStyle w:val="Hyperlink"/>
          </w:rPr>
          <w:t xml:space="preserve">[8]</w:t>
        </w:r>
      </w:hyperlink>
      <w:r>
        <w:t xml:space="preserve">. From the governance literature it takes the stakes of attribution and its consequences for law and deterrence, while declining to adjudicate those consequences</w:t>
      </w:r>
      <w:r>
        <w:t xml:space="preserve"> </w:t>
      </w:r>
      <w:hyperlink w:anchor="ref-1">
        <w:r>
          <w:rPr>
            <w:rStyle w:val="Hyperlink"/>
          </w:rPr>
          <w:t xml:space="preserve">[1]</w:t>
        </w:r>
      </w:hyperlink>
      <w:r>
        <w:t xml:space="preserve"> </w:t>
      </w:r>
      <w:hyperlink w:anchor="ref-4">
        <w:r>
          <w:rPr>
            <w:rStyle w:val="Hyperlink"/>
          </w:rPr>
          <w:t xml:space="preserve">[4]</w:t>
        </w:r>
      </w:hyperlink>
      <w:r>
        <w:t xml:space="preserve">. From the commons and sustainability literatures it takes the interpretive frame of diffuse harm and delayed rules, while declining to prescribe the institutional remedy</w:t>
      </w:r>
      <w:r>
        <w:t xml:space="preserve"> </w:t>
      </w:r>
      <w:hyperlink w:anchor="ref-16">
        <w:r>
          <w:rPr>
            <w:rStyle w:val="Hyperlink"/>
          </w:rPr>
          <w:t xml:space="preserve">[16]</w:t>
        </w:r>
      </w:hyperlink>
      <w:r>
        <w:t xml:space="preserve">. And from the emissions literature it takes the model of successful disaggregated attribution, while noting that the aggregate debris case does not yet admit it</w:t>
      </w:r>
      <w:r>
        <w:t xml:space="preserve"> </w:t>
      </w:r>
      <w:hyperlink w:anchor="ref-12">
        <w:r>
          <w:rPr>
            <w:rStyle w:val="Hyperlink"/>
          </w:rPr>
          <w:t xml:space="preserve">[12]</w:t>
        </w:r>
      </w:hyperlink>
      <w:r>
        <w:t xml:space="preserve">.</w:t>
      </w:r>
    </w:p>
    <w:p>
      <w:pPr>
        <w:pStyle w:val="BodyText"/>
        <w:spacing w:line="480" w:lineRule="auto"/>
        <w:ind w:firstLine="720"/>
      </w:pPr>
      <w:r>
        <w:t xml:space="preserve">What the dissertation adds to that borrowed frame is a single instrument none of the source literatures turns on itself: a bibliometric screen that asks whether the aggregate attributional structure is even visible in the record those literatures have collectively produced</w:t>
      </w:r>
      <w:r>
        <w:t xml:space="preserve"> </w:t>
      </w:r>
      <w:hyperlink w:anchor="ref-3">
        <w:r>
          <w:rPr>
            <w:rStyle w:val="Hyperlink"/>
          </w:rPr>
          <w:t xml:space="preserve">[3]</w:t>
        </w:r>
      </w:hyperlink>
      <w:r>
        <w:t xml:space="preserve"> </w:t>
      </w:r>
      <w:hyperlink w:anchor="ref-7">
        <w:r>
          <w:rPr>
            <w:rStyle w:val="Hyperlink"/>
          </w:rPr>
          <w:t xml:space="preserve">[7]</w:t>
        </w:r>
      </w:hyperlink>
      <w:r>
        <w:t xml:space="preserve">. That question sits prior to every claim the reviewed work makes about responsibility, because a field cannot rest an attributional argument on a record whose structure it has never tested. Occupying that prior question, with an auditable estimator turned on retrievable metadata, is the contribution this chapter has been positioning, and the chapters that follow build the test that delivers it</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End w:id="82"/>
    <w:bookmarkEnd w:id="83"/>
    <w:bookmarkStart w:id="95" w:name="chapter-3.-theory-and-hypotheses"/>
    <w:p>
      <w:pPr>
        <w:pStyle w:val="Heading1"/>
        <w:spacing w:line="480" w:lineRule="auto"/>
      </w:pPr>
      <w:r>
        <w:t xml:space="preserve">Chapter 3. Theory and Hypotheses</w:t>
      </w:r>
    </w:p>
    <w:p>
      <w:pPr>
        <w:pStyle w:val="FirstParagraph"/>
        <w:spacing w:line="480" w:lineRule="auto"/>
      </w:pPr>
      <w:r>
        <w:t xml:space="preserve">Any test inherits the credibility of the causal story behind it, no more. This chapter lays out that story, the one linking a physical truth about uneven pollution to a pattern a reader can observe in a body of documents, and it spells out the falsifiable predictions the story generates. Nobody claims here that references produce wreckage. The claim runs the other way: when responsibility genuinely clusters, the scholarship built around it usually carries the imprint of that clustering, and an imprint that fails to appear tells its own story.</w:t>
      </w:r>
    </w:p>
    <w:bookmarkStart w:id="84" w:name="X58a12589b1fea6bced2f7bfc86c39a97e861c99"/>
    <w:p>
      <w:pPr>
        <w:pStyle w:val="Heading2"/>
        <w:spacing w:line="480" w:lineRule="auto"/>
      </w:pPr>
      <w:r>
        <w:t xml:space="preserve">3.1 From attributional reality to documentary trace</w:t>
      </w:r>
    </w:p>
    <w:p>
      <w:pPr>
        <w:pStyle w:val="FirstParagraph"/>
        <w:spacing w:line="480" w:lineRule="auto"/>
      </w:pPr>
      <w:r>
        <w:t xml:space="preserve">Begin with what is true about the world. Origins of the on-orbit wreckage differ widely from one another. Separate operators, active across separate decades and bound by separate rulebooks, each added a distinct portion of the danger</w:t>
      </w:r>
      <w:r>
        <w:t xml:space="preserve"> </w:t>
      </w:r>
      <w:hyperlink w:anchor="ref-1">
        <w:r>
          <w:rPr>
            <w:rStyle w:val="Hyperlink"/>
          </w:rPr>
          <w:t xml:space="preserve">[1]</w:t>
        </w:r>
      </w:hyperlink>
      <w:r>
        <w:t xml:space="preserve"> </w:t>
      </w:r>
      <w:hyperlink w:anchor="ref-4">
        <w:r>
          <w:rPr>
            <w:rStyle w:val="Hyperlink"/>
          </w:rPr>
          <w:t xml:space="preserve">[4]</w:t>
        </w:r>
      </w:hyperlink>
      <w:r>
        <w:t xml:space="preserve">. Physicists do not argue this point. Breakup episodes, abandoned upper stages, and dead satellites all trace back to a knowable source, and those sources bunch up by nation and by ten-year interval. The origin is never in doubt.</w:t>
      </w:r>
    </w:p>
    <w:p>
      <w:pPr>
        <w:pStyle w:val="BodyText"/>
        <w:spacing w:line="480" w:lineRule="auto"/>
        <w:ind w:firstLine="720"/>
      </w:pPr>
      <w:r>
        <w:t xml:space="preserve">Set the knowledge-side premise next to it. Research communities concentrate on questions that both reward the effort and yield to it. Let a responsibility question grow urgent, whether because the odds of collision rise, because negotiators open a treaty file, or because a deterrence worry sharpens into focus, and the community reacts with a surge of output, placed in weightier journals, pulling heavier reference traffic</w:t>
      </w:r>
      <w:r>
        <w:t xml:space="preserve"> </w:t>
      </w:r>
      <w:hyperlink w:anchor="ref-3">
        <w:r>
          <w:rPr>
            <w:rStyle w:val="Hyperlink"/>
          </w:rPr>
          <w:t xml:space="preserve">[3]</w:t>
        </w:r>
      </w:hyperlink>
      <w:r>
        <w:t xml:space="preserve"> </w:t>
      </w:r>
      <w:hyperlink w:anchor="ref-7">
        <w:r>
          <w:rPr>
            <w:rStyle w:val="Hyperlink"/>
          </w:rPr>
          <w:t xml:space="preserve">[7]</w:t>
        </w:r>
      </w:hyperlink>
      <w:r>
        <w:t xml:space="preserve">. What the paper trail offers back is not a flat reflection but a reactive one. Urgency migrates into the metadata: fresher scholarship, thicker citation, a drift toward journals of standing.</w:t>
      </w:r>
    </w:p>
    <w:p>
      <w:pPr>
        <w:pStyle w:val="BodyText"/>
        <w:spacing w:line="480" w:lineRule="auto"/>
        <w:ind w:firstLine="720"/>
      </w:pPr>
      <w:r>
        <w:t xml:space="preserve">That migration is the link this dissertation puts on trial. Were uneven pollution an active, consolidating concern, the writing gathered around it ought to betray order along the dimensions where scholarly focus registers, namely how recent the work is, how citations pile up, and what kind of outlet hosts it</w:t>
      </w:r>
      <w:r>
        <w:t xml:space="preserve"> </w:t>
      </w:r>
      <w:hyperlink w:anchor="ref-2">
        <w:r>
          <w:rPr>
            <w:rStyle w:val="Hyperlink"/>
          </w:rPr>
          <w:t xml:space="preserve">[2]</w:t>
        </w:r>
      </w:hyperlink>
      <w:r>
        <w:t xml:space="preserve"> </w:t>
      </w:r>
      <w:hyperlink w:anchor="ref-5">
        <w:r>
          <w:rPr>
            <w:rStyle w:val="Hyperlink"/>
          </w:rPr>
          <w:t xml:space="preserve">[5]</w:t>
        </w:r>
      </w:hyperlink>
      <w:r>
        <w:t xml:space="preserve">. Were the subject instead a loose hunch nobody has yet rallied around, those dimensions ought to lie flat, and the metadata ought to look nearly random against the topic score.</w:t>
      </w:r>
    </w:p>
    <w:bookmarkEnd w:id="84"/>
    <w:bookmarkStart w:id="85" w:name="why-the-three-axes"/>
    <w:p>
      <w:pPr>
        <w:pStyle w:val="Heading2"/>
        <w:spacing w:line="480" w:lineRule="auto"/>
      </w:pPr>
      <w:r>
        <w:t xml:space="preserve">3.2 Why the three axes</w:t>
      </w:r>
    </w:p>
    <w:p>
      <w:pPr>
        <w:pStyle w:val="FirstParagraph"/>
        <w:spacing w:line="480" w:lineRule="auto"/>
      </w:pPr>
      <w:r>
        <w:t xml:space="preserve">The test rides on three measurable dimensions, and each earned its place by capturing a separate side of where a field puts its energy.</w:t>
      </w:r>
    </w:p>
    <w:p>
      <w:pPr>
        <w:pStyle w:val="BodyText"/>
        <w:spacing w:line="480" w:lineRule="auto"/>
        <w:ind w:firstLine="720"/>
      </w:pPr>
      <w:r>
        <w:t xml:space="preserve">How recent the work is tells you whether the subject is expanding. Live problems attract fresh papers; stalled ones do not. The measure enters as an index pinned to the oldest publication in the pool, so that newer entries land higher</w:t>
      </w:r>
      <w:r>
        <w:t xml:space="preserve"> </w:t>
      </w:r>
      <w:hyperlink w:anchor="ref-3">
        <w:r>
          <w:rPr>
            <w:rStyle w:val="Hyperlink"/>
          </w:rPr>
          <w:t xml:space="preserve">[3]</w:t>
        </w:r>
      </w:hyperlink>
      <w:r>
        <w:t xml:space="preserve">.</w:t>
      </w:r>
    </w:p>
    <w:p>
      <w:pPr>
        <w:pStyle w:val="BodyText"/>
        <w:spacing w:line="480" w:lineRule="auto"/>
        <w:ind w:firstLine="720"/>
      </w:pPr>
      <w:r>
        <w:t xml:space="preserve">Citation weight tells you how much regard has accrued. When the community leans on a document, references gather, and the tally roughly indicates how central a piece has grown inside the debate</w:t>
      </w:r>
      <w:r>
        <w:t xml:space="preserve"> </w:t>
      </w:r>
      <w:hyperlink w:anchor="ref-8">
        <w:r>
          <w:rPr>
            <w:rStyle w:val="Hyperlink"/>
          </w:rPr>
          <w:t xml:space="preserve">[8]</w:t>
        </w:r>
      </w:hyperlink>
      <w:r>
        <w:t xml:space="preserve">. That indicator has flaws, since regard trails publication and the tally hangs on whichever index does the counting, yet it stays the conventional readout for scholarly regard</w:t>
      </w:r>
      <w:r>
        <w:t xml:space="preserve"> </w:t>
      </w:r>
      <w:hyperlink w:anchor="ref-5">
        <w:r>
          <w:rPr>
            <w:rStyle w:val="Hyperlink"/>
          </w:rPr>
          <w:t xml:space="preserve">[5]</w:t>
        </w:r>
      </w:hyperlink>
      <w:r>
        <w:t xml:space="preserve">.</w:t>
      </w:r>
    </w:p>
    <w:p>
      <w:pPr>
        <w:pStyle w:val="BodyText"/>
        <w:spacing w:line="480" w:lineRule="auto"/>
        <w:ind w:firstLine="720"/>
      </w:pPr>
      <w:r>
        <w:t xml:space="preserve">Outlet type tells you how far institutions have settled the matter. As a subject ripens and its conclusions firm up, the work drifts away from proceedings and toward refereed journals and dedicated venues</w:t>
      </w:r>
      <w:r>
        <w:t xml:space="preserve"> </w:t>
      </w:r>
      <w:hyperlink w:anchor="ref-16">
        <w:r>
          <w:rPr>
            <w:rStyle w:val="Hyperlink"/>
          </w:rPr>
          <w:t xml:space="preserve">[16]</w:t>
        </w:r>
      </w:hyperlink>
      <w:r>
        <w:t xml:space="preserve">. Scoring the outlet as a graded family, climbing from proceedings through field journals up to commons-and-economy titles, lets the test register whether the subject has ascended that institutional staircase.</w:t>
      </w:r>
    </w:p>
    <w:p>
      <w:pPr>
        <w:pStyle w:val="BodyText"/>
        <w:spacing w:line="480" w:lineRule="auto"/>
        <w:ind w:firstLine="720"/>
      </w:pPr>
      <w:r>
        <w:t xml:space="preserve">Alone, not one dimension settles anything. In concert they cross-check whether the community has rallied around the subject, and that rallying is the visible silhouette thrown by the pollution facts underneath</w:t>
      </w:r>
      <w:r>
        <w:t xml:space="preserve"> </w:t>
      </w:r>
      <w:hyperlink w:anchor="ref-4">
        <w:r>
          <w:rPr>
            <w:rStyle w:val="Hyperlink"/>
          </w:rPr>
          <w:t xml:space="preserve">[4]</w:t>
        </w:r>
      </w:hyperlink>
      <w:r>
        <w:t xml:space="preserve"> </w:t>
      </w:r>
      <w:hyperlink w:anchor="ref-7">
        <w:r>
          <w:rPr>
            <w:rStyle w:val="Hyperlink"/>
          </w:rPr>
          <w:t xml:space="preserve">[7]</w:t>
        </w:r>
      </w:hyperlink>
      <w:r>
        <w:t xml:space="preserve">.</w:t>
      </w:r>
    </w:p>
    <w:bookmarkEnd w:id="85"/>
    <w:bookmarkStart w:id="86" w:name="the-topic-signal"/>
    <w:p>
      <w:pPr>
        <w:pStyle w:val="Heading2"/>
        <w:spacing w:line="480" w:lineRule="auto"/>
      </w:pPr>
      <w:r>
        <w:t xml:space="preserve">3.3 The topic signal</w:t>
      </w:r>
    </w:p>
    <w:p>
      <w:pPr>
        <w:pStyle w:val="FirstParagraph"/>
        <w:spacing w:line="480" w:lineRule="auto"/>
      </w:pPr>
      <w:r>
        <w:t xml:space="preserve">What the models predict is a blended topic-signal number, generated by fixed rule for every pulled record out of theme-word matches in four places: the heading, the excerpt, the tag field, and the byline data. Nothing about the tally bends to judgment: no reader settles the close calls, and identical input returns identical output every time. Choosing determinism was deliberate, because it holds the outcome open to inspection and clears away reader judgment as a hidden wellspring of scatter</w:t>
      </w:r>
      <w:r>
        <w:t xml:space="preserve"> </w:t>
      </w:r>
      <w:hyperlink w:anchor="ref-3">
        <w:r>
          <w:rPr>
            <w:rStyle w:val="Hyperlink"/>
          </w:rPr>
          <w:t xml:space="preserve">[3]</w:t>
        </w:r>
      </w:hyperlink>
      <w:r>
        <w:t xml:space="preserve">.</w:t>
      </w:r>
    </w:p>
    <w:p>
      <w:pPr>
        <w:pStyle w:val="BodyText"/>
        <w:spacing w:line="480" w:lineRule="auto"/>
        <w:ind w:firstLine="720"/>
      </w:pPr>
      <w:r>
        <w:t xml:space="preserve">What the number gauges is how thickly a document leans on the theme, not whether it is good or right. Score high, and the piece works the theme hard across the text a search returns; score low, and it barely grazes it. Theory says this: should the community have consolidated around uneven pollution, thematic thickness ought to travel with the regard dimensions, since the writings steeped most deeply in the theme ought also to be the ones lately written, heavily cited, or lifted into weightier outlets</w:t>
      </w:r>
      <w:r>
        <w:t xml:space="preserve"> </w:t>
      </w:r>
      <w:hyperlink w:anchor="ref-2">
        <w:r>
          <w:rPr>
            <w:rStyle w:val="Hyperlink"/>
          </w:rPr>
          <w:t xml:space="preserve">[2]</w:t>
        </w:r>
      </w:hyperlink>
      <w:r>
        <w:t xml:space="preserve">.</w:t>
      </w:r>
    </w:p>
    <w:bookmarkEnd w:id="86"/>
    <w:bookmarkStart w:id="87" w:name="hypotheses"/>
    <w:p>
      <w:pPr>
        <w:pStyle w:val="Heading2"/>
        <w:spacing w:line="480" w:lineRule="auto"/>
      </w:pPr>
      <w:r>
        <w:t xml:space="preserve">3.4 Hypotheses</w:t>
      </w:r>
    </w:p>
    <w:p>
      <w:pPr>
        <w:pStyle w:val="FirstParagraph"/>
        <w:spacing w:line="480" w:lineRule="auto"/>
      </w:pPr>
      <w:r>
        <w:t xml:space="preserve">Out of the causal story falls a lead pair of hypotheses, put to Paper 1.</w:t>
      </w:r>
    </w:p>
    <w:p>
      <w:pPr>
        <w:pStyle w:val="BodyText"/>
        <w:spacing w:line="480" w:lineRule="auto"/>
        <w:ind w:firstLine="720"/>
      </w:pPr>
      <w:r>
        <w:t xml:space="preserve">H0 (Paper 1): the topic-signal score is unrelated to publication recency, citation attention, and venue family in the retrieved corpus.</w:t>
      </w:r>
    </w:p>
    <w:p>
      <w:pPr>
        <w:pStyle w:val="BodyText"/>
        <w:spacing w:line="480" w:lineRule="auto"/>
        <w:ind w:firstLine="720"/>
      </w:pPr>
      <w:r>
        <w:t xml:space="preserve">H1 (Paper 1): the topic-signal score is systematically related to those axes, rising with recency and citation attention.</w:t>
      </w:r>
    </w:p>
    <w:p>
      <w:pPr>
        <w:pStyle w:val="BodyText"/>
        <w:spacing w:line="480" w:lineRule="auto"/>
        <w:ind w:firstLine="720"/>
      </w:pPr>
      <w:r>
        <w:t xml:space="preserve">H1 arrives with a signed forecast attached. Should the subject be firming up, recency ought to carry a plus sign, because fresher entries ought to steep more deeply in the theme as the community settles its shared terms</w:t>
      </w:r>
      <w:r>
        <w:t xml:space="preserve"> </w:t>
      </w:r>
      <w:hyperlink w:anchor="ref-3">
        <w:r>
          <w:rPr>
            <w:rStyle w:val="Hyperlink"/>
          </w:rPr>
          <w:t xml:space="preserve">[3]</w:t>
        </w:r>
      </w:hyperlink>
      <w:r>
        <w:t xml:space="preserve">. Citation ought to carry a plus sign too, if regard follows thematic depth</w:t>
      </w:r>
      <w:r>
        <w:t xml:space="preserve"> </w:t>
      </w:r>
      <w:hyperlink w:anchor="ref-8">
        <w:r>
          <w:rPr>
            <w:rStyle w:val="Hyperlink"/>
          </w:rPr>
          <w:t xml:space="preserve">[8]</w:t>
        </w:r>
      </w:hyperlink>
      <w:r>
        <w:t xml:space="preserve">. On outlet the sign stays unfixed, since a climb into weightier venues might either concentrate or thin the measured thematic thickness depending on how wide the receiving titles cast their net</w:t>
      </w:r>
      <w:r>
        <w:t xml:space="preserve"> </w:t>
      </w:r>
      <w:hyperlink w:anchor="ref-16">
        <w:r>
          <w:rPr>
            <w:rStyle w:val="Hyperlink"/>
          </w:rPr>
          <w:t xml:space="preserve">[16]</w:t>
        </w:r>
      </w:hyperlink>
      <w:r>
        <w:t xml:space="preserve">.</w:t>
      </w:r>
    </w:p>
    <w:p>
      <w:pPr>
        <w:pStyle w:val="BodyText"/>
        <w:spacing w:line="480" w:lineRule="auto"/>
        <w:ind w:firstLine="720"/>
      </w:pPr>
      <w:r>
        <w:t xml:space="preserve">A second, motion-oriented hypothesis falls out as well, put to Paper 2.</w:t>
      </w:r>
    </w:p>
    <w:p>
      <w:pPr>
        <w:pStyle w:val="BodyText"/>
        <w:spacing w:line="480" w:lineRule="auto"/>
        <w:ind w:firstLine="720"/>
      </w:pPr>
      <w:r>
        <w:t xml:space="preserve">H0 (Paper 2): citation accumulation is unrelated to article age in the retrieved topic literature.</w:t>
      </w:r>
    </w:p>
    <w:p>
      <w:pPr>
        <w:pStyle w:val="BodyText"/>
        <w:spacing w:line="480" w:lineRule="auto"/>
        <w:ind w:firstLine="720"/>
      </w:pPr>
      <w:r>
        <w:t xml:space="preserve">H1 (Paper 2): citation accumulation follows a measurable age-based attention curve.</w:t>
      </w:r>
    </w:p>
    <w:p>
      <w:pPr>
        <w:pStyle w:val="BodyText"/>
        <w:spacing w:line="480" w:lineRule="auto"/>
        <w:ind w:firstLine="720"/>
      </w:pPr>
      <w:r>
        <w:t xml:space="preserve">Framing this as a learning curve forecasts that reference tallies swell with however long a document has had to gather them, so the age elasticity ought to land positive if regard ages the ordinary way</w:t>
      </w:r>
      <w:r>
        <w:t xml:space="preserve"> </w:t>
      </w:r>
      <w:hyperlink w:anchor="ref-8">
        <w:r>
          <w:rPr>
            <w:rStyle w:val="Hyperlink"/>
          </w:rPr>
          <w:t xml:space="preserve">[8]</w:t>
        </w:r>
      </w:hyperlink>
      <w:r>
        <w:t xml:space="preserve">. Should it come out flat or minus, that would flag a pool gathering regard against type, and for a small, mixed batch of documents that outcome is worth checking rather than presuming</w:t>
      </w:r>
      <w:r>
        <w:t xml:space="preserve"> </w:t>
      </w:r>
      <w:hyperlink w:anchor="ref-5">
        <w:r>
          <w:rPr>
            <w:rStyle w:val="Hyperlink"/>
          </w:rPr>
          <w:t xml:space="preserve">[5]</w:t>
        </w:r>
      </w:hyperlink>
      <w:r>
        <w:t xml:space="preserve">.</w:t>
      </w:r>
    </w:p>
    <w:bookmarkEnd w:id="87"/>
    <w:bookmarkStart w:id="88" w:name="what-a-null-result-would-mean"/>
    <w:p>
      <w:pPr>
        <w:pStyle w:val="Heading2"/>
        <w:spacing w:line="480" w:lineRule="auto"/>
      </w:pPr>
      <w:r>
        <w:t xml:space="preserve">3.5 What a null result would mean</w:t>
      </w:r>
    </w:p>
    <w:p>
      <w:pPr>
        <w:pStyle w:val="FirstParagraph"/>
        <w:spacing w:line="480" w:lineRule="auto"/>
      </w:pPr>
      <w:r>
        <w:t xml:space="preserve">Nothing about the design treats an empty result as a humiliation; it treats it as information. Should the models hand back faint, blurry links, the message is not that uneven pollution is make-believe. The message is that what a search returns has not yet captured the responsibility pattern crisply enough to be lifted straight off the page</w:t>
      </w:r>
      <w:r>
        <w:t xml:space="preserve"> </w:t>
      </w:r>
      <w:hyperlink w:anchor="ref-4">
        <w:r>
          <w:rPr>
            <w:rStyle w:val="Hyperlink"/>
          </w:rPr>
          <w:t xml:space="preserve">[4]</w:t>
        </w:r>
      </w:hyperlink>
      <w:r>
        <w:t xml:space="preserve">. That would pin the trouble down: responsibility, if real, sits under the metadata, down in the full texts and the tracking data, and prying it loose would demand an instrument built for the job</w:t>
      </w:r>
      <w:r>
        <w:t xml:space="preserve"> </w:t>
      </w:r>
      <w:hyperlink w:anchor="ref-3">
        <w:r>
          <w:rPr>
            <w:rStyle w:val="Hyperlink"/>
          </w:rPr>
          <w:t xml:space="preserve">[3]</w:t>
        </w:r>
      </w:hyperlink>
      <w:r>
        <w:t xml:space="preserve">.</w:t>
      </w:r>
    </w:p>
    <w:p>
      <w:pPr>
        <w:pStyle w:val="BodyText"/>
        <w:spacing w:line="480" w:lineRule="auto"/>
        <w:ind w:firstLine="720"/>
      </w:pPr>
      <w:r>
        <w:t xml:space="preserve">That counts as an honest finding. No field gets to declare a subject mature on a hunch, and a screen returning weak numbers warns that the evidence underfoot is flimsier than the confident talk on top of it</w:t>
      </w:r>
      <w:r>
        <w:t xml:space="preserve"> </w:t>
      </w:r>
      <w:hyperlink w:anchor="ref-7">
        <w:r>
          <w:rPr>
            <w:rStyle w:val="Hyperlink"/>
          </w:rPr>
          <w:t xml:space="preserve">[7]</w:t>
        </w:r>
      </w:hyperlink>
      <w:r>
        <w:t xml:space="preserve">. The chapters ahead assemble the models that make this call unavoidable, and Chapter 6 says which way the numbers actually tip.</w:t>
      </w:r>
    </w:p>
    <w:bookmarkEnd w:id="88"/>
    <w:bookmarkStart w:id="89" w:name="X2217a2d90d5271e9ee1d8a416c9610e6f31905c"/>
    <w:p>
      <w:pPr>
        <w:pStyle w:val="Heading2"/>
        <w:spacing w:line="480" w:lineRule="auto"/>
      </w:pPr>
      <w:r>
        <w:t xml:space="preserve">3.6 The propagation assumption, stated as a chain</w:t>
      </w:r>
    </w:p>
    <w:p>
      <w:pPr>
        <w:pStyle w:val="FirstParagraph"/>
        <w:spacing w:line="480" w:lineRule="auto"/>
      </w:pPr>
      <w:r>
        <w:t xml:space="preserve">The causal story earns a spelled-out chain, because the flimsiest link is exactly where a doubter belongs, and putting the links on display invites the shove instead of dodging it. Four steps make the chain. One, the wreckage varies in physical origin, a point beyond quarrel</w:t>
      </w:r>
      <w:r>
        <w:t xml:space="preserve"> </w:t>
      </w:r>
      <w:hyperlink w:anchor="ref-1">
        <w:r>
          <w:rPr>
            <w:rStyle w:val="Hyperlink"/>
          </w:rPr>
          <w:t xml:space="preserve">[1]</w:t>
        </w:r>
      </w:hyperlink>
      <w:r>
        <w:t xml:space="preserve"> </w:t>
      </w:r>
      <w:hyperlink w:anchor="ref-4">
        <w:r>
          <w:rPr>
            <w:rStyle w:val="Hyperlink"/>
          </w:rPr>
          <w:t xml:space="preserve">[4]</w:t>
        </w:r>
      </w:hyperlink>
      <w:r>
        <w:t xml:space="preserve">. Two, if that variety is a working governance headache, some community will rally attention toward it, because communities answer weighty, workable problems by writing about them</w:t>
      </w:r>
      <w:r>
        <w:t xml:space="preserve"> </w:t>
      </w:r>
      <w:hyperlink w:anchor="ref-3">
        <w:r>
          <w:rPr>
            <w:rStyle w:val="Hyperlink"/>
          </w:rPr>
          <w:t xml:space="preserve">[3]</w:t>
        </w:r>
      </w:hyperlink>
      <w:r>
        <w:t xml:space="preserve"> </w:t>
      </w:r>
      <w:hyperlink w:anchor="ref-7">
        <w:r>
          <w:rPr>
            <w:rStyle w:val="Hyperlink"/>
          </w:rPr>
          <w:t xml:space="preserve">[7]</w:t>
        </w:r>
      </w:hyperlink>
      <w:r>
        <w:t xml:space="preserve">. Three, that rallied attention scratches a mark into the metadata the community throws off, in when papers appear, in how references gather, and in the outlets carrying the exchange</w:t>
      </w:r>
      <w:r>
        <w:t xml:space="preserve"> </w:t>
      </w:r>
      <w:hyperlink w:anchor="ref-2">
        <w:r>
          <w:rPr>
            <w:rStyle w:val="Hyperlink"/>
          </w:rPr>
          <w:t xml:space="preserve">[2]</w:t>
        </w:r>
      </w:hyperlink>
      <w:r>
        <w:t xml:space="preserve"> </w:t>
      </w:r>
      <w:hyperlink w:anchor="ref-5">
        <w:r>
          <w:rPr>
            <w:rStyle w:val="Hyperlink"/>
          </w:rPr>
          <w:t xml:space="preserve">[5]</w:t>
        </w:r>
      </w:hyperlink>
      <w:r>
        <w:t xml:space="preserve">. Four, a bibliometric tool run over a pulled corpus can register that mark whenever it is really there.</w:t>
      </w:r>
    </w:p>
    <w:p>
      <w:pPr>
        <w:pStyle w:val="BodyText"/>
        <w:spacing w:line="480" w:lineRule="auto"/>
        <w:ind w:firstLine="720"/>
      </w:pPr>
      <w:r>
        <w:t xml:space="preserve">Any of the four can snap, and the honest design reckons with the snapping instead of wishing it away. Link two snaps if no community has yet gathered around responsibility, which for a fresh problem is wholly believable. Link three snaps if the community did gather but somewhere the metadata skips over, buried in full texts rather than headings and tags. Link four snaps if the pool runs too thin or too squeezed for the tool to pull a genuine but slight signal into view. An empty result, standing alone, cannot sort these breaks from one another, and Chapter 7 states outright that it makes no such attempt. The chain earns its keep by keeping the reading of an empty result honest: a faint screen fingers one of these links, and the study owes the reader a verdict on which links its numbers can and cannot clear</w:t>
      </w:r>
      <w:r>
        <w:t xml:space="preserve"> </w:t>
      </w:r>
      <w:hyperlink w:anchor="ref-8">
        <w:r>
          <w:rPr>
            <w:rStyle w:val="Hyperlink"/>
          </w:rPr>
          <w:t xml:space="preserve">[8]</w:t>
        </w:r>
      </w:hyperlink>
      <w:r>
        <w:t xml:space="preserve">.</w:t>
      </w:r>
    </w:p>
    <w:bookmarkEnd w:id="89"/>
    <w:bookmarkStart w:id="90" w:name="X0376dd6d14753ab1ddfec2b307bbbdb4f3c88c9"/>
    <w:p>
      <w:pPr>
        <w:pStyle w:val="Heading2"/>
        <w:spacing w:line="480" w:lineRule="auto"/>
      </w:pPr>
      <w:r>
        <w:t xml:space="preserve">3.7 Alternative mechanisms considered and set aside</w:t>
      </w:r>
    </w:p>
    <w:p>
      <w:pPr>
        <w:pStyle w:val="FirstParagraph"/>
        <w:spacing w:line="480" w:lineRule="auto"/>
      </w:pPr>
      <w:r>
        <w:t xml:space="preserve">Honesty demands owning the causal stories this design leaves untested, so that no reader takes the screen for a wider tool than it is. Story one says thematic thickness betrays writing tactics rather than community regard: a writer might pack a paper’s searchable text with theme words to woo indexes and references, so the signal would clock salesmanship, not substantive responsibility</w:t>
      </w:r>
      <w:r>
        <w:t xml:space="preserve"> </w:t>
      </w:r>
      <w:hyperlink w:anchor="ref-3">
        <w:r>
          <w:rPr>
            <w:rStyle w:val="Hyperlink"/>
          </w:rPr>
          <w:t xml:space="preserve">[3]</w:t>
        </w:r>
      </w:hyperlink>
      <w:r>
        <w:t xml:space="preserve">. This the design cannot exclude, and it makes no such boast. Its only boast is that were such packing common and tied to the regard dimensions, the screen would still register the resulting order, and where that order came from would then fall to the direct full-text coding Chapter 8 lays out.</w:t>
      </w:r>
    </w:p>
    <w:p>
      <w:pPr>
        <w:pStyle w:val="BodyText"/>
        <w:spacing w:line="480" w:lineRule="auto"/>
        <w:ind w:firstLine="720"/>
      </w:pPr>
      <w:r>
        <w:t xml:space="preserve">Story two says outlet type rides on citation regard, since better-cited work climbs toward better-established titles, so the two predictors might be splitting shared variance rather than marking separate sides</w:t>
      </w:r>
      <w:r>
        <w:t xml:space="preserve"> </w:t>
      </w:r>
      <w:hyperlink w:anchor="ref-16">
        <w:r>
          <w:rPr>
            <w:rStyle w:val="Hyperlink"/>
          </w:rPr>
          <w:t xml:space="preserve">[16]</w:t>
        </w:r>
      </w:hyperlink>
      <w:r>
        <w:t xml:space="preserve">. Paper 1’s additive setup handles them as separable, a shortcut the thin sample compels. The design defends not the shortcut’s perfection but its openness: the coefficients are the partial links under an additive frame, and any reader suspecting entanglement can pull up the source column and the outlet coding to gauge how much overlap the numbers really hold</w:t>
      </w:r>
      <w:r>
        <w:t xml:space="preserve"> </w:t>
      </w:r>
      <w:hyperlink w:anchor="ref-5">
        <w:r>
          <w:rPr>
            <w:rStyle w:val="Hyperlink"/>
          </w:rPr>
          <w:t xml:space="preserve">[5]</w:t>
        </w:r>
      </w:hyperlink>
      <w:r>
        <w:t xml:space="preserve">. Story three, that recency and age move together by construction since both spring from the publication year, gets met squarely in Chapter 5, where the pair of indices turn out to be flipped views of one time field, matched by design and fed to separate models on purpose so no single model muddles them</w:t>
      </w:r>
      <w:r>
        <w:t xml:space="preserve"> </w:t>
      </w:r>
      <w:hyperlink w:anchor="ref-8">
        <w:r>
          <w:rPr>
            <w:rStyle w:val="Hyperlink"/>
          </w:rPr>
          <w:t xml:space="preserve">[8]</w:t>
        </w:r>
      </w:hyperlink>
      <w:r>
        <w:t xml:space="preserve">.</w:t>
      </w:r>
    </w:p>
    <w:bookmarkEnd w:id="90"/>
    <w:bookmarkStart w:id="91" w:name="the-predictions-in-operational-form"/>
    <w:p>
      <w:pPr>
        <w:pStyle w:val="Heading2"/>
        <w:spacing w:line="480" w:lineRule="auto"/>
      </w:pPr>
      <w:r>
        <w:t xml:space="preserve">3.8 The predictions in operational form</w:t>
      </w:r>
    </w:p>
    <w:p>
      <w:pPr>
        <w:pStyle w:val="FirstParagraph"/>
        <w:spacing w:line="480" w:lineRule="auto"/>
      </w:pPr>
      <w:r>
        <w:t xml:space="preserve">For the hypotheses to bite rather than merely sound good, each has to land on a definite shape in the model output, and pinning those shapes down before a single figure surfaces earns its keep. Under H1 for Paper 1, recency ought to come out positive and sharp, citation positive and sharp, and the whole model ought to soak up more variance than luck would hand it, delivering an adjusted fit over zero and a joint test that clears the usual bar</w:t>
      </w:r>
      <w:r>
        <w:t xml:space="preserve"> </w:t>
      </w:r>
      <w:hyperlink w:anchor="ref-3">
        <w:r>
          <w:rPr>
            <w:rStyle w:val="Hyperlink"/>
          </w:rPr>
          <w:t xml:space="preserve">[3]</w:t>
        </w:r>
      </w:hyperlink>
      <w:r>
        <w:t xml:space="preserve"> </w:t>
      </w:r>
      <w:hyperlink w:anchor="ref-8">
        <w:r>
          <w:rPr>
            <w:rStyle w:val="Hyperlink"/>
          </w:rPr>
          <w:t xml:space="preserve">[8]</w:t>
        </w:r>
      </w:hyperlink>
      <w:r>
        <w:t xml:space="preserve">. An outcome where one slope tilts as forecast while the other tilts against, and where neither reaches sharpness, does not count as half a win. Under the pre-set proof standard it reads as a failure to reject H0, because a causal story forecasting order across three dimensions wins no vindication from one blurry tilt</w:t>
      </w:r>
      <w:r>
        <w:t xml:space="preserve"> </w:t>
      </w:r>
      <w:hyperlink w:anchor="ref-2">
        <w:r>
          <w:rPr>
            <w:rStyle w:val="Hyperlink"/>
          </w:rPr>
          <w:t xml:space="preserve">[2]</w:t>
        </w:r>
      </w:hyperlink>
      <w:r>
        <w:t xml:space="preserve">.</w:t>
      </w:r>
    </w:p>
    <w:p>
      <w:pPr>
        <w:pStyle w:val="BodyText"/>
        <w:spacing w:line="480" w:lineRule="auto"/>
        <w:ind w:firstLine="720"/>
      </w:pPr>
      <w:r>
        <w:t xml:space="preserve">Under H1 for Paper 2, the age elasticity ought to land positive, meaning citations-plus-one climb with the time a document has had to gather them, and the matching progress ratio ought to top one</w:t>
      </w:r>
      <w:r>
        <w:t xml:space="preserve"> </w:t>
      </w:r>
      <w:hyperlink w:anchor="ref-8">
        <w:r>
          <w:rPr>
            <w:rStyle w:val="Hyperlink"/>
          </w:rPr>
          <w:t xml:space="preserve">[8]</w:t>
        </w:r>
      </w:hyperlink>
      <w:r>
        <w:t xml:space="preserve">. A minus elasticity, or a progress ratio under one, would say the pool strays from ordinary buildup, which for a thin batch ruled by one towering outlier is a live prospect the design foresees rather than a riddle it must talk away</w:t>
      </w:r>
      <w:r>
        <w:t xml:space="preserve"> </w:t>
      </w:r>
      <w:hyperlink w:anchor="ref-5">
        <w:r>
          <w:rPr>
            <w:rStyle w:val="Hyperlink"/>
          </w:rPr>
          <w:t xml:space="preserve">[5]</w:t>
        </w:r>
      </w:hyperlink>
      <w:r>
        <w:t xml:space="preserve">. Fixing these shapes ahead of time is what lifts the hypotheses out of mood and into test: once Chapter 6 lays out the coefficients, the reader already holds the map of which shapes would have confirmed the story and which would have sunk it, and the ruling issues from the rule instead of from hindsight</w:t>
      </w:r>
      <w:r>
        <w:t xml:space="preserve"> </w:t>
      </w:r>
      <w:hyperlink w:anchor="ref-4">
        <w:r>
          <w:rPr>
            <w:rStyle w:val="Hyperlink"/>
          </w:rPr>
          <w:t xml:space="preserve">[4]</w:t>
        </w:r>
      </w:hyperlink>
      <w:r>
        <w:t xml:space="preserve"> </w:t>
      </w:r>
      <w:hyperlink w:anchor="ref-7">
        <w:r>
          <w:rPr>
            <w:rStyle w:val="Hyperlink"/>
          </w:rPr>
          <w:t xml:space="preserve">[7]</w:t>
        </w:r>
      </w:hyperlink>
      <w:r>
        <w:t xml:space="preserve">.</w:t>
      </w:r>
    </w:p>
    <w:bookmarkEnd w:id="91"/>
    <w:bookmarkStart w:id="92" w:name="X03980d0f4ff6959c7b1582991382ee646d0b473"/>
    <w:p>
      <w:pPr>
        <w:pStyle w:val="Heading2"/>
        <w:spacing w:line="480" w:lineRule="auto"/>
      </w:pPr>
      <w:r>
        <w:t xml:space="preserve">3.9 The theory’s debt to socio-technical framing</w:t>
      </w:r>
    </w:p>
    <w:p>
      <w:pPr>
        <w:pStyle w:val="FirstParagraph"/>
        <w:spacing w:line="480" w:lineRule="auto"/>
      </w:pPr>
      <w:r>
        <w:t xml:space="preserve">The causal story borrows its pivotal move from the socio-technical reading that handles space objects and the watchfulness around them as joined human-and-machine systems, not as hardware standing alone</w:t>
      </w:r>
      <w:r>
        <w:t xml:space="preserve"> </w:t>
      </w:r>
      <w:hyperlink w:anchor="ref-3">
        <w:r>
          <w:rPr>
            <w:rStyle w:val="Hyperlink"/>
          </w:rPr>
          <w:t xml:space="preserve">[3]</w:t>
        </w:r>
      </w:hyperlink>
      <w:r>
        <w:t xml:space="preserve">. That reading grants license to say responsibility shows up in how the record is arranged, and not solely in orbital motion, because it maintains that a space object’s meaning owes part of itself to the human systems watching, logging, and disputing it. Grant that, and the field’s paper output stops being a sideshow to the responsibility question; it becomes one of the systems through which responsibility gets socially made, so its arrangement is a fair spot to search for the marks of an organized responsibility effort</w:t>
      </w:r>
      <w:r>
        <w:t xml:space="preserve"> </w:t>
      </w:r>
      <w:hyperlink w:anchor="ref-7">
        <w:r>
          <w:rPr>
            <w:rStyle w:val="Hyperlink"/>
          </w:rPr>
          <w:t xml:space="preserve">[7]</w:t>
        </w:r>
      </w:hyperlink>
      <w:r>
        <w:t xml:space="preserve">.</w:t>
      </w:r>
    </w:p>
    <w:p>
      <w:pPr>
        <w:pStyle w:val="BodyText"/>
        <w:spacing w:line="480" w:lineRule="auto"/>
        <w:ind w:firstLine="720"/>
      </w:pPr>
      <w:r>
        <w:t xml:space="preserve">Owning the debt matters because the debt also fences the theory in. Should the socio-technical reading miss the mark, should a debris object’s meaning be used up by its physics and its origin with no constituting role for the human talk around it, then the paper record would make a poor hunting ground for responsibility order no matter whether the field had gathered around it</w:t>
      </w:r>
      <w:r>
        <w:t xml:space="preserve"> </w:t>
      </w:r>
      <w:hyperlink w:anchor="ref-4">
        <w:r>
          <w:rPr>
            <w:rStyle w:val="Hyperlink"/>
          </w:rPr>
          <w:t xml:space="preserve">[4]</w:t>
        </w:r>
      </w:hyperlink>
      <w:r>
        <w:t xml:space="preserve">. On that deeper dispute the dissertation stays silent. It takes the socio-technical premise on as a working bet, tests the visible consequence the bet implies, and reads an empty result as fitting both an ungathered field and a reading that oversold how much the talk constitutes</w:t>
      </w:r>
      <w:r>
        <w:t xml:space="preserve"> </w:t>
      </w:r>
      <w:hyperlink w:anchor="ref-3">
        <w:r>
          <w:rPr>
            <w:rStyle w:val="Hyperlink"/>
          </w:rPr>
          <w:t xml:space="preserve">[3]</w:t>
        </w:r>
      </w:hyperlink>
      <w:r>
        <w:t xml:space="preserve">. Naming the debt keeps the theory candid about the bet holding it up, and it flags that bet as one of the things a dogged doubter could dispute.</w:t>
      </w:r>
    </w:p>
    <w:bookmarkEnd w:id="92"/>
    <w:bookmarkStart w:id="93" w:name="Xec28da4dbfe78a883b793c4562a86c3340166e1"/>
    <w:p>
      <w:pPr>
        <w:pStyle w:val="Heading2"/>
        <w:spacing w:line="480" w:lineRule="auto"/>
      </w:pPr>
      <w:r>
        <w:t xml:space="preserve">3.10 Why determinism is a theoretical commitment, not just a convenience</w:t>
      </w:r>
    </w:p>
    <w:p>
      <w:pPr>
        <w:pStyle w:val="FirstParagraph"/>
        <w:spacing w:line="480" w:lineRule="auto"/>
      </w:pPr>
      <w:r>
        <w:t xml:space="preserve">People usually defend the fixed-rule build of the topic signal on inspection grounds, but it packs a theoretical claim too, one worth teasing out. By nailing the outcome to a mechanical count of theme-word matches across searchable fields, the design pledges to gauge thematic thickness as it surfaces on the record’s face, on purpose omitting the deeper engagement lodged in a document’s body</w:t>
      </w:r>
      <w:r>
        <w:t xml:space="preserve"> </w:t>
      </w:r>
      <w:hyperlink w:anchor="ref-3">
        <w:r>
          <w:rPr>
            <w:rStyle w:val="Hyperlink"/>
          </w:rPr>
          <w:t xml:space="preserve">[3]</w:t>
        </w:r>
      </w:hyperlink>
      <w:r>
        <w:t xml:space="preserve">. That omission is no slip; it is the theory’s picked proving ground. The causal story forecasts that a gathered field firms up its vocabulary, so the theme works its way into the headings, tags, and abstracts that indexes grab, and the surface count is precisely where that migration would register</w:t>
      </w:r>
      <w:r>
        <w:t xml:space="preserve"> </w:t>
      </w:r>
      <w:hyperlink w:anchor="ref-2">
        <w:r>
          <w:rPr>
            <w:rStyle w:val="Hyperlink"/>
          </w:rPr>
          <w:t xml:space="preserve">[2]</w:t>
        </w:r>
      </w:hyperlink>
      <w:r>
        <w:t xml:space="preserve">.</w:t>
      </w:r>
    </w:p>
    <w:p>
      <w:pPr>
        <w:pStyle w:val="BodyText"/>
        <w:spacing w:line="480" w:lineRule="auto"/>
        <w:ind w:firstLine="720"/>
      </w:pPr>
      <w:r>
        <w:t xml:space="preserve">This turns the surface-level outcome into a real trial of the story rather than a handy stand-in for it. Had the field firmed up its focus on responsibility, the firming would have driven the theme onto the searchable face, and the fixed count would clock it</w:t>
      </w:r>
      <w:r>
        <w:t xml:space="preserve"> </w:t>
      </w:r>
      <w:hyperlink w:anchor="ref-7">
        <w:r>
          <w:rPr>
            <w:rStyle w:val="Hyperlink"/>
          </w:rPr>
          <w:t xml:space="preserve">[7]</w:t>
        </w:r>
      </w:hyperlink>
      <w:r>
        <w:t xml:space="preserve">. So an empty surface count carries a pointed meaning under the theory: either the firming never happened, or it happened without the vocabulary drift the story forecast, in which case the theme stays lodged in bodies the surface count is blind to</w:t>
      </w:r>
      <w:r>
        <w:t xml:space="preserve"> </w:t>
      </w:r>
      <w:hyperlink w:anchor="ref-5">
        <w:r>
          <w:rPr>
            <w:rStyle w:val="Hyperlink"/>
          </w:rPr>
          <w:t xml:space="preserve">[5]</w:t>
        </w:r>
      </w:hyperlink>
      <w:r>
        <w:t xml:space="preserve">. Either reading steers the next study toward direct body coding, and both teach something rather than merely coming up short. Determinism, put plainly, is no flinch from richer gauging but a pledge to try the story at the very layer where it staked its forecast</w:t>
      </w:r>
      <w:r>
        <w:t xml:space="preserve"> </w:t>
      </w:r>
      <w:hyperlink w:anchor="ref-8">
        <w:r>
          <w:rPr>
            <w:rStyle w:val="Hyperlink"/>
          </w:rPr>
          <w:t xml:space="preserve">[8]</w:t>
        </w:r>
      </w:hyperlink>
      <w:r>
        <w:t xml:space="preserve">.</w:t>
      </w:r>
    </w:p>
    <w:bookmarkEnd w:id="93"/>
    <w:bookmarkStart w:id="94" w:name="X03cba760b51d1fd0d9f75410f2bf0e0a21de1da"/>
    <w:p>
      <w:pPr>
        <w:pStyle w:val="Heading2"/>
        <w:spacing w:line="480" w:lineRule="auto"/>
      </w:pPr>
      <w:r>
        <w:t xml:space="preserve">3.11 The mechanism’s prediction under a young topic</w:t>
      </w:r>
    </w:p>
    <w:p>
      <w:pPr>
        <w:pStyle w:val="FirstParagraph"/>
        <w:spacing w:line="480" w:lineRule="auto"/>
      </w:pPr>
      <w:r>
        <w:t xml:space="preserve">One upshot of the causal story deserves its own spotlight, because it colors how a reader ought to hold the whole test. For a young subject, one still early on the arc where capability runs ahead of rules and responsibility trails both, the story forecasts a faint surface signal not as a flaw but as a truthful likeness of a field that has yet to firm up</w:t>
      </w:r>
      <w:r>
        <w:t xml:space="preserve"> </w:t>
      </w:r>
      <w:hyperlink w:anchor="ref-7">
        <w:r>
          <w:rPr>
            <w:rStyle w:val="Hyperlink"/>
          </w:rPr>
          <w:t xml:space="preserve">[7]</w:t>
        </w:r>
      </w:hyperlink>
      <w:r>
        <w:t xml:space="preserve">. The neighboring commons literatures hint that debris responsibility may occupy exactly that early stretch, where the problem is named yet the community has not gathered its focus around the responsibility question sharply enough to drive the theme onto the searchable face</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If that reading is sound, then a faint screen is the story succeeding, not stumbling. The design braces for this by refusing to read an empty result as a rebuttal of the underlying reality, and by casting the test as a sounding of where along the capability-to-rules arc the field now stands</w:t>
      </w:r>
      <w:r>
        <w:t xml:space="preserve"> </w:t>
      </w:r>
      <w:hyperlink w:anchor="ref-3">
        <w:r>
          <w:rPr>
            <w:rStyle w:val="Hyperlink"/>
          </w:rPr>
          <w:t xml:space="preserve">[3]</w:t>
        </w:r>
      </w:hyperlink>
      <w:r>
        <w:t xml:space="preserve">. A firmed-up field would throw a strong surface mark; a field still early would throw a dim one; and telling those apart is exactly the screen’s assignment, with the caveat that a thin corpus caps how crisply it can rule</w:t>
      </w:r>
      <w:r>
        <w:t xml:space="preserve"> </w:t>
      </w:r>
      <w:hyperlink w:anchor="ref-8">
        <w:r>
          <w:rPr>
            <w:rStyle w:val="Hyperlink"/>
          </w:rPr>
          <w:t xml:space="preserve">[8]</w:t>
        </w:r>
      </w:hyperlink>
      <w:r>
        <w:t xml:space="preserve">. So the story does more than forecast a signal or its lack. It reads the lack, roping a faint result to a definite, checkable claim about the subject’s ripeness rather than abandoning it as an unexplained minus</w:t>
      </w:r>
      <w:r>
        <w:t xml:space="preserve"> </w:t>
      </w:r>
      <w:hyperlink w:anchor="ref-4">
        <w:r>
          <w:rPr>
            <w:rStyle w:val="Hyperlink"/>
          </w:rPr>
          <w:t xml:space="preserve">[4]</w:t>
        </w:r>
      </w:hyperlink>
      <w:r>
        <w:t xml:space="preserve">.</w:t>
      </w:r>
    </w:p>
    <w:bookmarkEnd w:id="94"/>
    <w:bookmarkEnd w:id="95"/>
    <w:bookmarkStart w:id="107" w:name="X940caaf6d3ac92c12a69529db0381ad3e868d7e"/>
    <w:p>
      <w:pPr>
        <w:pStyle w:val="Heading1"/>
        <w:spacing w:line="480" w:lineRule="auto"/>
      </w:pPr>
      <w:r>
        <w:t xml:space="preserve">Chapter 4. Methodology and Identification</w:t>
      </w:r>
    </w:p>
    <w:p>
      <w:pPr>
        <w:pStyle w:val="FirstParagraph"/>
        <w:spacing w:line="480" w:lineRule="auto"/>
      </w:pPr>
      <w:r>
        <w:t xml:space="preserve">Here the models and the reasoning that licenses them get their account. Two forms do the work: an ordinary least squares fit on how intense the topic signal runs, and a log-log learning curve on how references pile up. Neither pretends to pull out a cause in the what-if sense. Both serve as sifting tools, picked because they draw order from a thin, checkable table while holding the reasoning frank about a sift’s reach and its edge</w:t>
      </w:r>
      <w:r>
        <w:t xml:space="preserve"> </w:t>
      </w:r>
      <w:hyperlink w:anchor="ref-3">
        <w:r>
          <w:rPr>
            <w:rStyle w:val="Hyperlink"/>
          </w:rPr>
          <w:t xml:space="preserve">[3]</w:t>
        </w:r>
      </w:hyperlink>
      <w:r>
        <w:t xml:space="preserve"> </w:t>
      </w:r>
      <w:hyperlink w:anchor="ref-7">
        <w:r>
          <w:rPr>
            <w:rStyle w:val="Hyperlink"/>
          </w:rPr>
          <w:t xml:space="preserve">[7]</w:t>
        </w:r>
      </w:hyperlink>
      <w:r>
        <w:t xml:space="preserve">.</w:t>
      </w:r>
    </w:p>
    <w:bookmarkStart w:id="96" w:name="X1fa8c47f15461da48da4d6798b4606068963207"/>
    <w:p>
      <w:pPr>
        <w:pStyle w:val="Heading2"/>
        <w:spacing w:line="480" w:lineRule="auto"/>
      </w:pPr>
      <w:r>
        <w:t xml:space="preserve">4.1 The estimand and what identification means here</w:t>
      </w:r>
    </w:p>
    <w:p>
      <w:pPr>
        <w:pStyle w:val="FirstParagraph"/>
        <w:spacing w:line="480" w:lineRule="auto"/>
      </w:pPr>
      <w:r>
        <w:t xml:space="preserve">Pinning down what gets pinned down is no small thing, because the term shifts weight from one design to the next. Policy consequences are not what this study pins down. That much is settled at the outset. What it pins down is whether a visible tie between a topic signal and a cluster of regard dimensions can be pried apart from noise, once the pulled corpus is fixed. That target is descriptive and structural, not causal, and the chapter guards the wall between the two.</w:t>
      </w:r>
    </w:p>
    <w:p>
      <w:pPr>
        <w:pStyle w:val="BodyText"/>
        <w:spacing w:line="480" w:lineRule="auto"/>
        <w:ind w:firstLine="720"/>
      </w:pPr>
      <w:r>
        <w:t xml:space="preserve">The mechanism set out in the previous chapter is why the wall stands. Should the field have gathered around uneven pollution, the tie between thematic thickness and the regard dimensions is the visible silhouette of that gathering</w:t>
      </w:r>
      <w:r>
        <w:t xml:space="preserve"> </w:t>
      </w:r>
      <w:hyperlink w:anchor="ref-4">
        <w:r>
          <w:rPr>
            <w:rStyle w:val="Hyperlink"/>
          </w:rPr>
          <w:t xml:space="preserve">[4]</w:t>
        </w:r>
      </w:hyperlink>
      <w:r>
        <w:t xml:space="preserve">. The model retrieves the silhouette. Whether some real responsibility pattern threw it, or some quirk in how the corpus got pulled, is a matter the design marks rather than settles, and Chapter 7 works it over in depth.</w:t>
      </w:r>
    </w:p>
    <w:p>
      <w:pPr>
        <w:pStyle w:val="BodyText"/>
        <w:spacing w:line="480" w:lineRule="auto"/>
        <w:ind w:firstLine="720"/>
      </w:pPr>
      <w:r>
        <w:t xml:space="preserve">Three pledges hold up this narrow kind of pinning. Fixed rule builds the outcome, so no reader’s hand touches it</w:t>
      </w:r>
      <w:r>
        <w:t xml:space="preserve"> </w:t>
      </w:r>
      <w:hyperlink w:anchor="ref-3">
        <w:r>
          <w:rPr>
            <w:rStyle w:val="Hyperlink"/>
          </w:rPr>
          <w:t xml:space="preserve">[3]</w:t>
        </w:r>
      </w:hyperlink>
      <w:r>
        <w:t xml:space="preserve">. Set metadata fields yield the predictors, so they regrow from the source column. And the standard errors get worked so they weather the uneven scatter a mixed corpus is bound to hold. Each pledge trims the field of rival readings without claiming to seal it.</w:t>
      </w:r>
    </w:p>
    <w:bookmarkEnd w:id="96"/>
    <w:bookmarkStart w:id="97" w:name="paper-1-ordinary-least-squares"/>
    <w:p>
      <w:pPr>
        <w:pStyle w:val="Heading2"/>
        <w:spacing w:line="480" w:lineRule="auto"/>
      </w:pPr>
      <w:r>
        <w:t xml:space="preserve">4.2 Paper 1: ordinary least squares</w:t>
      </w:r>
    </w:p>
    <w:p>
      <w:pPr>
        <w:pStyle w:val="FirstParagraph"/>
        <w:spacing w:line="480" w:lineRule="auto"/>
      </w:pPr>
      <w:r>
        <w:t xml:space="preserve">The opening model fits the topic-signal score against a trio of predictors: a recency index, a reference tally, and a graded outlet-family score. Its form is straight-line and additive:</w:t>
      </w:r>
    </w:p>
    <w:p>
      <w:pPr>
        <w:pStyle w:val="BodyText"/>
        <w:spacing w:line="480" w:lineRule="auto"/>
        <w:ind w:firstLine="720"/>
      </w:pPr>
      <w:r>
        <w:t xml:space="preserve">SignalScore_i = alpha + beta_1 RecencyIndex_i + beta_2 Cites_i + beta_3 VenueScore_i + epsilon_i.</w:t>
      </w:r>
    </w:p>
    <w:p>
      <w:pPr>
        <w:pStyle w:val="BodyText"/>
        <w:spacing w:line="480" w:lineRule="auto"/>
        <w:ind w:firstLine="720"/>
      </w:pPr>
      <w:r>
        <w:t xml:space="preserve">Ordinary least squares earns the slot for three reasons. One, the outcome is a capped, count-flavored score holding enough separate values to pass as continuous at this size, and a straight-line fit returns readable partial tilts per dimension. Two, additive separation lines up with the theory: each dimension is supposed to bear its own strand of scholarly regard, and the design wants each strand’s edge contribution with the rest pinned down</w:t>
      </w:r>
      <w:r>
        <w:t xml:space="preserve"> </w:t>
      </w:r>
      <w:hyperlink w:anchor="ref-8">
        <w:r>
          <w:rPr>
            <w:rStyle w:val="Hyperlink"/>
          </w:rPr>
          <w:t xml:space="preserve">[8]</w:t>
        </w:r>
      </w:hyperlink>
      <w:r>
        <w:t xml:space="preserve">. Three, the coefficients read straight off as the forecast shift in thematic thickness per notch of recency, per reference, and per rung up the outlet ladder, which is just the quantity the hypotheses spell out</w:t>
      </w:r>
      <w:r>
        <w:t xml:space="preserve"> </w:t>
      </w:r>
      <w:hyperlink w:anchor="ref-2">
        <w:r>
          <w:rPr>
            <w:rStyle w:val="Hyperlink"/>
          </w:rPr>
          <w:t xml:space="preserve">[2]</w:t>
        </w:r>
      </w:hyperlink>
      <w:r>
        <w:t xml:space="preserve">.</w:t>
      </w:r>
    </w:p>
    <w:p>
      <w:pPr>
        <w:pStyle w:val="BodyText"/>
        <w:spacing w:line="480" w:lineRule="auto"/>
        <w:ind w:firstLine="720"/>
      </w:pPr>
      <w:r>
        <w:t xml:space="preserve">The robust HC1 fix supplies the standard errors. A corpus blending proceedings, journal pieces, and commons-theory entries runs uneven in scatter almost by its nature, since the topic signal’s spread shifts across outlet families and across decades</w:t>
      </w:r>
      <w:r>
        <w:t xml:space="preserve"> </w:t>
      </w:r>
      <w:hyperlink w:anchor="ref-5">
        <w:r>
          <w:rPr>
            <w:rStyle w:val="Hyperlink"/>
          </w:rPr>
          <w:t xml:space="preserve">[5]</w:t>
        </w:r>
      </w:hyperlink>
      <w:r>
        <w:t xml:space="preserve"> </w:t>
      </w:r>
      <w:hyperlink w:anchor="ref-16">
        <w:r>
          <w:rPr>
            <w:rStyle w:val="Hyperlink"/>
          </w:rPr>
          <w:t xml:space="preserve">[16]</w:t>
        </w:r>
      </w:hyperlink>
      <w:r>
        <w:t xml:space="preserve">. HC1 lets the reasoning ride out that lopsided spread without forcing a level-scatter premise the numbers would break. What the fix touches is the standard errors, not the central estimates, so the coefficients hold as the ordinary least squares fits while the tests turn defensible.</w:t>
      </w:r>
    </w:p>
    <w:bookmarkEnd w:id="97"/>
    <w:bookmarkStart w:id="98" w:name="paper-2-the-learning-curve-model"/>
    <w:p>
      <w:pPr>
        <w:pStyle w:val="Heading2"/>
        <w:spacing w:line="480" w:lineRule="auto"/>
      </w:pPr>
      <w:r>
        <w:t xml:space="preserve">4.3 Paper 2: the learning-curve model</w:t>
      </w:r>
    </w:p>
    <w:p>
      <w:pPr>
        <w:pStyle w:val="FirstParagraph"/>
        <w:spacing w:line="480" w:lineRule="auto"/>
      </w:pPr>
      <w:r>
        <w:t xml:space="preserve">The second model puts a different question to the same corpus. It tracks how reference regard mounts as a document grows older, in a log-log form:</w:t>
      </w:r>
    </w:p>
    <w:p>
      <w:pPr>
        <w:pStyle w:val="BodyText"/>
        <w:spacing w:line="480" w:lineRule="auto"/>
        <w:ind w:firstLine="720"/>
      </w:pPr>
      <w:r>
        <w:t xml:space="preserve">ln(CitesPlus1_i) = alpha + beta_1 ln(AgeIndex_i) + epsilon_i.</w:t>
      </w:r>
    </w:p>
    <w:p>
      <w:pPr>
        <w:pStyle w:val="BodyText"/>
        <w:spacing w:line="480" w:lineRule="auto"/>
        <w:ind w:firstLine="720"/>
      </w:pPr>
      <w:r>
        <w:t xml:space="preserve">A pair of build choices make the model sound. Reference tallies get bumped by one ahead of the logarithm, so uncited entries, plentiful in a thin pool, hold their place instead of falling out at the log of zero</w:t>
      </w:r>
      <w:r>
        <w:t xml:space="preserve"> </w:t>
      </w:r>
      <w:hyperlink w:anchor="ref-5">
        <w:r>
          <w:rPr>
            <w:rStyle w:val="Hyperlink"/>
          </w:rPr>
          <w:t xml:space="preserve">[5]</w:t>
        </w:r>
      </w:hyperlink>
      <w:r>
        <w:t xml:space="preserve">. Age comes in as an index pinned to the sample’s benchmark year, so older documents rank higher and the elasticity reads plainly</w:t>
      </w:r>
      <w:r>
        <w:t xml:space="preserve"> </w:t>
      </w:r>
      <w:hyperlink w:anchor="ref-8">
        <w:r>
          <w:rPr>
            <w:rStyle w:val="Hyperlink"/>
          </w:rPr>
          <w:t xml:space="preserve">[8]</w:t>
        </w:r>
      </w:hyperlink>
      <w:r>
        <w:t xml:space="preserve">.</w:t>
      </w:r>
    </w:p>
    <w:p>
      <w:pPr>
        <w:pStyle w:val="BodyText"/>
        <w:spacing w:line="480" w:lineRule="auto"/>
        <w:ind w:firstLine="720"/>
      </w:pPr>
      <w:r>
        <w:t xml:space="preserve">Picking the log-log form was on purpose. Its lone tilt is an elasticity: the percentage move in citations-plus-one that rides a one-percent move in age. For a buildup process that is the fitting shorthand, since regard in bibliometric systems tends to multiply rather than stack, and a steady elasticity holds a steady proportional answer across the age span</w:t>
      </w:r>
      <w:r>
        <w:t xml:space="preserve"> </w:t>
      </w:r>
      <w:hyperlink w:anchor="ref-8">
        <w:r>
          <w:rPr>
            <w:rStyle w:val="Hyperlink"/>
          </w:rPr>
          <w:t xml:space="preserve">[8]</w:t>
        </w:r>
      </w:hyperlink>
      <w:r>
        <w:t xml:space="preserve">. The form also throws off a progress-ratio reading, the multiple by which citations grow as age doubles, which turns the bare elasticity into something a reader can grip. A plus elasticity means regard mounts with age the usual way; a flat or minus one means the pool strays from that path, and the straying is itself the result</w:t>
      </w:r>
      <w:r>
        <w:t xml:space="preserve"> </w:t>
      </w:r>
      <w:hyperlink w:anchor="ref-5">
        <w:r>
          <w:rPr>
            <w:rStyle w:val="Hyperlink"/>
          </w:rPr>
          <w:t xml:space="preserve">[5]</w:t>
        </w:r>
      </w:hyperlink>
      <w:r>
        <w:t xml:space="preserve">.</w:t>
      </w:r>
    </w:p>
    <w:bookmarkEnd w:id="98"/>
    <w:bookmarkStart w:id="99" w:name="why-two-models-rather-than-one"/>
    <w:p>
      <w:pPr>
        <w:pStyle w:val="Heading2"/>
        <w:spacing w:line="480" w:lineRule="auto"/>
      </w:pPr>
      <w:r>
        <w:t xml:space="preserve">4.4 Why two models rather than one</w:t>
      </w:r>
    </w:p>
    <w:p>
      <w:pPr>
        <w:pStyle w:val="FirstParagraph"/>
        <w:spacing w:line="480" w:lineRule="auto"/>
      </w:pPr>
      <w:r>
        <w:t xml:space="preserve">The pair complement each other because they probe crosswise structure. Paper 1 takes a still frame: it freezes the corpus at one instant and asks whether thematic thickness lines up across recency, regard, and outlet</w:t>
      </w:r>
      <w:r>
        <w:t xml:space="preserve"> </w:t>
      </w:r>
      <w:hyperlink w:anchor="ref-3">
        <w:r>
          <w:rPr>
            <w:rStyle w:val="Hyperlink"/>
          </w:rPr>
          <w:t xml:space="preserve">[3]</w:t>
        </w:r>
      </w:hyperlink>
      <w:r>
        <w:t xml:space="preserve">. Paper 2 leans time-wise: it asks whether regard behaves like an aging thing, apart from thematic thickness</w:t>
      </w:r>
      <w:r>
        <w:t xml:space="preserve"> </w:t>
      </w:r>
      <w:hyperlink w:anchor="ref-8">
        <w:r>
          <w:rPr>
            <w:rStyle w:val="Hyperlink"/>
          </w:rPr>
          <w:t xml:space="preserve">[8]</w:t>
        </w:r>
      </w:hyperlink>
      <w:r>
        <w:t xml:space="preserve">. A corpus might carry still-frame order with no tidy buildup shape, or the flip, and firing only one model would drop whichever side that model is blind to.</w:t>
      </w:r>
    </w:p>
    <w:p>
      <w:pPr>
        <w:pStyle w:val="BodyText"/>
        <w:spacing w:line="480" w:lineRule="auto"/>
        <w:ind w:firstLine="720"/>
      </w:pPr>
      <w:r>
        <w:t xml:space="preserve">Filing both also fends off a one-model fluke. Should both sifts land on a strong signal, the responsibility reading would draw backing from two apart angles. Should both land weak, the empty reading would firm up to match. And should they clash, the clash would fix exactly where the corpus holds structure and where it comes up bare, which teaches more than either alone</w:t>
      </w:r>
      <w:r>
        <w:t xml:space="preserve"> </w:t>
      </w:r>
      <w:hyperlink w:anchor="ref-4">
        <w:r>
          <w:rPr>
            <w:rStyle w:val="Hyperlink"/>
          </w:rPr>
          <w:t xml:space="preserve">[4]</w:t>
        </w:r>
      </w:hyperlink>
      <w:r>
        <w:t xml:space="preserve"> </w:t>
      </w:r>
      <w:hyperlink w:anchor="ref-7">
        <w:r>
          <w:rPr>
            <w:rStyle w:val="Hyperlink"/>
          </w:rPr>
          <w:t xml:space="preserve">[7]</w:t>
        </w:r>
      </w:hyperlink>
      <w:r>
        <w:t xml:space="preserve">.</w:t>
      </w:r>
    </w:p>
    <w:bookmarkEnd w:id="99"/>
    <w:bookmarkStart w:id="100" w:name="the-limits-of-the-identification-claim"/>
    <w:p>
      <w:pPr>
        <w:pStyle w:val="Heading2"/>
        <w:spacing w:line="480" w:lineRule="auto"/>
      </w:pPr>
      <w:r>
        <w:t xml:space="preserve">4.5 The limits of the identification claim</w:t>
      </w:r>
    </w:p>
    <w:p>
      <w:pPr>
        <w:pStyle w:val="FirstParagraph"/>
        <w:spacing w:line="480" w:lineRule="auto"/>
      </w:pPr>
      <w:r>
        <w:t xml:space="preserve">The design owns its ceiling. A sift cannot pin down a causal policy consequence, because the pull that made the corpus is no random handing of documents to the world</w:t>
      </w:r>
      <w:r>
        <w:t xml:space="preserve"> </w:t>
      </w:r>
      <w:hyperlink w:anchor="ref-3">
        <w:r>
          <w:rPr>
            <w:rStyle w:val="Hyperlink"/>
          </w:rPr>
          <w:t xml:space="preserve">[3]</w:t>
        </w:r>
      </w:hyperlink>
      <w:r>
        <w:t xml:space="preserve">. Who got pulled in, the citation field’s indexing quirks, and the bluntness of graded outlet coding all sit ahead of the model and cannot be netted out by it</w:t>
      </w:r>
      <w:r>
        <w:t xml:space="preserve"> </w:t>
      </w:r>
      <w:hyperlink w:anchor="ref-5">
        <w:r>
          <w:rPr>
            <w:rStyle w:val="Hyperlink"/>
          </w:rPr>
          <w:t xml:space="preserve">[5]</w:t>
        </w:r>
      </w:hyperlink>
      <w:r>
        <w:t xml:space="preserve"> </w:t>
      </w:r>
      <w:hyperlink w:anchor="ref-16">
        <w:r>
          <w:rPr>
            <w:rStyle w:val="Hyperlink"/>
          </w:rPr>
          <w:t xml:space="preserve">[16]</w:t>
        </w:r>
      </w:hyperlink>
      <w:r>
        <w:t xml:space="preserve">. What the models can do is tell a doctoral reader whether, given the corpus as pulled, the topic signal holds order or not. That is a real, checkable claim, and it is the claim the next two chapters set before the numbers.</w:t>
      </w:r>
    </w:p>
    <w:bookmarkEnd w:id="100"/>
    <w:bookmarkStart w:id="101" w:name="X7e3cb8028bd6538c18ba128c971fcff8f3c6988"/>
    <w:p>
      <w:pPr>
        <w:pStyle w:val="Heading2"/>
        <w:spacing w:line="480" w:lineRule="auto"/>
      </w:pPr>
      <w:r>
        <w:t xml:space="preserve">4.6 Estimator choice against the alternatives</w:t>
      </w:r>
    </w:p>
    <w:p>
      <w:pPr>
        <w:pStyle w:val="FirstParagraph"/>
        <w:spacing w:line="480" w:lineRule="auto"/>
      </w:pPr>
      <w:r>
        <w:t xml:space="preserve">A reader schooled in applied statistics will catch that ordinary least squares is hardly the only fit for a capped, count-flavored outcome, and the pick owes a defense against the plain rivals. A count fit like Poisson or negative binomial would honor the whole-number nature of the topic-signal score and its floor at one, and in a fatter sample that honoring would count</w:t>
      </w:r>
      <w:r>
        <w:t xml:space="preserve"> </w:t>
      </w:r>
      <w:hyperlink w:anchor="ref-3">
        <w:r>
          <w:rPr>
            <w:rStyle w:val="Hyperlink"/>
          </w:rPr>
          <w:t xml:space="preserve">[3]</w:t>
        </w:r>
      </w:hyperlink>
      <w:r>
        <w:t xml:space="preserve">. At thirty entries, with an outcome holding only a few separate values and bunching hard at its floor, a count fit gains little and forfeits readability, since its coefficients arrive through a log link that clouds the straight reading the hypotheses demand. The straight-line fit swaps a small slice of distributional faithfulness for coefficients that are the forecast shift in thematic thickness per notch of each dimension, which is just the quantity Chapter 3 named</w:t>
      </w:r>
      <w:r>
        <w:t xml:space="preserve"> </w:t>
      </w:r>
      <w:hyperlink w:anchor="ref-2">
        <w:r>
          <w:rPr>
            <w:rStyle w:val="Hyperlink"/>
          </w:rPr>
          <w:t xml:space="preserve">[2]</w:t>
        </w:r>
      </w:hyperlink>
      <w:r>
        <w:t xml:space="preserve">. That swap holds up at this size, and it is laid bare so a reader can weigh it.</w:t>
      </w:r>
    </w:p>
    <w:p>
      <w:pPr>
        <w:pStyle w:val="BodyText"/>
        <w:spacing w:line="480" w:lineRule="auto"/>
        <w:ind w:firstLine="720"/>
      </w:pPr>
      <w:r>
        <w:t xml:space="preserve">A graded fit on the outlet variable is a second rival worth naming and shelving. Since outlet family sits on a three-notch scale, one could press for handling it as an ordered factor rather than a cardinal regressor</w:t>
      </w:r>
      <w:r>
        <w:t xml:space="preserve"> </w:t>
      </w:r>
      <w:hyperlink w:anchor="ref-16">
        <w:r>
          <w:rPr>
            <w:rStyle w:val="Hyperlink"/>
          </w:rPr>
          <w:t xml:space="preserve">[16]</w:t>
        </w:r>
      </w:hyperlink>
      <w:r>
        <w:t xml:space="preserve">. The design keeps it cardinal for openness, feeding it as one tilt whose size a reader can eye, while Chapter 7 warns flatly against reading that tilt as though its notches held equal spans. The warning does the job the graded fit would have done, without piling on parameters a thirty-entry sample cannot bankroll. Thrift under scarcity governs throughout: with so few entries, every extra parameter is scatter spent, and the design spends it only where the theory insists.</w:t>
      </w:r>
    </w:p>
    <w:p>
      <w:pPr>
        <w:pStyle w:val="BodyText"/>
        <w:spacing w:line="480" w:lineRule="auto"/>
        <w:ind w:firstLine="720"/>
      </w:pPr>
      <w:r>
        <w:t xml:space="preserve">The learning curve carries its own rivals. Buildup could be fit with a Poisson process on the raw tallies, or with a survival frame that reads first citation as an event time. Both hold together, and both would beat the chosen form in a corpus rich enough to feed them</w:t>
      </w:r>
      <w:r>
        <w:t xml:space="preserve"> </w:t>
      </w:r>
      <w:hyperlink w:anchor="ref-8">
        <w:r>
          <w:rPr>
            <w:rStyle w:val="Hyperlink"/>
          </w:rPr>
          <w:t xml:space="preserve">[8]</w:t>
        </w:r>
      </w:hyperlink>
      <w:r>
        <w:t xml:space="preserve">. The log-log form takes the slot because its lone parameter is an elasticity, the fitting and portable shorthand for a proportional buildup, and because the plus-one bump keeps the many uncited entries aboard rather than dumping a big slice of a thin corpus at the log of zero</w:t>
      </w:r>
      <w:r>
        <w:t xml:space="preserve"> </w:t>
      </w:r>
      <w:hyperlink w:anchor="ref-5">
        <w:r>
          <w:rPr>
            <w:rStyle w:val="Hyperlink"/>
          </w:rPr>
          <w:t xml:space="preserve">[5]</w:t>
        </w:r>
      </w:hyperlink>
      <w:r>
        <w:t xml:space="preserve">. It is the plainest form that answers the buildup question head-on, and its plainness is a strength given how little it must run on.</w:t>
      </w:r>
    </w:p>
    <w:bookmarkEnd w:id="101"/>
    <w:bookmarkStart w:id="102" w:name="X90d3924977300a43384718728f883636eaded56"/>
    <w:p>
      <w:pPr>
        <w:pStyle w:val="Heading2"/>
        <w:spacing w:line="480" w:lineRule="auto"/>
      </w:pPr>
      <w:r>
        <w:t xml:space="preserve">4.7 Inference under a small and heterogeneous sample</w:t>
      </w:r>
    </w:p>
    <w:p>
      <w:pPr>
        <w:pStyle w:val="FirstParagraph"/>
        <w:spacing w:line="480" w:lineRule="auto"/>
      </w:pPr>
      <w:r>
        <w:t xml:space="preserve">Size steers not just the model pick but the reasoning that trails it, and the design is straight about the fallout. At thirty entries, the coefficients’ sampling spreads run wide, and the standard errors, even past the HC1 fix, lean on large-sample approximations a corpus this size honors only loosely</w:t>
      </w:r>
      <w:r>
        <w:t xml:space="preserve"> </w:t>
      </w:r>
      <w:hyperlink w:anchor="ref-5">
        <w:r>
          <w:rPr>
            <w:rStyle w:val="Hyperlink"/>
          </w:rPr>
          <w:t xml:space="preserve">[5]</w:t>
        </w:r>
      </w:hyperlink>
      <w:r>
        <w:t xml:space="preserve">. In plain terms the tests run thin on power. A slight true tie might miss the usual bar not because it is gone but because the sample cannot pull it into focus, and Chapter 7 treats that prospect as a genuine edge rather than a technicality</w:t>
      </w:r>
      <w:r>
        <w:t xml:space="preserve"> </w:t>
      </w:r>
      <w:hyperlink w:anchor="ref-3">
        <w:r>
          <w:rPr>
            <w:rStyle w:val="Hyperlink"/>
          </w:rPr>
          <w:t xml:space="preserve">[3]</w:t>
        </w:r>
      </w:hyperlink>
      <w:r>
        <w:t xml:space="preserve">.</w:t>
      </w:r>
    </w:p>
    <w:p>
      <w:pPr>
        <w:pStyle w:val="BodyText"/>
        <w:spacing w:line="480" w:lineRule="auto"/>
        <w:ind w:firstLine="720"/>
      </w:pPr>
      <w:r>
        <w:t xml:space="preserve">That straightness reshapes how an empty result ought to read, and flagging the reshape ahead is part of the design’s discipline. With ample power, an empty result is strong evidence against the alternative. With the thin power of a thirty-entry sift, an empty result is softer evidence, fitting both a truly orderless corpus and an ordered one the tool could not resolve</w:t>
      </w:r>
      <w:r>
        <w:t xml:space="preserve"> </w:t>
      </w:r>
      <w:hyperlink w:anchor="ref-8">
        <w:r>
          <w:rPr>
            <w:rStyle w:val="Hyperlink"/>
          </w:rPr>
          <w:t xml:space="preserve">[8]</w:t>
        </w:r>
      </w:hyperlink>
      <w:r>
        <w:t xml:space="preserve">. The design makes no pretense of sorting these apart from the fit numbers alone. What it does is file the fit straight, flag the power edge out loud, and let two apart sifts landing together bear what weight they can, since an empty result surfacing in both the still-frame and the buildup model is harder to lay on one tool’s blind spot than an empty result in either alone</w:t>
      </w:r>
      <w:r>
        <w:t xml:space="preserve"> </w:t>
      </w:r>
      <w:hyperlink w:anchor="ref-4">
        <w:r>
          <w:rPr>
            <w:rStyle w:val="Hyperlink"/>
          </w:rPr>
          <w:t xml:space="preserve">[4]</w:t>
        </w:r>
      </w:hyperlink>
      <w:r>
        <w:t xml:space="preserve"> </w:t>
      </w:r>
      <w:hyperlink w:anchor="ref-7">
        <w:r>
          <w:rPr>
            <w:rStyle w:val="Hyperlink"/>
          </w:rPr>
          <w:t xml:space="preserve">[7]</w:t>
        </w:r>
      </w:hyperlink>
      <w:r>
        <w:t xml:space="preserve">.</w:t>
      </w:r>
    </w:p>
    <w:bookmarkEnd w:id="102"/>
    <w:bookmarkStart w:id="103" w:name="reproducibility-as-an-identification-aid"/>
    <w:p>
      <w:pPr>
        <w:pStyle w:val="Heading2"/>
        <w:spacing w:line="480" w:lineRule="auto"/>
      </w:pPr>
      <w:r>
        <w:t xml:space="preserve">4.8 Reproducibility as an identification aid</w:t>
      </w:r>
    </w:p>
    <w:p>
      <w:pPr>
        <w:pStyle w:val="FirstParagraph"/>
        <w:spacing w:line="480" w:lineRule="auto"/>
      </w:pPr>
      <w:r>
        <w:t xml:space="preserve">In one sense regrowability is not merely sound practice but a strand of the identification case, and the design leans on it by choice. Because fixed rule builds the outcome and each predictor gets read off a set metadata field, the whole table can be regrown from the source column with no judgment step anywhere</w:t>
      </w:r>
      <w:r>
        <w:t xml:space="preserve"> </w:t>
      </w:r>
      <w:hyperlink w:anchor="ref-3">
        <w:r>
          <w:rPr>
            <w:rStyle w:val="Hyperlink"/>
          </w:rPr>
          <w:t xml:space="preserve">[3]</w:t>
        </w:r>
      </w:hyperlink>
      <w:r>
        <w:t xml:space="preserve">. That trait trims the field of rival readings for a result, since it bars coder drift, subjective calls, and the quiet slack that lets an analyst nudge an estimate toward a favored end</w:t>
      </w:r>
      <w:r>
        <w:t xml:space="preserve"> </w:t>
      </w:r>
      <w:hyperlink w:anchor="ref-2">
        <w:r>
          <w:rPr>
            <w:rStyle w:val="Hyperlink"/>
          </w:rPr>
          <w:t xml:space="preserve">[2]</w:t>
        </w:r>
      </w:hyperlink>
      <w:r>
        <w:t xml:space="preserve">. A tie that holds up in a fully fixed pipeline cannot be a relic of how the analyst felt about a close call, because there are no close calls the analyst settles.</w:t>
      </w:r>
    </w:p>
    <w:p>
      <w:pPr>
        <w:pStyle w:val="BodyText"/>
        <w:spacing w:line="480" w:lineRule="auto"/>
        <w:ind w:firstLine="720"/>
      </w:pPr>
      <w:r>
        <w:t xml:space="preserve">The same trait keeps the empty result honest. When the sifts land weak, a doubter cannot readily plead that a different coder would have caught the signal, since there is no coder to swap</w:t>
      </w:r>
      <w:r>
        <w:t xml:space="preserve"> </w:t>
      </w:r>
      <w:hyperlink w:anchor="ref-5">
        <w:r>
          <w:rPr>
            <w:rStyle w:val="Hyperlink"/>
          </w:rPr>
          <w:t xml:space="preserve">[5]</w:t>
        </w:r>
      </w:hyperlink>
      <w:r>
        <w:t xml:space="preserve">. The result is a product of the corpus and the rule, both open to inspection, and a reader who mistrusts it can rerun the rule on the source column and confirm the numbers rather than take them on faith. That openness is the sturdiest form the identification claim can take here: not that it pulls out a cause, which it cannot, but that it pulls out a regrowable structural fact about the corpus, which it can, and which a reader can check with no help from the author</w:t>
      </w:r>
      <w:r>
        <w:t xml:space="preserve"> </w:t>
      </w:r>
      <w:hyperlink w:anchor="ref-16">
        <w:r>
          <w:rPr>
            <w:rStyle w:val="Hyperlink"/>
          </w:rPr>
          <w:t xml:space="preserve">[16]</w:t>
        </w:r>
      </w:hyperlink>
      <w:r>
        <w:t xml:space="preserve">.</w:t>
      </w:r>
    </w:p>
    <w:bookmarkEnd w:id="103"/>
    <w:bookmarkStart w:id="104" w:name="X65da933d15dad44ef0803bd9679be6a196c9749"/>
    <w:p>
      <w:pPr>
        <w:pStyle w:val="Heading2"/>
        <w:spacing w:line="480" w:lineRule="auto"/>
      </w:pPr>
      <w:r>
        <w:t xml:space="preserve">4.9 The role of the intercept and what it does not tell us</w:t>
      </w:r>
    </w:p>
    <w:p>
      <w:pPr>
        <w:pStyle w:val="FirstParagraph"/>
        <w:spacing w:line="480" w:lineRule="auto"/>
      </w:pPr>
      <w:r>
        <w:t xml:space="preserve">A fine point of reading lands on the intercept, likely the most sharply gauged term in both models, and one a hasty reader might take for the result. In the still-frame model the intercept is the forecast topic-signal score for a stand-in entry at the base of every predictor, and in the learning curve it is the citation curve’s height at the benchmark age</w:t>
      </w:r>
      <w:r>
        <w:t xml:space="preserve"> </w:t>
      </w:r>
      <w:hyperlink w:anchor="ref-3">
        <w:r>
          <w:rPr>
            <w:rStyle w:val="Hyperlink"/>
          </w:rPr>
          <w:t xml:space="preserve">[3]</w:t>
        </w:r>
      </w:hyperlink>
      <w:r>
        <w:t xml:space="preserve"> </w:t>
      </w:r>
      <w:hyperlink w:anchor="ref-8">
        <w:r>
          <w:rPr>
            <w:rStyle w:val="Hyperlink"/>
          </w:rPr>
          <w:t xml:space="preserve">[8]</w:t>
        </w:r>
      </w:hyperlink>
      <w:r>
        <w:t xml:space="preserve">. Because most entries in this squeezed sample sit near the outcome’s floor, the intercept settles close to that floor and gets gauged with relative sharpness, since the bulk of the data pins it. Its significance, when it lands, marks where the data sit, not how they are ordered.</w:t>
      </w:r>
    </w:p>
    <w:p>
      <w:pPr>
        <w:pStyle w:val="BodyText"/>
        <w:spacing w:line="480" w:lineRule="auto"/>
        <w:ind w:firstLine="720"/>
      </w:pPr>
      <w:r>
        <w:t xml:space="preserve">The design holds this line crisp, because folding a significant intercept into a substantive result is a stock way to oversell a weak model. The hypotheses of Chapter 3 ride on the tilts, the ties between the topic signal and the regard dimensions, and it is the tilts that bear the mechanism’s forecasts</w:t>
      </w:r>
      <w:r>
        <w:t xml:space="preserve"> </w:t>
      </w:r>
      <w:hyperlink w:anchor="ref-2">
        <w:r>
          <w:rPr>
            <w:rStyle w:val="Hyperlink"/>
          </w:rPr>
          <w:t xml:space="preserve">[2]</w:t>
        </w:r>
      </w:hyperlink>
      <w:r>
        <w:t xml:space="preserve">. An intercept clearing the bar while every tilt stays blurry is the statistical signature of a model that has found the data’s middle without pulling out its order, and the reading must say as much plainly rather than borrow the intercept’s sharpness to trick out the tilts</w:t>
      </w:r>
      <w:r>
        <w:t xml:space="preserve"> </w:t>
      </w:r>
      <w:hyperlink w:anchor="ref-5">
        <w:r>
          <w:rPr>
            <w:rStyle w:val="Hyperlink"/>
          </w:rPr>
          <w:t xml:space="preserve">[5]</w:t>
        </w:r>
      </w:hyperlink>
      <w:r>
        <w:t xml:space="preserve">. A small stroke of discipline, this, yet the kind on which an honest reading of a weak model swings, and the method names it ahead so Chapter 6 can apply it with no look of shifting the target</w:t>
      </w:r>
      <w:r>
        <w:t xml:space="preserve"> </w:t>
      </w:r>
      <w:hyperlink w:anchor="ref-7">
        <w:r>
          <w:rPr>
            <w:rStyle w:val="Hyperlink"/>
          </w:rPr>
          <w:t xml:space="preserve">[7]</w:t>
        </w:r>
      </w:hyperlink>
      <w:r>
        <w:t xml:space="preserve">.</w:t>
      </w:r>
    </w:p>
    <w:bookmarkEnd w:id="104"/>
    <w:bookmarkStart w:id="105" w:name="Xf2287895f048d197cc5ec8ff0d81c688b208266"/>
    <w:p>
      <w:pPr>
        <w:pStyle w:val="Heading2"/>
        <w:spacing w:line="480" w:lineRule="auto"/>
      </w:pPr>
      <w:r>
        <w:t xml:space="preserve">4.10 Guarding against the file-drawer temptation in a single-corpus design</w:t>
      </w:r>
    </w:p>
    <w:p>
      <w:pPr>
        <w:pStyle w:val="FirstParagraph"/>
        <w:spacing w:line="480" w:lineRule="auto"/>
      </w:pPr>
      <w:r>
        <w:t xml:space="preserve">A design firing two models on one corpus and filing whatever they hand back must fend off a definite lapse of practice: the pull, when results let you down, to comb over forms until something clears the bar, then file only the one that made it</w:t>
      </w:r>
      <w:r>
        <w:t xml:space="preserve"> </w:t>
      </w:r>
      <w:hyperlink w:anchor="ref-3">
        <w:r>
          <w:rPr>
            <w:rStyle w:val="Hyperlink"/>
          </w:rPr>
          <w:t xml:space="preserve">[3]</w:t>
        </w:r>
      </w:hyperlink>
      <w:r>
        <w:t xml:space="preserve">. This design bars that road by build rather than by trusting the analyst to hold back. Theory nails the two forms ahead: an additive straight-line fit of the topic signal on three named dimensions, and a log-log learning curve of citations on age</w:t>
      </w:r>
      <w:r>
        <w:t xml:space="preserve"> </w:t>
      </w:r>
      <w:hyperlink w:anchor="ref-8">
        <w:r>
          <w:rPr>
            <w:rStyle w:val="Hyperlink"/>
          </w:rPr>
          <w:t xml:space="preserve">[8]</w:t>
        </w:r>
      </w:hyperlink>
      <w:r>
        <w:t xml:space="preserve">. No spread of swap-in outcomes waits, no roster of stand-in controls to spin through, and no judgment-call sample trim, because the fixed pipeline and the thin locked corpus leave no room for such plays</w:t>
      </w:r>
      <w:r>
        <w:t xml:space="preserve"> </w:t>
      </w:r>
      <w:hyperlink w:anchor="ref-5">
        <w:r>
          <w:rPr>
            <w:rStyle w:val="Hyperlink"/>
          </w:rPr>
          <w:t xml:space="preserve">[5]</w:t>
        </w:r>
      </w:hyperlink>
      <w:r>
        <w:t xml:space="preserve">.</w:t>
      </w:r>
    </w:p>
    <w:p>
      <w:pPr>
        <w:pStyle w:val="BodyText"/>
        <w:spacing w:line="480" w:lineRule="auto"/>
        <w:ind w:firstLine="720"/>
      </w:pPr>
      <w:r>
        <w:t xml:space="preserve">The upshot is that the filed results are the only results the design could have thrown, which is what lends an empty result credit rather than suspicion. A reader fretting that a weak finding got skimmed from a wider comb can confirm, off the fixed forms and the open file, that no comb happened</w:t>
      </w:r>
      <w:r>
        <w:t xml:space="preserve"> </w:t>
      </w:r>
      <w:hyperlink w:anchor="ref-4">
        <w:r>
          <w:rPr>
            <w:rStyle w:val="Hyperlink"/>
          </w:rPr>
          <w:t xml:space="preserve">[4]</w:t>
        </w:r>
      </w:hyperlink>
      <w:r>
        <w:t xml:space="preserve">. The lack of analyst slack is not merely good conduct; in a one-corpus design it is a strand of what licenses the reasoning, since it bars the chance that the filed estimates got picked for their traits rather than dealt by the theory and the data</w:t>
      </w:r>
      <w:r>
        <w:t xml:space="preserve"> </w:t>
      </w:r>
      <w:hyperlink w:anchor="ref-16">
        <w:r>
          <w:rPr>
            <w:rStyle w:val="Hyperlink"/>
          </w:rPr>
          <w:t xml:space="preserve">[16]</w:t>
        </w:r>
      </w:hyperlink>
      <w:r>
        <w:t xml:space="preserve">. Nailing two forms ahead and filing both, whatever they show, is therefore no matter of taste but a built-in guard, and it is the guard that lets the twin empty result of Chapter 6 read as evidence rather than as the relic of a hidden comb</w:t>
      </w:r>
      <w:r>
        <w:t xml:space="preserve"> </w:t>
      </w:r>
      <w:hyperlink w:anchor="ref-7">
        <w:r>
          <w:rPr>
            <w:rStyle w:val="Hyperlink"/>
          </w:rPr>
          <w:t xml:space="preserve">[7]</w:t>
        </w:r>
      </w:hyperlink>
      <w:r>
        <w:t xml:space="preserve">.</w:t>
      </w:r>
    </w:p>
    <w:bookmarkEnd w:id="105"/>
    <w:bookmarkStart w:id="106" w:name="summary-of-the-identification-logic"/>
    <w:p>
      <w:pPr>
        <w:pStyle w:val="Heading2"/>
        <w:spacing w:line="480" w:lineRule="auto"/>
      </w:pPr>
      <w:r>
        <w:t xml:space="preserve">4.11 Summary of the identification logic</w:t>
      </w:r>
    </w:p>
    <w:p>
      <w:pPr>
        <w:pStyle w:val="FirstParagraph"/>
        <w:spacing w:line="480" w:lineRule="auto"/>
      </w:pPr>
      <w:r>
        <w:t xml:space="preserve">Draw the strands together, and this design’s identification logic shrinks to three sentences. The models pull out whether a tie between a fixed-rule topic signal and a cluster of regard dimensions can be pried from noise in the pulled corpus, which is a descriptive-structural claim rather than a causal one</w:t>
      </w:r>
      <w:r>
        <w:t xml:space="preserve"> </w:t>
      </w:r>
      <w:hyperlink w:anchor="ref-3">
        <w:r>
          <w:rPr>
            <w:rStyle w:val="Hyperlink"/>
          </w:rPr>
          <w:t xml:space="preserve">[3]</w:t>
        </w:r>
      </w:hyperlink>
      <w:r>
        <w:t xml:space="preserve">. The claim holds up because the outcome bears no coder judgment, the predictors are read off set fields, the standard errors weather the uneven scatter a mixed corpus holds, and the forms are nailed ahead so no hidden comb shaped the result</w:t>
      </w:r>
      <w:r>
        <w:t xml:space="preserve"> </w:t>
      </w:r>
      <w:hyperlink w:anchor="ref-5">
        <w:r>
          <w:rPr>
            <w:rStyle w:val="Hyperlink"/>
          </w:rPr>
          <w:t xml:space="preserve">[5]</w:t>
        </w:r>
      </w:hyperlink>
      <w:r>
        <w:t xml:space="preserve"> </w:t>
      </w:r>
      <w:hyperlink w:anchor="ref-8">
        <w:r>
          <w:rPr>
            <w:rStyle w:val="Hyperlink"/>
          </w:rPr>
          <w:t xml:space="preserve">[8]</w:t>
        </w:r>
      </w:hyperlink>
      <w:r>
        <w:t xml:space="preserve">. And the claim checks out because every row keeps its source, so a reader can regrow the table and confirm the estimates with no help from the author</w:t>
      </w:r>
      <w:r>
        <w:t xml:space="preserve"> </w:t>
      </w:r>
      <w:hyperlink w:anchor="ref-16">
        <w:r>
          <w:rPr>
            <w:rStyle w:val="Hyperlink"/>
          </w:rPr>
          <w:t xml:space="preserve">[16]</w:t>
        </w:r>
      </w:hyperlink>
      <w:r>
        <w:t xml:space="preserve">.</w:t>
      </w:r>
    </w:p>
    <w:p>
      <w:pPr>
        <w:pStyle w:val="BodyText"/>
        <w:spacing w:line="480" w:lineRule="auto"/>
        <w:ind w:firstLine="720"/>
      </w:pPr>
      <w:r>
        <w:t xml:space="preserve">That is all the design asserts and all it can bear. It cannot net out who got pulled in, indexing quirk, or the bluntness of graded outlet coding, and it makes no such pretense</w:t>
      </w:r>
      <w:r>
        <w:t xml:space="preserve"> </w:t>
      </w:r>
      <w:hyperlink w:anchor="ref-4">
        <w:r>
          <w:rPr>
            <w:rStyle w:val="Hyperlink"/>
          </w:rPr>
          <w:t xml:space="preserve">[4]</w:t>
        </w:r>
      </w:hyperlink>
      <w:r>
        <w:t xml:space="preserve">. What it hands over is a regrowable ruling on whether the topic signal holds order in the corpus as pulled, reached under a rule set ahead and applied with no exception, which is exactly the modest yet sturdy sort of claim a bounded doctoral inquiry ought to stand on</w:t>
      </w:r>
      <w:r>
        <w:t xml:space="preserve"> </w:t>
      </w:r>
      <w:hyperlink w:anchor="ref-7">
        <w:r>
          <w:rPr>
            <w:rStyle w:val="Hyperlink"/>
          </w:rPr>
          <w:t xml:space="preserve">[7]</w:t>
        </w:r>
      </w:hyperlink>
      <w:r>
        <w:t xml:space="preserve">.</w:t>
      </w:r>
    </w:p>
    <w:bookmarkEnd w:id="106"/>
    <w:bookmarkEnd w:id="107"/>
    <w:bookmarkStart w:id="121" w:name="chapter-5.-data-and-measurement"/>
    <w:p>
      <w:pPr>
        <w:pStyle w:val="Heading1"/>
        <w:spacing w:line="480" w:lineRule="auto"/>
      </w:pPr>
      <w:r>
        <w:t xml:space="preserve">Chapter 5. Data and Measurement</w:t>
      </w:r>
    </w:p>
    <w:p>
      <w:pPr>
        <w:pStyle w:val="FirstParagraph"/>
        <w:spacing w:line="480" w:lineRule="auto"/>
      </w:pPr>
      <w:r>
        <w:t xml:space="preserve">Whether a sifting design earns trust turns on how openly it shows its data. This chapter puts the whole table on view: the origin of each entry, the build of each variable, the makeup of the sample, and the spots where the gauging runs blunt. A source column rides on every entry, so a reader can walk any coefficient back to the rows behind it and each row back to the document it stands for</w:t>
      </w:r>
      <w:r>
        <w:t xml:space="preserve"> </w:t>
      </w:r>
      <w:hyperlink w:anchor="ref-3">
        <w:r>
          <w:rPr>
            <w:rStyle w:val="Hyperlink"/>
          </w:rPr>
          <w:t xml:space="preserve">[3]</w:t>
        </w:r>
      </w:hyperlink>
      <w:r>
        <w:t xml:space="preserve">.</w:t>
      </w:r>
    </w:p>
    <w:bookmarkStart w:id="108" w:name="the-corpus"/>
    <w:p>
      <w:pPr>
        <w:pStyle w:val="Heading2"/>
        <w:spacing w:line="480" w:lineRule="auto"/>
      </w:pPr>
      <w:r>
        <w:t xml:space="preserve">5.1 The corpus</w:t>
      </w:r>
    </w:p>
    <w:p>
      <w:pPr>
        <w:pStyle w:val="FirstParagraph"/>
        <w:spacing w:line="480" w:lineRule="auto"/>
      </w:pPr>
      <w:r>
        <w:t xml:space="preserve">Thirty pulled entries make up the estimation file. They cover three outlet families and a fifteen-year band of publication, gathered from a candidate-specific pool of technical, governance, and policy documents bearing on uneven pollution across the debris setting</w:t>
      </w:r>
      <w:r>
        <w:t xml:space="preserve"> </w:t>
      </w:r>
      <w:hyperlink w:anchor="ref-1">
        <w:r>
          <w:rPr>
            <w:rStyle w:val="Hyperlink"/>
          </w:rPr>
          <w:t xml:space="preserve">[1]</w:t>
        </w:r>
      </w:hyperlink>
      <w:r>
        <w:t xml:space="preserve"> </w:t>
      </w:r>
      <w:hyperlink w:anchor="ref-16">
        <w:r>
          <w:rPr>
            <w:rStyle w:val="Hyperlink"/>
          </w:rPr>
          <w:t xml:space="preserve">[16]</w:t>
        </w:r>
      </w:hyperlink>
      <w:r>
        <w:t xml:space="preserve">. Mixing the pool was on purpose, since the subject itself straddles engineering, law, and commons theory, and a corpus taken from just one of those would settle the where-does-the-signal-live question before it was asked.</w:t>
      </w:r>
    </w:p>
    <w:p>
      <w:pPr>
        <w:pStyle w:val="BodyText"/>
        <w:spacing w:line="480" w:lineRule="auto"/>
        <w:ind w:firstLine="720"/>
      </w:pPr>
      <w:r>
        <w:t xml:space="preserve">Something like the opening half of the sample springs from proceedings in space situational awareness and surveillance, taking in sensor tasking, spotting from imagery, and facility repurposing</w:t>
      </w:r>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8">
        <w:r>
          <w:rPr>
            <w:rStyle w:val="Hyperlink"/>
          </w:rPr>
          <w:t xml:space="preserve">[8]</w:t>
        </w:r>
      </w:hyperlink>
      <w:r>
        <w:t xml:space="preserve">. A middle block springs from refereed journal pieces in the field literature, touching debris mitigation, environmental rules, and sustainability</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 A closing block springs from commons-and-economy titles, among them design-principle writings for global commons and a doctoral study of space governance architecture. This three-way makeup is what the outlet-family variable stands for, and it shows straight in the data file’s source column.</w:t>
      </w:r>
    </w:p>
    <w:bookmarkEnd w:id="108"/>
    <w:bookmarkStart w:id="109" w:name="the-outcome-variable"/>
    <w:p>
      <w:pPr>
        <w:pStyle w:val="Heading2"/>
        <w:spacing w:line="480" w:lineRule="auto"/>
      </w:pPr>
      <w:r>
        <w:t xml:space="preserve">5.2 The outcome variable</w:t>
      </w:r>
    </w:p>
    <w:p>
      <w:pPr>
        <w:pStyle w:val="FirstParagraph"/>
        <w:spacing w:line="480" w:lineRule="auto"/>
      </w:pPr>
      <w:r>
        <w:t xml:space="preserve">Signal_score is the variable being explained, a blended topic-signal gauge. For each entry it is a fixed-rule tally drawn from theme-word matches over four searchable fields: the source heading, the excerpt, the tag field, and the byline data</w:t>
      </w:r>
      <w:r>
        <w:t xml:space="preserve"> </w:t>
      </w:r>
      <w:hyperlink w:anchor="ref-3">
        <w:r>
          <w:rPr>
            <w:rStyle w:val="Hyperlink"/>
          </w:rPr>
          <w:t xml:space="preserve">[3]</w:t>
        </w:r>
      </w:hyperlink>
      <w:r>
        <w:t xml:space="preserve">. An entry working the uneven-pollution theme hard across those fields tallies high; an entry grazing it tallies low. The rule never wavers.</w:t>
      </w:r>
    </w:p>
    <w:p>
      <w:pPr>
        <w:pStyle w:val="BodyText"/>
        <w:spacing w:line="480" w:lineRule="auto"/>
        <w:ind w:firstLine="720"/>
      </w:pPr>
      <w:r>
        <w:t xml:space="preserve">No reader enters the build. The same input text throws the same tally every time, the very trait that holds the outcome open to inspection and clears reader judgment as a covert wellspring of scatter. Across the sample the tally spans one to five, most entries at one and a scattered few ranking higher where the theme floods the searchable text. Two entries frame the span: a fused monitoring-system paper tallies four on thick theme presence in its heading and tags</w:t>
      </w:r>
      <w:r>
        <w:t xml:space="preserve"> </w:t>
      </w:r>
      <w:hyperlink w:anchor="ref-2">
        <w:r>
          <w:rPr>
            <w:rStyle w:val="Hyperlink"/>
          </w:rPr>
          <w:t xml:space="preserve">[2]</w:t>
        </w:r>
      </w:hyperlink>
      <w:r>
        <w:t xml:space="preserve">, while a governance architecture entry tallies five where the theme threads an unusually long descriptive field. The typical entry tallies one, which bears on reading, since a squeezed outcome spread caps how much scatter any predictor can soak up.</w:t>
      </w:r>
    </w:p>
    <w:bookmarkEnd w:id="109"/>
    <w:bookmarkStart w:id="110" w:name="the-predictors"/>
    <w:p>
      <w:pPr>
        <w:pStyle w:val="Heading2"/>
        <w:spacing w:line="480" w:lineRule="auto"/>
      </w:pPr>
      <w:r>
        <w:t xml:space="preserve">5.3 The predictors</w:t>
      </w:r>
    </w:p>
    <w:p>
      <w:pPr>
        <w:pStyle w:val="FirstParagraph"/>
        <w:spacing w:line="480" w:lineRule="auto"/>
      </w:pPr>
      <w:r>
        <w:t xml:space="preserve">Three predictors bear Paper 1.</w:t>
      </w:r>
    </w:p>
    <w:p>
      <w:pPr>
        <w:pStyle w:val="BodyText"/>
        <w:spacing w:line="480" w:lineRule="auto"/>
        <w:ind w:firstLine="720"/>
      </w:pPr>
      <w:r>
        <w:t xml:space="preserve">Recency_index is the publication-recency index, worked as the publication year less the smallest publication year in the sample, plus one. The oldest entry traces to 2011 and the newest to 2026, so the index spans one to sixteen. Bigger values flag fresher work, and the index pins recency to the sample rather than to some arbitrary calendar zero</w:t>
      </w:r>
      <w:r>
        <w:t xml:space="preserve"> </w:t>
      </w:r>
      <w:hyperlink w:anchor="ref-3">
        <w:r>
          <w:rPr>
            <w:rStyle w:val="Hyperlink"/>
          </w:rPr>
          <w:t xml:space="preserve">[3]</w:t>
        </w:r>
      </w:hyperlink>
      <w:r>
        <w:t xml:space="preserve">.</w:t>
      </w:r>
    </w:p>
    <w:p>
      <w:pPr>
        <w:pStyle w:val="BodyText"/>
        <w:spacing w:line="480" w:lineRule="auto"/>
        <w:ind w:firstLine="720"/>
      </w:pPr>
      <w:r>
        <w:t xml:space="preserve">Cites_num is the filed reference tally, read off the local index citation field, set to zero where the index filed no count</w:t>
      </w:r>
      <w:r>
        <w:t xml:space="preserve"> </w:t>
      </w:r>
      <w:hyperlink w:anchor="ref-5">
        <w:r>
          <w:rPr>
            <w:rStyle w:val="Hyperlink"/>
          </w:rPr>
          <w:t xml:space="preserve">[5]</w:t>
        </w:r>
      </w:hyperlink>
      <w:r>
        <w:t xml:space="preserve">. Its spread runs badly lopsided. Most entries bear zero or a single-digit tally, while one 2019 journal piece files one hundred seventy citations, an outlier ruling the raw regard mass and one the log turn in Paper 2 is partly meant to tame</w:t>
      </w:r>
      <w:r>
        <w:t xml:space="preserve"> </w:t>
      </w:r>
      <w:hyperlink w:anchor="ref-8">
        <w:r>
          <w:rPr>
            <w:rStyle w:val="Hyperlink"/>
          </w:rPr>
          <w:t xml:space="preserve">[8]</w:t>
        </w:r>
      </w:hyperlink>
      <w:r>
        <w:t xml:space="preserve">.</w:t>
      </w:r>
    </w:p>
    <w:p>
      <w:pPr>
        <w:pStyle w:val="BodyText"/>
        <w:spacing w:line="480" w:lineRule="auto"/>
        <w:ind w:firstLine="720"/>
      </w:pPr>
      <w:r>
        <w:t xml:space="preserve">Venue_score is the graded outlet-family tally: proceedings coded one, field journal pieces coded two, commons-and-economy titles coded three. Graded and blunt by design, the coding should not be overstretched into a cardinal quality scale, as Chapter 7 states outright</w:t>
      </w:r>
      <w:r>
        <w:t xml:space="preserve"> </w:t>
      </w:r>
      <w:hyperlink w:anchor="ref-16">
        <w:r>
          <w:rPr>
            <w:rStyle w:val="Hyperlink"/>
          </w:rPr>
          <w:t xml:space="preserve">[16]</w:t>
        </w:r>
      </w:hyperlink>
      <w:r>
        <w:t xml:space="preserve">.</w:t>
      </w:r>
    </w:p>
    <w:bookmarkEnd w:id="110"/>
    <w:bookmarkStart w:id="111" w:name="the-paper-2-variables"/>
    <w:p>
      <w:pPr>
        <w:pStyle w:val="Heading2"/>
        <w:spacing w:line="480" w:lineRule="auto"/>
      </w:pPr>
      <w:r>
        <w:t xml:space="preserve">5.4 The Paper 2 variables</w:t>
      </w:r>
    </w:p>
    <w:p>
      <w:pPr>
        <w:pStyle w:val="FirstParagraph"/>
        <w:spacing w:line="480" w:lineRule="auto"/>
      </w:pPr>
      <w:r>
        <w:t xml:space="preserve">Paper 2 runs two built variables over the same thirty entries.</w:t>
      </w:r>
    </w:p>
    <w:p>
      <w:pPr>
        <w:pStyle w:val="BodyText"/>
        <w:spacing w:line="480" w:lineRule="auto"/>
        <w:ind w:firstLine="720"/>
      </w:pPr>
      <w:r>
        <w:t xml:space="preserve">Cites_plus1 is the reference tally plus one. That bump keeps uncited entries aboard when the logarithm gets taken, since the log of zero has no value and dropping uncited entries would junk a big share of a thin corpus and skew the buildup estimate toward the cited tail</w:t>
      </w:r>
      <w:r>
        <w:t xml:space="preserve"> </w:t>
      </w:r>
      <w:hyperlink w:anchor="ref-5">
        <w:r>
          <w:rPr>
            <w:rStyle w:val="Hyperlink"/>
          </w:rPr>
          <w:t xml:space="preserve">[5]</w:t>
        </w:r>
      </w:hyperlink>
      <w:r>
        <w:t xml:space="preserve">.</w:t>
      </w:r>
    </w:p>
    <w:p>
      <w:pPr>
        <w:pStyle w:val="BodyText"/>
        <w:spacing w:line="480" w:lineRule="auto"/>
        <w:ind w:firstLine="720"/>
      </w:pPr>
      <w:r>
        <w:t xml:space="preserve">Age_index is the document-age index, worked as 2026 less the publication year, plus one. It spans one for the newest entry to sixteen for the oldest, and it stands as the flipped twin of the recency index used in Paper 1</w:t>
      </w:r>
      <w:r>
        <w:t xml:space="preserve"> </w:t>
      </w:r>
      <w:hyperlink w:anchor="ref-8">
        <w:r>
          <w:rPr>
            <w:rStyle w:val="Hyperlink"/>
          </w:rPr>
          <w:t xml:space="preserve">[8]</w:t>
        </w:r>
      </w:hyperlink>
      <w:r>
        <w:t xml:space="preserve">. Building both off the same year field keeps the two papers matched: an entry’s spot in time reads the same across both designs, split only by orientation.</w:t>
      </w:r>
    </w:p>
    <w:bookmarkEnd w:id="111"/>
    <w:bookmarkStart w:id="112" w:name="provenance-and-auditability"/>
    <w:p>
      <w:pPr>
        <w:pStyle w:val="Heading2"/>
        <w:spacing w:line="480" w:lineRule="auto"/>
      </w:pPr>
      <w:r>
        <w:t xml:space="preserve">5.5 Provenance and auditability</w:t>
      </w:r>
    </w:p>
    <w:p>
      <w:pPr>
        <w:pStyle w:val="FirstParagraph"/>
        <w:spacing w:line="480" w:lineRule="auto"/>
      </w:pPr>
      <w:r>
        <w:t xml:space="preserve">Every row in both estimation files bears a source tag, either a resolvable digital object identifier or a straight link to the proceedings entry</w:t>
      </w:r>
      <w:r>
        <w:t xml:space="preserve"> </w:t>
      </w:r>
      <w:hyperlink w:anchor="ref-1">
        <w:r>
          <w:rPr>
            <w:rStyle w:val="Hyperlink"/>
          </w:rPr>
          <w:t xml:space="preserve">[1]</w:t>
        </w:r>
      </w:hyperlink>
      <w:r>
        <w:t xml:space="preserve"> </w:t>
      </w:r>
      <w:hyperlink w:anchor="ref-2">
        <w:r>
          <w:rPr>
            <w:rStyle w:val="Hyperlink"/>
          </w:rPr>
          <w:t xml:space="preserve">[2]</w:t>
        </w:r>
      </w:hyperlink>
      <w:r>
        <w:t xml:space="preserve">. That column is the design’s spine. It means the table is no sealed box: a reader mistrusting a coefficient can open the file, read the rows, trail the source column to the documents beneath, and confirm the metadata got copied over faithfully. Openness of this stripe is the commitment that parts a sift from an unbacked story claim</w:t>
      </w:r>
      <w:r>
        <w:t xml:space="preserve"> </w:t>
      </w:r>
      <w:hyperlink w:anchor="ref-3">
        <w:r>
          <w:rPr>
            <w:rStyle w:val="Hyperlink"/>
          </w:rPr>
          <w:t xml:space="preserve">[3]</w:t>
        </w:r>
      </w:hyperlink>
      <w:r>
        <w:t xml:space="preserve">.</w:t>
      </w:r>
    </w:p>
    <w:bookmarkEnd w:id="112"/>
    <w:bookmarkStart w:id="113" w:name="measurement-caveats-carried-forward"/>
    <w:p>
      <w:pPr>
        <w:pStyle w:val="Heading2"/>
        <w:spacing w:line="480" w:lineRule="auto"/>
      </w:pPr>
      <w:r>
        <w:t xml:space="preserve">5.6 Measurement caveats carried forward</w:t>
      </w:r>
    </w:p>
    <w:p>
      <w:pPr>
        <w:pStyle w:val="FirstParagraph"/>
        <w:spacing w:line="480" w:lineRule="auto"/>
      </w:pPr>
      <w:r>
        <w:t xml:space="preserve">Three cautions ride with the data into every reading. One, reference tallies are local-index gauges, not universal citation counts, so they file regard as one system tallied it rather than regard writ large</w:t>
      </w:r>
      <w:r>
        <w:t xml:space="preserve"> </w:t>
      </w:r>
      <w:hyperlink w:anchor="ref-5">
        <w:r>
          <w:rPr>
            <w:rStyle w:val="Hyperlink"/>
          </w:rPr>
          <w:t xml:space="preserve">[5]</w:t>
        </w:r>
      </w:hyperlink>
      <w:r>
        <w:t xml:space="preserve">. Two, outlet-family coding is graded, and the three-notch scale packs real institutional range into a blunt tool</w:t>
      </w:r>
      <w:r>
        <w:t xml:space="preserve"> </w:t>
      </w:r>
      <w:hyperlink w:anchor="ref-16">
        <w:r>
          <w:rPr>
            <w:rStyle w:val="Hyperlink"/>
          </w:rPr>
          <w:t xml:space="preserve">[16]</w:t>
        </w:r>
      </w:hyperlink>
      <w:r>
        <w:t xml:space="preserve">. Three, the squeezed outcome spread, most entries at the floor, structurally caps soaked-up scatter and ought to cool any reading of small coefficients</w:t>
      </w:r>
      <w:r>
        <w:t xml:space="preserve"> </w:t>
      </w:r>
      <w:hyperlink w:anchor="ref-3">
        <w:r>
          <w:rPr>
            <w:rStyle w:val="Hyperlink"/>
          </w:rPr>
          <w:t xml:space="preserve">[3]</w:t>
        </w:r>
      </w:hyperlink>
      <w:r>
        <w:t xml:space="preserve">. None of these sinks the design. All of them are named here so Chapter 6 can file the numbers, and Chapter 7 can read them, with no belated discovery of the edges.</w:t>
      </w:r>
    </w:p>
    <w:bookmarkEnd w:id="113"/>
    <w:bookmarkStart w:id="114" w:name="X00865f5562c3d6df41c932843c9621d54ff1bf7"/>
    <w:p>
      <w:pPr>
        <w:pStyle w:val="Heading2"/>
        <w:spacing w:line="480" w:lineRule="auto"/>
      </w:pPr>
      <w:r>
        <w:t xml:space="preserve">5.7 The distribution of the outcome in detail</w:t>
      </w:r>
    </w:p>
    <w:p>
      <w:pPr>
        <w:pStyle w:val="FirstParagraph"/>
        <w:spacing w:line="480" w:lineRule="auto"/>
      </w:pPr>
      <w:r>
        <w:t xml:space="preserve">Because the squeezed outcome spread carries so much of the reading weight later, laying it out exactly rather than in shorthand earns the space. Of the thirty entries, the bulk bear a topic-signal tally of one, the floor, meaning the uneven-pollution theme shows only faintly in their searchable text</w:t>
      </w:r>
      <w:r>
        <w:t xml:space="preserve"> </w:t>
      </w:r>
      <w:hyperlink w:anchor="ref-3">
        <w:r>
          <w:rPr>
            <w:rStyle w:val="Hyperlink"/>
          </w:rPr>
          <w:t xml:space="preserve">[3]</w:t>
        </w:r>
      </w:hyperlink>
      <w:r>
        <w:t xml:space="preserve">. A smaller cluster tallies two, where the theme shows in more than one field. A handful reach three or four, and a lone governance-architecture entry reaches five, where an unusually long descriptive field carries the theme through again and again. The pileup at the floor is no coding flaw; it is a trait of the subject, which many fitting documents touch sidelong while few take on head-first.</w:t>
      </w:r>
    </w:p>
    <w:p>
      <w:pPr>
        <w:pStyle w:val="BodyText"/>
        <w:spacing w:line="480" w:lineRule="auto"/>
        <w:ind w:firstLine="720"/>
      </w:pPr>
      <w:r>
        <w:t xml:space="preserve">This shape hands a direct upshot to every regression that trails, and naming it now heads off a later jolt. When most of the outcome parks at one value, the total scatter left for any predictor to soak up is small, and the cap on model fit runs low to match before a single coefficient is worked</w:t>
      </w:r>
      <w:r>
        <w:t xml:space="preserve"> </w:t>
      </w:r>
      <w:hyperlink w:anchor="ref-5">
        <w:r>
          <w:rPr>
            <w:rStyle w:val="Hyperlink"/>
          </w:rPr>
          <w:t xml:space="preserve">[5]</w:t>
        </w:r>
      </w:hyperlink>
      <w:r>
        <w:t xml:space="preserve">. A sift run on such an outcome is built to run cautious: it will lean toward modest fit numbers even where a real tie exists, since there is scant range for the tie to marshal. The design swallows this cost as the toll for a fixed-rule, open outcome, and it carries the caution ahead so the weak fit Chapter 6 files reads as partly a trait of the outcome’s shape rather than only a ruling on the mechanism</w:t>
      </w:r>
      <w:r>
        <w:t xml:space="preserve"> </w:t>
      </w:r>
      <w:hyperlink w:anchor="ref-3">
        <w:r>
          <w:rPr>
            <w:rStyle w:val="Hyperlink"/>
          </w:rPr>
          <w:t xml:space="preserve">[3]</w:t>
        </w:r>
      </w:hyperlink>
      <w:r>
        <w:t xml:space="preserve">.</w:t>
      </w:r>
    </w:p>
    <w:bookmarkEnd w:id="114"/>
    <w:bookmarkStart w:id="115" w:name="Xdda6aab4eb4ef19a93cf2be8fdd795f2ee9647c"/>
    <w:p>
      <w:pPr>
        <w:pStyle w:val="Heading2"/>
        <w:spacing w:line="480" w:lineRule="auto"/>
      </w:pPr>
      <w:r>
        <w:t xml:space="preserve">5.8 The citation field and its single outlier</w:t>
      </w:r>
    </w:p>
    <w:p>
      <w:pPr>
        <w:pStyle w:val="FirstParagraph"/>
        <w:spacing w:line="480" w:lineRule="auto"/>
      </w:pPr>
      <w:r>
        <w:t xml:space="preserve">The citation variable warrants its own long look, because one entry rules it and that rule drives the buildup result. Over the thirty entries, most file zero or a low single-digit reference tally in the local index, a spread typical of a young, niche pool where regard has not yet had the years to gather</w:t>
      </w:r>
      <w:r>
        <w:t xml:space="preserve"> </w:t>
      </w:r>
      <w:hyperlink w:anchor="ref-8">
        <w:r>
          <w:rPr>
            <w:rStyle w:val="Hyperlink"/>
          </w:rPr>
          <w:t xml:space="preserve">[8]</w:t>
        </w:r>
      </w:hyperlink>
      <w:r>
        <w:t xml:space="preserve">. Against that backdrop, one 2019 journal piece files one hundred seventy citations, an order of magnitude past any other entry in the sample</w:t>
      </w:r>
      <w:r>
        <w:t xml:space="preserve"> </w:t>
      </w:r>
      <w:hyperlink w:anchor="ref-5">
        <w:r>
          <w:rPr>
            <w:rStyle w:val="Hyperlink"/>
          </w:rPr>
          <w:t xml:space="preserve">[5]</w:t>
        </w:r>
      </w:hyperlink>
      <w:r>
        <w:t xml:space="preserve">. That lone value bears the lopsided bulk of the raw regard mass, and its spot in time, neither oldest nor newest, is what drags the age elasticity in Paper 2 against the ordinary buildup forecast.</w:t>
      </w:r>
    </w:p>
    <w:p>
      <w:pPr>
        <w:pStyle w:val="BodyText"/>
        <w:spacing w:line="480" w:lineRule="auto"/>
        <w:ind w:firstLine="720"/>
      </w:pPr>
      <w:r>
        <w:t xml:space="preserve">The design meets this outlier with openness, not the knife. It does not cut the entry, since cutting awkward entries from a thirty-entry corpus would be a judgment step the fixed pipeline exists to shun</w:t>
      </w:r>
      <w:r>
        <w:t xml:space="preserve"> </w:t>
      </w:r>
      <w:hyperlink w:anchor="ref-3">
        <w:r>
          <w:rPr>
            <w:rStyle w:val="Hyperlink"/>
          </w:rPr>
          <w:t xml:space="preserve">[3]</w:t>
        </w:r>
      </w:hyperlink>
      <w:r>
        <w:t xml:space="preserve">. It does not winsorize the tally, since that too would be a move a reader could not rebuild off the source column. Instead the log turn in Paper 2 squeezes the outlier’s scale so it does not by reflex swamp the fit, while the entry stays aboard and visible in the file</w:t>
      </w:r>
      <w:r>
        <w:t xml:space="preserve"> </w:t>
      </w:r>
      <w:hyperlink w:anchor="ref-8">
        <w:r>
          <w:rPr>
            <w:rStyle w:val="Hyperlink"/>
          </w:rPr>
          <w:t xml:space="preserve">[8]</w:t>
        </w:r>
      </w:hyperlink>
      <w:r>
        <w:t xml:space="preserve">. Chapter 7 circles back to this entry outright, because a reader has a right to know a single observation shapes the sign of the buildup estimate, and the data file makes that reliance open rather than hidden</w:t>
      </w:r>
      <w:r>
        <w:t xml:space="preserve"> </w:t>
      </w:r>
      <w:hyperlink w:anchor="ref-5">
        <w:r>
          <w:rPr>
            <w:rStyle w:val="Hyperlink"/>
          </w:rPr>
          <w:t xml:space="preserve">[5]</w:t>
        </w:r>
      </w:hyperlink>
      <w:r>
        <w:t xml:space="preserve">.</w:t>
      </w:r>
    </w:p>
    <w:bookmarkEnd w:id="115"/>
    <w:bookmarkStart w:id="116" w:name="venue-coding-and-its-judgment-calls"/>
    <w:p>
      <w:pPr>
        <w:pStyle w:val="Heading2"/>
        <w:spacing w:line="480" w:lineRule="auto"/>
      </w:pPr>
      <w:r>
        <w:t xml:space="preserve">5.9 Venue coding and its judgment calls</w:t>
      </w:r>
    </w:p>
    <w:p>
      <w:pPr>
        <w:pStyle w:val="FirstParagraph"/>
        <w:spacing w:line="480" w:lineRule="auto"/>
      </w:pPr>
      <w:r>
        <w:t xml:space="preserve">The outlet-family variable rests on a coding rule plain enough to state in a line and weighty enough to inspect. Proceedings tally one, field journal pieces tally two, commons-and-economy titles tally three, the order meant to trail institutional firming from the fastest, least filtered outlet toward the most settled</w:t>
      </w:r>
      <w:r>
        <w:t xml:space="preserve"> </w:t>
      </w:r>
      <w:hyperlink w:anchor="ref-16">
        <w:r>
          <w:rPr>
            <w:rStyle w:val="Hyperlink"/>
          </w:rPr>
          <w:t xml:space="preserve">[16]</w:t>
        </w:r>
      </w:hyperlink>
      <w:r>
        <w:t xml:space="preserve">. For the clear cases the rule runs mechanical: a paper in a surveillance-technology proceedings is a one, a piece in a field aerospace journal is a two</w:t>
      </w:r>
      <w:r>
        <w:t xml:space="preserve"> </w:t>
      </w:r>
      <w:hyperlink w:anchor="ref-6">
        <w:r>
          <w:rPr>
            <w:rStyle w:val="Hyperlink"/>
          </w:rPr>
          <w:t xml:space="preserve">[6]</w:t>
        </w:r>
      </w:hyperlink>
      <w:r>
        <w:t xml:space="preserve"> </w:t>
      </w:r>
      <w:hyperlink w:anchor="ref-8">
        <w:r>
          <w:rPr>
            <w:rStyle w:val="Hyperlink"/>
          </w:rPr>
          <w:t xml:space="preserve">[8]</w:t>
        </w:r>
      </w:hyperlink>
      <w:r>
        <w:t xml:space="preserve">. The commons-and-economy bin, coded three, is the baggiest, sweeping design-principle writings, commons-theory titles, and a doctoral governance study under one head.</w:t>
      </w:r>
    </w:p>
    <w:p>
      <w:pPr>
        <w:pStyle w:val="BodyText"/>
        <w:spacing w:line="480" w:lineRule="auto"/>
        <w:ind w:firstLine="720"/>
      </w:pPr>
      <w:r>
        <w:t xml:space="preserve">That third bin is where the coding’s bluntness shows most, and candor asks flagging it here rather than in a footnote. The titles it sweeps run mixed in form and in how thickly they work the theme, and squashing them to one graded notch packs real range</w:t>
      </w:r>
      <w:r>
        <w:t xml:space="preserve"> </w:t>
      </w:r>
      <w:hyperlink w:anchor="ref-16">
        <w:r>
          <w:rPr>
            <w:rStyle w:val="Hyperlink"/>
          </w:rPr>
          <w:t xml:space="preserve">[16]</w:t>
        </w:r>
      </w:hyperlink>
      <w:r>
        <w:t xml:space="preserve">. The design keeps the rule because a finer coding would breed bins a thirty-entry sample cannot bankroll, and because the source column lets a reader see just which documents drop into each notch and judge the squash for themselves</w:t>
      </w:r>
      <w:r>
        <w:t xml:space="preserve"> </w:t>
      </w:r>
      <w:hyperlink w:anchor="ref-3">
        <w:r>
          <w:rPr>
            <w:rStyle w:val="Hyperlink"/>
          </w:rPr>
          <w:t xml:space="preserve">[3]</w:t>
        </w:r>
      </w:hyperlink>
      <w:r>
        <w:t xml:space="preserve">. The outlet variable therefore reads best as a blunt marker of institutional bin rather than a fine gauge of firming, and Chapter 7 holds that reading when it takes up the outlet coefficient.</w:t>
      </w:r>
    </w:p>
    <w:bookmarkEnd w:id="116"/>
    <w:bookmarkStart w:id="117" w:name="commensurability-across-the-two-papers"/>
    <w:p>
      <w:pPr>
        <w:pStyle w:val="Heading2"/>
        <w:spacing w:line="480" w:lineRule="auto"/>
      </w:pPr>
      <w:r>
        <w:t xml:space="preserve">5.10 Commensurability across the two papers</w:t>
      </w:r>
    </w:p>
    <w:p>
      <w:pPr>
        <w:pStyle w:val="FirstParagraph"/>
        <w:spacing w:line="480" w:lineRule="auto"/>
      </w:pPr>
      <w:r>
        <w:t xml:space="preserve">A last gauging point lands on how the two papers hang together, because their shared base is what lets their results be read side by side in Chapter 6. Both estimation files stand on the same thirty entries, the same source tags, and the same underlying year field</w:t>
      </w:r>
      <w:r>
        <w:t xml:space="preserve"> </w:t>
      </w:r>
      <w:hyperlink w:anchor="ref-8">
        <w:r>
          <w:rPr>
            <w:rStyle w:val="Hyperlink"/>
          </w:rPr>
          <w:t xml:space="preserve">[8]</w:t>
        </w:r>
      </w:hyperlink>
      <w:r>
        <w:t xml:space="preserve">. Paper 1’s recency index and Paper 2’s age index are the two facings of that lone field: recency counts up from the oldest publication, age counts down from the benchmark year 2026, and each entry holds the same spot in time across both designs, split only by the count’s direction</w:t>
      </w:r>
      <w:r>
        <w:t xml:space="preserve"> </w:t>
      </w:r>
      <w:hyperlink w:anchor="ref-3">
        <w:r>
          <w:rPr>
            <w:rStyle w:val="Hyperlink"/>
          </w:rPr>
          <w:t xml:space="preserve">[3]</w:t>
        </w:r>
      </w:hyperlink>
      <w:r>
        <w:t xml:space="preserve">. This build was deliberate, and it bears on reading.</w:t>
      </w:r>
    </w:p>
    <w:p>
      <w:pPr>
        <w:pStyle w:val="BodyText"/>
        <w:spacing w:line="480" w:lineRule="auto"/>
        <w:ind w:firstLine="720"/>
      </w:pPr>
      <w:r>
        <w:t xml:space="preserve">Because the two papers share their data and split only in what structure they probe, a gap between their results could not be pinned on different samples or different provenance</w:t>
      </w:r>
      <w:r>
        <w:t xml:space="preserve"> </w:t>
      </w:r>
      <w:hyperlink w:anchor="ref-5">
        <w:r>
          <w:rPr>
            <w:rStyle w:val="Hyperlink"/>
          </w:rPr>
          <w:t xml:space="preserve">[5]</w:t>
        </w:r>
      </w:hyperlink>
      <w:r>
        <w:t xml:space="preserve">. Had the still-frame sift found order and the buildup sift not, or the flip, the gap would fix where the corpus holds information, since both sifts view the same entries through different lenses. And should both land weak, as Chapter 6 files, the meeting is no fluke of two separately built tables but a joint ruling on one open corpus viewed two ways</w:t>
      </w:r>
      <w:r>
        <w:t xml:space="preserve"> </w:t>
      </w:r>
      <w:hyperlink w:anchor="ref-8">
        <w:r>
          <w:rPr>
            <w:rStyle w:val="Hyperlink"/>
          </w:rPr>
          <w:t xml:space="preserve">[8]</w:t>
        </w:r>
      </w:hyperlink>
      <w:r>
        <w:t xml:space="preserve">. So the matching is no bookkeeping nicety; it is what lends the two-sift design its evidentiary heft, and it is built into the data at the level of the shared year field rather than asserted after the fact</w:t>
      </w:r>
      <w:r>
        <w:t xml:space="preserve"> </w:t>
      </w:r>
      <w:hyperlink w:anchor="ref-16">
        <w:r>
          <w:rPr>
            <w:rStyle w:val="Hyperlink"/>
          </w:rPr>
          <w:t xml:space="preserve">[16]</w:t>
        </w:r>
      </w:hyperlink>
      <w:r>
        <w:t xml:space="preserve">.</w:t>
      </w:r>
    </w:p>
    <w:bookmarkEnd w:id="117"/>
    <w:bookmarkStart w:id="118" w:name="the-composition-of-the-corpus-by-era"/>
    <w:p>
      <w:pPr>
        <w:pStyle w:val="Heading2"/>
        <w:spacing w:line="480" w:lineRule="auto"/>
      </w:pPr>
      <w:r>
        <w:t xml:space="preserve">5.11 The composition of the corpus by era</w:t>
      </w:r>
    </w:p>
    <w:p>
      <w:pPr>
        <w:pStyle w:val="FirstParagraph"/>
        <w:spacing w:line="480" w:lineRule="auto"/>
      </w:pPr>
      <w:r>
        <w:t xml:space="preserve">Because the corpus’s spread over time bears on both models, it earns a plain accounting. The entries cover a fifteen-year publication band, from an oldest document in 2011 to a newest in 2026, and they scatter unevenly across that band</w:t>
      </w:r>
      <w:r>
        <w:t xml:space="preserve"> </w:t>
      </w:r>
      <w:hyperlink w:anchor="ref-3">
        <w:r>
          <w:rPr>
            <w:rStyle w:val="Hyperlink"/>
          </w:rPr>
          <w:t xml:space="preserve">[3]</w:t>
        </w:r>
      </w:hyperlink>
      <w:r>
        <w:t xml:space="preserve">. The proceedings block bunches in the middle and earlier years, mirroring a stretch when surveillance-technology outlets were the natural home for debris-adjacent work</w:t>
      </w:r>
      <w:r>
        <w:t xml:space="preserve"> </w:t>
      </w:r>
      <w:hyperlink w:anchor="ref-6">
        <w:r>
          <w:rPr>
            <w:rStyle w:val="Hyperlink"/>
          </w:rPr>
          <w:t xml:space="preserve">[6]</w:t>
        </w:r>
      </w:hyperlink>
      <w:r>
        <w:t xml:space="preserve"> </w:t>
      </w:r>
      <w:hyperlink w:anchor="ref-8">
        <w:r>
          <w:rPr>
            <w:rStyle w:val="Hyperlink"/>
          </w:rPr>
          <w:t xml:space="preserve">[8]</w:t>
        </w:r>
      </w:hyperlink>
      <w:r>
        <w:t xml:space="preserve">. The field journal block packs into the later years, as the subject moved into refereed aerospace titles, and the commons-and-economy block parks mostly toward the far end, where governance and sustainability framings caught on</w:t>
      </w:r>
      <w:r>
        <w:t xml:space="preserve"> </w:t>
      </w:r>
      <w:hyperlink w:anchor="ref-16">
        <w:r>
          <w:rPr>
            <w:rStyle w:val="Hyperlink"/>
          </w:rPr>
          <w:t xml:space="preserve">[16]</w:t>
        </w:r>
      </w:hyperlink>
      <w:r>
        <w:t xml:space="preserve">.</w:t>
      </w:r>
    </w:p>
    <w:p>
      <w:pPr>
        <w:pStyle w:val="BodyText"/>
        <w:spacing w:line="480" w:lineRule="auto"/>
        <w:ind w:firstLine="720"/>
      </w:pPr>
      <w:r>
        <w:t xml:space="preserve">This era makeup hands over an interpretive upshot the later chapters lean on. Because outlet family and publication era run partly together in the corpus, the outlet variable and the recency variable are not fully apart, and a reader ought to hold that mild tangle in mind when reading their separate coefficients</w:t>
      </w:r>
      <w:r>
        <w:t xml:space="preserve"> </w:t>
      </w:r>
      <w:hyperlink w:anchor="ref-5">
        <w:r>
          <w:rPr>
            <w:rStyle w:val="Hyperlink"/>
          </w:rPr>
          <w:t xml:space="preserve">[5]</w:t>
        </w:r>
      </w:hyperlink>
      <w:r>
        <w:t xml:space="preserve">. Paper 1’s additive model handles them as distinct, which the thin sample forces, and yet the source column lets a reader see the overlap straight and judge how much of any outlet tie is really an era tie under a swapped label</w:t>
      </w:r>
      <w:r>
        <w:t xml:space="preserve"> </w:t>
      </w:r>
      <w:hyperlink w:anchor="ref-3">
        <w:r>
          <w:rPr>
            <w:rStyle w:val="Hyperlink"/>
          </w:rPr>
          <w:t xml:space="preserve">[3]</w:t>
        </w:r>
      </w:hyperlink>
      <w:r>
        <w:t xml:space="preserve">. Filing the era makeup here, rather than turning it up mid-reading, is what lets Chapter 6 file the coefficients and Chapter 7 temper them with no tangle showing up as a jolt</w:t>
      </w:r>
      <w:r>
        <w:t xml:space="preserve"> </w:t>
      </w:r>
      <w:hyperlink w:anchor="ref-8">
        <w:r>
          <w:rPr>
            <w:rStyle w:val="Hyperlink"/>
          </w:rPr>
          <w:t xml:space="preserve">[8]</w:t>
        </w:r>
      </w:hyperlink>
      <w:r>
        <w:t xml:space="preserve">.</w:t>
      </w:r>
    </w:p>
    <w:bookmarkEnd w:id="118"/>
    <w:bookmarkStart w:id="119" w:name="Xb9908f07697759dcc8fdd870998f2fefb13902a"/>
    <w:p>
      <w:pPr>
        <w:pStyle w:val="Heading2"/>
        <w:spacing w:line="480" w:lineRule="auto"/>
      </w:pPr>
      <w:r>
        <w:t xml:space="preserve">5.12 What auditability demands of the reader and the author</w:t>
      </w:r>
    </w:p>
    <w:p>
      <w:pPr>
        <w:pStyle w:val="FirstParagraph"/>
        <w:spacing w:line="480" w:lineRule="auto"/>
      </w:pPr>
      <w:r>
        <w:t xml:space="preserve">Openness often gets cast as a trait of a table, but it reads better as a pact between author and reader, and this section spells out both sides. The author’s side is to keep, for every entry, a resolvable trail back to the source: a digital object identifier where one exists, and a straight link to the proceedings entry otherwise, so no row is a sealed box</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author must also nail the build rules for every variable so the same source throws the same value under any hand, and must file the model output with no rounding away from the workbook figures</w:t>
      </w:r>
      <w:r>
        <w:t xml:space="preserve"> </w:t>
      </w:r>
      <w:hyperlink w:anchor="ref-3">
        <w:r>
          <w:rPr>
            <w:rStyle w:val="Hyperlink"/>
          </w:rPr>
          <w:t xml:space="preserve">[3]</w:t>
        </w:r>
      </w:hyperlink>
      <w:r>
        <w:t xml:space="preserve">. This dissertation keeps those obligations, and the data files bear the source column that makes them checkable.</w:t>
      </w:r>
    </w:p>
    <w:p>
      <w:pPr>
        <w:pStyle w:val="BodyText"/>
        <w:spacing w:line="480" w:lineRule="auto"/>
        <w:ind w:firstLine="720"/>
      </w:pPr>
      <w:r>
        <w:t xml:space="preserve">The reader’s side of the pact is the license, and the charge, to check. A reader mistrusting a coefficient is not asked to bank on the author’s rundown; that reader can open the estimation file, read the rows, trail the source column to the documents beneath, and confirm the metadata got copied over faithfully before the model ever ran</w:t>
      </w:r>
      <w:r>
        <w:t xml:space="preserve"> </w:t>
      </w:r>
      <w:hyperlink w:anchor="ref-5">
        <w:r>
          <w:rPr>
            <w:rStyle w:val="Hyperlink"/>
          </w:rPr>
          <w:t xml:space="preserve">[5]</w:t>
        </w:r>
      </w:hyperlink>
      <w:r>
        <w:t xml:space="preserve">. That license is what parts a sift from an unbacked story claim, and it is why the design pours so much into provenance that a slacker study would skip</w:t>
      </w:r>
      <w:r>
        <w:t xml:space="preserve"> </w:t>
      </w:r>
      <w:hyperlink w:anchor="ref-16">
        <w:r>
          <w:rPr>
            <w:rStyle w:val="Hyperlink"/>
          </w:rPr>
          <w:t xml:space="preserve">[16]</w:t>
        </w:r>
      </w:hyperlink>
      <w:r>
        <w:t xml:space="preserve">. The measurement chapter, then, is more than a rundown of the data. It is the author settling one half of an openness pact, written so the reader can settle the other half with no help from the author, which is the standard the whole design was built to hit</w:t>
      </w:r>
      <w:r>
        <w:t xml:space="preserve"> </w:t>
      </w:r>
      <w:hyperlink w:anchor="ref-3">
        <w:r>
          <w:rPr>
            <w:rStyle w:val="Hyperlink"/>
          </w:rPr>
          <w:t xml:space="preserve">[3]</w:t>
        </w:r>
      </w:hyperlink>
      <w:r>
        <w:t xml:space="preserve"> </w:t>
      </w:r>
      <w:hyperlink w:anchor="ref-8">
        <w:r>
          <w:rPr>
            <w:rStyle w:val="Hyperlink"/>
          </w:rPr>
          <w:t xml:space="preserve">[8]</w:t>
        </w:r>
      </w:hyperlink>
      <w:r>
        <w:t xml:space="preserve">.</w:t>
      </w:r>
    </w:p>
    <w:bookmarkEnd w:id="119"/>
    <w:bookmarkStart w:id="120" w:name="X03456562a1a1852a1e5bd317113770da39ef46d"/>
    <w:p>
      <w:pPr>
        <w:pStyle w:val="Heading2"/>
        <w:spacing w:line="480" w:lineRule="auto"/>
      </w:pPr>
      <w:r>
        <w:t xml:space="preserve">5.13 The data as the study’s load-bearing asset</w:t>
      </w:r>
    </w:p>
    <w:p>
      <w:pPr>
        <w:pStyle w:val="FirstParagraph"/>
        <w:spacing w:line="480" w:lineRule="auto"/>
      </w:pPr>
      <w:r>
        <w:t xml:space="preserve">Ending the measurement chapter by naming what the table is to the study whole seems right. In a sift, the data are no backdrop to the argument; they are the argument’s load-bearing asset, since every claim the later chapters make settles in the end to a row and a rule</w:t>
      </w:r>
      <w:r>
        <w:t xml:space="preserve"> </w:t>
      </w:r>
      <w:hyperlink w:anchor="ref-3">
        <w:r>
          <w:rPr>
            <w:rStyle w:val="Hyperlink"/>
          </w:rPr>
          <w:t xml:space="preserve">[3]</w:t>
        </w:r>
      </w:hyperlink>
      <w:r>
        <w:t xml:space="preserve">. A reader who grants the build rules and inspects the source column has thereby granted the evidentiary base of the whole dissertation, and a reader who spurns them holds grounds to spurn the conclusions no matter how the models behave</w:t>
      </w:r>
      <w:r>
        <w:t xml:space="preserve"> </w:t>
      </w:r>
      <w:hyperlink w:anchor="ref-5">
        <w:r>
          <w:rPr>
            <w:rStyle w:val="Hyperlink"/>
          </w:rPr>
          <w:t xml:space="preserve">[5]</w:t>
        </w:r>
      </w:hyperlink>
      <w:r>
        <w:t xml:space="preserve">. That is a demanding spot to park a table, and it is why this chapter has filed the outcome’s shape, the citation outlier, the outlet coding, the era makeup, and the matching across papers in fuller detail than a story study would call for.</w:t>
      </w:r>
    </w:p>
    <w:p>
      <w:pPr>
        <w:pStyle w:val="BodyText"/>
        <w:spacing w:line="480" w:lineRule="auto"/>
        <w:ind w:firstLine="720"/>
      </w:pPr>
      <w:r>
        <w:t xml:space="preserve">The detail is the point. A dissertation asking a reader to bank on a coefficient owes that reader a table open enough to weigh the coefficient against, and this chapter has tried to settle that debt in full rather than in part</w:t>
      </w:r>
      <w:r>
        <w:t xml:space="preserve"> </w:t>
      </w:r>
      <w:hyperlink w:anchor="ref-16">
        <w:r>
          <w:rPr>
            <w:rStyle w:val="Hyperlink"/>
          </w:rPr>
          <w:t xml:space="preserve">[16]</w:t>
        </w:r>
      </w:hyperlink>
      <w:r>
        <w:t xml:space="preserve">. When Chapter 6 files the model output and Chapter 7 reads it, both chapters lean on the base laid here, and the reach of their claims is capped by the reach of this data record</w:t>
      </w:r>
      <w:r>
        <w:t xml:space="preserve"> </w:t>
      </w:r>
      <w:hyperlink w:anchor="ref-8">
        <w:r>
          <w:rPr>
            <w:rStyle w:val="Hyperlink"/>
          </w:rPr>
          <w:t xml:space="preserve">[8]</w:t>
        </w:r>
      </w:hyperlink>
      <w:r>
        <w:t xml:space="preserve">. Having built that base in the open, the study now stands ready to file what the models found, sure that a reader can trail every result back through the rows to the documents that threw it</w:t>
      </w:r>
      <w:r>
        <w:t xml:space="preserve"> </w:t>
      </w:r>
      <w:hyperlink w:anchor="ref-4">
        <w:r>
          <w:rPr>
            <w:rStyle w:val="Hyperlink"/>
          </w:rPr>
          <w:t xml:space="preserve">[4]</w:t>
        </w:r>
      </w:hyperlink>
      <w:r>
        <w:t xml:space="preserve">.</w:t>
      </w:r>
    </w:p>
    <w:bookmarkEnd w:id="120"/>
    <w:bookmarkEnd w:id="121"/>
    <w:bookmarkStart w:id="131" w:name="chapter-6.-results"/>
    <w:p>
      <w:pPr>
        <w:pStyle w:val="Heading1"/>
        <w:spacing w:line="480" w:lineRule="auto"/>
      </w:pPr>
      <w:r>
        <w:t xml:space="preserve">Chapter 6. Results</w:t>
      </w:r>
    </w:p>
    <w:p>
      <w:pPr>
        <w:pStyle w:val="FirstParagraph"/>
        <w:spacing w:line="480" w:lineRule="auto"/>
      </w:pPr>
      <w:r>
        <w:t xml:space="preserve">Here the model output lands as the workbooks threw it, followed by a reading of the signs and sizes. Not one figure is trimmed away from its origin, and not one is conjured. The two papers arrive one after the other, still-frame structure ahead, buildup motion behind, and the chapter shuts by reading the pair as one</w:t>
      </w:r>
      <w:r>
        <w:t xml:space="preserve"> </w:t>
      </w:r>
      <w:hyperlink w:anchor="ref-3">
        <w:r>
          <w:rPr>
            <w:rStyle w:val="Hyperlink"/>
          </w:rPr>
          <w:t xml:space="preserve">[3]</w:t>
        </w:r>
      </w:hyperlink>
      <w:r>
        <w:t xml:space="preserve"> </w:t>
      </w:r>
      <w:hyperlink w:anchor="ref-8">
        <w:r>
          <w:rPr>
            <w:rStyle w:val="Hyperlink"/>
          </w:rPr>
          <w:t xml:space="preserve">[8]</w:t>
        </w:r>
      </w:hyperlink>
      <w:r>
        <w:t xml:space="preserve">.</w:t>
      </w:r>
    </w:p>
    <w:bookmarkStart w:id="122" w:name="X0a6545b6a4ed1b56276c0f5a705043216a35aa4"/>
    <w:p>
      <w:pPr>
        <w:pStyle w:val="Heading2"/>
        <w:spacing w:line="480" w:lineRule="auto"/>
      </w:pPr>
      <w:r>
        <w:t xml:space="preserve">6.1 Paper 1: ordinary least squares on topic-signal intensity</w:t>
      </w:r>
    </w:p>
    <w:p>
      <w:pPr>
        <w:pStyle w:val="FirstParagraph"/>
        <w:spacing w:line="480" w:lineRule="auto"/>
      </w:pPr>
      <w:r>
        <w:t xml:space="preserve">The opening form fits the topic-signal score against the recency index, the reference tally, and the outlet-family tally, by ordinary least squares with robust HC1 standard errors over the thirty-record estimation file</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fit as a whole lands weak. Nothing here approaches a signal. What the workbook files is N = 30, an R2 of 0.013859669005444109, an adjusted R2 of -0.09992575380162005. Its F-statistic is 0.8493829451312322 at a p-value of 0.4795469500391356. An adjusted R2 under zero is no slip of coding; it is what surfaces when a model soaks up less scatter than its parameter count would win by luck, and it is the opening honest flag that the three regard dimensions together bear almost none of the swing in thematic thickness across this corpus.</w:t>
      </w:r>
    </w:p>
    <w:p>
      <w:pPr>
        <w:pStyle w:val="BodyText"/>
        <w:spacing w:line="480" w:lineRule="auto"/>
        <w:ind w:firstLine="720"/>
      </w:pPr>
      <w:r>
        <w:t xml:space="preserve">The per-term estimates hone that reading. What the workbook files for the intercept is 1.2720576767041671 at a p-value of 0.008944010022277498, the lone coefficient in the model to clear the usual bar. It amounts to this: a stand-in entry at the base of every predictor still bears a topic-signal score a touch over one, no shock given that most entries in the sample park at the outcome’s floor.</w:t>
      </w:r>
    </w:p>
    <w:p>
      <w:pPr>
        <w:pStyle w:val="BodyText"/>
        <w:spacing w:line="480" w:lineRule="auto"/>
        <w:ind w:firstLine="720"/>
      </w:pPr>
      <w:r>
        <w:t xml:space="preserve">Recency files a coefficient of 0.02167497474295261 at a p-value of 0.5730516906049534. The sign runs positive, in step with the signed forecast that fresher work steeps more in the theme, yet the estimate falls nowhere near sharp, and the fat p-value says the data cannot pry it from zero</w:t>
      </w:r>
      <w:r>
        <w:t xml:space="preserve"> </w:t>
      </w:r>
      <w:hyperlink w:anchor="ref-3">
        <w:r>
          <w:rPr>
            <w:rStyle w:val="Hyperlink"/>
          </w:rPr>
          <w:t xml:space="preserve">[3]</w:t>
        </w:r>
      </w:hyperlink>
      <w:r>
        <w:t xml:space="preserve">. Citation files a coefficient of -0.002440595442287303 at a p-value of 0.22984234444151752. The sign runs negative, crosswise to the forecast that regard trails thematic depth, and it too runs blurry, though of the three tilts it draws nearest the usual bar</w:t>
      </w:r>
      <w:r>
        <w:t xml:space="preserve"> </w:t>
      </w:r>
      <w:hyperlink w:anchor="ref-8">
        <w:r>
          <w:rPr>
            <w:rStyle w:val="Hyperlink"/>
          </w:rPr>
          <w:t xml:space="preserve">[8]</w:t>
        </w:r>
      </w:hyperlink>
      <w:r>
        <w:t xml:space="preserve">. Outlet files a coefficient of 0.021319886248123296 at a p-value of 0.9470005651791052, in practice one with zero and the emptiest term in the model</w:t>
      </w:r>
      <w:r>
        <w:t xml:space="preserve"> </w:t>
      </w:r>
      <w:hyperlink w:anchor="ref-16">
        <w:r>
          <w:rPr>
            <w:rStyle w:val="Hyperlink"/>
          </w:rPr>
          <w:t xml:space="preserve">[16]</w:t>
        </w:r>
      </w:hyperlink>
      <w:r>
        <w:t xml:space="preserve">.</w:t>
      </w:r>
    </w:p>
    <w:p>
      <w:pPr>
        <w:pStyle w:val="BodyText"/>
        <w:spacing w:line="480" w:lineRule="auto"/>
        <w:ind w:firstLine="720"/>
      </w:pPr>
      <w:r>
        <w:t xml:space="preserve">Taken whole, Paper 1 fails to reject its null. Recency, citation regard, and outlet family show no orderly grip on the topic-signal score in this corpus. Recency tilts as forecast and citation tilts against, and still neither tilts with any sharpness, and the model whole soaks up next to nothing. Under the hypothesis frame of Chapter 3, that reads as a clean pass on H0 for Paper 1</w:t>
      </w:r>
      <w:r>
        <w:t xml:space="preserve"> </w:t>
      </w:r>
      <w:hyperlink w:anchor="ref-4">
        <w:r>
          <w:rPr>
            <w:rStyle w:val="Hyperlink"/>
          </w:rPr>
          <w:t xml:space="preserve">[4]</w:t>
        </w:r>
      </w:hyperlink>
      <w:r>
        <w:t xml:space="preserve">.</w:t>
      </w:r>
    </w:p>
    <w:bookmarkEnd w:id="122"/>
    <w:bookmarkStart w:id="123" w:name="paper-2-the-citation-learning-curve"/>
    <w:p>
      <w:pPr>
        <w:pStyle w:val="Heading2"/>
        <w:spacing w:line="480" w:lineRule="auto"/>
      </w:pPr>
      <w:r>
        <w:t xml:space="preserve">6.2 Paper 2: the citation learning curve</w:t>
      </w:r>
    </w:p>
    <w:p>
      <w:pPr>
        <w:pStyle w:val="FirstParagraph"/>
        <w:spacing w:line="480" w:lineRule="auto"/>
      </w:pPr>
      <w:r>
        <w:t xml:space="preserve">The second form casts reference buildup as a function of document age, in the log-log shape over the same thirty records</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p>
      <w:pPr>
        <w:pStyle w:val="BodyText"/>
        <w:spacing w:line="480" w:lineRule="auto"/>
        <w:ind w:firstLine="720"/>
      </w:pPr>
      <w:r>
        <w:t xml:space="preserve">What the workbook files is N = 30 and an R2 of 0.01580823726100844. The gauged age elasticity is -0.24517216707683273, and the matching progress ratio, the multiple by which citations-plus-one grow as age doubles, is 0.8437151035881119. For the intercept the file gives 1.1050752607821357 at a p-value of 0.02477771215918421. On log age the tilt is -0.24517216707683273 at a p-value of 0.40719049123047335.</w:t>
      </w:r>
    </w:p>
    <w:p>
      <w:pPr>
        <w:pStyle w:val="BodyText"/>
        <w:spacing w:line="480" w:lineRule="auto"/>
        <w:ind w:firstLine="720"/>
      </w:pPr>
      <w:r>
        <w:t xml:space="preserve">The elasticity surfaces negative. Read plainly, it says older documents in this pool bear fewer citations-plus-one than younger ones, which flips the ordinary buildup forecast that regard climbs with the time a document has had to gather it</w:t>
      </w:r>
      <w:r>
        <w:t xml:space="preserve"> </w:t>
      </w:r>
      <w:hyperlink w:anchor="ref-8">
        <w:r>
          <w:rPr>
            <w:rStyle w:val="Hyperlink"/>
          </w:rPr>
          <w:t xml:space="preserve">[8]</w:t>
        </w:r>
      </w:hyperlink>
      <w:r>
        <w:t xml:space="preserve">. The progress ratio under one repeats the same point: as age doubles, forecast citations grow by a multiple below one rather than above. That shape is just what the sample’s outlier makeup would throw, since the lone heavily cited entry is not the oldest, and the oldest entries go largely uncited, so the age axis and the citation axis strain apart rather than together</w:t>
      </w:r>
      <w:r>
        <w:t xml:space="preserve"> </w:t>
      </w:r>
      <w:hyperlink w:anchor="ref-5">
        <w:r>
          <w:rPr>
            <w:rStyle w:val="Hyperlink"/>
          </w:rPr>
          <w:t xml:space="preserve">[5]</w:t>
        </w:r>
      </w:hyperlink>
      <w:r>
        <w:t xml:space="preserve">.</w:t>
      </w:r>
    </w:p>
    <w:p>
      <w:pPr>
        <w:pStyle w:val="BodyText"/>
        <w:spacing w:line="480" w:lineRule="auto"/>
        <w:ind w:firstLine="720"/>
      </w:pPr>
      <w:r>
        <w:t xml:space="preserve">Sharpness, again, runs thin. The tilt’s p-value of 0.40719049123047335 means the negative elasticity cannot be pried from zero, and the R2 of 0.01580823726100844 backs up that age bears almost none of the swing in gathered regard. The intercept alone clears the bar, and all it manages is to place the curve’s height rather than sketch its shape. Paper 2, like Paper 1, fails to reject its null: reference buildup shows no gaugeable grip from article age in this corpus</w:t>
      </w:r>
      <w:r>
        <w:t xml:space="preserve"> </w:t>
      </w:r>
      <w:hyperlink w:anchor="ref-8">
        <w:r>
          <w:rPr>
            <w:rStyle w:val="Hyperlink"/>
          </w:rPr>
          <w:t xml:space="preserve">[8]</w:t>
        </w:r>
      </w:hyperlink>
      <w:r>
        <w:t xml:space="preserve">.</w:t>
      </w:r>
    </w:p>
    <w:bookmarkEnd w:id="123"/>
    <w:bookmarkStart w:id="124" w:name="reading-the-two-results-together"/>
    <w:p>
      <w:pPr>
        <w:pStyle w:val="Heading2"/>
        <w:spacing w:line="480" w:lineRule="auto"/>
      </w:pPr>
      <w:r>
        <w:t xml:space="preserve">6.3 Reading the two results together</w:t>
      </w:r>
    </w:p>
    <w:p>
      <w:pPr>
        <w:pStyle w:val="FirstParagraph"/>
        <w:spacing w:line="480" w:lineRule="auto"/>
      </w:pPr>
      <w:r>
        <w:t xml:space="preserve">The two sifts land together, and that meeting is the finding. Neither the still-frame model nor the buildup model pulls out a signal the eye can part from noise. Over recency, citation regard, outlet family, and age, what a search returns does not carry the uneven-pollution subject with enough order to be lifted off the record’s face</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meeting counts because the two models probe crosswise structure. Paper 1 asked whether thematic thickness lines up across the regard dimensions at one instant; Paper 2 asked whether regard gathers with age. A signal in one but not the other would have fixed where the corpus holds information. Their joint weakness bars that door: the null holds along both axes, and the honest reading is that this corpus, as pulled, bears no gaugeable responsibility signal</w:t>
      </w:r>
      <w:r>
        <w:t xml:space="preserve"> </w:t>
      </w:r>
      <w:hyperlink w:anchor="ref-7">
        <w:r>
          <w:rPr>
            <w:rStyle w:val="Hyperlink"/>
          </w:rPr>
          <w:t xml:space="preserve">[7]</w:t>
        </w:r>
      </w:hyperlink>
      <w:r>
        <w:t xml:space="preserve">.</w:t>
      </w:r>
    </w:p>
    <w:p>
      <w:pPr>
        <w:pStyle w:val="BodyText"/>
        <w:spacing w:line="480" w:lineRule="auto"/>
        <w:ind w:firstLine="720"/>
      </w:pPr>
      <w:r>
        <w:t xml:space="preserve">Two traits of the data account for the result without saving the hypotheses. The outcome spread runs squeezed, most entries at the floor, which by build caps how much scatter any predictor can soak up</w:t>
      </w:r>
      <w:r>
        <w:t xml:space="preserve"> </w:t>
      </w:r>
      <w:hyperlink w:anchor="ref-3">
        <w:r>
          <w:rPr>
            <w:rStyle w:val="Hyperlink"/>
          </w:rPr>
          <w:t xml:space="preserve">[3]</w:t>
        </w:r>
      </w:hyperlink>
      <w:r>
        <w:t xml:space="preserve">. And the citation field lies under one high-count outlier whose age cuts against the buildup forecast, so the single entry with real regard mass shoves the elasticity negative rather than positive</w:t>
      </w:r>
      <w:r>
        <w:t xml:space="preserve"> </w:t>
      </w:r>
      <w:hyperlink w:anchor="ref-5">
        <w:r>
          <w:rPr>
            <w:rStyle w:val="Hyperlink"/>
          </w:rPr>
          <w:t xml:space="preserve">[5]</w:t>
        </w:r>
      </w:hyperlink>
      <w:r>
        <w:t xml:space="preserve"> </w:t>
      </w:r>
      <w:hyperlink w:anchor="ref-8">
        <w:r>
          <w:rPr>
            <w:rStyle w:val="Hyperlink"/>
          </w:rPr>
          <w:t xml:space="preserve">[8]</w:t>
        </w:r>
      </w:hyperlink>
      <w:r>
        <w:t xml:space="preserve">. Both traits are marks of a thin, mixed pool, and both stand filed in Chapter 5 rather than turned up here.</w:t>
      </w:r>
    </w:p>
    <w:p>
      <w:pPr>
        <w:pStyle w:val="BodyText"/>
        <w:spacing w:line="480" w:lineRule="auto"/>
        <w:ind w:firstLine="720"/>
      </w:pPr>
      <w:r>
        <w:t xml:space="preserve">So the result is no breakdown of the design but a yield of it. The models were built to force a pick between an ordered corpus and an orderless one, and they threw back the orderless verdict with two apart tests in accord. Chapter 7 picks up what that verdict means for the responsibility claim, and what it says about where the evidence for uneven pollution would have to be hunted instead</w:t>
      </w:r>
      <w:r>
        <w:t xml:space="preserve"> </w:t>
      </w:r>
      <w:hyperlink w:anchor="ref-4">
        <w:r>
          <w:rPr>
            <w:rStyle w:val="Hyperlink"/>
          </w:rPr>
          <w:t xml:space="preserve">[4]</w:t>
        </w:r>
      </w:hyperlink>
      <w:r>
        <w:t xml:space="preserve"> </w:t>
      </w:r>
      <w:hyperlink w:anchor="ref-16">
        <w:r>
          <w:rPr>
            <w:rStyle w:val="Hyperlink"/>
          </w:rPr>
          <w:t xml:space="preserve">[16]</w:t>
        </w:r>
      </w:hyperlink>
      <w:r>
        <w:t xml:space="preserve">.</w:t>
      </w:r>
    </w:p>
    <w:bookmarkEnd w:id="124"/>
    <w:bookmarkStart w:id="125" w:name="Xb9f65d57fb82ce8af0fc45d98e2af38d9406571"/>
    <w:p>
      <w:pPr>
        <w:pStyle w:val="Heading2"/>
        <w:spacing w:line="480" w:lineRule="auto"/>
      </w:pPr>
      <w:r>
        <w:t xml:space="preserve">6.4 The fit statistics read against the announced standard</w:t>
      </w:r>
    </w:p>
    <w:p>
      <w:pPr>
        <w:pStyle w:val="FirstParagraph"/>
        <w:spacing w:line="480" w:lineRule="auto"/>
      </w:pPr>
      <w:r>
        <w:t xml:space="preserve">Circling back to the fit numbers with the pre-set proof standard held square in view earns the effort, because that standard is what turns a batch of figures into a verdict. Paper 1 filed an R2 of 0.013859669005444109 against an adjusted R2 of -0.09992575380162005, an F-statistic of 0.8493829451312322 at a p-value of 0.4795469500391356 on N = 30</w:t>
      </w:r>
      <w:r>
        <w:t xml:space="preserve"> </w:t>
      </w:r>
      <w:hyperlink w:anchor="ref-3">
        <w:r>
          <w:rPr>
            <w:rStyle w:val="Hyperlink"/>
          </w:rPr>
          <w:t xml:space="preserve">[3]</w:t>
        </w:r>
      </w:hyperlink>
      <w:r>
        <w:t xml:space="preserve">. Under the rule that a model rates as informative only when its fit clears what its parameter count would win by luck, this model misses the bar. The negative adjusted R2 is the clinching figure: it files that the three predictors together, docked for the degrees of freedom they burn, leave the corpus less accounted-for than an intercept-only baseline would. The joint F-test seconds the reading, since a p-value near one half hands no footing to reject that all three tilts sit jointly at zero</w:t>
      </w:r>
      <w:r>
        <w:t xml:space="preserve"> </w:t>
      </w:r>
      <w:hyperlink w:anchor="ref-8">
        <w:r>
          <w:rPr>
            <w:rStyle w:val="Hyperlink"/>
          </w:rPr>
          <w:t xml:space="preserve">[8]</w:t>
        </w:r>
      </w:hyperlink>
      <w:r>
        <w:t xml:space="preserve">.</w:t>
      </w:r>
    </w:p>
    <w:p>
      <w:pPr>
        <w:pStyle w:val="BodyText"/>
        <w:spacing w:line="480" w:lineRule="auto"/>
        <w:ind w:firstLine="720"/>
      </w:pPr>
      <w:r>
        <w:t xml:space="preserve">Paper 2 tells one story through a different fit. Its R2 of 0.01580823726100844 on N = 30 means the age axis marshals scarcely over one and a half percent of the swing in log citations-plus-one, and the tilt’s p-value of 0.40719049123047335 sets the elasticity well past any usual rejection zone</w:t>
      </w:r>
      <w:r>
        <w:t xml:space="preserve"> </w:t>
      </w:r>
      <w:hyperlink w:anchor="ref-5">
        <w:r>
          <w:rPr>
            <w:rStyle w:val="Hyperlink"/>
          </w:rPr>
          <w:t xml:space="preserve">[5]</w:t>
        </w:r>
      </w:hyperlink>
      <w:r>
        <w:t xml:space="preserve">. The sole term in either model to clear the bar is an intercept, 1.2720576767041671 at p = 0.008944010022277498 in Paper 1 and 1.1050752607821357 at p = 0.02477771215918421 in Paper 2, and an intercept places a curve without sketching its shape</w:t>
      </w:r>
      <w:r>
        <w:t xml:space="preserve"> </w:t>
      </w:r>
      <w:hyperlink w:anchor="ref-8">
        <w:r>
          <w:rPr>
            <w:rStyle w:val="Hyperlink"/>
          </w:rPr>
          <w:t xml:space="preserve">[8]</w:t>
        </w:r>
      </w:hyperlink>
      <w:r>
        <w:t xml:space="preserve">. A cleared intercept alongside uncleared tilts is the statistical signature of a model that has found the data’s height but none of its order, which is exactly the verdict the pre-set standard was built to hand over honestly.</w:t>
      </w:r>
    </w:p>
    <w:bookmarkEnd w:id="125"/>
    <w:bookmarkStart w:id="126" w:name="magnitudes-in-substantive-terms"/>
    <w:p>
      <w:pPr>
        <w:pStyle w:val="Heading2"/>
        <w:spacing w:line="480" w:lineRule="auto"/>
      </w:pPr>
      <w:r>
        <w:t xml:space="preserve">6.5 Magnitudes in substantive terms</w:t>
      </w:r>
    </w:p>
    <w:p>
      <w:pPr>
        <w:pStyle w:val="FirstParagraph"/>
        <w:spacing w:line="480" w:lineRule="auto"/>
      </w:pPr>
      <w:r>
        <w:t xml:space="preserve">Sharpness set aside, rendering the point estimates into the substantive units the hypotheses named teaches something, because doing so shows the ties come out small even taken at face value. The recency tilt of 0.02167497474295261 works out to this: sliding a whole decade later in publication time, ten notches on the recency index, would lift the forecast topic-signal score by about 0.22, hardly a fifth of one point on a scale whose floor is one and whose typical value is one</w:t>
      </w:r>
      <w:r>
        <w:t xml:space="preserve"> </w:t>
      </w:r>
      <w:hyperlink w:anchor="ref-3">
        <w:r>
          <w:rPr>
            <w:rStyle w:val="Hyperlink"/>
          </w:rPr>
          <w:t xml:space="preserve">[3]</w:t>
        </w:r>
      </w:hyperlink>
      <w:r>
        <w:t xml:space="preserve">. The outlet tilt of 0.021319886248123296 works out to an even dimmer nudge of roughly that same size per rung up the three-rung outlet ladder, a move drowned by the entry-to-entry noise the standard errors already flag as wide</w:t>
      </w:r>
      <w:r>
        <w:t xml:space="preserve"> </w:t>
      </w:r>
      <w:hyperlink w:anchor="ref-16">
        <w:r>
          <w:rPr>
            <w:rStyle w:val="Hyperlink"/>
          </w:rPr>
          <w:t xml:space="preserve">[16]</w:t>
        </w:r>
      </w:hyperlink>
      <w:r>
        <w:t xml:space="preserve">. The citation tilt of -0.002440595442287303 works out to a hundred extra citations dropping the forecast score by about a quarter point, a heading opposite the forecast and a size only the lone high-count outlier lends any grip to gauge</w:t>
      </w:r>
      <w:r>
        <w:t xml:space="preserve"> </w:t>
      </w:r>
      <w:hyperlink w:anchor="ref-8">
        <w:r>
          <w:rPr>
            <w:rStyle w:val="Hyperlink"/>
          </w:rPr>
          <w:t xml:space="preserve">[8]</w:t>
        </w:r>
      </w:hyperlink>
      <w:r>
        <w:t xml:space="preserve">.</w:t>
      </w:r>
    </w:p>
    <w:p>
      <w:pPr>
        <w:pStyle w:val="BodyText"/>
        <w:spacing w:line="480" w:lineRule="auto"/>
        <w:ind w:firstLine="720"/>
      </w:pPr>
      <w:r>
        <w:t xml:space="preserve">Once unpacked, the learning-curve size runs modest too. An elasticity of -0.24517216707683273 with a progress ratio of 0.8437151035881119 says that as a document’s age doubles, its forecast citations-plus-one grow by a multiple near 0.84, a slight slide rather than the multiplying climb the buildup forecast looked for</w:t>
      </w:r>
      <w:r>
        <w:t xml:space="preserve"> </w:t>
      </w:r>
      <w:hyperlink w:anchor="ref-5">
        <w:r>
          <w:rPr>
            <w:rStyle w:val="Hyperlink"/>
          </w:rPr>
          <w:t xml:space="preserve">[5]</w:t>
        </w:r>
      </w:hyperlink>
      <w:r>
        <w:t xml:space="preserve">. Read for substance, not one of these sizes runs big enough to bear a governance claim even ahead of weighing their blur, and their blur strikes them from the running outright. The point is not merely that the coefficients miss a bar; it is that their central estimates, taken as though sharp, sketch ties too faint to weigh on the responsibility question the dissertation set</w:t>
      </w:r>
      <w:r>
        <w:t xml:space="preserve"> </w:t>
      </w:r>
      <w:hyperlink w:anchor="ref-4">
        <w:r>
          <w:rPr>
            <w:rStyle w:val="Hyperlink"/>
          </w:rPr>
          <w:t xml:space="preserve">[4]</w:t>
        </w:r>
      </w:hyperlink>
      <w:r>
        <w:t xml:space="preserve">.</w:t>
      </w:r>
    </w:p>
    <w:bookmarkEnd w:id="126"/>
    <w:bookmarkStart w:id="127" w:name="what-a-signal-would-have-looked-like"/>
    <w:p>
      <w:pPr>
        <w:pStyle w:val="Heading2"/>
        <w:spacing w:line="480" w:lineRule="auto"/>
      </w:pPr>
      <w:r>
        <w:t xml:space="preserve">6.6 What a signal would have looked like</w:t>
      </w:r>
    </w:p>
    <w:p>
      <w:pPr>
        <w:pStyle w:val="FirstParagraph"/>
        <w:spacing w:line="480" w:lineRule="auto"/>
      </w:pPr>
      <w:r>
        <w:t xml:space="preserve">To catch the null cleanly it helps to sketch the counterfactual result the mechanism forecast, since the gulf between that forecast and the seen output is the meat of the finding. Had the field gathered around uneven pollution the way Chapter 3 supposed, Paper 1 would have thrown a positive and sharp recency tilt, a positive and sharp citation tilt, an adjusted R2 well over zero, and a joint F-test clearing the bar, so a reader could say the subject’s thickness rose gaugeably with the field’s fresh regard and stacked citation weight</w:t>
      </w:r>
      <w:r>
        <w:t xml:space="preserve"> </w:t>
      </w:r>
      <w:hyperlink w:anchor="ref-3">
        <w:r>
          <w:rPr>
            <w:rStyle w:val="Hyperlink"/>
          </w:rPr>
          <w:t xml:space="preserve">[3]</w:t>
        </w:r>
      </w:hyperlink>
      <w:r>
        <w:t xml:space="preserve"> </w:t>
      </w:r>
      <w:hyperlink w:anchor="ref-8">
        <w:r>
          <w:rPr>
            <w:rStyle w:val="Hyperlink"/>
          </w:rPr>
          <w:t xml:space="preserve">[8]</w:t>
        </w:r>
      </w:hyperlink>
      <w:r>
        <w:t xml:space="preserve">. Paper 2 would have thrown a positive age elasticity and a progress ratio over one, so older documents bore the heavier citation loads the ordinary aging of regard yields</w:t>
      </w:r>
      <w:r>
        <w:t xml:space="preserve"> </w:t>
      </w:r>
      <w:hyperlink w:anchor="ref-8">
        <w:r>
          <w:rPr>
            <w:rStyle w:val="Hyperlink"/>
          </w:rPr>
          <w:t xml:space="preserve">[8]</w:t>
        </w:r>
      </w:hyperlink>
      <w:r>
        <w:t xml:space="preserve">.</w:t>
      </w:r>
    </w:p>
    <w:p>
      <w:pPr>
        <w:pStyle w:val="BodyText"/>
        <w:spacing w:line="480" w:lineRule="auto"/>
        <w:ind w:firstLine="720"/>
      </w:pPr>
      <w:r>
        <w:t xml:space="preserve">The seen output matches not a piece of this. Recency tilts positive but blurry, citation tilts negative and blurry, outlet lies flat, the fit sits below luck, and the buildup elasticity comes out negative with a progress ratio under one</w:t>
      </w:r>
      <w:r>
        <w:t xml:space="preserve"> </w:t>
      </w:r>
      <w:hyperlink w:anchor="ref-5">
        <w:r>
          <w:rPr>
            <w:rStyle w:val="Hyperlink"/>
          </w:rPr>
          <w:t xml:space="preserve">[5]</w:t>
        </w:r>
      </w:hyperlink>
      <w:r>
        <w:t xml:space="preserve"> </w:t>
      </w:r>
      <w:hyperlink w:anchor="ref-16">
        <w:r>
          <w:rPr>
            <w:rStyle w:val="Hyperlink"/>
          </w:rPr>
          <w:t xml:space="preserve">[16]</w:t>
        </w:r>
      </w:hyperlink>
      <w:r>
        <w:t xml:space="preserve">. Every axis on which the mechanism forecast order threw back either the wrong sign or an estimate one with zero, and the two models agreed on that verdict from crosswise angles. The gulf between the forecast signal and the seen noise is no matter of degree; it is the split between a corpus that carries the subject on its face and one that does not, and the data drop plainly on the second side</w:t>
      </w:r>
      <w:r>
        <w:t xml:space="preserve"> </w:t>
      </w:r>
      <w:hyperlink w:anchor="ref-4">
        <w:r>
          <w:rPr>
            <w:rStyle w:val="Hyperlink"/>
          </w:rPr>
          <w:t xml:space="preserve">[4]</w:t>
        </w:r>
      </w:hyperlink>
      <w:r>
        <w:t xml:space="preserve">. That is the result Chapter 7 must now read without either puffing it into a claim the numbers cannot hold or waving it off as the bare output of a botched exercise.</w:t>
      </w:r>
    </w:p>
    <w:bookmarkEnd w:id="127"/>
    <w:bookmarkStart w:id="128" w:name="X17143e950b505a86d3eeef299b5303194145d85"/>
    <w:p>
      <w:pPr>
        <w:pStyle w:val="Heading2"/>
        <w:spacing w:line="480" w:lineRule="auto"/>
      </w:pPr>
      <w:r>
        <w:t xml:space="preserve">6.7 The three slopes in relation to one another</w:t>
      </w:r>
    </w:p>
    <w:p>
      <w:pPr>
        <w:pStyle w:val="FirstParagraph"/>
        <w:spacing w:line="480" w:lineRule="auto"/>
      </w:pPr>
      <w:r>
        <w:t xml:space="preserve">Reading the three Paper 1 tilts as a set, rather than one by one, hones the picture of a corpus lacking order. The recency tilt of 0.02167497474295261 and the outlet tilt of 0.021319886248123296 run nearly twin in size, both small and both positive, and still their p-values, 0.5730516906049534 for recency and 0.9470005651791052 for outlet, split far enough to show that near-twin point estimates hold wildly different loads of information</w:t>
      </w:r>
      <w:r>
        <w:t xml:space="preserve"> </w:t>
      </w:r>
      <w:hyperlink w:anchor="ref-3">
        <w:r>
          <w:rPr>
            <w:rStyle w:val="Hyperlink"/>
          </w:rPr>
          <w:t xml:space="preserve">[3]</w:t>
        </w:r>
      </w:hyperlink>
      <w:r>
        <w:t xml:space="preserve"> </w:t>
      </w:r>
      <w:hyperlink w:anchor="ref-16">
        <w:r>
          <w:rPr>
            <w:rStyle w:val="Hyperlink"/>
          </w:rPr>
          <w:t xml:space="preserve">[16]</w:t>
        </w:r>
      </w:hyperlink>
      <w:r>
        <w:t xml:space="preserve">. The outlet term is the emptiest in the model, its p-value perched almost at one, which says the data hand essentially no footing for parting its tilt from zero. The recency term, itself uncleared, at least tilts the way the mechanism forecast, and its slighter p-value marks it as the axis a fatter corpus would most repay re-testing</w:t>
      </w:r>
      <w:r>
        <w:t xml:space="preserve"> </w:t>
      </w:r>
      <w:hyperlink w:anchor="ref-8">
        <w:r>
          <w:rPr>
            <w:rStyle w:val="Hyperlink"/>
          </w:rPr>
          <w:t xml:space="preserve">[8]</w:t>
        </w:r>
      </w:hyperlink>
      <w:r>
        <w:t xml:space="preserve">.</w:t>
      </w:r>
    </w:p>
    <w:p>
      <w:pPr>
        <w:pStyle w:val="BodyText"/>
        <w:spacing w:line="480" w:lineRule="auto"/>
        <w:ind w:firstLine="720"/>
      </w:pPr>
      <w:r>
        <w:t xml:space="preserve">The citation tilt sits apart from both, and its stance is the most reading-loaded of the three. At -0.002440595442287303 with a p-value of 0.22984234444151752, it is the only tilt aimed against its forecast while at once drawing nearest the usual bar of the three</w:t>
      </w:r>
      <w:r>
        <w:t xml:space="preserve"> </w:t>
      </w:r>
      <w:hyperlink w:anchor="ref-8">
        <w:r>
          <w:rPr>
            <w:rStyle w:val="Hyperlink"/>
          </w:rPr>
          <w:t xml:space="preserve">[8]</w:t>
        </w:r>
      </w:hyperlink>
      <w:r>
        <w:t xml:space="preserve">. That pairing is a snare for the careless reader, because a tilt both wrong-aimed and relatively sharp can wear the look of a discovery, a backward bond between citation regard and thematic thickness. The disciplined reading shrugs off that tug. A p-value over 0.22 hands no leave to treat the sign as real, and the tilt’s relative sharpness is a relic of the lone high-citation entry that lends the citation axis nearly all its grip</w:t>
      </w:r>
      <w:r>
        <w:t xml:space="preserve"> </w:t>
      </w:r>
      <w:hyperlink w:anchor="ref-5">
        <w:r>
          <w:rPr>
            <w:rStyle w:val="Hyperlink"/>
          </w:rPr>
          <w:t xml:space="preserve">[5]</w:t>
        </w:r>
      </w:hyperlink>
      <w:r>
        <w:t xml:space="preserve">. Read as a set, the three tilts sketch not an ordered corpus with one startling axis but an orderless one where the axis holding the most grip happens to aim the wrong way for a reason the data’s shape wholly accounts for</w:t>
      </w:r>
      <w:r>
        <w:t xml:space="preserve"> </w:t>
      </w:r>
      <w:hyperlink w:anchor="ref-3">
        <w:r>
          <w:rPr>
            <w:rStyle w:val="Hyperlink"/>
          </w:rPr>
          <w:t xml:space="preserve">[3]</w:t>
        </w:r>
      </w:hyperlink>
      <w:r>
        <w:t xml:space="preserve">.</w:t>
      </w:r>
    </w:p>
    <w:bookmarkEnd w:id="128"/>
    <w:bookmarkStart w:id="129" w:name="X61e5ea7ebabf46acb9d6d39534251706dd812ca"/>
    <w:p>
      <w:pPr>
        <w:pStyle w:val="Heading2"/>
        <w:spacing w:line="480" w:lineRule="auto"/>
      </w:pPr>
      <w:r>
        <w:t xml:space="preserve">6.8 The learning curve against a naive accumulation baseline</w:t>
      </w:r>
    </w:p>
    <w:p>
      <w:pPr>
        <w:pStyle w:val="FirstParagraph"/>
        <w:spacing w:line="480" w:lineRule="auto"/>
      </w:pPr>
      <w:r>
        <w:t xml:space="preserve">The learning-curve result takes on meaning against the naive baseline it was built to try. Ordinary buildup holds that citations climb steadily with the time a document has had to gather them, which in the log-log shape would show as a positive elasticity and a progress ratio over one</w:t>
      </w:r>
      <w:r>
        <w:t xml:space="preserve"> </w:t>
      </w:r>
      <w:hyperlink w:anchor="ref-8">
        <w:r>
          <w:rPr>
            <w:rStyle w:val="Hyperlink"/>
          </w:rPr>
          <w:t xml:space="preserve">[8]</w:t>
        </w:r>
      </w:hyperlink>
      <w:r>
        <w:t xml:space="preserve">. The gauged elasticity of -0.24517216707683273 and progress ratio of 0.8437151035881119 flip that baseline, and the flip is the telling part, not because it proves decay but because it lays bare what a thin outlier-run pool does to a stock buildup model</w:t>
      </w:r>
      <w:r>
        <w:t xml:space="preserve"> </w:t>
      </w:r>
      <w:hyperlink w:anchor="ref-5">
        <w:r>
          <w:rPr>
            <w:rStyle w:val="Hyperlink"/>
          </w:rPr>
          <w:t xml:space="preserve">[5]</w:t>
        </w:r>
      </w:hyperlink>
      <w:r>
        <w:t xml:space="preserve">.</w:t>
      </w:r>
    </w:p>
    <w:p>
      <w:pPr>
        <w:pStyle w:val="BodyText"/>
        <w:spacing w:line="480" w:lineRule="auto"/>
        <w:ind w:firstLine="720"/>
      </w:pPr>
      <w:r>
        <w:t xml:space="preserve">The workings of the flip repay a precise telling, because it is a trait of the sample rather than of the field. The lone 2019 article bearing one hundred seventy citations is not among the oldest entries, so the observation holding by far the most citation mass parks at a middling age, while the oldest entries go largely uncited</w:t>
      </w:r>
      <w:r>
        <w:t xml:space="preserve"> </w:t>
      </w:r>
      <w:hyperlink w:anchor="ref-8">
        <w:r>
          <w:rPr>
            <w:rStyle w:val="Hyperlink"/>
          </w:rPr>
          <w:t xml:space="preserve">[8]</w:t>
        </w:r>
      </w:hyperlink>
      <w:r>
        <w:t xml:space="preserve">. A buildup model reads that layout as regard falling with age, because the young-to-middle entries hold the mass and the old ones hold nearly none. The R2 of 0.01580823726100844 backs up that age marshals nearly none of the swing regardless, and the tilt’s p-value of 0.40719049123047335 backs up that the negative elasticity cannot be pried from zero</w:t>
      </w:r>
      <w:r>
        <w:t xml:space="preserve"> </w:t>
      </w:r>
      <w:hyperlink w:anchor="ref-5">
        <w:r>
          <w:rPr>
            <w:rStyle w:val="Hyperlink"/>
          </w:rPr>
          <w:t xml:space="preserve">[5]</w:t>
        </w:r>
      </w:hyperlink>
      <w:r>
        <w:t xml:space="preserve">. The curve, in short, does not sketch how this literature ages. It sketches what unfolds when a learning-curve model meets a thirty-record pool with one ruling, middle-aged outlier, and that is a caution about the data rather than a finding about the field</w:t>
      </w:r>
      <w:r>
        <w:t xml:space="preserve"> </w:t>
      </w:r>
      <w:hyperlink w:anchor="ref-8">
        <w:r>
          <w:rPr>
            <w:rStyle w:val="Hyperlink"/>
          </w:rPr>
          <w:t xml:space="preserve">[8]</w:t>
        </w:r>
      </w:hyperlink>
      <w:r>
        <w:t xml:space="preserve">.</w:t>
      </w:r>
    </w:p>
    <w:bookmarkEnd w:id="129"/>
    <w:bookmarkStart w:id="130" w:name="X27707d728c46c6823e6eac8cbb1aaff5ea68e25"/>
    <w:p>
      <w:pPr>
        <w:pStyle w:val="Heading2"/>
        <w:spacing w:line="480" w:lineRule="auto"/>
      </w:pPr>
      <w:r>
        <w:t xml:space="preserve">6.9 The convergent null as the chapter’s result</w:t>
      </w:r>
    </w:p>
    <w:p>
      <w:pPr>
        <w:pStyle w:val="FirstParagraph"/>
        <w:spacing w:line="480" w:lineRule="auto"/>
      </w:pPr>
      <w:r>
        <w:t xml:space="preserve">The chapter’s result is not either model on its own but their accord, and casting that accord as the substantive finding rather than a wrap-up of two apart ones earns the doing. Paper 1 asked whether thematic thickness lines up across recency, citation regard, and outlet at one instant, and threw back a fit below luck with no cleared tilt</w:t>
      </w:r>
      <w:r>
        <w:t xml:space="preserve"> </w:t>
      </w:r>
      <w:hyperlink w:anchor="ref-3">
        <w:r>
          <w:rPr>
            <w:rStyle w:val="Hyperlink"/>
          </w:rPr>
          <w:t xml:space="preserve">[3]</w:t>
        </w:r>
      </w:hyperlink>
      <w:r>
        <w:t xml:space="preserve">. Paper 2 asked whether citation regard gathers with age, and threw back an elasticity one with zero on a fit accounting for under two percent of the swing</w:t>
      </w:r>
      <w:r>
        <w:t xml:space="preserve"> </w:t>
      </w:r>
      <w:hyperlink w:anchor="ref-8">
        <w:r>
          <w:rPr>
            <w:rStyle w:val="Hyperlink"/>
          </w:rPr>
          <w:t xml:space="preserve">[8]</w:t>
        </w:r>
      </w:hyperlink>
      <w:r>
        <w:t xml:space="preserve">. The two models probe crosswise structure, so a signal in the corpus would have held two apart shots at surfacing, and it surfaced in neither.</w:t>
      </w:r>
    </w:p>
    <w:p>
      <w:pPr>
        <w:pStyle w:val="BodyText"/>
        <w:spacing w:line="480" w:lineRule="auto"/>
        <w:ind w:firstLine="720"/>
      </w:pPr>
      <w:r>
        <w:t xml:space="preserve">That accord is what one model could not have handed over, and it is why the design fired both. A weak result from one model could be shrugged off as one form’s blind spot; a weak result from two models built to catch different structure is far harder to lay on any single tool’s edge</w:t>
      </w:r>
      <w:r>
        <w:t xml:space="preserve"> </w:t>
      </w:r>
      <w:hyperlink w:anchor="ref-4">
        <w:r>
          <w:rPr>
            <w:rStyle w:val="Hyperlink"/>
          </w:rPr>
          <w:t xml:space="preserve">[4]</w:t>
        </w:r>
      </w:hyperlink>
      <w:r>
        <w:t xml:space="preserve"> </w:t>
      </w:r>
      <w:hyperlink w:anchor="ref-7">
        <w:r>
          <w:rPr>
            <w:rStyle w:val="Hyperlink"/>
          </w:rPr>
          <w:t xml:space="preserve">[7]</w:t>
        </w:r>
      </w:hyperlink>
      <w:r>
        <w:t xml:space="preserve">. The honest reading, borne into Chapter 7, is that this corpus as pulled does not carry the uneven-pollution subject with enough order to be lifted off its face, that the verdict holds along both the still-frame and the buildup axes, and that the two data traits most to blame, a floor-heavy outcome and a single off-line citation outlier, are filed marks of the sample rather than after-the-fact alibis for the result</w:t>
      </w:r>
      <w:r>
        <w:t xml:space="preserve"> </w:t>
      </w:r>
      <w:hyperlink w:anchor="ref-3">
        <w:r>
          <w:rPr>
            <w:rStyle w:val="Hyperlink"/>
          </w:rPr>
          <w:t xml:space="preserve">[3]</w:t>
        </w:r>
      </w:hyperlink>
      <w:r>
        <w:t xml:space="preserve"> </w:t>
      </w:r>
      <w:hyperlink w:anchor="ref-5">
        <w:r>
          <w:rPr>
            <w:rStyle w:val="Hyperlink"/>
          </w:rPr>
          <w:t xml:space="preserve">[5]</w:t>
        </w:r>
      </w:hyperlink>
      <w:r>
        <w:t xml:space="preserve">. The numbers are exactly what the workbooks threw, and read against the standard set ahead, they fail to reject either null</w:t>
      </w:r>
      <w:r>
        <w:t xml:space="preserve"> </w:t>
      </w:r>
      <w:hyperlink w:anchor="ref-16">
        <w:r>
          <w:rPr>
            <w:rStyle w:val="Hyperlink"/>
          </w:rPr>
          <w:t xml:space="preserve">[16]</w:t>
        </w:r>
      </w:hyperlink>
      <w:r>
        <w:t xml:space="preserve">.</w:t>
      </w:r>
    </w:p>
    <w:bookmarkEnd w:id="130"/>
    <w:bookmarkEnd w:id="131"/>
    <w:bookmarkStart w:id="143" w:name="chapter-7.-discussion-and-limitations"/>
    <w:p>
      <w:pPr>
        <w:pStyle w:val="Heading1"/>
        <w:spacing w:line="480" w:lineRule="auto"/>
      </w:pPr>
      <w:r>
        <w:t xml:space="preserve">Chapter 7. Discussion and Limitations</w:t>
      </w:r>
    </w:p>
    <w:p>
      <w:pPr>
        <w:pStyle w:val="FirstParagraph"/>
        <w:spacing w:line="480" w:lineRule="auto"/>
      </w:pPr>
      <w:r>
        <w:t xml:space="preserve">Both sifts came back empty. That is the result, and it is not a small one. This chapter treats that outcome with full weight, teasing out what it means for the responsibility claim, what jeopardizes the reasoning, and what the data plainly cannot reach. An empty result is no wall. It charts where the evidence is absent, and reading that chart with care beats wringing a signal out of a corpus that holds none</w:t>
      </w:r>
      <w:r>
        <w:t xml:space="preserve"> </w:t>
      </w:r>
      <w:hyperlink w:anchor="ref-4">
        <w:r>
          <w:rPr>
            <w:rStyle w:val="Hyperlink"/>
          </w:rPr>
          <w:t xml:space="preserve">[4]</w:t>
        </w:r>
      </w:hyperlink>
      <w:r>
        <w:t xml:space="preserve"> </w:t>
      </w:r>
      <w:hyperlink w:anchor="ref-7">
        <w:r>
          <w:rPr>
            <w:rStyle w:val="Hyperlink"/>
          </w:rPr>
          <w:t xml:space="preserve">[7]</w:t>
        </w:r>
      </w:hyperlink>
      <w:r>
        <w:t xml:space="preserve">.</w:t>
      </w:r>
    </w:p>
    <w:bookmarkStart w:id="132" w:name="what-the-null-does-and-does-not-say"/>
    <w:p>
      <w:pPr>
        <w:pStyle w:val="Heading2"/>
        <w:spacing w:line="480" w:lineRule="auto"/>
      </w:pPr>
      <w:r>
        <w:t xml:space="preserve">7.1 What the null does and does not say</w:t>
      </w:r>
    </w:p>
    <w:p>
      <w:pPr>
        <w:pStyle w:val="FirstParagraph"/>
        <w:spacing w:line="480" w:lineRule="auto"/>
      </w:pPr>
      <w:r>
        <w:t xml:space="preserve">Its reach is exact. What it holds is that inside the thirty-record corpus, as pulled, the uneven-pollution topic signal carries no gaugeable order across recency, citation regard, outlet family, or article age</w:t>
      </w:r>
      <w:r>
        <w:t xml:space="preserve"> </w:t>
      </w:r>
      <w:hyperlink w:anchor="ref-3">
        <w:r>
          <w:rPr>
            <w:rStyle w:val="Hyperlink"/>
          </w:rPr>
          <w:t xml:space="preserve">[3]</w:t>
        </w:r>
      </w:hyperlink>
      <w:r>
        <w:t xml:space="preserve"> </w:t>
      </w:r>
      <w:hyperlink w:anchor="ref-8">
        <w:r>
          <w:rPr>
            <w:rStyle w:val="Hyperlink"/>
          </w:rPr>
          <w:t xml:space="preserve">[8]</w:t>
        </w:r>
      </w:hyperlink>
      <w:r>
        <w:t xml:space="preserve">. What it withholds is any verdict that uneven pollution is false. As a matter of physical origin the debris population varies widely, and no bibliometric sift could unseat that</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stretch between those two holdings is the crux. A responsibility reality can be real while staying dark to a metadata sift, because the order encoding it dwells beneath the searchable face, down in full texts, in tracking catalogs, and in the launch records tying objects to operators</w:t>
      </w:r>
      <w:r>
        <w:t xml:space="preserve"> </w:t>
      </w:r>
      <w:hyperlink w:anchor="ref-3">
        <w:r>
          <w:rPr>
            <w:rStyle w:val="Hyperlink"/>
          </w:rPr>
          <w:t xml:space="preserve">[3]</w:t>
        </w:r>
      </w:hyperlink>
      <w:r>
        <w:t xml:space="preserve">. The sift tried one reachable layer and found it thin. That is evidence about the layer, not about the world below it.</w:t>
      </w:r>
    </w:p>
    <w:p>
      <w:pPr>
        <w:pStyle w:val="BodyText"/>
        <w:spacing w:line="480" w:lineRule="auto"/>
        <w:ind w:firstLine="720"/>
      </w:pPr>
      <w:r>
        <w:t xml:space="preserve">Run through Chapter 3’s mechanism, the result places the trouble. Had the field gathered around responsibility, the corpus would carry it, and it does not. Either the field has yet to firm up around the subject, or it firmed up somewhere the metadata skips</w:t>
      </w:r>
      <w:r>
        <w:t xml:space="preserve"> </w:t>
      </w:r>
      <w:hyperlink w:anchor="ref-7">
        <w:r>
          <w:rPr>
            <w:rStyle w:val="Hyperlink"/>
          </w:rPr>
          <w:t xml:space="preserve">[7]</w:t>
        </w:r>
      </w:hyperlink>
      <w:r>
        <w:t xml:space="preserve">. Both readings steer the next study off surface bibliometrics and onto direct full-text coding, and that steering is the constructive freight of an empty result.</w:t>
      </w:r>
    </w:p>
    <w:bookmarkEnd w:id="132"/>
    <w:bookmarkStart w:id="133" w:name="threats-to-validity"/>
    <w:p>
      <w:pPr>
        <w:pStyle w:val="Heading2"/>
        <w:spacing w:line="480" w:lineRule="auto"/>
      </w:pPr>
      <w:r>
        <w:t xml:space="preserve">7.2 Threats to validity</w:t>
      </w:r>
    </w:p>
    <w:p>
      <w:pPr>
        <w:pStyle w:val="FirstParagraph"/>
        <w:spacing w:line="480" w:lineRule="auto"/>
      </w:pPr>
      <w:r>
        <w:t xml:space="preserve">A handful of threats sit ahead of the model and cannot be netted out by it. Owning them is part of the design’s candor.</w:t>
      </w:r>
    </w:p>
    <w:p>
      <w:pPr>
        <w:pStyle w:val="BodyText"/>
        <w:spacing w:line="480" w:lineRule="auto"/>
        <w:ind w:firstLine="720"/>
      </w:pPr>
      <w:r>
        <w:t xml:space="preserve">Who got pulled in comes first. A candidate-specific pull, not a random draw from the population of fitting documents, gathered the thirty records, so the corpus mirrors the pull as much as the field</w:t>
      </w:r>
      <w:r>
        <w:t xml:space="preserve"> </w:t>
      </w:r>
      <w:hyperlink w:anchor="ref-3">
        <w:r>
          <w:rPr>
            <w:rStyle w:val="Hyperlink"/>
          </w:rPr>
          <w:t xml:space="preserve">[3]</w:t>
        </w:r>
      </w:hyperlink>
      <w:r>
        <w:t xml:space="preserve">. A different pull could throw a different signal, and the null hangs on this corpus. The design blunts this by keeping the source column, which lets a reader see just which documents drove the result, though it cannot cut the reliance on the pull.</w:t>
      </w:r>
    </w:p>
    <w:p>
      <w:pPr>
        <w:pStyle w:val="BodyText"/>
        <w:spacing w:line="480" w:lineRule="auto"/>
        <w:ind w:firstLine="720"/>
      </w:pPr>
      <w:r>
        <w:t xml:space="preserve">Blunt gauging comes second. Outlet family sits on a three-notch graded scale that packs real institutional range into a blunt tool, and reading that scale as though its notches held equal spans would oversell what the outlet coefficient can bear</w:t>
      </w:r>
      <w:r>
        <w:t xml:space="preserve"> </w:t>
      </w:r>
      <w:hyperlink w:anchor="ref-16">
        <w:r>
          <w:rPr>
            <w:rStyle w:val="Hyperlink"/>
          </w:rPr>
          <w:t xml:space="preserve">[16]</w:t>
        </w:r>
      </w:hyperlink>
      <w:r>
        <w:t xml:space="preserve">. Reference tallies are local-index gauges rather than universal counts, so they file regard as one system tallied it, and an entry uncited in this index may draw citations elsewhere</w:t>
      </w:r>
      <w:r>
        <w:t xml:space="preserve"> </w:t>
      </w:r>
      <w:hyperlink w:anchor="ref-5">
        <w:r>
          <w:rPr>
            <w:rStyle w:val="Hyperlink"/>
          </w:rPr>
          <w:t xml:space="preserve">[5]</w:t>
        </w:r>
      </w:hyperlink>
      <w:r>
        <w:t xml:space="preserve">. What the data offer forced both calls, and both widen the band of doubt around the estimates.</w:t>
      </w:r>
    </w:p>
    <w:p>
      <w:pPr>
        <w:pStyle w:val="BodyText"/>
        <w:spacing w:line="480" w:lineRule="auto"/>
        <w:ind w:firstLine="720"/>
      </w:pPr>
      <w:r>
        <w:t xml:space="preserve">The outcome spread comes third. Most entries park at the topic-signal floor, which by build caps soaked-up scatter whether or not a real tie exists</w:t>
      </w:r>
      <w:r>
        <w:t xml:space="preserve"> </w:t>
      </w:r>
      <w:hyperlink w:anchor="ref-3">
        <w:r>
          <w:rPr>
            <w:rStyle w:val="Hyperlink"/>
          </w:rPr>
          <w:t xml:space="preserve">[3]</w:t>
        </w:r>
      </w:hyperlink>
      <w:r>
        <w:t xml:space="preserve">. A squeezed outcome makes any regression cautious, and it means the null could in principle mask a slight true signal a finer outcome gauge would surface. The honest stance is that the sift ran thin on power, and an empty result under thin power is softer evidence than one under ample power.</w:t>
      </w:r>
    </w:p>
    <w:bookmarkEnd w:id="133"/>
    <w:bookmarkStart w:id="134" w:name="the-outlier-and-the-accumulation-result"/>
    <w:p>
      <w:pPr>
        <w:pStyle w:val="Heading2"/>
        <w:spacing w:line="480" w:lineRule="auto"/>
      </w:pPr>
      <w:r>
        <w:t xml:space="preserve">7.3 The outlier and the accumulation result</w:t>
      </w:r>
    </w:p>
    <w:p>
      <w:pPr>
        <w:pStyle w:val="FirstParagraph"/>
        <w:spacing w:line="480" w:lineRule="auto"/>
      </w:pPr>
      <w:r>
        <w:t xml:space="preserve">The negative age elasticity in Paper 2 earns its own treatment, because it is easy to overplay. Negative and blurry, its sign owes to the joint spot of a single high-citation entry and the largely uncited older tail</w:t>
      </w:r>
      <w:r>
        <w:t xml:space="preserve"> </w:t>
      </w:r>
      <w:hyperlink w:anchor="ref-5">
        <w:r>
          <w:rPr>
            <w:rStyle w:val="Hyperlink"/>
          </w:rPr>
          <w:t xml:space="preserve">[5]</w:t>
        </w:r>
      </w:hyperlink>
      <w:r>
        <w:t xml:space="preserve"> </w:t>
      </w:r>
      <w:hyperlink w:anchor="ref-8">
        <w:r>
          <w:rPr>
            <w:rStyle w:val="Hyperlink"/>
          </w:rPr>
          <w:t xml:space="preserve">[8]</w:t>
        </w:r>
      </w:hyperlink>
      <w:r>
        <w:t xml:space="preserve">. One 2019 article bears the lopsided bulk of citation mass, and it is not among the oldest documents, so the age axis and the regard axis aim opposite ways. Cut that entry, or index citations otherwise, and the elasticity would likely shift.</w:t>
      </w:r>
    </w:p>
    <w:p>
      <w:pPr>
        <w:pStyle w:val="BodyText"/>
        <w:spacing w:line="480" w:lineRule="auto"/>
        <w:ind w:firstLine="720"/>
      </w:pPr>
      <w:r>
        <w:t xml:space="preserve">The lesson is not that regard decays with age in this literature. The lesson is that a thirty-record pool under one ruling outlier cannot prop up a steady buildup estimate, and the log turn, while it squeezes the outlier’s scale, does not conjure the sample size a trustworthy learning curve would take</w:t>
      </w:r>
      <w:r>
        <w:t xml:space="preserve"> </w:t>
      </w:r>
      <w:hyperlink w:anchor="ref-8">
        <w:r>
          <w:rPr>
            <w:rStyle w:val="Hyperlink"/>
          </w:rPr>
          <w:t xml:space="preserve">[8]</w:t>
        </w:r>
      </w:hyperlink>
      <w:r>
        <w:t xml:space="preserve">. The result is a caution about the data, not a claim about how the field ages.</w:t>
      </w:r>
    </w:p>
    <w:bookmarkEnd w:id="134"/>
    <w:bookmarkStart w:id="135" w:name="what-the-data-cannot-show"/>
    <w:p>
      <w:pPr>
        <w:pStyle w:val="Heading2"/>
        <w:spacing w:line="480" w:lineRule="auto"/>
      </w:pPr>
      <w:r>
        <w:t xml:space="preserve">7.4 What the data cannot show</w:t>
      </w:r>
    </w:p>
    <w:p>
      <w:pPr>
        <w:pStyle w:val="FirstParagraph"/>
        <w:spacing w:line="480" w:lineRule="auto"/>
      </w:pPr>
      <w:r>
        <w:t xml:space="preserve">Three questions sit forever past this design, and stating them beats letting a reader presume the study cracked them.</w:t>
      </w:r>
    </w:p>
    <w:p>
      <w:pPr>
        <w:pStyle w:val="BodyText"/>
        <w:spacing w:line="480" w:lineRule="auto"/>
        <w:ind w:firstLine="720"/>
      </w:pPr>
      <w:r>
        <w:t xml:space="preserve">The design cannot show causal policy impact. It is a descriptive-structural sift, and even a strong signal would have been a tie inside a pulled corpus, not a what-if consequence of any move</w:t>
      </w:r>
      <w:r>
        <w:t xml:space="preserve"> </w:t>
      </w:r>
      <w:hyperlink w:anchor="ref-4">
        <w:r>
          <w:rPr>
            <w:rStyle w:val="Hyperlink"/>
          </w:rPr>
          <w:t xml:space="preserve">[4]</w:t>
        </w:r>
      </w:hyperlink>
      <w:r>
        <w:t xml:space="preserve">. Responsibility-based remedies, liability regimes, and removal priorities all take causal evidence the sift was never built to supply</w:t>
      </w:r>
      <w:r>
        <w:t xml:space="preserve"> </w:t>
      </w:r>
      <w:hyperlink w:anchor="ref-1">
        <w:r>
          <w:rPr>
            <w:rStyle w:val="Hyperlink"/>
          </w:rPr>
          <w:t xml:space="preserve">[1]</w:t>
        </w:r>
      </w:hyperlink>
      <w:r>
        <w:t xml:space="preserve">.</w:t>
      </w:r>
    </w:p>
    <w:p>
      <w:pPr>
        <w:pStyle w:val="BodyText"/>
        <w:spacing w:line="480" w:lineRule="auto"/>
        <w:ind w:firstLine="720"/>
      </w:pPr>
      <w:r>
        <w:t xml:space="preserve">The design cannot pin specific fragments to specific actors. It runs on document metadata, not on orbital origin, and the map from a debris object to its launch lives in catalogs and registries the corpus leaves out</w:t>
      </w:r>
      <w:r>
        <w:t xml:space="preserve"> </w:t>
      </w:r>
      <w:hyperlink w:anchor="ref-3">
        <w:r>
          <w:rPr>
            <w:rStyle w:val="Hyperlink"/>
          </w:rPr>
          <w:t xml:space="preserve">[3]</w:t>
        </w:r>
      </w:hyperlink>
      <w:r>
        <w:t xml:space="preserve">. The dissertation studies whether the subject holds order in the literature, not who put which object where.</w:t>
      </w:r>
    </w:p>
    <w:p>
      <w:pPr>
        <w:pStyle w:val="BodyText"/>
        <w:spacing w:line="480" w:lineRule="auto"/>
        <w:ind w:firstLine="720"/>
      </w:pPr>
      <w:r>
        <w:t xml:space="preserve">The design cannot settle the governance question. Whether responsibility for the standing danger ought to spread diffusely or concentrate on a knowable set of actors is a normative and legal call evidence shapes but does not decide</w:t>
      </w:r>
      <w:r>
        <w:t xml:space="preserve"> </w:t>
      </w:r>
      <w:hyperlink w:anchor="ref-1">
        <w:r>
          <w:rPr>
            <w:rStyle w:val="Hyperlink"/>
          </w:rPr>
          <w:t xml:space="preserve">[1]</w:t>
        </w:r>
      </w:hyperlink>
      <w:r>
        <w:t xml:space="preserve"> </w:t>
      </w:r>
      <w:hyperlink w:anchor="ref-16">
        <w:r>
          <w:rPr>
            <w:rStyle w:val="Hyperlink"/>
          </w:rPr>
          <w:t xml:space="preserve">[16]</w:t>
        </w:r>
      </w:hyperlink>
      <w:r>
        <w:t xml:space="preserve">. The sift hands over one piece of that call, the state of the documentary evidence, and nothing past it.</w:t>
      </w:r>
    </w:p>
    <w:bookmarkEnd w:id="135"/>
    <w:bookmarkStart w:id="136" w:name="the-value-of-a-disciplined-null"/>
    <w:p>
      <w:pPr>
        <w:pStyle w:val="Heading2"/>
        <w:spacing w:line="480" w:lineRule="auto"/>
      </w:pPr>
      <w:r>
        <w:t xml:space="preserve">7.5 The value of a disciplined null</w:t>
      </w:r>
    </w:p>
    <w:p>
      <w:pPr>
        <w:pStyle w:val="FirstParagraph"/>
        <w:spacing w:line="480" w:lineRule="auto"/>
      </w:pPr>
      <w:r>
        <w:t xml:space="preserve">A dissertation that files an empty result and reads it with care serves a field better than one puffing a weak signal into a confident claim. The sift forced a pick between an ordered and an orderless record, and it threw back the orderless verdict under two apart tests</w:t>
      </w:r>
      <w:r>
        <w:t xml:space="preserve"> </w:t>
      </w:r>
      <w:hyperlink w:anchor="ref-7">
        <w:r>
          <w:rPr>
            <w:rStyle w:val="Hyperlink"/>
          </w:rPr>
          <w:t xml:space="preserve">[7]</w:t>
        </w:r>
      </w:hyperlink>
      <w:r>
        <w:t xml:space="preserve"> </w:t>
      </w:r>
      <w:hyperlink w:anchor="ref-8">
        <w:r>
          <w:rPr>
            <w:rStyle w:val="Hyperlink"/>
          </w:rPr>
          <w:t xml:space="preserve">[8]</w:t>
        </w:r>
      </w:hyperlink>
      <w:r>
        <w:t xml:space="preserve">. That verdict disciplines the next step. It tells a researcher surface bibliometrics will not bear a responsibility claim for this subject, and that the evidence, if real, has to be pried from full texts and orbital records by an instrument built for it</w:t>
      </w:r>
      <w:r>
        <w:t xml:space="preserve"> </w:t>
      </w:r>
      <w:hyperlink w:anchor="ref-4">
        <w:r>
          <w:rPr>
            <w:rStyle w:val="Hyperlink"/>
          </w:rPr>
          <w:t xml:space="preserve">[4]</w:t>
        </w:r>
      </w:hyperlink>
      <w:r>
        <w:t xml:space="preserve">. Chapter 8 turns that steering into a concrete program.</w:t>
      </w:r>
    </w:p>
    <w:bookmarkEnd w:id="136"/>
    <w:bookmarkStart w:id="137" w:name="Xa3994838bf46aa02ea06b2272ac230ca7597d8b"/>
    <w:p>
      <w:pPr>
        <w:pStyle w:val="Heading2"/>
        <w:spacing w:line="480" w:lineRule="auto"/>
      </w:pPr>
      <w:r>
        <w:t xml:space="preserve">7.6 Distinguishing the failure modes the null cannot separate</w:t>
      </w:r>
    </w:p>
    <w:p>
      <w:pPr>
        <w:pStyle w:val="FirstParagraph"/>
        <w:spacing w:line="480" w:lineRule="auto"/>
      </w:pPr>
      <w:r>
        <w:t xml:space="preserve">The mechanism chain from Chapter 3 named four links, and a responsible discussion has to say which the null fingers and which it leaves be. The null stays mute on the first link, since no bibliometric result could rattle the physical fact that the debris stock varies in origin</w:t>
      </w:r>
      <w:r>
        <w:t xml:space="preserve"> </w:t>
      </w:r>
      <w:hyperlink w:anchor="ref-1">
        <w:r>
          <w:rPr>
            <w:rStyle w:val="Hyperlink"/>
          </w:rPr>
          <w:t xml:space="preserve">[1]</w:t>
        </w:r>
      </w:hyperlink>
      <w:r>
        <w:t xml:space="preserve"> </w:t>
      </w:r>
      <w:hyperlink w:anchor="ref-4">
        <w:r>
          <w:rPr>
            <w:rStyle w:val="Hyperlink"/>
          </w:rPr>
          <w:t xml:space="preserve">[4]</w:t>
        </w:r>
      </w:hyperlink>
      <w:r>
        <w:t xml:space="preserve">. It bites straight on the three that remain in conjunction: either the field never gathered around responsibility, or it gathered somewhere the metadata skips, or the tool ran short on power to pull a real but slight signal into view</w:t>
      </w:r>
      <w:r>
        <w:t xml:space="preserve"> </w:t>
      </w:r>
      <w:hyperlink w:anchor="ref-3">
        <w:r>
          <w:rPr>
            <w:rStyle w:val="Hyperlink"/>
          </w:rPr>
          <w:t xml:space="preserve">[3]</w:t>
        </w:r>
      </w:hyperlink>
      <w:r>
        <w:t xml:space="preserve"> </w:t>
      </w:r>
      <w:hyperlink w:anchor="ref-8">
        <w:r>
          <w:rPr>
            <w:rStyle w:val="Hyperlink"/>
          </w:rPr>
          <w:t xml:space="preserve">[8]</w:t>
        </w:r>
      </w:hyperlink>
      <w:r>
        <w:t xml:space="preserve">. From its fit numbers alone the sift cannot sort these three apart, and pretending it could would oversell what a thirty-record corpus can hand over.</w:t>
      </w:r>
    </w:p>
    <w:p>
      <w:pPr>
        <w:pStyle w:val="BodyText"/>
        <w:spacing w:line="480" w:lineRule="auto"/>
        <w:ind w:firstLine="720"/>
      </w:pPr>
      <w:r>
        <w:t xml:space="preserve">What the sift can do is weigh how likely each runs. The squeezed outcome and the thin sample make the power shortfall a live hand, which cuts against reading the null as strong evidence that the field is wholly ungathered</w:t>
      </w:r>
      <w:r>
        <w:t xml:space="preserve"> </w:t>
      </w:r>
      <w:hyperlink w:anchor="ref-5">
        <w:r>
          <w:rPr>
            <w:rStyle w:val="Hyperlink"/>
          </w:rPr>
          <w:t xml:space="preserve">[5]</w:t>
        </w:r>
      </w:hyperlink>
      <w:r>
        <w:t xml:space="preserve">. The theme sitting in full texts rather than headings and tags runs just as likely for a subject many papers touch sidelong, which points toward the second break and toward the direct coding fix Chapter 8 lays out</w:t>
      </w:r>
      <w:r>
        <w:t xml:space="preserve"> </w:t>
      </w:r>
      <w:hyperlink w:anchor="ref-3">
        <w:r>
          <w:rPr>
            <w:rStyle w:val="Hyperlink"/>
          </w:rPr>
          <w:t xml:space="preserve">[3]</w:t>
        </w:r>
      </w:hyperlink>
      <w:r>
        <w:t xml:space="preserve">. The design’s honest stance is that the null fits all three at once, that it most cleanly bars only the strong claim that responsibility reads on the searchable face, and that parting the breaks that remain takes the richer instruments the next study would build</w:t>
      </w:r>
      <w:r>
        <w:t xml:space="preserve"> </w:t>
      </w:r>
      <w:hyperlink w:anchor="ref-7">
        <w:r>
          <w:rPr>
            <w:rStyle w:val="Hyperlink"/>
          </w:rPr>
          <w:t xml:space="preserve">[7]</w:t>
        </w:r>
      </w:hyperlink>
      <w:r>
        <w:t xml:space="preserve">. An empty result that names its own murk serves better than one hiding it behind a clean verdict.</w:t>
      </w:r>
    </w:p>
    <w:bookmarkEnd w:id="137"/>
    <w:bookmarkStart w:id="138" w:name="Xcc827cbe6a10f7e0ab2dc54954abdfa81271748"/>
    <w:p>
      <w:pPr>
        <w:pStyle w:val="Heading2"/>
        <w:spacing w:line="480" w:lineRule="auto"/>
      </w:pPr>
      <w:r>
        <w:t xml:space="preserve">7.7 Robustness of the null to reasonable alternatives</w:t>
      </w:r>
    </w:p>
    <w:p>
      <w:pPr>
        <w:pStyle w:val="FirstParagraph"/>
        <w:spacing w:line="480" w:lineRule="auto"/>
      </w:pPr>
      <w:r>
        <w:t xml:space="preserve">A reader has every right to ask whether the null would ride out the plain analytic swaps, and the design’s openness allows an honest answer even where a formal robustness suite ran past the scope. Weigh first the handling of the lone high-citation entry. Cutting it would shift the citation tilt in Paper 1 and would likely nudge the age elasticity in Paper 2 toward or past zero, but it would not conjure the positive, sharp order the mechanism forecast, because the twenty-nine entries left sit overwhelmingly at the floor of both the outcome and the citation field</w:t>
      </w:r>
      <w:r>
        <w:t xml:space="preserve"> </w:t>
      </w:r>
      <w:hyperlink w:anchor="ref-5">
        <w:r>
          <w:rPr>
            <w:rStyle w:val="Hyperlink"/>
          </w:rPr>
          <w:t xml:space="preserve">[5]</w:t>
        </w:r>
      </w:hyperlink>
      <w:r>
        <w:t xml:space="preserve"> </w:t>
      </w:r>
      <w:hyperlink w:anchor="ref-8">
        <w:r>
          <w:rPr>
            <w:rStyle w:val="Hyperlink"/>
          </w:rPr>
          <w:t xml:space="preserve">[8]</w:t>
        </w:r>
      </w:hyperlink>
      <w:r>
        <w:t xml:space="preserve">. The null is no relic of the outlier; the outlier shapes the sign of one blurry tilt, not the whole verdict of two weak fits.</w:t>
      </w:r>
    </w:p>
    <w:p>
      <w:pPr>
        <w:pStyle w:val="BodyText"/>
        <w:spacing w:line="480" w:lineRule="auto"/>
        <w:ind w:firstLine="720"/>
      </w:pPr>
      <w:r>
        <w:t xml:space="preserve">Weigh next the outlet coding. Squashing the three-notch scale to a binary proceedings-versus-journal split, or stretching it toward a finer institutional taxonomy, would move the outlet coefficient’s size but not its blur, since the variable’s tie to the outcome runs faint under any sane coding the thin sample can bankroll</w:t>
      </w:r>
      <w:r>
        <w:t xml:space="preserve"> </w:t>
      </w:r>
      <w:hyperlink w:anchor="ref-16">
        <w:r>
          <w:rPr>
            <w:rStyle w:val="Hyperlink"/>
          </w:rPr>
          <w:t xml:space="preserve">[16]</w:t>
        </w:r>
      </w:hyperlink>
      <w:r>
        <w:t xml:space="preserve">. And weigh the outcome build. A finer topic-signal gauge, one reading full texts rather than searchable surface fields, might well surface order the current outcome misses, but that is a swap of instrument rather than a robustness check on the present one, and it belongs to the future program rather than to a defense of this result</w:t>
      </w:r>
      <w:r>
        <w:t xml:space="preserve"> </w:t>
      </w:r>
      <w:hyperlink w:anchor="ref-3">
        <w:r>
          <w:rPr>
            <w:rStyle w:val="Hyperlink"/>
          </w:rPr>
          <w:t xml:space="preserve">[3]</w:t>
        </w:r>
      </w:hyperlink>
      <w:r>
        <w:t xml:space="preserve">. Inside the swaps the current data allow, the null holds steady: it hangs on no single coding call or single entry, and a doubter reworking the file within those bounds would reach the same weak fits</w:t>
      </w:r>
      <w:r>
        <w:t xml:space="preserve"> </w:t>
      </w:r>
      <w:hyperlink w:anchor="ref-4">
        <w:r>
          <w:rPr>
            <w:rStyle w:val="Hyperlink"/>
          </w:rPr>
          <w:t xml:space="preserve">[4]</w:t>
        </w:r>
      </w:hyperlink>
      <w:r>
        <w:t xml:space="preserve">.</w:t>
      </w:r>
    </w:p>
    <w:bookmarkEnd w:id="138"/>
    <w:bookmarkStart w:id="139" w:name="X45876a215f4627894c37e32b452ca83254c5fd8"/>
    <w:p>
      <w:pPr>
        <w:pStyle w:val="Heading2"/>
        <w:spacing w:line="480" w:lineRule="auto"/>
      </w:pPr>
      <w:r>
        <w:t xml:space="preserve">7.8 The temptation to over-read a negative sign</w:t>
      </w:r>
    </w:p>
    <w:p>
      <w:pPr>
        <w:pStyle w:val="FirstParagraph"/>
        <w:spacing w:line="480" w:lineRule="auto"/>
      </w:pPr>
      <w:r>
        <w:t xml:space="preserve">The negative signs, on the citation tilt in Paper 1 and the age elasticity in Paper 2, bait a definite reading blunder worth naming so a reader steers clear. It tempts to read a negative citation tie as evidence that theme-thick papers get routinely passed over, or a negative age elasticity as evidence that regard in this literature fades with time, and to spin a tale around either</w:t>
      </w:r>
      <w:r>
        <w:t xml:space="preserve"> </w:t>
      </w:r>
      <w:hyperlink w:anchor="ref-8">
        <w:r>
          <w:rPr>
            <w:rStyle w:val="Hyperlink"/>
          </w:rPr>
          <w:t xml:space="preserve">[8]</w:t>
        </w:r>
      </w:hyperlink>
      <w:r>
        <w:t xml:space="preserve">. Both tales would rest on air. The signs run blurry, the p-values plant both estimates squarely inside the zone where zero sits comfortable, and the design’s proof standard forbids treating a blurry sign as a directional finding</w:t>
      </w:r>
      <w:r>
        <w:t xml:space="preserve"> </w:t>
      </w:r>
      <w:hyperlink w:anchor="ref-5">
        <w:r>
          <w:rPr>
            <w:rStyle w:val="Hyperlink"/>
          </w:rPr>
          <w:t xml:space="preserve">[5]</w:t>
        </w:r>
      </w:hyperlink>
      <w:r>
        <w:t xml:space="preserve">.</w:t>
      </w:r>
    </w:p>
    <w:p>
      <w:pPr>
        <w:pStyle w:val="BodyText"/>
        <w:spacing w:line="480" w:lineRule="auto"/>
        <w:ind w:firstLine="720"/>
      </w:pPr>
      <w:r>
        <w:t xml:space="preserve">The disciplined reading runs narrower and more useful. The negative signs are what the sample’s particular makeup throws, a floor-heavy outcome and a single off-line citation outlier, and they bear no message about how the field prizes or forgets its work</w:t>
      </w:r>
      <w:r>
        <w:t xml:space="preserve"> </w:t>
      </w:r>
      <w:hyperlink w:anchor="ref-3">
        <w:r>
          <w:rPr>
            <w:rStyle w:val="Hyperlink"/>
          </w:rPr>
          <w:t xml:space="preserve">[3]</w:t>
        </w:r>
      </w:hyperlink>
      <w:r>
        <w:t xml:space="preserve">. Filing them faithfully matters, since hiding an awkward sign would rot the open chain the whole design stands on, but reading them as substance would break the very discipline that lent the null its credit. The signs are on file, accounted for by the data’s shape, and denied any weight the sharpness does not license, which is just the handling a cautious proof standard demands</w:t>
      </w:r>
      <w:r>
        <w:t xml:space="preserve"> </w:t>
      </w:r>
      <w:hyperlink w:anchor="ref-4">
        <w:r>
          <w:rPr>
            <w:rStyle w:val="Hyperlink"/>
          </w:rPr>
          <w:t xml:space="preserve">[4]</w:t>
        </w:r>
      </w:hyperlink>
      <w:r>
        <w:t xml:space="preserve"> </w:t>
      </w:r>
      <w:hyperlink w:anchor="ref-16">
        <w:r>
          <w:rPr>
            <w:rStyle w:val="Hyperlink"/>
          </w:rPr>
          <w:t xml:space="preserve">[16]</w:t>
        </w:r>
      </w:hyperlink>
      <w:r>
        <w:t xml:space="preserve">.</w:t>
      </w:r>
    </w:p>
    <w:bookmarkEnd w:id="139"/>
    <w:bookmarkStart w:id="140" w:name="X505b6ee2b8442b10bfcf5229a900dc9db2b9ec6"/>
    <w:p>
      <w:pPr>
        <w:pStyle w:val="Heading2"/>
        <w:spacing w:line="480" w:lineRule="auto"/>
      </w:pPr>
      <w:r>
        <w:t xml:space="preserve">7.9 The corpus-selection threat examined more closely</w:t>
      </w:r>
    </w:p>
    <w:p>
      <w:pPr>
        <w:pStyle w:val="FirstParagraph"/>
        <w:spacing w:line="480" w:lineRule="auto"/>
      </w:pPr>
      <w:r>
        <w:t xml:space="preserve">Of the threats to validity, who got pulled in warrants a fuller look, because it is the one most apt to shift the result under a different design and the one the study can least steer. A candidate-specific pull that gathered technical, governance, and commons documents bearing on uneven pollution produced the thirty records, and that pull is no random draw from the population of fitting work</w:t>
      </w:r>
      <w:r>
        <w:t xml:space="preserve"> </w:t>
      </w:r>
      <w:hyperlink w:anchor="ref-3">
        <w:r>
          <w:rPr>
            <w:rStyle w:val="Hyperlink"/>
          </w:rPr>
          <w:t xml:space="preserve">[3]</w:t>
        </w:r>
      </w:hyperlink>
      <w:r>
        <w:t xml:space="preserve">. A pull tuned otherwise, loading recent journal work more or reaching deeper into the surveillance-technology proceedings, could gather a corpus with different structure, and the null filed here hangs on this particular gathering</w:t>
      </w:r>
      <w:r>
        <w:t xml:space="preserve"> </w:t>
      </w:r>
      <w:hyperlink w:anchor="ref-5">
        <w:r>
          <w:rPr>
            <w:rStyle w:val="Hyperlink"/>
          </w:rPr>
          <w:t xml:space="preserve">[5]</w:t>
        </w:r>
      </w:hyperlink>
      <w:r>
        <w:t xml:space="preserve">.</w:t>
      </w:r>
    </w:p>
    <w:p>
      <w:pPr>
        <w:pStyle w:val="BodyText"/>
        <w:spacing w:line="480" w:lineRule="auto"/>
        <w:ind w:firstLine="720"/>
      </w:pPr>
      <w:r>
        <w:t xml:space="preserve">The design makes no claim to erase this reliance, but it does fence it in a way worth spelling out. Because the source column keeps every record’s identity, a reader can see just which documents made the corpus and can judge whether the pull over-loads or under-loads any family</w:t>
      </w:r>
      <w:r>
        <w:t xml:space="preserve"> </w:t>
      </w:r>
      <w:hyperlink w:anchor="ref-1">
        <w:r>
          <w:rPr>
            <w:rStyle w:val="Hyperlink"/>
          </w:rPr>
          <w:t xml:space="preserve">[1]</w:t>
        </w:r>
      </w:hyperlink>
      <w:r>
        <w:t xml:space="preserve"> </w:t>
      </w:r>
      <w:hyperlink w:anchor="ref-2">
        <w:r>
          <w:rPr>
            <w:rStyle w:val="Hyperlink"/>
          </w:rPr>
          <w:t xml:space="preserve">[2]</w:t>
        </w:r>
      </w:hyperlink>
      <w:r>
        <w:t xml:space="preserve">. That openness turns an unsteered threat into an inspectable one: the null cannot be defended as pull-free, and yet neither can it be waved off as the yield of a hidden or arbitrary gathering, because the gathering sits on the table for scrutiny</w:t>
      </w:r>
      <w:r>
        <w:t xml:space="preserve"> </w:t>
      </w:r>
      <w:hyperlink w:anchor="ref-16">
        <w:r>
          <w:rPr>
            <w:rStyle w:val="Hyperlink"/>
          </w:rPr>
          <w:t xml:space="preserve">[16]</w:t>
        </w:r>
      </w:hyperlink>
      <w:r>
        <w:t xml:space="preserve">. The honest read is that the finding is a statement about this corpus, that a differently pulled corpus might tell a different tale, and that the natural answer is not to crown this pull as canonical but to build the fatter, more systematically gathered corpus Chapter 8 calls for, on which the gathering would bite less hard</w:t>
      </w:r>
      <w:r>
        <w:t xml:space="preserve"> </w:t>
      </w:r>
      <w:hyperlink w:anchor="ref-8">
        <w:r>
          <w:rPr>
            <w:rStyle w:val="Hyperlink"/>
          </w:rPr>
          <w:t xml:space="preserve">[8]</w:t>
        </w:r>
      </w:hyperlink>
      <w:r>
        <w:t xml:space="preserve">.</w:t>
      </w:r>
    </w:p>
    <w:bookmarkEnd w:id="140"/>
    <w:bookmarkStart w:id="141" w:name="Xde2b2070057dd1b5bb433d43669b900bceee37c"/>
    <w:p>
      <w:pPr>
        <w:pStyle w:val="Heading2"/>
        <w:spacing w:line="480" w:lineRule="auto"/>
      </w:pPr>
      <w:r>
        <w:t xml:space="preserve">7.10 Why the null is not a null about the world</w:t>
      </w:r>
    </w:p>
    <w:p>
      <w:pPr>
        <w:pStyle w:val="FirstParagraph"/>
        <w:spacing w:line="480" w:lineRule="auto"/>
      </w:pPr>
      <w:r>
        <w:t xml:space="preserve">A standing hazard in filing a negative result is that readers stretch it past its warrant, and this section draws the line the finding must not cross. The sift threw back no gaugeable order in the searchable metadata of a thirty-record corpus. It did not, and could not, throw back a verdict on whether the debris stock varies in origin, because that is a physical fact set by orbital origin rather than by bibliometrics, and no citation model touches it</w:t>
      </w:r>
      <w:r>
        <w:t xml:space="preserve"> </w:t>
      </w:r>
      <w:hyperlink w:anchor="ref-1">
        <w:r>
          <w:rPr>
            <w:rStyle w:val="Hyperlink"/>
          </w:rPr>
          <w:t xml:space="preserve">[1]</w:t>
        </w:r>
      </w:hyperlink>
      <w:r>
        <w:t xml:space="preserve"> </w:t>
      </w:r>
      <w:hyperlink w:anchor="ref-4">
        <w:r>
          <w:rPr>
            <w:rStyle w:val="Hyperlink"/>
          </w:rPr>
          <w:t xml:space="preserve">[4]</w:t>
        </w:r>
      </w:hyperlink>
      <w:r>
        <w:t xml:space="preserve">. Nor did it throw back a verdict on whether responsibility is reachable by other roads, because the launch records, registries, and catalog cross-references that would ground physical responsibility sit wholly outside the corpus the sift eyed</w:t>
      </w:r>
      <w:r>
        <w:t xml:space="preserve"> </w:t>
      </w:r>
      <w:hyperlink w:anchor="ref-3">
        <w:r>
          <w:rPr>
            <w:rStyle w:val="Hyperlink"/>
          </w:rPr>
          <w:t xml:space="preserve">[3]</w:t>
        </w:r>
      </w:hyperlink>
      <w:r>
        <w:t xml:space="preserve">.</w:t>
      </w:r>
    </w:p>
    <w:p>
      <w:pPr>
        <w:pStyle w:val="BodyText"/>
        <w:spacing w:line="480" w:lineRule="auto"/>
        <w:ind w:firstLine="720"/>
      </w:pPr>
      <w:r>
        <w:t xml:space="preserve">So the finding is a statement about one reachable layer of evidence, and its stretch must halt at that layer’s rim. What the study grants is a definite, useful claim: that the surface of the literature, as pulled, will not bear a responsibility argument, and that a scholar or policymaker leaning on that surface is leaning on untried ground</w:t>
      </w:r>
      <w:r>
        <w:t xml:space="preserve"> </w:t>
      </w:r>
      <w:hyperlink w:anchor="ref-7">
        <w:r>
          <w:rPr>
            <w:rStyle w:val="Hyperlink"/>
          </w:rPr>
          <w:t xml:space="preserve">[7]</w:t>
        </w:r>
      </w:hyperlink>
      <w:r>
        <w:t xml:space="preserve">. What it does not grant is any read about the underlying reality, which stands just as it stood before the sift ran, varied in origin and reachable in principle, waiting on an instrument built to read the layers where that responsibility truly lives</w:t>
      </w:r>
      <w:r>
        <w:t xml:space="preserve"> </w:t>
      </w:r>
      <w:hyperlink w:anchor="ref-4">
        <w:r>
          <w:rPr>
            <w:rStyle w:val="Hyperlink"/>
          </w:rPr>
          <w:t xml:space="preserve">[4]</w:t>
        </w:r>
      </w:hyperlink>
      <w:r>
        <w:t xml:space="preserve"> </w:t>
      </w:r>
      <w:hyperlink w:anchor="ref-8">
        <w:r>
          <w:rPr>
            <w:rStyle w:val="Hyperlink"/>
          </w:rPr>
          <w:t xml:space="preserve">[8]</w:t>
        </w:r>
      </w:hyperlink>
      <w:r>
        <w:t xml:space="preserve">. Keeping the null pinned to its layer, rather than letting it slide into a claim about the world, is the reading discipline that parts an honest negative result from a misleading one.</w:t>
      </w:r>
    </w:p>
    <w:bookmarkEnd w:id="141"/>
    <w:bookmarkStart w:id="142" w:name="Xfabd0d71be663014c5f1661450faf13462e2f6e"/>
    <w:p>
      <w:pPr>
        <w:pStyle w:val="Heading2"/>
        <w:spacing w:line="480" w:lineRule="auto"/>
      </w:pPr>
      <w:r>
        <w:t xml:space="preserve">7.11 The limits of the two-screen agreement as evidence</w:t>
      </w:r>
    </w:p>
    <w:p>
      <w:pPr>
        <w:pStyle w:val="FirstParagraph"/>
        <w:spacing w:line="480" w:lineRule="auto"/>
      </w:pPr>
      <w:r>
        <w:t xml:space="preserve">The two sifts meeting is the study’s strongest evidentiary move, and just because it is strong it earns a doubter’s look at its own edges. The accord persuades because the models probe crosswise structure, so a corpus signal held two apart shots to surface and took neither</w:t>
      </w:r>
      <w:r>
        <w:t xml:space="preserve"> </w:t>
      </w:r>
      <w:hyperlink w:anchor="ref-8">
        <w:r>
          <w:rPr>
            <w:rStyle w:val="Hyperlink"/>
          </w:rPr>
          <w:t xml:space="preserve">[8]</w:t>
        </w:r>
      </w:hyperlink>
      <w:r>
        <w:t xml:space="preserve">. Yet the two sifts share a base their crosswiseness does not clear: they run on the same thirty records, the same fixed-rule outcome fields, and the same local citation index</w:t>
      </w:r>
      <w:r>
        <w:t xml:space="preserve"> </w:t>
      </w:r>
      <w:hyperlink w:anchor="ref-3">
        <w:r>
          <w:rPr>
            <w:rStyle w:val="Hyperlink"/>
          </w:rPr>
          <w:t xml:space="preserve">[3]</w:t>
        </w:r>
      </w:hyperlink>
      <w:r>
        <w:t xml:space="preserve">. A weakness ahead of both, a pull that missed the ordered slice of the field, or a citation index that routinely underfiles the fitting work, would smother the signal in both sifts at once, and their accord would then mirror a shared blind spot rather than a sturdy absence</w:t>
      </w:r>
      <w:r>
        <w:t xml:space="preserve"> </w:t>
      </w:r>
      <w:hyperlink w:anchor="ref-5">
        <w:r>
          <w:rPr>
            <w:rStyle w:val="Hyperlink"/>
          </w:rPr>
          <w:t xml:space="preserve">[5]</w:t>
        </w:r>
      </w:hyperlink>
      <w:r>
        <w:t xml:space="preserve">.</w:t>
      </w:r>
    </w:p>
    <w:p>
      <w:pPr>
        <w:pStyle w:val="BodyText"/>
        <w:spacing w:line="480" w:lineRule="auto"/>
        <w:ind w:firstLine="720"/>
      </w:pPr>
      <w:r>
        <w:t xml:space="preserve">This is why the twin null gets filed as strong evidence about the reachable layer rather than as proof about the field. The two sifts accord because they view the same corpus through different lenses, and if the corpus itself is the binding factor, different lenses will not rescue a signal the corpus does not hold</w:t>
      </w:r>
      <w:r>
        <w:t xml:space="preserve"> </w:t>
      </w:r>
      <w:hyperlink w:anchor="ref-7">
        <w:r>
          <w:rPr>
            <w:rStyle w:val="Hyperlink"/>
          </w:rPr>
          <w:t xml:space="preserve">[7]</w:t>
        </w:r>
      </w:hyperlink>
      <w:r>
        <w:t xml:space="preserve">. The design’s answer is not to claim more than the accord warrants but to name the shared base as the rim of the reasoning, and to steer the next study toward the one move that would try it: a fatter, differently pulled corpus with universal rather than local citation counts, on which a standing null would bear weight the present accord cannot</w:t>
      </w:r>
      <w:r>
        <w:t xml:space="preserve"> </w:t>
      </w:r>
      <w:hyperlink w:anchor="ref-16">
        <w:r>
          <w:rPr>
            <w:rStyle w:val="Hyperlink"/>
          </w:rPr>
          <w:t xml:space="preserve">[16]</w:t>
        </w:r>
      </w:hyperlink>
      <w:r>
        <w:t xml:space="preserve">. The two-sift accord is real evidence, and it is evidence about a corpus, which is a smaller and more defensible claim than evidence about a field</w:t>
      </w:r>
      <w:r>
        <w:t xml:space="preserve"> </w:t>
      </w:r>
      <w:hyperlink w:anchor="ref-4">
        <w:r>
          <w:rPr>
            <w:rStyle w:val="Hyperlink"/>
          </w:rPr>
          <w:t xml:space="preserve">[4]</w:t>
        </w:r>
      </w:hyperlink>
      <w:r>
        <w:t xml:space="preserve">.</w:t>
      </w:r>
    </w:p>
    <w:bookmarkEnd w:id="142"/>
    <w:bookmarkEnd w:id="143"/>
    <w:bookmarkStart w:id="183" w:name="chapter-8.-conclusions-and-implications"/>
    <w:p>
      <w:pPr>
        <w:pStyle w:val="Heading1"/>
        <w:spacing w:line="480" w:lineRule="auto"/>
      </w:pPr>
      <w:r>
        <w:t xml:space="preserve">Chapter 8. Conclusions and Implications</w:t>
      </w:r>
    </w:p>
    <w:p>
      <w:pPr>
        <w:pStyle w:val="FirstParagraph"/>
        <w:spacing w:line="480" w:lineRule="auto"/>
      </w:pPr>
      <w:r>
        <w:t xml:space="preserve">This dissertation set a bounded question and settled it. Does what a search returns carry a gaugeable signal about uneven pollution in the standing debris stock? Across two apart sifts the answer is no: the topic signal holds no order across recency, citation regard, outlet family, or article age in the thirty-record corpus, and both models fail to reject their nulls</w:t>
      </w:r>
      <w:r>
        <w:t xml:space="preserve"> </w:t>
      </w:r>
      <w:hyperlink w:anchor="ref-3">
        <w:r>
          <w:rPr>
            <w:rStyle w:val="Hyperlink"/>
          </w:rPr>
          <w:t xml:space="preserve">[3]</w:t>
        </w:r>
      </w:hyperlink>
      <w:r>
        <w:t xml:space="preserve"> </w:t>
      </w:r>
      <w:hyperlink w:anchor="ref-8">
        <w:r>
          <w:rPr>
            <w:rStyle w:val="Hyperlink"/>
          </w:rPr>
          <w:t xml:space="preserve">[8]</w:t>
        </w:r>
      </w:hyperlink>
      <w:r>
        <w:t xml:space="preserve">. This shutting chapter states the contribution that flows from that result, its bearing on governance and program calls, and the empirical program it aims toward.</w:t>
      </w:r>
    </w:p>
    <w:bookmarkStart w:id="144" w:name="the-contribution"/>
    <w:p>
      <w:pPr>
        <w:pStyle w:val="Heading2"/>
        <w:spacing w:line="480" w:lineRule="auto"/>
      </w:pPr>
      <w:r>
        <w:t xml:space="preserve">8.1 The contribution</w:t>
      </w:r>
    </w:p>
    <w:p>
      <w:pPr>
        <w:pStyle w:val="FirstParagraph"/>
        <w:spacing w:line="480" w:lineRule="auto"/>
      </w:pPr>
      <w:r>
        <w:t xml:space="preserve">The contribution is a disciplined no, and its worth sits in its exactness. The study says less on purpose. The study never aimed to prove a small set of actors own the debris danger, nor to prove they do not. It aimed to try whether the reachable bibliometric record could bear such a responsibility claim, and it showed, with an open table and two see-through models, that this layer of evidence cannot</w:t>
      </w:r>
      <w:r>
        <w:t xml:space="preserve"> </w:t>
      </w:r>
      <w:hyperlink w:anchor="ref-4">
        <w:r>
          <w:rPr>
            <w:rStyle w:val="Hyperlink"/>
          </w:rPr>
          <w:t xml:space="preserve">[4]</w:t>
        </w:r>
      </w:hyperlink>
      <w:r>
        <w:t xml:space="preserve">. That is a real finding, since no field gets to rest a responsibility argument on a record it has not tried, and this dissertation supplies the trial the surrounding literature had left unrun</w:t>
      </w:r>
      <w:r>
        <w:t xml:space="preserve"> </w:t>
      </w:r>
      <w:hyperlink w:anchor="ref-1">
        <w:r>
          <w:rPr>
            <w:rStyle w:val="Hyperlink"/>
          </w:rPr>
          <w:t xml:space="preserve">[1]</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Three traits lend the result trust. Fixed rule built the outcome, so no reader’s hand shaped it</w:t>
      </w:r>
      <w:r>
        <w:t xml:space="preserve"> </w:t>
      </w:r>
      <w:hyperlink w:anchor="ref-3">
        <w:r>
          <w:rPr>
            <w:rStyle w:val="Hyperlink"/>
          </w:rPr>
          <w:t xml:space="preserve">[3]</w:t>
        </w:r>
      </w:hyperlink>
      <w:r>
        <w:t xml:space="preserve">. Every entry kept its source, so the whole chain from coefficient to document lies open</w:t>
      </w:r>
      <w:r>
        <w:t xml:space="preserve"> </w:t>
      </w:r>
      <w:hyperlink w:anchor="ref-2">
        <w:r>
          <w:rPr>
            <w:rStyle w:val="Hyperlink"/>
          </w:rPr>
          <w:t xml:space="preserve">[2]</w:t>
        </w:r>
      </w:hyperlink>
      <w:r>
        <w:t xml:space="preserve">. And the two models probed crosswise structure, so their accord on the null is no relic of one form</w:t>
      </w:r>
      <w:r>
        <w:t xml:space="preserve"> </w:t>
      </w:r>
      <w:hyperlink w:anchor="ref-8">
        <w:r>
          <w:rPr>
            <w:rStyle w:val="Hyperlink"/>
          </w:rPr>
          <w:t xml:space="preserve">[8]</w:t>
        </w:r>
      </w:hyperlink>
      <w:r>
        <w:t xml:space="preserve">. A reader who mistrusts the conclusion can rebuild it row by row, which is the standard the introduction set and the standard the result hits.</w:t>
      </w:r>
    </w:p>
    <w:p>
      <w:pPr>
        <w:pStyle w:val="BodyText"/>
        <w:spacing w:line="480" w:lineRule="auto"/>
        <w:ind w:firstLine="720"/>
      </w:pPr>
      <w:r>
        <w:t xml:space="preserve">The methodological contribution reaches past this subject. The sift design, a fixed-rule topic signal fit against regard dimensions and paired with a learning-curve check, is a reusable tool for asking whether any rising space-governance subject holds order in its literature before a stronger claim gets tried</w:t>
      </w:r>
      <w:r>
        <w:t xml:space="preserve"> </w:t>
      </w:r>
      <w:hyperlink w:anchor="ref-16">
        <w:r>
          <w:rPr>
            <w:rStyle w:val="Hyperlink"/>
          </w:rPr>
          <w:t xml:space="preserve">[16]</w:t>
        </w:r>
      </w:hyperlink>
      <w:r>
        <w:t xml:space="preserve">. It is a cheap, honest opening pass that tells a researcher whether the metadata layer will bear weight, and it fails loudly when the layer runs thin.</w:t>
      </w:r>
    </w:p>
    <w:bookmarkEnd w:id="144"/>
    <w:bookmarkStart w:id="145" w:name="governance-and-program-relevance"/>
    <w:p>
      <w:pPr>
        <w:pStyle w:val="Heading2"/>
        <w:spacing w:line="480" w:lineRule="auto"/>
      </w:pPr>
      <w:r>
        <w:t xml:space="preserve">8.2 Governance and program relevance</w:t>
      </w:r>
    </w:p>
    <w:p>
      <w:pPr>
        <w:pStyle w:val="FirstParagraph"/>
        <w:spacing w:line="480" w:lineRule="auto"/>
      </w:pPr>
      <w:r>
        <w:t xml:space="preserve">The null bears a governance lesson a false positive would have masked. Responsibility-based remedies for the debris setting, from liability handing to removal ranking, presume responsibility can be pinned to actors and eras with confidence</w:t>
      </w:r>
      <w:r>
        <w:t xml:space="preserve"> </w:t>
      </w:r>
      <w:hyperlink w:anchor="ref-1">
        <w:r>
          <w:rPr>
            <w:rStyle w:val="Hyperlink"/>
          </w:rPr>
          <w:t xml:space="preserve">[1]</w:t>
        </w:r>
      </w:hyperlink>
      <w:r>
        <w:t xml:space="preserve"> </w:t>
      </w:r>
      <w:hyperlink w:anchor="ref-4">
        <w:r>
          <w:rPr>
            <w:rStyle w:val="Hyperlink"/>
          </w:rPr>
          <w:t xml:space="preserve">[4]</w:t>
        </w:r>
      </w:hyperlink>
      <w:r>
        <w:t xml:space="preserve">. This study shows that confidence cannot yet be drawn from the documentary surface, and that policy built on the presumption of easy responsibility is building on evidence it has not checked.</w:t>
      </w:r>
    </w:p>
    <w:p>
      <w:pPr>
        <w:pStyle w:val="BodyText"/>
        <w:spacing w:line="480" w:lineRule="auto"/>
        <w:ind w:firstLine="720"/>
      </w:pPr>
      <w:r>
        <w:t xml:space="preserve">That lesson builds rather than blocks. It tells program managers and policy designers where to put their money. If responsibility matters for active debris removal, for space traffic management, and for strategic steadiness in contested orbits, then the evidence base for responsibility earns purpose-built instrumentation rather than borrowed bibliometrics</w:t>
      </w:r>
      <w:r>
        <w:t xml:space="preserve"> </w:t>
      </w:r>
      <w:hyperlink w:anchor="ref-7">
        <w:r>
          <w:rPr>
            <w:rStyle w:val="Hyperlink"/>
          </w:rPr>
          <w:t xml:space="preserve">[7]</w:t>
        </w:r>
      </w:hyperlink>
      <w:r>
        <w:t xml:space="preserve">. Sensor tasking budgets, cataloging priorities, and registry habits are where responsibility evidence truly gets made, and the null aims attention at those layers</w:t>
      </w:r>
      <w:r>
        <w:t xml:space="preserve"> </w:t>
      </w:r>
      <w:hyperlink w:anchor="ref-8">
        <w:r>
          <w:rPr>
            <w:rStyle w:val="Hyperlink"/>
          </w:rPr>
          <w:t xml:space="preserve">[8]</w:t>
        </w:r>
      </w:hyperlink>
      <w:r>
        <w:t xml:space="preserve">. The socio-technical layout of the debris problem is real, and reading it takes coding the layout straight rather than deducing it from citation tallies</w:t>
      </w:r>
      <w:r>
        <w:t xml:space="preserve"> </w:t>
      </w:r>
      <w:hyperlink w:anchor="ref-3">
        <w:r>
          <w:rPr>
            <w:rStyle w:val="Hyperlink"/>
          </w:rPr>
          <w:t xml:space="preserve">[3]</w:t>
        </w:r>
      </w:hyperlink>
      <w:r>
        <w:t xml:space="preserve">.</w:t>
      </w:r>
    </w:p>
    <w:p>
      <w:pPr>
        <w:pStyle w:val="BodyText"/>
        <w:spacing w:line="480" w:lineRule="auto"/>
        <w:ind w:firstLine="720"/>
      </w:pPr>
      <w:r>
        <w:t xml:space="preserve">For the multilateral governance exchange, the finding counsels modesty about the current evidence base. Claims about concentrated responsibility, whether pressed to push liability or pressed to fend it off, ought to be marked as not yet settled from the reachable literature, and the load of building that evidence ought to be made plain in the negotiating record</w:t>
      </w:r>
      <w:r>
        <w:t xml:space="preserve"> </w:t>
      </w:r>
      <w:hyperlink w:anchor="ref-1">
        <w:r>
          <w:rPr>
            <w:rStyle w:val="Hyperlink"/>
          </w:rPr>
          <w:t xml:space="preserve">[1]</w:t>
        </w:r>
      </w:hyperlink>
      <w:r>
        <w:t xml:space="preserve"> </w:t>
      </w:r>
      <w:hyperlink w:anchor="ref-16">
        <w:r>
          <w:rPr>
            <w:rStyle w:val="Hyperlink"/>
          </w:rPr>
          <w:t xml:space="preserve">[16]</w:t>
        </w:r>
      </w:hyperlink>
      <w:r>
        <w:t xml:space="preserve">. A governance debate runs healthier when the parties agree on what the evidence does and does not show, and this dissertation hands over exactly that clarification.</w:t>
      </w:r>
    </w:p>
    <w:bookmarkEnd w:id="145"/>
    <w:bookmarkStart w:id="146" w:name="future-work"/>
    <w:p>
      <w:pPr>
        <w:pStyle w:val="Heading2"/>
        <w:spacing w:line="480" w:lineRule="auto"/>
      </w:pPr>
      <w:r>
        <w:t xml:space="preserve">8.3 Future work</w:t>
      </w:r>
    </w:p>
    <w:p>
      <w:pPr>
        <w:pStyle w:val="FirstParagraph"/>
        <w:spacing w:line="480" w:lineRule="auto"/>
      </w:pPr>
      <w:r>
        <w:t xml:space="preserve">The steering the null implies is concrete, and it maps a program in three moves.</w:t>
      </w:r>
    </w:p>
    <w:p>
      <w:pPr>
        <w:pStyle w:val="BodyText"/>
        <w:spacing w:line="480" w:lineRule="auto"/>
        <w:ind w:firstLine="720"/>
      </w:pPr>
      <w:r>
        <w:t xml:space="preserve">The opening move is direct full-text coding. Where the metadata sift found nothing, a purpose-built coding of full texts could recover responsibility order the surface leaves hidden, pinning claims about actors and eras to the passages that make them</w:t>
      </w:r>
      <w:r>
        <w:t xml:space="preserve"> </w:t>
      </w:r>
      <w:hyperlink w:anchor="ref-3">
        <w:r>
          <w:rPr>
            <w:rStyle w:val="Hyperlink"/>
          </w:rPr>
          <w:t xml:space="preserve">[3]</w:t>
        </w:r>
      </w:hyperlink>
      <w:r>
        <w:t xml:space="preserve">. That is labor the sift on purpose skipped, and it is the natural heir to an empty result at the metadata layer.</w:t>
      </w:r>
    </w:p>
    <w:p>
      <w:pPr>
        <w:pStyle w:val="BodyText"/>
        <w:spacing w:line="480" w:lineRule="auto"/>
        <w:ind w:firstLine="720"/>
      </w:pPr>
      <w:r>
        <w:t xml:space="preserve">The second move is orbital-origin joining. Responsibility in the physical sense lives in launch records, registries, and catalog cross-references that map objects to operators</w:t>
      </w:r>
      <w:r>
        <w:t xml:space="preserve"> </w:t>
      </w:r>
      <w:hyperlink w:anchor="ref-1">
        <w:r>
          <w:rPr>
            <w:rStyle w:val="Hyperlink"/>
          </w:rPr>
          <w:t xml:space="preserve">[1]</w:t>
        </w:r>
      </w:hyperlink>
      <w:r>
        <w:t xml:space="preserve"> </w:t>
      </w:r>
      <w:hyperlink w:anchor="ref-4">
        <w:r>
          <w:rPr>
            <w:rStyle w:val="Hyperlink"/>
          </w:rPr>
          <w:t xml:space="preserve">[4]</w:t>
        </w:r>
      </w:hyperlink>
      <w:r>
        <w:t xml:space="preserve">. A study that joins the documentary record to that origin layer could try uneven pollution against the object population itself, rather than against the literature about it, and could quantify the concentration the current study could only ask after.</w:t>
      </w:r>
    </w:p>
    <w:p>
      <w:pPr>
        <w:pStyle w:val="BodyText"/>
        <w:spacing w:line="480" w:lineRule="auto"/>
        <w:ind w:firstLine="720"/>
      </w:pPr>
      <w:r>
        <w:t xml:space="preserve">The third move is a fatter, better-instrumented corpus. The squeezed outcome spread and the lone ruling citation outlier capped the power of both sifts, and a corpus an order of magnitude larger, with a finer topic-signal gauge and universal rather than local citation counts, would lend the same design real power to catch a slight true signal</w:t>
      </w:r>
      <w:r>
        <w:t xml:space="preserve"> </w:t>
      </w:r>
      <w:hyperlink w:anchor="ref-5">
        <w:r>
          <w:rPr>
            <w:rStyle w:val="Hyperlink"/>
          </w:rPr>
          <w:t xml:space="preserve">[5]</w:t>
        </w:r>
      </w:hyperlink>
      <w:r>
        <w:t xml:space="preserve"> </w:t>
      </w:r>
      <w:hyperlink w:anchor="ref-8">
        <w:r>
          <w:rPr>
            <w:rStyle w:val="Hyperlink"/>
          </w:rPr>
          <w:t xml:space="preserve">[8]</w:t>
        </w:r>
      </w:hyperlink>
      <w:r>
        <w:t xml:space="preserve">. The tool is sound; it went starved of data, and feeding it is a plain next step.</w:t>
      </w:r>
    </w:p>
    <w:bookmarkEnd w:id="146"/>
    <w:bookmarkStart w:id="147" w:name="closing"/>
    <w:p>
      <w:pPr>
        <w:pStyle w:val="Heading2"/>
        <w:spacing w:line="480" w:lineRule="auto"/>
      </w:pPr>
      <w:r>
        <w:t xml:space="preserve">8.4 Closing</w:t>
      </w:r>
    </w:p>
    <w:p>
      <w:pPr>
        <w:pStyle w:val="FirstParagraph"/>
        <w:spacing w:line="480" w:lineRule="auto"/>
      </w:pPr>
      <w:r>
        <w:t xml:space="preserve">Identifiable actors placed the standing debris stock in orbit, across identifiable eras, and responsibility is reachable in principle. This dissertation tried whether it reads in the reachable documentary record and found that, at that layer, it does not</w:t>
      </w:r>
      <w:r>
        <w:t xml:space="preserve"> </w:t>
      </w:r>
      <w:hyperlink w:anchor="ref-4">
        <w:r>
          <w:rPr>
            <w:rStyle w:val="Hyperlink"/>
          </w:rPr>
          <w:t xml:space="preserve">[4]</w:t>
        </w:r>
      </w:hyperlink>
      <w:r>
        <w:t xml:space="preserve">. The honest file of a disciplined null, traceable from coefficient to source, is the contribution, and it leaves a field better aimed than a confident claim built on untried evidence would have</w:t>
      </w:r>
      <w:r>
        <w:t xml:space="preserve"> </w:t>
      </w:r>
      <w:hyperlink w:anchor="ref-7">
        <w:r>
          <w:rPr>
            <w:rStyle w:val="Hyperlink"/>
          </w:rPr>
          <w:t xml:space="preserve">[7]</w:t>
        </w:r>
      </w:hyperlink>
      <w:r>
        <w:t xml:space="preserve">. The next study now knows where to dig, and that is the most a bounded, falsifiable inquiry can be asked to hand over</w:t>
      </w:r>
      <w:r>
        <w:t xml:space="preserve"> </w:t>
      </w:r>
      <w:hyperlink w:anchor="ref-16">
        <w:r>
          <w:rPr>
            <w:rStyle w:val="Hyperlink"/>
          </w:rPr>
          <w:t xml:space="preserve">[16]</w:t>
        </w:r>
      </w:hyperlink>
      <w:r>
        <w:t xml:space="preserve">.</w:t>
      </w:r>
    </w:p>
    <w:bookmarkEnd w:id="147"/>
    <w:bookmarkStart w:id="148" w:name="X9b7d7f47c0aa99eb6f17b0939d0e6bec9e4867c"/>
    <w:p>
      <w:pPr>
        <w:pStyle w:val="Heading2"/>
        <w:spacing w:line="480" w:lineRule="auto"/>
      </w:pPr>
      <w:r>
        <w:t xml:space="preserve">8.5 What the null adds to the debris-governance conversation</w:t>
      </w:r>
    </w:p>
    <w:p>
      <w:pPr>
        <w:pStyle w:val="FirstParagraph"/>
        <w:spacing w:line="480" w:lineRule="auto"/>
      </w:pPr>
      <w:r>
        <w:t xml:space="preserve">Being concrete about how a negative result reshapes the exchange, rather than merely closing one line of inquiry, earns the effort. Debris governance moves through claims about responsibility, and those claims get asserted often with a confidence the evidence underneath has not earned</w:t>
      </w:r>
      <w:r>
        <w:t xml:space="preserve"> </w:t>
      </w:r>
      <w:hyperlink w:anchor="ref-1">
        <w:r>
          <w:rPr>
            <w:rStyle w:val="Hyperlink"/>
          </w:rPr>
          <w:t xml:space="preserve">[1]</w:t>
        </w:r>
      </w:hyperlink>
      <w:r>
        <w:t xml:space="preserve"> </w:t>
      </w:r>
      <w:hyperlink w:anchor="ref-4">
        <w:r>
          <w:rPr>
            <w:rStyle w:val="Hyperlink"/>
          </w:rPr>
          <w:t xml:space="preserve">[4]</w:t>
        </w:r>
      </w:hyperlink>
      <w:r>
        <w:t xml:space="preserve">. A party pushing a liability regime may assert responsibility concentrates in a knowable set of actors; a party fending one off may assert it spreads hopelessly. Both trade on a buried belief that the state of the evidence is settled. This dissertation supplies a small but genuine fix to that belief: at the layer of the reachable literature, the responsibility order does not yet read, and any claim presuming it ought to be marked as running past the documentary evidence</w:t>
      </w:r>
      <w:r>
        <w:t xml:space="preserve"> </w:t>
      </w:r>
      <w:hyperlink w:anchor="ref-3">
        <w:r>
          <w:rPr>
            <w:rStyle w:val="Hyperlink"/>
          </w:rPr>
          <w:t xml:space="preserve">[3]</w:t>
        </w:r>
      </w:hyperlink>
      <w:r>
        <w:t xml:space="preserve">.</w:t>
      </w:r>
    </w:p>
    <w:p>
      <w:pPr>
        <w:pStyle w:val="BodyText"/>
        <w:spacing w:line="480" w:lineRule="auto"/>
        <w:ind w:firstLine="720"/>
      </w:pPr>
      <w:r>
        <w:t xml:space="preserve">That fix is a service to the negotiation, not a block on it. An exchange in which the parties agree on what the evidence does and does not show runs healthier than one in which each side treats its favored end as settled fact</w:t>
      </w:r>
      <w:r>
        <w:t xml:space="preserve"> </w:t>
      </w:r>
      <w:hyperlink w:anchor="ref-16">
        <w:r>
          <w:rPr>
            <w:rStyle w:val="Hyperlink"/>
          </w:rPr>
          <w:t xml:space="preserve">[16]</w:t>
        </w:r>
      </w:hyperlink>
      <w:r>
        <w:t xml:space="preserve">. By marking the rim of the current evidence with an open trial, the study hands the debris-governance exchange a patch of shared ground: a spot where a doubter and an advocate can stand as one, since the finding regrows from the source column and hangs on neither party’s priors</w:t>
      </w:r>
      <w:r>
        <w:t xml:space="preserve"> </w:t>
      </w:r>
      <w:hyperlink w:anchor="ref-7">
        <w:r>
          <w:rPr>
            <w:rStyle w:val="Hyperlink"/>
          </w:rPr>
          <w:t xml:space="preserve">[7]</w:t>
        </w:r>
      </w:hyperlink>
      <w:r>
        <w:t xml:space="preserve">. The worth of a disciplined null is partly this, the making of common evidentiary ground where before stood only rival assertion.</w:t>
      </w:r>
    </w:p>
    <w:bookmarkEnd w:id="148"/>
    <w:bookmarkStart w:id="149" w:name="Xff395aaf5ac11ad0306b90affe6ea33bf78b745"/>
    <w:p>
      <w:pPr>
        <w:pStyle w:val="Heading2"/>
        <w:spacing w:line="480" w:lineRule="auto"/>
      </w:pPr>
      <w:r>
        <w:t xml:space="preserve">8.6 The reusable instrument and its scope conditions</w:t>
      </w:r>
    </w:p>
    <w:p>
      <w:pPr>
        <w:pStyle w:val="FirstParagraph"/>
        <w:spacing w:line="480" w:lineRule="auto"/>
      </w:pPr>
      <w:r>
        <w:t xml:space="preserve">The sift design reaches past this case, and stating both its reach and its edges keeps a future user from misusing it. The tool, a fixed-rule topic signal fit against regard dimensions and paired with a learning-curve check, is a cheap opening pass for any rising space-governance subject where a researcher wants to know whether the metadata layer will bear an evidence claim before sinking cost into a heavier study</w:t>
      </w:r>
      <w:r>
        <w:t xml:space="preserve"> </w:t>
      </w:r>
      <w:hyperlink w:anchor="ref-3">
        <w:r>
          <w:rPr>
            <w:rStyle w:val="Hyperlink"/>
          </w:rPr>
          <w:t xml:space="preserve">[3]</w:t>
        </w:r>
      </w:hyperlink>
      <w:r>
        <w:t xml:space="preserve"> </w:t>
      </w:r>
      <w:hyperlink w:anchor="ref-8">
        <w:r>
          <w:rPr>
            <w:rStyle w:val="Hyperlink"/>
          </w:rPr>
          <w:t xml:space="preserve">[8]</w:t>
        </w:r>
      </w:hyperlink>
      <w:r>
        <w:t xml:space="preserve">. Its strength is that it fails loudly and regrowably: when the layer runs thin, the sift throws back weak fits under a rule set ahead, and a reader can rerun the rule to confirm the verdict</w:t>
      </w:r>
      <w:r>
        <w:t xml:space="preserve"> </w:t>
      </w:r>
      <w:hyperlink w:anchor="ref-5">
        <w:r>
          <w:rPr>
            <w:rStyle w:val="Hyperlink"/>
          </w:rPr>
          <w:t xml:space="preserve">[5]</w:t>
        </w:r>
      </w:hyperlink>
      <w:r>
        <w:t xml:space="preserve">.</w:t>
      </w:r>
    </w:p>
    <w:p>
      <w:pPr>
        <w:pStyle w:val="BodyText"/>
        <w:spacing w:line="480" w:lineRule="auto"/>
        <w:ind w:firstLine="720"/>
      </w:pPr>
      <w:r>
        <w:t xml:space="preserve">The scope conditions weigh just as much. The sift works best when the outcome can be handed enough range to account for, which the squeezed spread of this particular subject denied it, and when the corpus runs large enough for large-sample reasoning to hold, which a thirty-record sample honors only loosely</w:t>
      </w:r>
      <w:r>
        <w:t xml:space="preserve"> </w:t>
      </w:r>
      <w:hyperlink w:anchor="ref-3">
        <w:r>
          <w:rPr>
            <w:rStyle w:val="Hyperlink"/>
          </w:rPr>
          <w:t xml:space="preserve">[3]</w:t>
        </w:r>
      </w:hyperlink>
      <w:r>
        <w:t xml:space="preserve">. A user turning the tool on a richer subject, with a finer outcome and a fatter corpus, would hold real power to catch a slight true signal, and an empty result under those terms would bear more weight than the power-short null filed here</w:t>
      </w:r>
      <w:r>
        <w:t xml:space="preserve"> </w:t>
      </w:r>
      <w:hyperlink w:anchor="ref-8">
        <w:r>
          <w:rPr>
            <w:rStyle w:val="Hyperlink"/>
          </w:rPr>
          <w:t xml:space="preserve">[8]</w:t>
        </w:r>
      </w:hyperlink>
      <w:r>
        <w:t xml:space="preserve">. Naming these terms keeps the tool honest across uses: it is an opening pass, not a last word, and its verdict is only as strong as the corpus and the outcome allow</w:t>
      </w:r>
      <w:r>
        <w:t xml:space="preserve"> </w:t>
      </w:r>
      <w:hyperlink w:anchor="ref-16">
        <w:r>
          <w:rPr>
            <w:rStyle w:val="Hyperlink"/>
          </w:rPr>
          <w:t xml:space="preserve">[16]</w:t>
        </w:r>
      </w:hyperlink>
      <w:r>
        <w:t xml:space="preserve">.</w:t>
      </w:r>
    </w:p>
    <w:bookmarkEnd w:id="149"/>
    <w:bookmarkStart w:id="150" w:name="the-program-in-sequence"/>
    <w:p>
      <w:pPr>
        <w:pStyle w:val="Heading2"/>
        <w:spacing w:line="480" w:lineRule="auto"/>
      </w:pPr>
      <w:r>
        <w:t xml:space="preserve">8.7 The program in sequence</w:t>
      </w:r>
    </w:p>
    <w:p>
      <w:pPr>
        <w:pStyle w:val="FirstParagraph"/>
        <w:spacing w:line="480" w:lineRule="auto"/>
      </w:pPr>
      <w:r>
        <w:t xml:space="preserve">The three future moves named above make a sequence rather than a menu, and the order carries its own case. Direct full-text coding leads because it meets the likeliest of the breaks the null could not part, the chance that responsibility lives in full texts the surface sift never read</w:t>
      </w:r>
      <w:r>
        <w:t xml:space="preserve"> </w:t>
      </w:r>
      <w:hyperlink w:anchor="ref-3">
        <w:r>
          <w:rPr>
            <w:rStyle w:val="Hyperlink"/>
          </w:rPr>
          <w:t xml:space="preserve">[3]</w:t>
        </w:r>
      </w:hyperlink>
      <w:r>
        <w:t xml:space="preserve">. Coding the texts would either recover the order the metadata hid, backing the second break, or throw back a second null, firming the case that the field has yet to gather around responsibility at all</w:t>
      </w:r>
      <w:r>
        <w:t xml:space="preserve"> </w:t>
      </w:r>
      <w:hyperlink w:anchor="ref-7">
        <w:r>
          <w:rPr>
            <w:rStyle w:val="Hyperlink"/>
          </w:rPr>
          <w:t xml:space="preserve">[7]</w:t>
        </w:r>
      </w:hyperlink>
      <w:r>
        <w:t xml:space="preserve">. Either outcome moves the inquiry along, which is the mark of a well-set next step.</w:t>
      </w:r>
    </w:p>
    <w:p>
      <w:pPr>
        <w:pStyle w:val="BodyText"/>
        <w:spacing w:line="480" w:lineRule="auto"/>
        <w:ind w:firstLine="720"/>
      </w:pPr>
      <w:r>
        <w:t xml:space="preserve">Orbital-origin joining comes second because it swaps the object of study from the literature about responsibility to responsibility itself, tying the documentary record to the launch and registry records that map objects to operators</w:t>
      </w:r>
      <w:r>
        <w:t xml:space="preserve"> </w:t>
      </w:r>
      <w:hyperlink w:anchor="ref-1">
        <w:r>
          <w:rPr>
            <w:rStyle w:val="Hyperlink"/>
          </w:rPr>
          <w:t xml:space="preserve">[1]</w:t>
        </w:r>
      </w:hyperlink>
      <w:r>
        <w:t xml:space="preserve"> </w:t>
      </w:r>
      <w:hyperlink w:anchor="ref-4">
        <w:r>
          <w:rPr>
            <w:rStyle w:val="Hyperlink"/>
          </w:rPr>
          <w:t xml:space="preserve">[4]</w:t>
        </w:r>
      </w:hyperlink>
      <w:r>
        <w:t xml:space="preserve">. That tie is what would let a future study try uneven pollution against the debris population straight, quantifying the concentration this study could only ask after. It comes second rather than first because it is the pricier move, warranted once the cheaper text-coding step has clarified whether the literature holds usable responsibility content</w:t>
      </w:r>
      <w:r>
        <w:t xml:space="preserve"> </w:t>
      </w:r>
      <w:hyperlink w:anchor="ref-8">
        <w:r>
          <w:rPr>
            <w:rStyle w:val="Hyperlink"/>
          </w:rPr>
          <w:t xml:space="preserve">[8]</w:t>
        </w:r>
      </w:hyperlink>
      <w:r>
        <w:t xml:space="preserve">. The fatter, better-instrumented corpus comes third because it is less a separate study than a precondition for the first two to hold the power the present sift lacked, and building it is the plain infrastructure outlay that would let the whole design speak with authority rather than caution</w:t>
      </w:r>
      <w:r>
        <w:t xml:space="preserve"> </w:t>
      </w:r>
      <w:hyperlink w:anchor="ref-5">
        <w:r>
          <w:rPr>
            <w:rStyle w:val="Hyperlink"/>
          </w:rPr>
          <w:t xml:space="preserve">[5]</w:t>
        </w:r>
      </w:hyperlink>
      <w:r>
        <w:t xml:space="preserve"> </w:t>
      </w:r>
      <w:hyperlink w:anchor="ref-16">
        <w:r>
          <w:rPr>
            <w:rStyle w:val="Hyperlink"/>
          </w:rPr>
          <w:t xml:space="preserve">[16]</w:t>
        </w:r>
      </w:hyperlink>
      <w:r>
        <w:t xml:space="preserve">. Sequenced this way, the program moves from the cheapest diagnostic to the weightiest measurement, spending effort in the order the evidence warrants.</w:t>
      </w:r>
    </w:p>
    <w:bookmarkEnd w:id="150"/>
    <w:bookmarkStart w:id="151" w:name="closing-reflection"/>
    <w:p>
      <w:pPr>
        <w:pStyle w:val="Heading2"/>
        <w:spacing w:line="480" w:lineRule="auto"/>
      </w:pPr>
      <w:r>
        <w:t xml:space="preserve">8.8 Closing reflection</w:t>
      </w:r>
    </w:p>
    <w:p>
      <w:pPr>
        <w:pStyle w:val="FirstParagraph"/>
        <w:spacing w:line="480" w:lineRule="auto"/>
      </w:pPr>
      <w:r>
        <w:t xml:space="preserve">A dissertation gets judged partly on what it declines to claim. This one declined to turn a weak corpus signal into a confident responsibility verdict, and that refusal is not timidity but method</w:t>
      </w:r>
      <w:r>
        <w:t xml:space="preserve"> </w:t>
      </w:r>
      <w:hyperlink w:anchor="ref-4">
        <w:r>
          <w:rPr>
            <w:rStyle w:val="Hyperlink"/>
          </w:rPr>
          <w:t xml:space="preserve">[4]</w:t>
        </w:r>
      </w:hyperlink>
      <w:r>
        <w:t xml:space="preserve">. The debris stock varies in origin, responsibility is reachable in principle, and the reachable documentary record does not yet make that variation read to gauging. Holding those three holdings together, without folding the first into a claim the third cannot bear, is the reading feat the study set out to earn</w:t>
      </w:r>
      <w:r>
        <w:t xml:space="preserve"> </w:t>
      </w:r>
      <w:hyperlink w:anchor="ref-1">
        <w:r>
          <w:rPr>
            <w:rStyle w:val="Hyperlink"/>
          </w:rPr>
          <w:t xml:space="preserve">[1]</w:t>
        </w:r>
      </w:hyperlink>
      <w:r>
        <w:t xml:space="preserve">. The reader who trails the chain from source column to coefficient to conclusion arrives not at a grand result but at a sure one, and in a field crowded with assertion, a sure small result outweighs a grand uncheckable one</w:t>
      </w:r>
      <w:r>
        <w:t xml:space="preserve"> </w:t>
      </w:r>
      <w:hyperlink w:anchor="ref-7">
        <w:r>
          <w:rPr>
            <w:rStyle w:val="Hyperlink"/>
          </w:rPr>
          <w:t xml:space="preserve">[7]</w:t>
        </w:r>
      </w:hyperlink>
      <w:r>
        <w:t xml:space="preserve">. That is the standard the introduction announced, and it is the standard on which this bounded, falsifiable inquiry rests its case</w:t>
      </w:r>
      <w:r>
        <w:t xml:space="preserve"> </w:t>
      </w:r>
      <w:hyperlink w:anchor="ref-16">
        <w:r>
          <w:rPr>
            <w:rStyle w:val="Hyperlink"/>
          </w:rPr>
          <w:t xml:space="preserve">[16]</w:t>
        </w:r>
      </w:hyperlink>
      <w:r>
        <w:t xml:space="preserve">.</w:t>
      </w:r>
    </w:p>
    <w:bookmarkEnd w:id="151"/>
    <w:bookmarkStart w:id="152" w:name="X8615bd5a674e72bf2dfc7cef799bee34a7762cf"/>
    <w:p>
      <w:pPr>
        <w:pStyle w:val="Heading2"/>
        <w:spacing w:line="480" w:lineRule="auto"/>
      </w:pPr>
      <w:r>
        <w:t xml:space="preserve">8.9 Relevance to active debris removal decisions</w:t>
      </w:r>
    </w:p>
    <w:p>
      <w:pPr>
        <w:pStyle w:val="FirstParagraph"/>
        <w:spacing w:line="480" w:lineRule="auto"/>
      </w:pPr>
      <w:r>
        <w:t xml:space="preserve">The most concrete program upshot of the null lands on active debris removal, where responsibility and remediation meet most directly. Removing an object means touching hardware some state still claims through its registry, so a removal program presumes a responsibility map: which objects belong to whom, made in which era, under which governing norms</w:t>
      </w:r>
      <w:r>
        <w:t xml:space="preserve"> </w:t>
      </w:r>
      <w:hyperlink w:anchor="ref-1">
        <w:r>
          <w:rPr>
            <w:rStyle w:val="Hyperlink"/>
          </w:rPr>
          <w:t xml:space="preserve">[1]</w:t>
        </w:r>
      </w:hyperlink>
      <w:r>
        <w:t xml:space="preserve">. Backers of ambitious removal agendas sometimes talk as though that map were in hand, set to steer ranking toward the actors and eras behind the thickest danger</w:t>
      </w:r>
      <w:r>
        <w:t xml:space="preserve"> </w:t>
      </w:r>
      <w:hyperlink w:anchor="ref-4">
        <w:r>
          <w:rPr>
            <w:rStyle w:val="Hyperlink"/>
          </w:rPr>
          <w:t xml:space="preserve">[4]</w:t>
        </w:r>
      </w:hyperlink>
      <w:r>
        <w:t xml:space="preserve">. This dissertation supplies a caution the removal community ought to welcome rather than fight: the map cannot yet be drawn from the documentary surface, and a ranking scheme presuming it can is resting on evidence it has not built</w:t>
      </w:r>
      <w:r>
        <w:t xml:space="preserve"> </w:t>
      </w:r>
      <w:hyperlink w:anchor="ref-3">
        <w:r>
          <w:rPr>
            <w:rStyle w:val="Hyperlink"/>
          </w:rPr>
          <w:t xml:space="preserve">[3]</w:t>
        </w:r>
      </w:hyperlink>
      <w:r>
        <w:t xml:space="preserve">.</w:t>
      </w:r>
    </w:p>
    <w:p>
      <w:pPr>
        <w:pStyle w:val="BodyText"/>
        <w:spacing w:line="480" w:lineRule="auto"/>
        <w:ind w:firstLine="720"/>
      </w:pPr>
      <w:r>
        <w:t xml:space="preserve">The caution builds program design up. It says the responsibility inputs a removal program takes are not going to drop out of a bibliometric review, and that the money such a program wields is better spent instrumenting the layers where responsibility truly lives: the launch records, the catalog cross-references, and the registry habits that map objects to operators</w:t>
      </w:r>
      <w:r>
        <w:t xml:space="preserve"> </w:t>
      </w:r>
      <w:hyperlink w:anchor="ref-8">
        <w:r>
          <w:rPr>
            <w:rStyle w:val="Hyperlink"/>
          </w:rPr>
          <w:t xml:space="preserve">[8]</w:t>
        </w:r>
      </w:hyperlink>
      <w:r>
        <w:t xml:space="preserve">. A removal program that budgets for that instrumentation, rather than presuming the responsibility map a free byproduct of the standing literature, is a program built on the evidence this study shows must be made rather than borrowed</w:t>
      </w:r>
      <w:r>
        <w:t xml:space="preserve"> </w:t>
      </w:r>
      <w:hyperlink w:anchor="ref-16">
        <w:r>
          <w:rPr>
            <w:rStyle w:val="Hyperlink"/>
          </w:rPr>
          <w:t xml:space="preserve">[16]</w:t>
        </w:r>
      </w:hyperlink>
      <w:r>
        <w:t xml:space="preserve">. The null, put otherwise, is a line item as much as a finding: it tells a program manager responsibility evidence is a thing to be funded and gathered, not a thing already on hand.</w:t>
      </w:r>
    </w:p>
    <w:bookmarkEnd w:id="152"/>
    <w:bookmarkStart w:id="153" w:name="X383ed0ca16df063481dd83df926ca6e60e29967"/>
    <w:p>
      <w:pPr>
        <w:pStyle w:val="Heading2"/>
        <w:spacing w:line="480" w:lineRule="auto"/>
      </w:pPr>
      <w:r>
        <w:t xml:space="preserve">8.10 Relevance to the sensing and cataloging enterprise</w:t>
      </w:r>
    </w:p>
    <w:p>
      <w:pPr>
        <w:pStyle w:val="FirstParagraph"/>
        <w:spacing w:line="480" w:lineRule="auto"/>
      </w:pPr>
      <w:r>
        <w:t xml:space="preserve">The finding also speaks to the sensing and cataloging enterprise, where scarce observing time gets rationed across a growing object population under owned uncertainty</w:t>
      </w:r>
      <w:r>
        <w:t xml:space="preserve"> </w:t>
      </w:r>
      <w:hyperlink w:anchor="ref-8">
        <w:r>
          <w:rPr>
            <w:rStyle w:val="Hyperlink"/>
          </w:rPr>
          <w:t xml:space="preserve">[8]</w:t>
        </w:r>
      </w:hyperlink>
      <w:r>
        <w:t xml:space="preserve">. If responsibility matters for governance, deterrence, and removal, and if it cannot be recovered from the literature, then the sensing enterprise turns into one of the few spots where responsibility evidence truly gets made, through the revisits and orbit determinations that tie objects to their origins</w:t>
      </w:r>
      <w:r>
        <w:t xml:space="preserve"> </w:t>
      </w:r>
      <w:hyperlink w:anchor="ref-5">
        <w:r>
          <w:rPr>
            <w:rStyle w:val="Hyperlink"/>
          </w:rPr>
          <w:t xml:space="preserve">[5]</w:t>
        </w:r>
      </w:hyperlink>
      <w:r>
        <w:t xml:space="preserve">. That lifts the governance worth of observing calls that might otherwise stand on collision-avoidance grounds alone. A tasking policy that keeps poorly attributed objects observable is doing responsibility work, even where its nearest warrant is flight safety</w:t>
      </w:r>
      <w:r>
        <w:t xml:space="preserve"> </w:t>
      </w:r>
      <w:hyperlink w:anchor="ref-3">
        <w:r>
          <w:rPr>
            <w:rStyle w:val="Hyperlink"/>
          </w:rPr>
          <w:t xml:space="preserve">[3]</w:t>
        </w:r>
      </w:hyperlink>
      <w:r>
        <w:t xml:space="preserve">.</w:t>
      </w:r>
    </w:p>
    <w:p>
      <w:pPr>
        <w:pStyle w:val="BodyText"/>
        <w:spacing w:line="480" w:lineRule="auto"/>
        <w:ind w:firstLine="720"/>
      </w:pPr>
      <w:r>
        <w:t xml:space="preserve">Read this way, the null turns a negative literature result into a positive case for sensing outlay. The socio-technical layout of the debris problem is real, and the study shows reading that layout takes coding it straight rather than deducing it from citation tallies</w:t>
      </w:r>
      <w:r>
        <w:t xml:space="preserve"> </w:t>
      </w:r>
      <w:hyperlink w:anchor="ref-3">
        <w:r>
          <w:rPr>
            <w:rStyle w:val="Hyperlink"/>
          </w:rPr>
          <w:t xml:space="preserve">[3]</w:t>
        </w:r>
      </w:hyperlink>
      <w:r>
        <w:t xml:space="preserve">. The sensing enterprise is where the straight layout gets captured, object by object, and the case for funding it gains a governance rationale from the showing that the cheaper documentary road does not bear the responsibility load</w:t>
      </w:r>
      <w:r>
        <w:t xml:space="preserve"> </w:t>
      </w:r>
      <w:hyperlink w:anchor="ref-7">
        <w:r>
          <w:rPr>
            <w:rStyle w:val="Hyperlink"/>
          </w:rPr>
          <w:t xml:space="preserve">[7]</w:t>
        </w:r>
      </w:hyperlink>
      <w:r>
        <w:t xml:space="preserve">. Program managers weighing sensor-tasking budgets against other calls can add this to the ledger: the observing base is not only a safety asset but a responsibility one, and the null set here is part of why the two roles cannot be split</w:t>
      </w:r>
      <w:r>
        <w:t xml:space="preserve"> </w:t>
      </w:r>
      <w:hyperlink w:anchor="ref-8">
        <w:r>
          <w:rPr>
            <w:rStyle w:val="Hyperlink"/>
          </w:rPr>
          <w:t xml:space="preserve">[8]</w:t>
        </w:r>
      </w:hyperlink>
      <w:r>
        <w:t xml:space="preserve">.</w:t>
      </w:r>
    </w:p>
    <w:bookmarkEnd w:id="153"/>
    <w:bookmarkStart w:id="154" w:name="X92bb36190eb55313eb9768a4bb1dc7b8957f2b4"/>
    <w:p>
      <w:pPr>
        <w:pStyle w:val="Heading2"/>
        <w:spacing w:line="480" w:lineRule="auto"/>
      </w:pPr>
      <w:r>
        <w:t xml:space="preserve">8.11 A concluding statement of what was and was not achieved</w:t>
      </w:r>
    </w:p>
    <w:p>
      <w:pPr>
        <w:pStyle w:val="FirstParagraph"/>
        <w:spacing w:line="480" w:lineRule="auto"/>
      </w:pPr>
      <w:r>
        <w:t xml:space="preserve">Shutting by stating plainly what this dissertation reached and what it left for others seems right, because a bounded inquiry earns its authority by being clear about its bounds. It reached a regrowable trial of whether the reachable documentary record carries a gaugeable signal about uneven pollution in the standing debris stock, and it filed, from two apart sifts on an open corpus, that at the metadata layer it does not</w:t>
      </w:r>
      <w:r>
        <w:t xml:space="preserve"> </w:t>
      </w:r>
      <w:hyperlink w:anchor="ref-3">
        <w:r>
          <w:rPr>
            <w:rStyle w:val="Hyperlink"/>
          </w:rPr>
          <w:t xml:space="preserve">[3]</w:t>
        </w:r>
      </w:hyperlink>
      <w:r>
        <w:t xml:space="preserve"> </w:t>
      </w:r>
      <w:hyperlink w:anchor="ref-8">
        <w:r>
          <w:rPr>
            <w:rStyle w:val="Hyperlink"/>
          </w:rPr>
          <w:t xml:space="preserve">[8]</w:t>
        </w:r>
      </w:hyperlink>
      <w:r>
        <w:t xml:space="preserve">. It reached this without conjuring a number, without settling a close call by hand, and without combing over forms for a result, so the conclusion is the output of a procedure a reader can rerun rather than the opinion of an author a reader must bank on</w:t>
      </w:r>
      <w:r>
        <w:t xml:space="preserve"> </w:t>
      </w:r>
      <w:hyperlink w:anchor="ref-4">
        <w:r>
          <w:rPr>
            <w:rStyle w:val="Hyperlink"/>
          </w:rPr>
          <w:t xml:space="preserve">[4]</w:t>
        </w:r>
      </w:hyperlink>
      <w:r>
        <w:t xml:space="preserve">.</w:t>
      </w:r>
    </w:p>
    <w:p>
      <w:pPr>
        <w:pStyle w:val="BodyText"/>
        <w:spacing w:line="480" w:lineRule="auto"/>
        <w:ind w:firstLine="720"/>
      </w:pPr>
      <w:r>
        <w:t xml:space="preserve">What it did not reach, it did not try for. It did not pin specific fragments to specific actors, did not model the causal consequence of any policy, and did not settle whether responsibility for the debris setting ought to spread diffusely or concentrate on a knowable set of actors</w:t>
      </w:r>
      <w:r>
        <w:t xml:space="preserve"> </w:t>
      </w:r>
      <w:hyperlink w:anchor="ref-1">
        <w:r>
          <w:rPr>
            <w:rStyle w:val="Hyperlink"/>
          </w:rPr>
          <w:t xml:space="preserve">[1]</w:t>
        </w:r>
      </w:hyperlink>
      <w:r>
        <w:t xml:space="preserve"> </w:t>
      </w:r>
      <w:hyperlink w:anchor="ref-16">
        <w:r>
          <w:rPr>
            <w:rStyle w:val="Hyperlink"/>
          </w:rPr>
          <w:t xml:space="preserve">[16]</w:t>
        </w:r>
      </w:hyperlink>
      <w:r>
        <w:t xml:space="preserve">. Those questions stay open, and the study’s contribution to them is precisely to mark that they stay open at the layer it eyed, and to aim the next inquiry at the full texts and orbital records where the evidence, if real, must be hunted</w:t>
      </w:r>
      <w:r>
        <w:t xml:space="preserve"> </w:t>
      </w:r>
      <w:hyperlink w:anchor="ref-5">
        <w:r>
          <w:rPr>
            <w:rStyle w:val="Hyperlink"/>
          </w:rPr>
          <w:t xml:space="preserve">[5]</w:t>
        </w:r>
      </w:hyperlink>
      <w:r>
        <w:t xml:space="preserve">. A field is better served by a sure account of where its evidence is absent than by a confident account of a conclusion its evidence cannot bear, and supplying the former, traceable from source column to coefficient to claim, is the whole of what this dissertation set out to do</w:t>
      </w:r>
      <w:r>
        <w:t xml:space="preserve"> </w:t>
      </w:r>
      <w:hyperlink w:anchor="ref-7">
        <w:r>
          <w:rPr>
            <w:rStyle w:val="Hyperlink"/>
          </w:rPr>
          <w:t xml:space="preserve">[7]</w:t>
        </w:r>
      </w:hyperlink>
      <w:r>
        <w:t xml:space="preserve">.</w:t>
      </w:r>
    </w:p>
    <w:bookmarkEnd w:id="154"/>
    <w:bookmarkStart w:id="182" w:name="references"/>
    <w:p>
      <w:pPr>
        <w:pStyle w:val="Heading2"/>
        <w:spacing w:line="480" w:lineRule="auto"/>
      </w:pPr>
      <w:r>
        <w:t xml:space="preserve">References</w:t>
      </w:r>
    </w:p>
    <w:p>
      <w:pPr>
        <w:pStyle w:val="FirstParagraph"/>
        <w:spacing w:line="480" w:lineRule="auto"/>
      </w:pPr>
      <w:bookmarkStart w:id="155" w:name="ref-1"/>
      <w:bookmarkEnd w:id="155"/>
      <w:r>
        <w:t xml:space="preserve">1. Scott Steele, The Open University. Can International Law Provide a Basis for Actively Removing Space Debris? (2020). [AMOS]</w:t>
      </w:r>
    </w:p>
    <w:p>
      <w:pPr>
        <w:pStyle w:val="BodyText"/>
        <w:spacing w:line="480" w:lineRule="auto"/>
        <w:ind w:firstLine="720"/>
      </w:pPr>
      <w:bookmarkStart w:id="156" w:name="ref-2"/>
      <w:bookmarkEnd w:id="156"/>
      <w:r>
        <w:t xml:space="preserve">2. Jaedong Seong, Korea Aerospace Research Institute (KARI); Okchul Jung, Korea Aerospace Research Institute (KARI); Youeyun Jung, Korea Aerospace Research Institute (KARI); Saehan Song, Korea Aerospace Research Institute (KARI). Development of VISION (Vigilant Integrated Space Information and mOnitoring Network): An Integrated Space Information Monitoring System for Space Flight Safety (2025). doi:</w:t>
      </w:r>
      <w:r>
        <w:t xml:space="preserve"> </w:t>
      </w:r>
      <w:hyperlink r:id="rId157">
        <w:r>
          <w:rPr>
            <w:rStyle w:val="Hyperlink"/>
          </w:rPr>
          <w:t xml:space="preserve">10.64861/OTAL2562</w:t>
        </w:r>
      </w:hyperlink>
    </w:p>
    <w:p>
      <w:pPr>
        <w:pStyle w:val="BodyText"/>
        <w:spacing w:line="480" w:lineRule="auto"/>
        <w:ind w:firstLine="720"/>
      </w:pPr>
      <w:bookmarkStart w:id="158" w:name="ref-3"/>
      <w:bookmarkEnd w:id="158"/>
      <w:r>
        <w:t xml:space="preserve">3. Tiffany Phan, University of Texas at Austin; Moriba Jah, University of Texas at Austin. Socio-Technical Configuration Analysis of Space Objects for Enhanced Space Domain Awareness (2025). doi:</w:t>
      </w:r>
      <w:r>
        <w:t xml:space="preserve"> </w:t>
      </w:r>
      <w:hyperlink r:id="rId159">
        <w:r>
          <w:rPr>
            <w:rStyle w:val="Hyperlink"/>
          </w:rPr>
          <w:t xml:space="preserve">10.64861/GDIM2412</w:t>
        </w:r>
      </w:hyperlink>
    </w:p>
    <w:p>
      <w:pPr>
        <w:pStyle w:val="BodyText"/>
        <w:spacing w:line="480" w:lineRule="auto"/>
        <w:ind w:firstLine="720"/>
      </w:pPr>
      <w:bookmarkStart w:id="160" w:name="ref-4"/>
      <w:bookmarkEnd w:id="160"/>
      <w:r>
        <w:t xml:space="preserve">4. Roohi Dalal, Outer Space Institute; Aaron Boley, Outer Space Institute and University of British Columbia; Michael Byers, Outer Space Institute and University of British Columbia. Space Debris and Nuclear Strategic Stability: Collision Risks and Attribution Potential in GEO (2024). doi:</w:t>
      </w:r>
      <w:r>
        <w:t xml:space="preserve"> </w:t>
      </w:r>
      <w:hyperlink r:id="rId161">
        <w:r>
          <w:rPr>
            <w:rStyle w:val="Hyperlink"/>
          </w:rPr>
          <w:t xml:space="preserve">10.64861/EIBC5616</w:t>
        </w:r>
      </w:hyperlink>
    </w:p>
    <w:p>
      <w:pPr>
        <w:pStyle w:val="BodyText"/>
        <w:spacing w:line="480" w:lineRule="auto"/>
        <w:ind w:firstLine="720"/>
      </w:pPr>
      <w:bookmarkStart w:id="162" w:name="ref-5"/>
      <w:bookmarkEnd w:id="162"/>
      <w:r>
        <w:t xml:space="preserve">5. Elisabeth Rachith, Laboratory of Astrophysics EPFL LASTRO, Observatoire de Sauverny; Belén Yu Irureta-Goyena, Laboratory of Astrophysics EPFL LASTRO, Observatoire de Sauverny; Jean-Paul Kneib, Laboratory of Astrophysics EPFL LASTRO, Observatoire de Sauverny. Detection Methods for the Statistical Analysis of the Population of Satellites and Space Debris from Astronomical Images (2022). [AMOS]</w:t>
      </w:r>
    </w:p>
    <w:p>
      <w:pPr>
        <w:pStyle w:val="BodyText"/>
        <w:spacing w:line="480" w:lineRule="auto"/>
        <w:ind w:firstLine="720"/>
      </w:pPr>
      <w:bookmarkStart w:id="163" w:name="ref-6"/>
      <w:bookmarkEnd w:id="163"/>
      <w:r>
        <w:t xml:space="preserve">6. Philip A. Bland and the DFN Team, Curtin University. Adapting a Planetary Science Observational Facility for Space Situational Awareness (2016). [AMOS]</w:t>
      </w:r>
    </w:p>
    <w:p>
      <w:pPr>
        <w:pStyle w:val="BodyText"/>
        <w:spacing w:line="480" w:lineRule="auto"/>
        <w:ind w:firstLine="720"/>
      </w:pPr>
      <w:bookmarkStart w:id="164" w:name="ref-7"/>
      <w:bookmarkEnd w:id="164"/>
      <w:r>
        <w:t xml:space="preserve">7. Islam I. Hussein, Trusted Space, Inc.; Thomas Kubancik, Trusted Space, Inc; Erin Griggs, Trusted Space, Inc.; Holly Borowski, Trusted Space, Inc.; Mark Bolden, Trusted Space, Inc.. Risk-Based Decision-Making for Space Traffic Management (2022). [AMOS]</w:t>
      </w:r>
    </w:p>
    <w:p>
      <w:pPr>
        <w:pStyle w:val="BodyText"/>
        <w:spacing w:line="480" w:lineRule="auto"/>
        <w:ind w:firstLine="720"/>
      </w:pPr>
      <w:bookmarkStart w:id="165" w:name="ref-8"/>
      <w:bookmarkEnd w:id="165"/>
      <w:r>
        <w:t xml:space="preserve">8. Richard Linares, University of Minnesota, Roberto Furfaro, University of Arizona. An Autonomous Sensor Tasking Approach for Large Scale Space Object Cataloging (2017). [AMOS]</w:t>
      </w:r>
    </w:p>
    <w:p>
      <w:pPr>
        <w:pStyle w:val="BodyText"/>
        <w:spacing w:line="480" w:lineRule="auto"/>
        <w:ind w:firstLine="720"/>
      </w:pPr>
      <w:bookmarkStart w:id="166" w:name="ref-9"/>
      <w:bookmarkEnd w:id="166"/>
      <w:r>
        <w:t xml:space="preserve">9. Anna Hurova. Gamification as a tool to identify and address ongoing challenges in space activities: the case of space debris mitigation (2024). doi:</w:t>
      </w:r>
      <w:r>
        <w:t xml:space="preserve"> </w:t>
      </w:r>
      <w:hyperlink r:id="rId167">
        <w:r>
          <w:rPr>
            <w:rStyle w:val="Hyperlink"/>
          </w:rPr>
          <w:t xml:space="preserve">10.1016/j.actaastro.2024.09.057</w:t>
        </w:r>
      </w:hyperlink>
    </w:p>
    <w:p>
      <w:pPr>
        <w:pStyle w:val="BodyText"/>
        <w:spacing w:line="480" w:lineRule="auto"/>
        <w:ind w:firstLine="720"/>
      </w:pPr>
      <w:bookmarkStart w:id="168" w:name="ref-10"/>
      <w:bookmarkEnd w:id="168"/>
      <w:r>
        <w:t xml:space="preserve">10. Jie Long; Wenzhen Chen. Laser utilization in outer space: Institutional bottleneck and prospects (2025). doi:</w:t>
      </w:r>
      <w:r>
        <w:t xml:space="preserve"> </w:t>
      </w:r>
      <w:hyperlink r:id="rId169">
        <w:r>
          <w:rPr>
            <w:rStyle w:val="Hyperlink"/>
          </w:rPr>
          <w:t xml:space="preserve">10.1016/j.actaastro.2025.01.061</w:t>
        </w:r>
      </w:hyperlink>
    </w:p>
    <w:p>
      <w:pPr>
        <w:pStyle w:val="BodyText"/>
        <w:spacing w:line="480" w:lineRule="auto"/>
        <w:ind w:firstLine="720"/>
      </w:pPr>
      <w:bookmarkStart w:id="170" w:name="ref-11"/>
      <w:bookmarkEnd w:id="170"/>
      <w:r>
        <w:t xml:space="preserve">11. Anna Marie Brennan. Regulating the environmental impact of asteroid mining: Toward an independent international monitoring mechanism (2026). doi:</w:t>
      </w:r>
      <w:r>
        <w:t xml:space="preserve"> </w:t>
      </w:r>
      <w:hyperlink r:id="rId171">
        <w:r>
          <w:rPr>
            <w:rStyle w:val="Hyperlink"/>
          </w:rPr>
          <w:t xml:space="preserve">10.1016/j.actaastro.2026.02.013</w:t>
        </w:r>
      </w:hyperlink>
    </w:p>
    <w:p>
      <w:pPr>
        <w:pStyle w:val="BodyText"/>
        <w:spacing w:line="480" w:lineRule="auto"/>
        <w:ind w:firstLine="720"/>
      </w:pPr>
      <w:bookmarkStart w:id="172" w:name="ref-12"/>
      <w:bookmarkEnd w:id="172"/>
      <w:r>
        <w:t xml:space="preserve">12. Roberta Fusaro; Guido Saccone; Nicole Viola. NOx emissions estimation methodology for air-breathing reusable access to space vehicle in conceptual design (2024). doi:</w:t>
      </w:r>
      <w:r>
        <w:t xml:space="preserve"> </w:t>
      </w:r>
      <w:hyperlink r:id="rId173">
        <w:r>
          <w:rPr>
            <w:rStyle w:val="Hyperlink"/>
          </w:rPr>
          <w:t xml:space="preserve">10.1016/j.actaastro.2023.12.060</w:t>
        </w:r>
      </w:hyperlink>
    </w:p>
    <w:p>
      <w:pPr>
        <w:pStyle w:val="BodyText"/>
        <w:spacing w:line="480" w:lineRule="auto"/>
        <w:ind w:firstLine="720"/>
      </w:pPr>
      <w:bookmarkStart w:id="174" w:name="ref-13"/>
      <w:bookmarkEnd w:id="174"/>
      <w:r>
        <w:t xml:space="preserve">13. Maximilien Berthet; Kojiro Suzuki. Study on the dynamics of an origami space plane during Earth atmospheric entry (2025). doi:</w:t>
      </w:r>
      <w:r>
        <w:t xml:space="preserve"> </w:t>
      </w:r>
      <w:hyperlink r:id="rId175">
        <w:r>
          <w:rPr>
            <w:rStyle w:val="Hyperlink"/>
          </w:rPr>
          <w:t xml:space="preserve">10.1016/j.actaastro.2025.06.052</w:t>
        </w:r>
      </w:hyperlink>
    </w:p>
    <w:p>
      <w:pPr>
        <w:pStyle w:val="BodyText"/>
        <w:spacing w:line="480" w:lineRule="auto"/>
        <w:ind w:firstLine="720"/>
      </w:pPr>
      <w:bookmarkStart w:id="176" w:name="ref-14"/>
      <w:bookmarkEnd w:id="176"/>
      <w:r>
        <w:t xml:space="preserve">14. Bea Ehmann; Irén Barkaszi; Eliza Kollerits; A KISS; László Balázs; Anna Altbäcker. Cultural differences in the ICE-Group experience: Diaries of French and British antarctic winteroverers (2024). doi:</w:t>
      </w:r>
      <w:r>
        <w:t xml:space="preserve"> </w:t>
      </w:r>
      <w:hyperlink r:id="rId177">
        <w:r>
          <w:rPr>
            <w:rStyle w:val="Hyperlink"/>
          </w:rPr>
          <w:t xml:space="preserve">10.1016/j.actaastro.2024.02.024</w:t>
        </w:r>
      </w:hyperlink>
    </w:p>
    <w:p>
      <w:pPr>
        <w:pStyle w:val="BodyText"/>
        <w:spacing w:line="480" w:lineRule="auto"/>
        <w:ind w:firstLine="720"/>
      </w:pPr>
      <w:bookmarkStart w:id="178" w:name="ref-15"/>
      <w:bookmarkEnd w:id="178"/>
      <w:r>
        <w:t xml:space="preserve">15. Maxim Kurilov; Lukas Werling; Christoph Kirchberger; Helmut Ciezki; Stefan Schlechtriem. Combustion behavior of NMP-001, a nitromethane-based green rocket propellant (2024). doi:</w:t>
      </w:r>
      <w:r>
        <w:t xml:space="preserve"> </w:t>
      </w:r>
      <w:hyperlink r:id="rId179">
        <w:r>
          <w:rPr>
            <w:rStyle w:val="Hyperlink"/>
          </w:rPr>
          <w:t xml:space="preserve">10.1016/j.actaastro.2024.06.046</w:t>
        </w:r>
      </w:hyperlink>
    </w:p>
    <w:p>
      <w:pPr>
        <w:pStyle w:val="BodyText"/>
        <w:spacing w:line="480" w:lineRule="auto"/>
        <w:ind w:firstLine="720"/>
      </w:pPr>
      <w:bookmarkStart w:id="180" w:name="ref-16"/>
      <w:bookmarkEnd w:id="180"/>
      <w:r>
        <w:t xml:space="preserve">16. C. Varughese; Lena Henry; A. B. Morris; Sarah Bickerton; Nicholas J. Rattenbury; Cody Mankelow; Alice Gorman; Stevie Katavich-Barton; Priyanka Dhopade. The intersection of space and sustainability: The need for a transdisciplinary and bi-cultural approach (2023). doi:</w:t>
      </w:r>
      <w:r>
        <w:t xml:space="preserve"> </w:t>
      </w:r>
      <w:hyperlink r:id="rId181">
        <w:r>
          <w:rPr>
            <w:rStyle w:val="Hyperlink"/>
          </w:rPr>
          <w:t xml:space="preserve">10.1016/j.actaastro.2023.07.009</w:t>
        </w:r>
      </w:hyperlink>
    </w:p>
    <w:bookmarkEnd w:id="182"/>
    <w:bookmarkEnd w:id="183"/>
    <w:bookmarkStart w:id="200"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1" w:name="X956d534cdedaa3af49bcbf05ae5a65f6f1d707b"/>
    <w:p>
      <w:pPr>
        <w:pStyle w:val="Heading2"/>
        <w:spacing w:line="480" w:lineRule="auto"/>
      </w:pPr>
      <w:r>
        <w:t xml:space="preserve">A.1 Signal Intensity in Polluter Heterogeneity Attributing the Standing-Debris Stock to Actors, Eras, a: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84"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1.2721</w:t>
            </w:r>
          </w:p>
        </w:tc>
        <w:tc>
          <w:tcPr>
            <w:tcW w:w="0" w:type="auto"/>
          </w:tcPr>
          <w:p>
            <w:pPr>
              <w:spacing w:line="240" w:lineRule="auto" w:before="0" w:after="0"/>
              <w:pStyle w:val="Compact"/>
            </w:pPr>
            <w:r>
              <w:rPr>
                <w:sz w:val="20"/>
                <w:szCs w:val="20"/>
              </w:rPr>
              <w:t xml:space="preserve">0.4866</w:t>
            </w:r>
          </w:p>
        </w:tc>
        <w:tc>
          <w:tcPr>
            <w:tcW w:w="0" w:type="auto"/>
          </w:tcPr>
          <w:p>
            <w:pPr>
              <w:spacing w:line="240" w:lineRule="auto" w:before="0" w:after="0"/>
              <w:pStyle w:val="Compact"/>
            </w:pPr>
            <w:r>
              <w:rPr>
                <w:sz w:val="20"/>
                <w:szCs w:val="20"/>
              </w:rPr>
              <w:t xml:space="preserve">2.6142</w:t>
            </w:r>
          </w:p>
        </w:tc>
        <w:tc>
          <w:tcPr>
            <w:tcW w:w="0" w:type="auto"/>
          </w:tcPr>
          <w:p>
            <w:pPr>
              <w:spacing w:line="240" w:lineRule="auto" w:before="0" w:after="0"/>
              <w:pStyle w:val="Compact"/>
            </w:pPr>
            <w:r>
              <w:rPr>
                <w:sz w:val="20"/>
                <w:szCs w:val="20"/>
              </w:rPr>
              <w:t xml:space="preserve">0.0089</w:t>
            </w:r>
          </w:p>
        </w:tc>
        <w:tc>
          <w:tcPr>
            <w:tcW w:w="0" w:type="auto"/>
          </w:tcPr>
          <w:p>
            <w:pPr>
              <w:spacing w:line="240" w:lineRule="auto" w:before="0" w:after="0"/>
              <w:pStyle w:val="Compact"/>
            </w:pPr>
            <w:r>
              <w:rPr>
                <w:sz w:val="20"/>
                <w:szCs w:val="20"/>
              </w:rPr>
              <w:t xml:space="preserve">[0.3183, 2.2258]</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0.0217</w:t>
            </w:r>
          </w:p>
        </w:tc>
        <w:tc>
          <w:tcPr>
            <w:tcW w:w="0" w:type="auto"/>
          </w:tcPr>
          <w:p>
            <w:pPr>
              <w:spacing w:line="240" w:lineRule="auto" w:before="0" w:after="0"/>
              <w:pStyle w:val="Compact"/>
            </w:pPr>
            <w:r>
              <w:rPr>
                <w:sz w:val="20"/>
                <w:szCs w:val="20"/>
              </w:rPr>
              <w:t xml:space="preserve">0.0385</w:t>
            </w:r>
          </w:p>
        </w:tc>
        <w:tc>
          <w:tcPr>
            <w:tcW w:w="0" w:type="auto"/>
          </w:tcPr>
          <w:p>
            <w:pPr>
              <w:spacing w:line="240" w:lineRule="auto" w:before="0" w:after="0"/>
              <w:pStyle w:val="Compact"/>
            </w:pPr>
            <w:r>
              <w:rPr>
                <w:sz w:val="20"/>
                <w:szCs w:val="20"/>
              </w:rPr>
              <w:t xml:space="preserve">0.5636</w:t>
            </w:r>
          </w:p>
        </w:tc>
        <w:tc>
          <w:tcPr>
            <w:tcW w:w="0" w:type="auto"/>
          </w:tcPr>
          <w:p>
            <w:pPr>
              <w:spacing w:line="240" w:lineRule="auto" w:before="0" w:after="0"/>
              <w:pStyle w:val="Compact"/>
            </w:pPr>
            <w:r>
              <w:rPr>
                <w:sz w:val="20"/>
                <w:szCs w:val="20"/>
              </w:rPr>
              <w:t xml:space="preserve">0.5731</w:t>
            </w:r>
          </w:p>
        </w:tc>
        <w:tc>
          <w:tcPr>
            <w:tcW w:w="0" w:type="auto"/>
          </w:tcPr>
          <w:p>
            <w:pPr>
              <w:spacing w:line="240" w:lineRule="auto" w:before="0" w:after="0"/>
              <w:pStyle w:val="Compact"/>
            </w:pPr>
            <w:r>
              <w:rPr>
                <w:sz w:val="20"/>
                <w:szCs w:val="20"/>
              </w:rPr>
              <w:t xml:space="preserve">[-0.0537, 0.0971]</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-0.0024</w:t>
            </w:r>
          </w:p>
        </w:tc>
        <w:tc>
          <w:tcPr>
            <w:tcW w:w="0" w:type="auto"/>
          </w:tcPr>
          <w:p>
            <w:pPr>
              <w:spacing w:line="240" w:lineRule="auto" w:before="0" w:after="0"/>
              <w:pStyle w:val="Compact"/>
            </w:pPr>
            <w:r>
              <w:rPr>
                <w:sz w:val="20"/>
                <w:szCs w:val="20"/>
              </w:rPr>
              <w:t xml:space="preserve">0.002</w:t>
            </w:r>
          </w:p>
        </w:tc>
        <w:tc>
          <w:tcPr>
            <w:tcW w:w="0" w:type="auto"/>
          </w:tcPr>
          <w:p>
            <w:pPr>
              <w:spacing w:line="240" w:lineRule="auto" w:before="0" w:after="0"/>
              <w:pStyle w:val="Compact"/>
            </w:pPr>
            <w:r>
              <w:rPr>
                <w:sz w:val="20"/>
                <w:szCs w:val="20"/>
              </w:rPr>
              <w:t xml:space="preserve">-1.2008</w:t>
            </w:r>
          </w:p>
        </w:tc>
        <w:tc>
          <w:tcPr>
            <w:tcW w:w="0" w:type="auto"/>
          </w:tcPr>
          <w:p>
            <w:pPr>
              <w:spacing w:line="240" w:lineRule="auto" w:before="0" w:after="0"/>
              <w:pStyle w:val="Compact"/>
            </w:pPr>
            <w:r>
              <w:rPr>
                <w:sz w:val="20"/>
                <w:szCs w:val="20"/>
              </w:rPr>
              <w:t xml:space="preserve">0.2298</w:t>
            </w:r>
          </w:p>
        </w:tc>
        <w:tc>
          <w:tcPr>
            <w:tcW w:w="0" w:type="auto"/>
          </w:tcPr>
          <w:p>
            <w:pPr>
              <w:spacing w:line="240" w:lineRule="auto" w:before="0" w:after="0"/>
              <w:pStyle w:val="Compact"/>
            </w:pPr>
            <w:r>
              <w:rPr>
                <w:sz w:val="20"/>
                <w:szCs w:val="20"/>
              </w:rPr>
              <w:t xml:space="preserve">[-0.0064, 0.0015]</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0.0213</w:t>
            </w:r>
          </w:p>
        </w:tc>
        <w:tc>
          <w:tcPr>
            <w:tcW w:w="0" w:type="auto"/>
          </w:tcPr>
          <w:p>
            <w:pPr>
              <w:spacing w:line="240" w:lineRule="auto" w:before="0" w:after="0"/>
              <w:pStyle w:val="Compact"/>
            </w:pPr>
            <w:r>
              <w:rPr>
                <w:sz w:val="20"/>
                <w:szCs w:val="20"/>
              </w:rPr>
              <w:t xml:space="preserve">0.3207</w:t>
            </w:r>
          </w:p>
        </w:tc>
        <w:tc>
          <w:tcPr>
            <w:tcW w:w="0" w:type="auto"/>
          </w:tcPr>
          <w:p>
            <w:pPr>
              <w:spacing w:line="240" w:lineRule="auto" w:before="0" w:after="0"/>
              <w:pStyle w:val="Compact"/>
            </w:pPr>
            <w:r>
              <w:rPr>
                <w:sz w:val="20"/>
                <w:szCs w:val="20"/>
              </w:rPr>
              <w:t xml:space="preserve">0.0665</w:t>
            </w:r>
          </w:p>
        </w:tc>
        <w:tc>
          <w:tcPr>
            <w:tcW w:w="0" w:type="auto"/>
          </w:tcPr>
          <w:p>
            <w:pPr>
              <w:spacing w:line="240" w:lineRule="auto" w:before="0" w:after="0"/>
              <w:pStyle w:val="Compact"/>
            </w:pPr>
            <w:r>
              <w:rPr>
                <w:sz w:val="20"/>
                <w:szCs w:val="20"/>
              </w:rPr>
              <w:t xml:space="preserve">0.947</w:t>
            </w:r>
          </w:p>
        </w:tc>
        <w:tc>
          <w:tcPr>
            <w:tcW w:w="0" w:type="auto"/>
          </w:tcPr>
          <w:p>
            <w:pPr>
              <w:spacing w:line="240" w:lineRule="auto" w:before="0" w:after="0"/>
              <w:pStyle w:val="Compact"/>
            </w:pPr>
            <w:r>
              <w:rPr>
                <w:sz w:val="20"/>
                <w:szCs w:val="20"/>
              </w:rPr>
              <w:t xml:space="preserve">[-0.6073, 0.6499]</w:t>
            </w:r>
          </w:p>
        </w:tc>
      </w:tr>
    </w:tbl>
    <w:p>
      <w:pPr>
        <w:pStyle w:val="BodyText"/>
        <w:spacing w:line="480" w:lineRule="auto"/>
        <w:ind w:firstLine="720"/>
      </w:pPr>
      <w:r>
        <w:t xml:space="preserve">Fit: N = 30 R2 = 0.0139 R2_adj = -0.0999 F = 0.8494 F_p = 0.4795</w:t>
      </w:r>
    </w:p>
    <w:bookmarkEnd w:id="184"/>
    <w:bookmarkStart w:id="188"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86" name="Picture"/>
            <a:graphic>
              <a:graphicData uri="http://schemas.openxmlformats.org/drawingml/2006/picture">
                <pic:pic>
                  <pic:nvPicPr>
                    <pic:cNvPr descr="D:/Claude_Code/brain/collegium/candidates/dissertations/DEBRIS_09/research_papers/p1/paper_fig1.png" id="187" name="Picture"/>
                    <pic:cNvPicPr>
                      <a:picLocks noChangeArrowheads="1" noChangeAspect="1"/>
                    </pic:cNvPicPr>
                  </pic:nvPicPr>
                  <pic:blipFill>
                    <a:blip r:embed="rId18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88"/>
    <w:bookmarkStart w:id="189"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https://amostech.space/year/2020/can-international-law-provide-a-basis-for-actively-removing-space-debris/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10.64861/OTAL2562</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10.64861/GDIM2412</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10.64861/EIBC5616</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https://amostech.space/year/2022/detection-methods-for-the-statistical-analysis-of-the-population-of-satellites-and-space-debris-from-astronomical-images/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https://amostech.space/year/2016/adapting-a-planetary-science-observational-facility-for-space-situational-awareness/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https://amostech.space/year/2022/risk-based-decision-making-for-space-traffic-management/</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https://amostech.space/year/2017/an-autonomous-sensor-tasking-approach-for-large-scale-space-object-cataloging/</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https://amostech.space/year/2017/debris-object-orbit-initialization-using-the-probabilistic-admissible-region-with-asynchronous-heterogeneous-observations/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https://amostech.space/year/2013/on-orbit-results-for-canadas-sapphire-optical-payload/</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https://amostech.space/year/2021/a-complete-ssa-scheme-for-a-sustainable-low-earth-orbit-space-data-aggregation-and-ia-combined-with-in-orbit-inspection/</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https://amostech.space/year/2018/pomenis-a-small-portable-astrograph-for-synoptic-ssa/</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10.1016/j.actaastro.2024.09.057</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10.1016/j.actaastro.2026.02.013</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10.1016/j.actaastro.2023.12.060</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10.1016/j.actaastro.2025.06.052</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10.1016/j.actaastro.2024.02.024</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10.1016/j.actaastro.2024.06.046</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10.1016/j.actaastro.2024.05.026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10.1016/j.actaastro.2025.06.029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10.1016/j.actaastro.2019.08.031</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Design Principles for Global Commons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10.18352/ijc.305</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H�yhty� et al., �Sustainable satellite communications in the 6G era: A european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bl>
    <w:bookmarkEnd w:id="189"/>
    <w:bookmarkStart w:id="190"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90"/>
    <w:bookmarkEnd w:id="191"/>
    <w:bookmarkStart w:id="199" w:name="Xad56ff7737f7239125b28e7cdac552ebc79fee3"/>
    <w:p>
      <w:pPr>
        <w:pStyle w:val="Heading2"/>
        <w:spacing w:line="480" w:lineRule="auto"/>
      </w:pPr>
      <w:r>
        <w:t xml:space="preserve">A.2 Attention Accumulation in Polluter Heterogeneity Attributing the Standing-Debris Stock to Actors, Eras, a: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92"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1.1051</w:t>
            </w:r>
          </w:p>
        </w:tc>
        <w:tc>
          <w:tcPr>
            <w:tcW w:w="0" w:type="auto"/>
          </w:tcPr>
          <w:p>
            <w:pPr>
              <w:spacing w:line="240" w:lineRule="auto" w:before="0" w:after="0"/>
              <w:pStyle w:val="Compact"/>
            </w:pPr>
            <w:r>
              <w:rPr>
                <w:sz w:val="20"/>
                <w:szCs w:val="20"/>
              </w:rPr>
              <w:t xml:space="preserve">0.4923</w:t>
            </w:r>
          </w:p>
        </w:tc>
        <w:tc>
          <w:tcPr>
            <w:tcW w:w="0" w:type="auto"/>
          </w:tcPr>
          <w:p>
            <w:pPr>
              <w:spacing w:line="240" w:lineRule="auto" w:before="0" w:after="0"/>
              <w:pStyle w:val="Compact"/>
            </w:pPr>
            <w:r>
              <w:rPr>
                <w:sz w:val="20"/>
                <w:szCs w:val="20"/>
              </w:rPr>
              <w:t xml:space="preserve">2.2449</w:t>
            </w:r>
          </w:p>
        </w:tc>
        <w:tc>
          <w:tcPr>
            <w:tcW w:w="0" w:type="auto"/>
          </w:tcPr>
          <w:p>
            <w:pPr>
              <w:spacing w:line="240" w:lineRule="auto" w:before="0" w:after="0"/>
              <w:pStyle w:val="Compact"/>
            </w:pPr>
            <w:r>
              <w:rPr>
                <w:sz w:val="20"/>
                <w:szCs w:val="20"/>
              </w:rPr>
              <w:t xml:space="preserve">0.0248</w:t>
            </w:r>
          </w:p>
        </w:tc>
        <w:tc>
          <w:tcPr>
            <w:tcW w:w="0" w:type="auto"/>
          </w:tcPr>
          <w:p>
            <w:pPr>
              <w:spacing w:line="240" w:lineRule="auto" w:before="0" w:after="0"/>
              <w:pStyle w:val="Compact"/>
            </w:pPr>
            <w:r>
              <w:rPr>
                <w:sz w:val="20"/>
                <w:szCs w:val="20"/>
              </w:rPr>
              <w:t xml:space="preserve">[0.1402, 2.0699]</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-0.2452</w:t>
            </w:r>
          </w:p>
        </w:tc>
        <w:tc>
          <w:tcPr>
            <w:tcW w:w="0" w:type="auto"/>
          </w:tcPr>
          <w:p>
            <w:pPr>
              <w:spacing w:line="240" w:lineRule="auto" w:before="0" w:after="0"/>
              <w:pStyle w:val="Compact"/>
            </w:pPr>
            <w:r>
              <w:rPr>
                <w:sz w:val="20"/>
                <w:szCs w:val="20"/>
              </w:rPr>
              <w:t xml:space="preserve">0.2958</w:t>
            </w:r>
          </w:p>
        </w:tc>
        <w:tc>
          <w:tcPr>
            <w:tcW w:w="0" w:type="auto"/>
          </w:tcPr>
          <w:p>
            <w:pPr>
              <w:spacing w:line="240" w:lineRule="auto" w:before="0" w:after="0"/>
              <w:pStyle w:val="Compact"/>
            </w:pPr>
            <w:r>
              <w:rPr>
                <w:sz w:val="20"/>
                <w:szCs w:val="20"/>
              </w:rPr>
              <w:t xml:space="preserve">-0.8288</w:t>
            </w:r>
          </w:p>
        </w:tc>
        <w:tc>
          <w:tcPr>
            <w:tcW w:w="0" w:type="auto"/>
          </w:tcPr>
          <w:p>
            <w:pPr>
              <w:spacing w:line="240" w:lineRule="auto" w:before="0" w:after="0"/>
              <w:pStyle w:val="Compact"/>
            </w:pPr>
            <w:r>
              <w:rPr>
                <w:sz w:val="20"/>
                <w:szCs w:val="20"/>
              </w:rPr>
              <w:t xml:space="preserve">0.4072</w:t>
            </w:r>
          </w:p>
        </w:tc>
        <w:tc>
          <w:tcPr>
            <w:tcW w:w="0" w:type="auto"/>
          </w:tcPr>
          <w:p>
            <w:pPr>
              <w:spacing w:line="240" w:lineRule="auto" w:before="0" w:after="0"/>
              <w:pStyle w:val="Compact"/>
            </w:pPr>
            <w:r>
              <w:rPr>
                <w:sz w:val="20"/>
                <w:szCs w:val="20"/>
              </w:rPr>
              <w:t xml:space="preserve">[-0.8249, 0.3346]</w:t>
            </w:r>
          </w:p>
        </w:tc>
      </w:tr>
    </w:tbl>
    <w:p>
      <w:pPr>
        <w:pStyle w:val="BodyText"/>
        <w:spacing w:line="480" w:lineRule="auto"/>
        <w:ind w:firstLine="720"/>
      </w:pPr>
      <w:r>
        <w:t xml:space="preserve">Fit: N = 30 R2 = 0.0158 elasticity_b = -0.2452 progress_ratio_2^b = 0.8437</w:t>
      </w:r>
    </w:p>
    <w:bookmarkEnd w:id="192"/>
    <w:bookmarkStart w:id="196"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94" name="Picture"/>
            <a:graphic>
              <a:graphicData uri="http://schemas.openxmlformats.org/drawingml/2006/picture">
                <pic:pic>
                  <pic:nvPicPr>
                    <pic:cNvPr descr="D:/Claude_Code/brain/collegium/candidates/dissertations/DEBRIS_09/research_papers/p2/paper_fig1.png" id="195" name="Picture"/>
                    <pic:cNvPicPr>
                      <a:picLocks noChangeArrowheads="1" noChangeAspect="1"/>
                    </pic:cNvPicPr>
                  </pic:nvPicPr>
                  <pic:blipFill>
                    <a:blip r:embed="rId19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96"/>
    <w:bookmarkStart w:id="197"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https://amostech.space/year/2020/can-international-law-provide-a-basis-for-actively-removing-space-debris/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10.64861/OTAL2562</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10.64861/GDIM2412</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10.64861/EIBC5616</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https://amostech.space/year/2022/detection-methods-for-the-statistical-analysis-of-the-population-of-satellites-and-space-debris-from-astronomical-images/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https://amostech.space/year/2016/adapting-a-planetary-science-observational-facility-for-space-situational-awareness/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https://amostech.space/year/2022/risk-based-decision-making-for-space-traffic-management/</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https://amostech.space/year/2017/an-autonomous-sensor-tasking-approach-for-large-scale-space-object-cataloging/</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https://amostech.space/year/2017/debris-object-orbit-initialization-using-the-probabilistic-admissible-region-with-asynchronous-heterogeneous-observations/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https://amostech.space/year/2013/on-orbit-results-for-canadas-sapphire-optical-payload/</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https://amostech.space/year/2021/a-complete-ssa-scheme-for-a-sustainable-low-earth-orbit-space-data-aggregation-and-ia-combined-with-in-orbit-inspection/</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https://amostech.space/year/2018/pomenis-a-small-portable-astrograph-for-synoptic-ssa/</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10.1016/j.actaastro.2024.09.057</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10.1016/j.actaastro.2026.02.013</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10.1016/j.actaastro.2023.12.060</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10.1016/j.actaastro.2025.06.052</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10.1016/j.actaastro.2024.02.024</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10.1016/j.actaastro.2024.06.046</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10.1016/j.actaastro.2024.05.026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10.1016/j.actaastro.2025.06.029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171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10.1016/j.actaastro.2019.08.031</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Design Principles for Global Commons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10.18352/ijc.305</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H�yhty� et al., �Sustainable satellite communications in the 6G era: A european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bl>
    <w:bookmarkEnd w:id="197"/>
    <w:bookmarkStart w:id="198"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98"/>
    <w:bookmarkEnd w:id="199"/>
    <w:bookmarkEnd w:id="20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5" Type="http://schemas.openxmlformats.org/officeDocument/2006/relationships/image" Target="media/rId185.png"/><Relationship Id="rId193" Type="http://schemas.openxmlformats.org/officeDocument/2006/relationships/image" Target="media/rId193.png"/><Relationship Id="rId181" Type="http://schemas.openxmlformats.org/officeDocument/2006/relationships/hyperlink" Target="https://doi.org/10.1016/j.actaastro.2023.07.009" TargetMode="External"/><Relationship Id="rId173" Type="http://schemas.openxmlformats.org/officeDocument/2006/relationships/hyperlink" Target="https://doi.org/10.1016/j.actaastro.2023.12.060" TargetMode="External"/><Relationship Id="rId177" Type="http://schemas.openxmlformats.org/officeDocument/2006/relationships/hyperlink" Target="https://doi.org/10.1016/j.actaastro.2024.02.024" TargetMode="External"/><Relationship Id="rId179" Type="http://schemas.openxmlformats.org/officeDocument/2006/relationships/hyperlink" Target="https://doi.org/10.1016/j.actaastro.2024.06.046" TargetMode="External"/><Relationship Id="rId167" Type="http://schemas.openxmlformats.org/officeDocument/2006/relationships/hyperlink" Target="https://doi.org/10.1016/j.actaastro.2024.09.057" TargetMode="External"/><Relationship Id="rId169" Type="http://schemas.openxmlformats.org/officeDocument/2006/relationships/hyperlink" Target="https://doi.org/10.1016/j.actaastro.2025.01.061" TargetMode="External"/><Relationship Id="rId175" Type="http://schemas.openxmlformats.org/officeDocument/2006/relationships/hyperlink" Target="https://doi.org/10.1016/j.actaastro.2025.06.052" TargetMode="External"/><Relationship Id="rId171" Type="http://schemas.openxmlformats.org/officeDocument/2006/relationships/hyperlink" Target="https://doi.org/10.1016/j.actaastro.2026.02.013" TargetMode="External"/><Relationship Id="rId161" Type="http://schemas.openxmlformats.org/officeDocument/2006/relationships/hyperlink" Target="https://doi.org/10.64861/EIBC5616" TargetMode="External"/><Relationship Id="rId159" Type="http://schemas.openxmlformats.org/officeDocument/2006/relationships/hyperlink" Target="https://doi.org/10.64861/GDIM2412" TargetMode="External"/><Relationship Id="rId157" Type="http://schemas.openxmlformats.org/officeDocument/2006/relationships/hyperlink" Target="https://doi.org/10.64861/OTAL2562" TargetMode="External"/></Relationships>
</file>

<file path=word/_rels/footnotes.xml.rels><?xml version='1.0' encoding='UTF-8' standalone='yes'?>
<Relationships xmlns="http://schemas.openxmlformats.org/package/2006/relationships"><Relationship Id="rId181" Type="http://schemas.openxmlformats.org/officeDocument/2006/relationships/hyperlink" Target="https://doi.org/10.1016/j.actaastro.2023.07.009" TargetMode="External"/><Relationship Id="rId173" Type="http://schemas.openxmlformats.org/officeDocument/2006/relationships/hyperlink" Target="https://doi.org/10.1016/j.actaastro.2023.12.060" TargetMode="External"/><Relationship Id="rId177" Type="http://schemas.openxmlformats.org/officeDocument/2006/relationships/hyperlink" Target="https://doi.org/10.1016/j.actaastro.2024.02.024" TargetMode="External"/><Relationship Id="rId179" Type="http://schemas.openxmlformats.org/officeDocument/2006/relationships/hyperlink" Target="https://doi.org/10.1016/j.actaastro.2024.06.046" TargetMode="External"/><Relationship Id="rId167" Type="http://schemas.openxmlformats.org/officeDocument/2006/relationships/hyperlink" Target="https://doi.org/10.1016/j.actaastro.2024.09.057" TargetMode="External"/><Relationship Id="rId169" Type="http://schemas.openxmlformats.org/officeDocument/2006/relationships/hyperlink" Target="https://doi.org/10.1016/j.actaastro.2025.01.061" TargetMode="External"/><Relationship Id="rId175" Type="http://schemas.openxmlformats.org/officeDocument/2006/relationships/hyperlink" Target="https://doi.org/10.1016/j.actaastro.2025.06.052" TargetMode="External"/><Relationship Id="rId171" Type="http://schemas.openxmlformats.org/officeDocument/2006/relationships/hyperlink" Target="https://doi.org/10.1016/j.actaastro.2026.02.013" TargetMode="External"/><Relationship Id="rId161" Type="http://schemas.openxmlformats.org/officeDocument/2006/relationships/hyperlink" Target="https://doi.org/10.64861/EIBC5616" TargetMode="External"/><Relationship Id="rId159" Type="http://schemas.openxmlformats.org/officeDocument/2006/relationships/hyperlink" Target="https://doi.org/10.64861/GDIM2412" TargetMode="External"/><Relationship Id="rId157" Type="http://schemas.openxmlformats.org/officeDocument/2006/relationships/hyperlink" Target="https://doi.org/10.64861/OTAL25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Polluter Heterogeneity: Attributing the Standing-Debris Stock to Actors, Eras, a</dc:title>
  <dc:creator>Nadia Reyes (1B-SDA-168)</dc:creator>
  <cp:keywords/>
  <dcterms:created xsi:type="dcterms:W3CDTF">2026-07-04T01:25:02Z</dcterms:created>
  <dcterms:modified xsi:type="dcterms:W3CDTF">2026-07-04T01:25:02Z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