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94aecdec322b636963a457e499852617fa5cf2b"/>
    <w:p>
      <w:pPr>
        <w:pStyle w:val="Heading1"/>
      </w:pPr>
      <w:r>
        <w:t xml:space="preserve">Costly Talk? A Logistic Analysis of Public Sustainability Commitments Among Commercial Satellite Operators</w:t>
      </w:r>
    </w:p>
    <w:bookmarkStart w:id="61" w:name="introduction"/>
    <w:p>
      <w:pPr>
        <w:pStyle w:val="Heading2"/>
      </w:pPr>
      <w:r>
        <w:t xml:space="preserve">1. Introduction</w:t>
      </w:r>
    </w:p>
    <w:p>
      <w:pPr>
        <w:pStyle w:val="FirstParagraph"/>
      </w:pPr>
      <w:r>
        <w:t xml:space="preserve">The Space Sustainability Rating (SSR), launched in 2022 by EPFL, MIT Media Lab, BryceTech, and the World Economic Forum, was designed as a composite indicator that would convert otherwise hidden mitigation effort into a visible market signal</w:t>
      </w:r>
      <w:r>
        <w:t xml:space="preserve"> </w:t>
      </w:r>
      <w:hyperlink w:anchor="ref-1">
        <m:oMathPara>
          <m:oMathParaPr>
            <m:jc m:val="center"/>
          </m:oMathParaPr>
          <m:oMath>
            <m:r>
              <m:t>1</m:t>
            </m:r>
          </m:oMath>
        </m:oMathPara>
      </w:hyperlink>
      <w:r>
        <w:t xml:space="preserve">. Adjacent disclosure routes (ESG reports, corporate sustainability policies, and the FCC’s 2022 five-year post-mission disposal rule) play a structurally similar role: each gives an operator a way to bind itself in public to a debris-mitigation posture. This paper asks an empirical question that follows from credible-commitment theory: which operators actually take that step, and which decline it?</w:t>
      </w:r>
    </w:p>
    <w:p>
      <w:pPr>
        <w:pStyle w:val="FirstParagraph"/>
      </w:pPr>
      <w:r>
        <w:t xml:space="preserve">The empirical setting is the universe of commercial satellite operators with at least one system on orbit or under FCC review by mid-2026. The outcome is binary: an operator either has a documented, public commitment to a sustainability standard (an SSR rating, a published sustainability report with explicit debris-mitigation language, or a specific PMD timeline) or it does not. The covariates capture exposure to the LEO commons, fleet scale, and whether the operator has already taken a specific operational step (SSR application or published five-year PMD plan). The logit specification is appropriate because the outcome is binary and the sample is moderate (N = 35).</w:t>
      </w:r>
    </w:p>
    <w:bookmarkEnd w:id="61"/>
    <w:bookmarkStart w:id="62" w:name="theory-and-hypotheses"/>
    <w:p>
      <w:pPr>
        <w:pStyle w:val="Heading2"/>
      </w:pPr>
      <w:r>
        <w:t xml:space="preserve">2. Theory and Hypotheses</w:t>
      </w:r>
    </w:p>
    <w:p>
      <w:pPr>
        <w:pStyle w:val="FirstParagraph"/>
      </w:pPr>
      <w:r>
        <w:t xml:space="preserve">Credible commitment is costly speech that becomes binding through reputational stake</w:t>
      </w:r>
      <w:r>
        <w:t xml:space="preserve"> </w:t>
      </w:r>
      <w:hyperlink w:anchor="ref-2">
        <m:oMathPara>
          <m:oMathParaPr>
            <m:jc m:val="center"/>
          </m:oMathParaPr>
          <m:oMath>
            <m:r>
              <m:t>2</m:t>
            </m:r>
          </m:oMath>
        </m:oMathPara>
      </w:hyperlink>
      <w:r>
        <w:t xml:space="preserve">. In the space-debris commons the cost of speech is the residual liability and operational discipline an operator accepts when it publishes a specific PMD timeline or accepts a third-party SSR audit. The theoretical question is whether observable operator characteristics predict the choice to incur that cost.</w:t>
      </w:r>
    </w:p>
    <w:p>
      <w:pPr>
        <w:pStyle w:val="FirstParagraph"/>
      </w:pPr>
      <w:r>
        <w:t xml:space="preserve">Three predictions follow. First, operators whose lead system is in LEO are more exposed to conjunction and reentry risk, so they should be more likely to commit publicly. Second, larger fleets concentrate residual liability and attract regulatory and reputational scrutiny, so log fleet size should be positively associated with commitment. Third, operators that have already taken a specific operational step (SSR application or published five-year PMD plan) should be strongly more likely to also issue a public sustainability commitment, because the operational step and the public statement are complements in a signaling bundle</w:t>
      </w:r>
      <w:r>
        <w:t xml:space="preserve"> </w:t>
      </w:r>
      <w:hyperlink w:anchor="ref-3">
        <m:oMathPara>
          <m:oMathParaPr>
            <m:jc m:val="center"/>
          </m:oMathParaPr>
          <m:oMath>
            <m:r>
              <m:t>3</m:t>
            </m:r>
          </m:oMath>
        </m:oMathPara>
      </w:hyperlink>
      <w:r>
        <w:t xml:space="preserve">.</w:t>
      </w:r>
    </w:p>
    <w:bookmarkEnd w:id="62"/>
    <w:bookmarkStart w:id="63" w:name="data"/>
    <w:p>
      <w:pPr>
        <w:pStyle w:val="Heading2"/>
      </w:pPr>
      <w:r>
        <w:t xml:space="preserve">3. Data</w:t>
      </w:r>
    </w:p>
    <w:p>
      <w:pPr>
        <w:pStyle w:val="FirstParagraph"/>
      </w:pPr>
      <w:r>
        <w:t xml:space="preserve">The dataset is 35 commercial satellite operators with documented systems on orbit or under FCC review as of 2026-06. Operators were drawn from three documented sources: the SSR rated-missions registry</w:t>
      </w:r>
      <w:r>
        <w:t xml:space="preserve"> </w:t>
      </w:r>
      <w:hyperlink w:anchor="ref-4">
        <m:oMathPara>
          <m:oMathParaPr>
            <m:jc m:val="center"/>
          </m:oMathParaPr>
          <m:oMath>
            <m:r>
              <m:t>4</m:t>
            </m:r>
          </m:oMath>
        </m:oMathPara>
      </w:hyperlink>
      <w:r>
        <w:t xml:space="preserve">, the ESA Annual Space Environment Report 2023 list of large commercial operators</w:t>
      </w:r>
      <w:r>
        <w:t xml:space="preserve"> </w:t>
      </w:r>
      <w:hyperlink w:anchor="ref-5">
        <m:oMathPara>
          <m:oMathParaPr>
            <m:jc m:val="center"/>
          </m:oMathParaPr>
          <m:oMath>
            <m:r>
              <m:t>5</m:t>
            </m:r>
          </m:oMath>
        </m:oMathPara>
      </w:hyperlink>
      <w:r>
        <w:t xml:space="preserve">, and FCC IBFS NGSO filings. Each row is one operator and its lead system. The outcome</w:t>
      </w:r>
      <w:r>
        <w:t xml:space="preserve"> </w:t>
      </w:r>
      <w:r>
        <w:rPr>
          <w:rStyle w:val="VerbatimChar"/>
        </w:rPr>
        <w:t xml:space="preserve">publicly_committed</w:t>
      </w:r>
      <w:r>
        <w:t xml:space="preserve"> </w:t>
      </w:r>
      <w:r>
        <w:t xml:space="preserve">is 1 if the operator has either an SSR rating, a published sustainability report with explicit space-debris language, or a documented five-year PMD plan. Covariates are</w:t>
      </w:r>
      <w:r>
        <w:t xml:space="preserve"> </w:t>
      </w:r>
      <w:r>
        <w:rPr>
          <w:rStyle w:val="VerbatimChar"/>
        </w:rPr>
        <w:t xml:space="preserve">log_satellites</w:t>
      </w:r>
      <w:r>
        <w:t xml:space="preserve">,</w:t>
      </w:r>
      <w:r>
        <w:t xml:space="preserve"> </w:t>
      </w:r>
      <w:r>
        <w:rPr>
          <w:rStyle w:val="VerbatimChar"/>
        </w:rPr>
        <w:t xml:space="preserve">leo_share</w:t>
      </w:r>
      <w:r>
        <w:t xml:space="preserve">,</w:t>
      </w:r>
      <w:r>
        <w:t xml:space="preserve"> </w:t>
      </w:r>
      <w:r>
        <w:rPr>
          <w:rStyle w:val="VerbatimChar"/>
        </w:rPr>
        <w:t xml:space="preserve">ssr_or_pmd_signal</w:t>
      </w:r>
      <w:r>
        <w:t xml:space="preserve">, and</w:t>
      </w:r>
      <w:r>
        <w:t xml:space="preserve"> </w:t>
      </w:r>
      <w:r>
        <w:rPr>
          <w:rStyle w:val="VerbatimChar"/>
        </w:rPr>
        <w:t xml:space="preserve">constellation</w:t>
      </w:r>
      <w:r>
        <w:t xml:space="preserve"> </w:t>
      </w:r>
      <w:r>
        <w:t xml:space="preserve">(the last is held in reserve for robustness). Each row carries a citation in the</w:t>
      </w:r>
      <w:r>
        <w:t xml:space="preserve"> </w:t>
      </w:r>
      <w:r>
        <w:rPr>
          <w:rStyle w:val="VerbatimChar"/>
        </w:rPr>
        <w:t xml:space="preserve">source</w:t>
      </w:r>
      <w:r>
        <w:t xml:space="preserve"> </w:t>
      </w:r>
      <w:r>
        <w:t xml:space="preserve">column to the operator filing, registry entry, or report that grounds its values; two rows are marked [illustrative] where the negative case is documented only by absence of a finding.</w:t>
      </w:r>
    </w:p>
    <w:bookmarkEnd w:id="63"/>
    <w:bookmarkStart w:id="64" w:name="method"/>
    <w:p>
      <w:pPr>
        <w:pStyle w:val="Heading2"/>
      </w:pPr>
      <w:r>
        <w:t xml:space="preserve">4. Method</w:t>
      </w:r>
    </w:p>
    <w:p>
      <w:pPr>
        <w:pStyle w:val="FirstParagraph"/>
      </w:pPr>
      <w:r>
        <w:t xml:space="preserve">The model is a logistic regression of</w:t>
      </w:r>
      <w:r>
        <w:t xml:space="preserve"> </w:t>
      </w:r>
      <w:r>
        <w:rPr>
          <w:rStyle w:val="VerbatimChar"/>
        </w:rPr>
        <w:t xml:space="preserve">publicly_committed</w:t>
      </w:r>
      <w:r>
        <w:t xml:space="preserve"> </w:t>
      </w:r>
      <w:r>
        <w:t xml:space="preserve">on</w:t>
      </w:r>
      <w:r>
        <w:t xml:space="preserve"> </w:t>
      </w:r>
      <w:r>
        <w:rPr>
          <w:rStyle w:val="VerbatimChar"/>
        </w:rPr>
        <w:t xml:space="preserve">log_satellites</w:t>
      </w:r>
      <w:r>
        <w:t xml:space="preserve">,</w:t>
      </w:r>
      <w:r>
        <w:t xml:space="preserve"> </w:t>
      </w:r>
      <w:r>
        <w:rPr>
          <w:rStyle w:val="VerbatimChar"/>
        </w:rPr>
        <w:t xml:space="preserve">leo_share</w:t>
      </w:r>
      <w:r>
        <w:t xml:space="preserve">, and</w:t>
      </w:r>
      <w:r>
        <w:t xml:space="preserve"> </w:t>
      </w:r>
      <w:r>
        <w:rPr>
          <w:rStyle w:val="VerbatimChar"/>
        </w:rPr>
        <w:t xml:space="preserve">ssr_or_pmd_signal</w:t>
      </w:r>
      <w:r>
        <w:t xml:space="preserve">, estimated by maximum likelihood. The specification is intentionally lean: the sample is small, so a three-covariate model preserves degrees of freedom. McFadden’s pseudo-R² is reported as a goodness-of-fit indicator, and asymptotic Wald p-values are reported per coefficient. Robust inference is limited by sample size; the paper’s claims are therefore directional rather than precise.</w:t>
      </w:r>
    </w:p>
    <w:bookmarkEnd w:id="64"/>
    <w:bookmarkStart w:id="65" w:name="findings"/>
    <w:p>
      <w:pPr>
        <w:pStyle w:val="Heading2"/>
      </w:pPr>
      <w:r>
        <w:t xml:space="preserve">5. Findings</w:t>
      </w:r>
    </w:p>
    <w:p>
      <w:pPr>
        <w:pStyle w:val="FirstParagraph"/>
      </w:pPr>
      <w:r>
        <w:t xml:space="preserve">The model fits the data well for a sample of this size: N = 35 and McFadden’s pseudo-R² is 0.47, with a log-likelihood of -12.24. The headline result is the coefficient on</w:t>
      </w:r>
      <w:r>
        <w:t xml:space="preserve"> </w:t>
      </w:r>
      <w:r>
        <w:rPr>
          <w:rStyle w:val="VerbatimChar"/>
        </w:rPr>
        <w:t xml:space="preserve">ssr_or_pmd_signal</w:t>
      </w:r>
      <w:r>
        <w:t xml:space="preserve">, which is large and positive (β = 4.22) with a Wald p-value of 0.0014. Operators that have already applied for an SSR rating or published a specific five-year PMD timeline are dramatically more likely also to have issued a public sustainability commitment, consistent with the prediction that operational signal and public statement travel as a bundle.</w:t>
      </w:r>
    </w:p>
    <w:p>
      <w:pPr>
        <w:pStyle w:val="BodyText"/>
      </w:pPr>
      <w:r>
        <w:t xml:space="preserve">The fleet-scale coefficient on</w:t>
      </w:r>
      <w:r>
        <w:t xml:space="preserve"> </w:t>
      </w:r>
      <w:r>
        <w:rPr>
          <w:rStyle w:val="VerbatimChar"/>
        </w:rPr>
        <w:t xml:space="preserve">log_satellites</w:t>
      </w:r>
      <w:r>
        <w:t xml:space="preserve"> </w:t>
      </w:r>
      <w:r>
        <w:t xml:space="preserve">is positive but small (β = 0.13) and not statistically distinguishable from zero (p = 0.67). The LEO-exposure coefficient on</w:t>
      </w:r>
      <w:r>
        <w:t xml:space="preserve"> </w:t>
      </w:r>
      <w:r>
        <w:rPr>
          <w:rStyle w:val="VerbatimChar"/>
        </w:rPr>
        <w:t xml:space="preserve">leo_share</w:t>
      </w:r>
      <w:r>
        <w:t xml:space="preserve"> </w:t>
      </w:r>
      <w:r>
        <w:t xml:space="preserve">is also positive and small (β = 0.20, p = 0.89). Neither of these covariates carries detectable independent explanatory power once the operational-signal covariate is conditioned on. The intercept is negative (β = -2.77, p = 0.10), implying a low baseline probability of commitment for an operator with no specific operational signal, regardless of size or orbit.</w:t>
      </w:r>
    </w:p>
    <w:p>
      <w:pPr>
        <w:pStyle w:val="BodyText"/>
      </w:pPr>
      <w:r>
        <w:t xml:space="preserve">The substantive reading is that the binding action and the public statement are observationally inseparable in this sample. Operators do not publish vague commitments and then act; they take a specific operational step (an SSR application, a documented PMD plan) and the public statement follows. Conversely, operators without a specific operational step rarely issue a generic sustainability commitment.</w:t>
      </w:r>
    </w:p>
    <w:bookmarkEnd w:id="65"/>
    <w:bookmarkStart w:id="66" w:name="discussion"/>
    <w:p>
      <w:pPr>
        <w:pStyle w:val="Heading2"/>
      </w:pPr>
      <w:r>
        <w:t xml:space="preserve">6. Discussion</w:t>
      </w:r>
    </w:p>
    <w:p>
      <w:pPr>
        <w:pStyle w:val="FirstParagraph"/>
      </w:pPr>
      <w:r>
        <w:t xml:space="preserve">Three implications follow for credible-commitment theory in the debris commons. First, the SSR is functioning, on the available evidence, more as a downstream confirmation of operator behavior than as an upstream forcing mechanism. The operators that get rated are the ones that were already going to commit. Second, fleet scale and LEO exposure, which much of the policy literature treats as the principal drivers of commitment incentives, do not show independent effects in this sample once operational signal is included. This is consistent with the view that scale and orbit shape the choice to take the operational step, and the operational step then drives the public statement. Third, the absence of detectable effect for size and orbit is itself diagnostic: it suggests that variation in commitment is driven by operator-specific reputational and contractual conditions (institutional investors, government customers, prime-contractor flowdowns) that are not captured by orbital geometry alone.</w:t>
      </w:r>
    </w:p>
    <w:p>
      <w:pPr>
        <w:pStyle w:val="BodyText"/>
      </w:pPr>
      <w:r>
        <w:t xml:space="preserve">The empirical limits are honest. The sample is small (N = 35), the outcome is coarse (binary commitment), and the dataset oversamples Western operators because non-Western operators publish less English-language sustainability documentation. Two rows are marked [illustrative]. The directional reading is robust but the magnitudes should not be over-interpreted.</w:t>
      </w:r>
    </w:p>
    <w:bookmarkEnd w:id="66"/>
    <w:bookmarkStart w:id="75" w:name="references"/>
    <w:p>
      <w:pPr>
        <w:pStyle w:val="Heading2"/>
      </w:pPr>
      <w:r>
        <w:t xml:space="preserve">References</w:t>
      </w:r>
    </w:p>
    <w:p>
      <w:pPr>
        <w:pStyle w:val="FirstParagraph"/>
      </w:pPr>
      <w:bookmarkStart w:id="67" w:name="ref-1"/>
      <w:bookmarkEnd w:id="67"/>
      <w:r>
        <w:t xml:space="preserve">1. Rathnasabapathy, M., Letizia, F., Lemmens, S., Jah, M., et al. Space sustainability rating: Designing a composite indicator to incentivize satellite operators to pursue long-term sustainability of the space environment. Acta Astronautica, 232, 2025. doi:</w:t>
      </w:r>
      <w:r>
        <w:t xml:space="preserve"> </w:t>
      </w:r>
      <w:hyperlink r:id="rId68">
        <w:r>
          <w:rPr>
            <w:rStyle w:val="Hyperlink"/>
          </w:rPr>
          <w:t xml:space="preserve">10.1016/j.actaastro.2025.03.034</w:t>
        </w:r>
      </w:hyperlink>
    </w:p>
    <w:p>
      <w:pPr>
        <w:pStyle w:val="BodyText"/>
      </w:pPr>
      <w:bookmarkStart w:id="69" w:name="ref-2"/>
      <w:bookmarkEnd w:id="69"/>
      <w:r>
        <w:t xml:space="preserve">2. David, E., Saada, A., Pecujlic, A. N., Strah, M., Yap, X.-S., Wood, D., Kneib, J.-P. Fostering multi-stakeholder collaboration for space sustainability through an incentive-based mechanism. Acta Astronautica, 235, 2025. doi:</w:t>
      </w:r>
      <w:r>
        <w:t xml:space="preserve"> </w:t>
      </w:r>
      <w:hyperlink r:id="rId70">
        <w:r>
          <w:rPr>
            <w:rStyle w:val="Hyperlink"/>
          </w:rPr>
          <w:t xml:space="preserve">10.1016/j.actaastro.2025.06.029</w:t>
        </w:r>
      </w:hyperlink>
    </w:p>
    <w:p>
      <w:pPr>
        <w:pStyle w:val="BodyText"/>
      </w:pPr>
      <w:bookmarkStart w:id="71" w:name="ref-3"/>
      <w:bookmarkEnd w:id="71"/>
      <w:r>
        <w:t xml:space="preserve">3. Böttcher, L., Silvestri, S. Multi-perspective analysis of sustainability metrics characterising the debris environment. Acta Astronautica, 219, 2024. doi:</w:t>
      </w:r>
      <w:r>
        <w:t xml:space="preserve"> </w:t>
      </w:r>
      <w:hyperlink r:id="rId72">
        <w:r>
          <w:rPr>
            <w:rStyle w:val="Hyperlink"/>
          </w:rPr>
          <w:t xml:space="preserve">10.1016/j.actaastro.2024.03.002</w:t>
        </w:r>
      </w:hyperlink>
    </w:p>
    <w:p>
      <w:pPr>
        <w:pStyle w:val="BodyText"/>
      </w:pPr>
      <w:bookmarkStart w:id="73" w:name="ref-4"/>
      <w:bookmarkEnd w:id="73"/>
      <w:r>
        <w:t xml:space="preserve">4. Space Sustainability Rating. Rated missions registry. spacesustainabilityrating.org/rated-missions, accessed 2026-06.</w:t>
      </w:r>
    </w:p>
    <w:p>
      <w:pPr>
        <w:pStyle w:val="BodyText"/>
      </w:pPr>
      <w:bookmarkStart w:id="74" w:name="ref-5"/>
      <w:bookmarkEnd w:id="74"/>
      <w:r>
        <w:t xml:space="preserve">5. European Space Agency. ESA Annual Space Environment Report 2023. esoc.esa.int/space_environment_report_2023.</w:t>
      </w:r>
    </w:p>
    <w:bookmarkEnd w:id="75"/>
    <w:bookmarkStart w:id="76" w:name="specification"/>
    <w:p>
      <w:pPr>
        <w:pStyle w:val="Heading2"/>
      </w:pPr>
      <w:r>
        <w:t xml:space="preserve">Specification</w:t>
      </w:r>
    </w:p>
    <w:p>
      <w:pPr>
        <w:pStyle w:val="FirstParagraph"/>
      </w:pPr>
      <m:oMathPara>
        <m:oMathParaPr>
          <m:jc m:val="center"/>
        </m:oMathParaPr>
        <m:oMath>
          <m:r>
            <m:rPr>
              <m:sty m:val="p"/>
            </m:rPr>
            <m:t>Pr</m:t>
          </m:r>
          <m:r>
            <m:rPr>
              <m:sty m:val="p"/>
            </m:rPr>
            <m:t>(</m:t>
          </m:r>
          <m:r>
            <m:rPr>
              <m:nor/>
              <m:sty m:val="p"/>
            </m:rPr>
            <m:t>publicly_committed</m:t>
          </m:r>
          <m:r>
            <m:rPr>
              <m:sty m:val="p"/>
            </m:rPr>
            <m:t>=</m:t>
          </m:r>
          <m:r>
            <m:t>1</m:t>
          </m:r>
          <m:r>
            <m:rPr>
              <m:sty m:val="p"/>
            </m:rPr>
            <m:t>∣</m:t>
          </m:r>
          <m:r>
            <m:t>x</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t> </m:t>
              </m:r>
              <m:r>
                <m:rPr>
                  <m:sty m:val="p"/>
                </m:rPr>
                <m:t>log</m:t>
              </m:r>
              <m:r>
                <m:rPr>
                  <m:sty m:val="p"/>
                </m:rPr>
                <m:t>(</m:t>
              </m:r>
              <m:r>
                <m:rPr>
                  <m:nor/>
                  <m:sty m:val="p"/>
                </m:rPr>
                <m:t>satellites</m:t>
              </m:r>
              <m:r>
                <m:rPr>
                  <m:sty m:val="p"/>
                </m:rPr>
                <m:t>)</m:t>
              </m:r>
              <m:r>
                <m:rPr>
                  <m:sty m:val="p"/>
                </m:rPr>
                <m:t>+</m:t>
              </m:r>
              <m:sSub>
                <m:e>
                  <m:r>
                    <m:t>β</m:t>
                  </m:r>
                </m:e>
                <m:sub>
                  <m:r>
                    <m:t>2</m:t>
                  </m:r>
                </m:sub>
              </m:sSub>
              <m:r>
                <m:t> </m:t>
              </m:r>
              <m:r>
                <m:rPr>
                  <m:nor/>
                  <m:sty m:val="p"/>
                </m:rPr>
                <m:t>leo_share</m:t>
              </m:r>
              <m:r>
                <m:rPr>
                  <m:sty m:val="p"/>
                </m:rPr>
                <m:t>+</m:t>
              </m:r>
              <m:sSub>
                <m:e>
                  <m:r>
                    <m:t>β</m:t>
                  </m:r>
                </m:e>
                <m:sub>
                  <m:r>
                    <m:t>3</m:t>
                  </m:r>
                </m:sub>
              </m:sSub>
              <m:r>
                <m:t> </m:t>
              </m:r>
              <m:r>
                <m:rPr>
                  <m:nor/>
                  <m:sty m:val="p"/>
                </m:rPr>
                <m:t>ssr_or_pmd_signal</m:t>
              </m:r>
            </m:e>
          </m:d>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-2.7686</w:t>
            </w:r>
          </w:p>
        </w:tc>
        <w:tc>
          <w:tcPr>
            <w:tcW w:w="0" w:type="auto"/>
          </w:tcPr>
          <w:p>
            <w:pPr>
              <w:spacing w:line="240" w:lineRule="auto" w:before="0" w:after="0"/>
              <w:pStyle w:val="Compact"/>
            </w:pPr>
            <w:r>
              <w:rPr>
                <w:sz w:val="20"/>
                <w:szCs w:val="20"/>
              </w:rPr>
              <w:t xml:space="preserve">1.6967</w:t>
            </w:r>
          </w:p>
        </w:tc>
        <w:tc>
          <w:tcPr>
            <w:tcW w:w="0" w:type="auto"/>
          </w:tcPr>
          <w:p>
            <w:pPr>
              <w:spacing w:line="240" w:lineRule="auto" w:before="0" w:after="0"/>
              <w:pStyle w:val="Compact"/>
            </w:pPr>
            <w:r>
              <w:rPr>
                <w:sz w:val="20"/>
                <w:szCs w:val="20"/>
              </w:rPr>
              <w:t xml:space="preserve">-1.6318</w:t>
            </w:r>
          </w:p>
        </w:tc>
        <w:tc>
          <w:tcPr>
            <w:tcW w:w="0" w:type="auto"/>
          </w:tcPr>
          <w:p>
            <w:pPr>
              <w:spacing w:line="240" w:lineRule="auto" w:before="0" w:after="0"/>
              <w:pStyle w:val="Compact"/>
            </w:pPr>
            <w:r>
              <w:rPr>
                <w:sz w:val="20"/>
                <w:szCs w:val="20"/>
              </w:rPr>
              <w:t xml:space="preserve">0.1027</w:t>
            </w:r>
          </w:p>
        </w:tc>
        <w:tc>
          <w:tcPr>
            <w:tcW w:w="0" w:type="auto"/>
          </w:tcPr>
          <w:p>
            <w:pPr>
              <w:spacing w:line="240" w:lineRule="auto" w:before="0" w:after="0"/>
              <w:pStyle w:val="Compact"/>
            </w:pPr>
            <w:r>
              <w:rPr>
                <w:sz w:val="20"/>
                <w:szCs w:val="20"/>
              </w:rPr>
              <w:t xml:space="preserve">[-6.0941, 0.5569]</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0.1263</w:t>
            </w:r>
          </w:p>
        </w:tc>
        <w:tc>
          <w:tcPr>
            <w:tcW w:w="0" w:type="auto"/>
          </w:tcPr>
          <w:p>
            <w:pPr>
              <w:spacing w:line="240" w:lineRule="auto" w:before="0" w:after="0"/>
              <w:pStyle w:val="Compact"/>
            </w:pPr>
            <w:r>
              <w:rPr>
                <w:sz w:val="20"/>
                <w:szCs w:val="20"/>
              </w:rPr>
              <w:t xml:space="preserve">0.2968</w:t>
            </w:r>
          </w:p>
        </w:tc>
        <w:tc>
          <w:tcPr>
            <w:tcW w:w="0" w:type="auto"/>
          </w:tcPr>
          <w:p>
            <w:pPr>
              <w:spacing w:line="240" w:lineRule="auto" w:before="0" w:after="0"/>
              <w:pStyle w:val="Compact"/>
            </w:pPr>
            <w:r>
              <w:rPr>
                <w:sz w:val="20"/>
                <w:szCs w:val="20"/>
              </w:rPr>
              <w:t xml:space="preserve">0.4255</w:t>
            </w:r>
          </w:p>
        </w:tc>
        <w:tc>
          <w:tcPr>
            <w:tcW w:w="0" w:type="auto"/>
          </w:tcPr>
          <w:p>
            <w:pPr>
              <w:spacing w:line="240" w:lineRule="auto" w:before="0" w:after="0"/>
              <w:pStyle w:val="Compact"/>
            </w:pPr>
            <w:r>
              <w:rPr>
                <w:sz w:val="20"/>
                <w:szCs w:val="20"/>
              </w:rPr>
              <w:t xml:space="preserve">0.6705</w:t>
            </w:r>
          </w:p>
        </w:tc>
        <w:tc>
          <w:tcPr>
            <w:tcW w:w="0" w:type="auto"/>
          </w:tcPr>
          <w:p>
            <w:pPr>
              <w:spacing w:line="240" w:lineRule="auto" w:before="0" w:after="0"/>
              <w:pStyle w:val="Compact"/>
            </w:pPr>
            <w:r>
              <w:rPr>
                <w:sz w:val="20"/>
                <w:szCs w:val="20"/>
              </w:rPr>
              <w:t xml:space="preserve">[-0.4554, 0.708]</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0.2016</w:t>
            </w:r>
          </w:p>
        </w:tc>
        <w:tc>
          <w:tcPr>
            <w:tcW w:w="0" w:type="auto"/>
          </w:tcPr>
          <w:p>
            <w:pPr>
              <w:spacing w:line="240" w:lineRule="auto" w:before="0" w:after="0"/>
              <w:pStyle w:val="Compact"/>
            </w:pPr>
            <w:r>
              <w:rPr>
                <w:sz w:val="20"/>
                <w:szCs w:val="20"/>
              </w:rPr>
              <w:t xml:space="preserve">1.4502</w:t>
            </w:r>
          </w:p>
        </w:tc>
        <w:tc>
          <w:tcPr>
            <w:tcW w:w="0" w:type="auto"/>
          </w:tcPr>
          <w:p>
            <w:pPr>
              <w:spacing w:line="240" w:lineRule="auto" w:before="0" w:after="0"/>
              <w:pStyle w:val="Compact"/>
            </w:pPr>
            <w:r>
              <w:rPr>
                <w:sz w:val="20"/>
                <w:szCs w:val="20"/>
              </w:rPr>
              <w:t xml:space="preserve">0.139</w:t>
            </w:r>
          </w:p>
        </w:tc>
        <w:tc>
          <w:tcPr>
            <w:tcW w:w="0" w:type="auto"/>
          </w:tcPr>
          <w:p>
            <w:pPr>
              <w:spacing w:line="240" w:lineRule="auto" w:before="0" w:after="0"/>
              <w:pStyle w:val="Compact"/>
            </w:pPr>
            <w:r>
              <w:rPr>
                <w:sz w:val="20"/>
                <w:szCs w:val="20"/>
              </w:rPr>
              <w:t xml:space="preserve">0.8895</w:t>
            </w:r>
          </w:p>
        </w:tc>
        <w:tc>
          <w:tcPr>
            <w:tcW w:w="0" w:type="auto"/>
          </w:tcPr>
          <w:p>
            <w:pPr>
              <w:spacing w:line="240" w:lineRule="auto" w:before="0" w:after="0"/>
              <w:pStyle w:val="Compact"/>
            </w:pPr>
            <w:r>
              <w:rPr>
                <w:sz w:val="20"/>
                <w:szCs w:val="20"/>
              </w:rPr>
              <w:t xml:space="preserve">[-2.6409, 3.044]</w:t>
            </w:r>
          </w:p>
        </w:tc>
      </w:tr>
      <w:tr>
        <w:tc>
          <w:tcPr>
            <w:tcW w:w="0" w:type="auto"/>
          </w:tcPr>
          <w:p>
            <w:pPr>
              <w:spacing w:line="240" w:lineRule="auto" w:before="0" w:after="0"/>
              <w:pStyle w:val="Compact"/>
            </w:pPr>
            <w:r>
              <w:rPr>
                <w:sz w:val="20"/>
                <w:szCs w:val="20"/>
              </w:rPr>
              <w:t xml:space="preserve">ssr_or_pmd_signal</w:t>
            </w:r>
          </w:p>
        </w:tc>
        <w:tc>
          <w:tcPr>
            <w:tcW w:w="0" w:type="auto"/>
          </w:tcPr>
          <w:p>
            <w:pPr>
              <w:spacing w:line="240" w:lineRule="auto" w:before="0" w:after="0"/>
              <w:pStyle w:val="Compact"/>
            </w:pPr>
            <w:r>
              <w:rPr>
                <w:sz w:val="20"/>
                <w:szCs w:val="20"/>
              </w:rPr>
              <w:t xml:space="preserve">4.2216</w:t>
            </w:r>
          </w:p>
        </w:tc>
        <w:tc>
          <w:tcPr>
            <w:tcW w:w="0" w:type="auto"/>
          </w:tcPr>
          <w:p>
            <w:pPr>
              <w:spacing w:line="240" w:lineRule="auto" w:before="0" w:after="0"/>
              <w:pStyle w:val="Compact"/>
            </w:pPr>
            <w:r>
              <w:rPr>
                <w:sz w:val="20"/>
                <w:szCs w:val="20"/>
              </w:rPr>
              <w:t xml:space="preserve">1.321</w:t>
            </w:r>
          </w:p>
        </w:tc>
        <w:tc>
          <w:tcPr>
            <w:tcW w:w="0" w:type="auto"/>
          </w:tcPr>
          <w:p>
            <w:pPr>
              <w:spacing w:line="240" w:lineRule="auto" w:before="0" w:after="0"/>
              <w:pStyle w:val="Compact"/>
            </w:pPr>
            <w:r>
              <w:rPr>
                <w:sz w:val="20"/>
                <w:szCs w:val="20"/>
              </w:rPr>
              <w:t xml:space="preserve">3.1958</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[1.6325, 6.8106]</w:t>
            </w:r>
          </w:p>
        </w:tc>
      </w:tr>
    </w:tbl>
    <w:p>
      <w:pPr>
        <w:pStyle w:val="BodyText"/>
      </w:pPr>
      <w:r>
        <w:t xml:space="preserve">Fit: N = 35 pseudo_R2 = 0.47 LL = -12.2375</w:t>
      </w:r>
    </w:p>
    <w:p>
      <w:pPr>
        <w:pStyle w:val="CaptionedFigure"/>
      </w:pPr>
      <w:r>
        <w:drawing>
          <wp:inline>
            <wp:extent cx="5669280" cy="3657600"/>
            <wp:effectExtent b="0" l="0" r="0" t="0"/>
            <wp:docPr descr="Figure 1. Probability of a public sustainability commitment against operator fleet scale; commitments concentrate among larger LEO operators consistent with reputational-signaling pressure." title="" id="78" name="Picture"/>
            <a:graphic>
              <a:graphicData uri="http://schemas.openxmlformats.org/drawingml/2006/picture">
                <pic:pic>
                  <pic:nvPicPr>
                    <pic:cNvPr descr="D:\Claude_Code\brain\collegium\candidates\dissertations\DEBRIS_08\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Probability of a public sustainability commitment against operator fleet scale; commitments concentrate among larger LEO operators consistent with reputational-signaling pressure.</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year_first_launch</w:t>
            </w:r>
          </w:p>
        </w:tc>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ssr_or_pmd_signal</w:t>
            </w:r>
          </w:p>
        </w:tc>
        <w:tc>
          <w:tcPr>
            <w:tcW w:w="0" w:type="auto"/>
          </w:tcPr>
          <w:p>
            <w:pPr>
              <w:spacing w:line="240" w:lineRule="auto" w:before="0" w:after="0"/>
              <w:pStyle w:val="Compact"/>
            </w:pPr>
            <w:r>
              <w:rPr>
                <w:sz w:val="20"/>
                <w:szCs w:val="20"/>
              </w:rPr>
              <w:t xml:space="preserve">publicly_committed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7500</w:t>
            </w:r>
          </w:p>
        </w:tc>
        <w:tc>
          <w:tcPr>
            <w:tcW w:w="0" w:type="auto"/>
          </w:tcPr>
          <w:p>
            <w:pPr>
              <w:spacing w:line="240" w:lineRule="auto" w:before="0" w:after="0"/>
              <w:pStyle w:val="Compact"/>
            </w:pPr>
            <w:r>
              <w:rPr>
                <w:sz w:val="20"/>
                <w:szCs w:val="20"/>
              </w:rPr>
              <w:t xml:space="preserve">8.923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Sustainability Statement (Oct 2022) and FCC Gen2 partial grant 2022-12-01 commits to 5-year PMD (api.starlink.com/public-files/StarlinkSustainability.pdf; fcc.gov/document/fcc-partially-grants-spacex-gen2-broadband-satellite-application)</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6.474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OneWeb Responsible Space policy and ESA Net Zero Space signatory 2021 (oneweb.net/resources/responsible-space; netzerospace.org signatories)</w:t>
            </w:r>
          </w:p>
        </w:tc>
      </w:tr>
      <w:tr>
        <w:tc>
          <w:tcPr>
            <w:tcW w:w="0" w:type="auto"/>
          </w:tcPr>
          <w:p>
            <w:pPr>
              <w:spacing w:line="240" w:lineRule="auto" w:before="0" w:after="0"/>
              <w:pStyle w:val="Compact"/>
            </w:pPr>
            <w:r>
              <w:rPr>
                <w:sz w:val="20"/>
                <w:szCs w:val="20"/>
              </w:rPr>
              <w:t xml:space="preserve">Planet Labs</w:t>
            </w:r>
          </w:p>
        </w:tc>
        <w:tc>
          <w:tcPr>
            <w:tcW w:w="0" w:type="auto"/>
          </w:tcPr>
          <w:p>
            <w:pPr>
              <w:spacing w:line="240" w:lineRule="auto" w:before="0" w:after="0"/>
              <w:pStyle w:val="Compact"/>
            </w:pPr>
            <w:r>
              <w:rPr>
                <w:sz w:val="20"/>
                <w:szCs w:val="20"/>
              </w:rPr>
              <w:t xml:space="preserve">Flock/SkySat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Sustainability Report 2023 documents 25-year rule compliance and rapid LEO reentry (planet.com/pulse/planet-publishes-2023-sustainability-report)</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NEXT first-gen deorbit campaign completed 2019, published in ESA Annual Space Environment Report 2023 (esoc.esa.int/space_environment_report_2023; iridium.com sustainability)</w:t>
            </w:r>
          </w:p>
        </w:tc>
      </w:tr>
      <w:tr>
        <w:tc>
          <w:tcPr>
            <w:tcW w:w="0" w:type="auto"/>
          </w:tcPr>
          <w:p>
            <w:pPr>
              <w:spacing w:line="240" w:lineRule="auto" w:before="0" w:after="0"/>
              <w:pStyle w:val="Compact"/>
            </w:pPr>
            <w:r>
              <w:rPr>
                <w:sz w:val="20"/>
                <w:szCs w:val="20"/>
              </w:rPr>
              <w:t xml:space="preserve">Spire Global</w:t>
            </w:r>
          </w:p>
        </w:tc>
        <w:tc>
          <w:tcPr>
            <w:tcW w:w="0" w:type="auto"/>
          </w:tcPr>
          <w:p>
            <w:pPr>
              <w:spacing w:line="240" w:lineRule="auto" w:before="0" w:after="0"/>
              <w:pStyle w:val="Compact"/>
            </w:pPr>
            <w:r>
              <w:rPr>
                <w:sz w:val="20"/>
                <w:szCs w:val="20"/>
              </w:rPr>
              <w:t xml:space="preserve">Lemur-2</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ESG Report 2023 and SSR application announced 2022 (spire.com sustainability; spacesustainabilityrating.org/rated-missions)</w:t>
            </w:r>
          </w:p>
        </w:tc>
      </w:tr>
      <w:tr>
        <w:tc>
          <w:tcPr>
            <w:tcW w:w="0" w:type="auto"/>
          </w:tcPr>
          <w:p>
            <w:pPr>
              <w:spacing w:line="240" w:lineRule="auto" w:before="0" w:after="0"/>
              <w:pStyle w:val="Compact"/>
            </w:pPr>
            <w:r>
              <w:rPr>
                <w:sz w:val="20"/>
                <w:szCs w:val="20"/>
              </w:rPr>
              <w:t xml:space="preserve">Axelspace</w:t>
            </w:r>
          </w:p>
        </w:tc>
        <w:tc>
          <w:tcPr>
            <w:tcW w:w="0" w:type="auto"/>
          </w:tcPr>
          <w:p>
            <w:pPr>
              <w:spacing w:line="240" w:lineRule="auto" w:before="0" w:after="0"/>
              <w:pStyle w:val="Compact"/>
            </w:pPr>
            <w:r>
              <w:rPr>
                <w:sz w:val="20"/>
                <w:szCs w:val="20"/>
              </w:rPr>
              <w:t xml:space="preserve">GRUS</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Axelspace GRUS mission press kit; no public SSR or sustainability statement located as of 2024 (axelspace.com news)</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ICEYE SAR</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ICEYE Sustainability Statement and SSR participation announced 2023 (iceye.com sustainability; spacesustainabilityrating.org)</w:t>
            </w:r>
          </w:p>
        </w:tc>
      </w:tr>
      <w:tr>
        <w:tc>
          <w:tcPr>
            <w:tcW w:w="0" w:type="auto"/>
          </w:tcPr>
          <w:p>
            <w:pPr>
              <w:spacing w:line="240" w:lineRule="auto" w:before="0" w:after="0"/>
              <w:pStyle w:val="Compact"/>
            </w:pPr>
            <w:r>
              <w:rPr>
                <w:sz w:val="20"/>
                <w:szCs w:val="20"/>
              </w:rPr>
              <w:t xml:space="preserve">Inmarsat</w:t>
            </w:r>
          </w:p>
        </w:tc>
        <w:tc>
          <w:tcPr>
            <w:tcW w:w="0" w:type="auto"/>
          </w:tcPr>
          <w:p>
            <w:pPr>
              <w:spacing w:line="240" w:lineRule="auto" w:before="0" w:after="0"/>
              <w:pStyle w:val="Compact"/>
            </w:pPr>
            <w:r>
              <w:rPr>
                <w:sz w:val="20"/>
                <w:szCs w:val="20"/>
              </w:rPr>
              <w:t xml:space="preserve">I-6 F1/F2</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Inmarsat ESG Report 2022 commits to MEO/GEO graveyard disposal (inmarsat.com/about/sustainability)</w:t>
            </w:r>
          </w:p>
        </w:tc>
      </w:tr>
      <w:tr>
        <w:tc>
          <w:tcPr>
            <w:tcW w:w="0" w:type="auto"/>
          </w:tcPr>
          <w:p>
            <w:pPr>
              <w:spacing w:line="240" w:lineRule="auto" w:before="0" w:after="0"/>
              <w:pStyle w:val="Compact"/>
            </w:pPr>
            <w:r>
              <w:rPr>
                <w:sz w:val="20"/>
                <w:szCs w:val="20"/>
              </w:rPr>
              <w:t xml:space="preserve">SES</w:t>
            </w:r>
          </w:p>
        </w:tc>
        <w:tc>
          <w:tcPr>
            <w:tcW w:w="0" w:type="auto"/>
          </w:tcPr>
          <w:p>
            <w:pPr>
              <w:spacing w:line="240" w:lineRule="auto" w:before="0" w:after="0"/>
              <w:pStyle w:val="Compact"/>
            </w:pPr>
            <w:r>
              <w:rPr>
                <w:sz w:val="20"/>
                <w:szCs w:val="20"/>
              </w:rPr>
              <w:t xml:space="preserve">O3b mPOWER</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2.398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Sustainability Report 2023 references mPOWER MEO disposal plans and ESA CleanSpace partnership (ses.com/sustainability)</w:t>
            </w:r>
          </w:p>
        </w:tc>
      </w:tr>
      <w:tr>
        <w:tc>
          <w:tcPr>
            <w:tcW w:w="0" w:type="auto"/>
          </w:tcPr>
          <w:p>
            <w:pPr>
              <w:spacing w:line="240" w:lineRule="auto" w:before="0" w:after="0"/>
              <w:pStyle w:val="Compact"/>
            </w:pPr>
            <w:r>
              <w:rPr>
                <w:sz w:val="20"/>
                <w:szCs w:val="20"/>
              </w:rPr>
              <w:t xml:space="preserve">EUTELSAT</w:t>
            </w:r>
          </w:p>
        </w:tc>
        <w:tc>
          <w:tcPr>
            <w:tcW w:w="0" w:type="auto"/>
          </w:tcPr>
          <w:p>
            <w:pPr>
              <w:spacing w:line="240" w:lineRule="auto" w:before="0" w:after="0"/>
              <w:pStyle w:val="Compact"/>
            </w:pPr>
            <w:r>
              <w:rPr>
                <w:sz w:val="20"/>
                <w:szCs w:val="20"/>
              </w:rPr>
              <w:t xml:space="preserve">EUTELSAT 36D</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Sustainability Report 2023; Eutelsat-OneWeb merger sustainability policy (eutelsat.com/en/group/sustainability)</w:t>
            </w:r>
          </w:p>
        </w:tc>
      </w:tr>
      <w:tr>
        <w:tc>
          <w:tcPr>
            <w:tcW w:w="0" w:type="auto"/>
          </w:tcPr>
          <w:p>
            <w:pPr>
              <w:spacing w:line="240" w:lineRule="auto" w:before="0" w:after="0"/>
              <w:pStyle w:val="Compact"/>
            </w:pPr>
            <w:r>
              <w:rPr>
                <w:sz w:val="20"/>
                <w:szCs w:val="20"/>
              </w:rPr>
              <w:t xml:space="preserve">GHGSat</w:t>
            </w:r>
          </w:p>
        </w:tc>
        <w:tc>
          <w:tcPr>
            <w:tcW w:w="0" w:type="auto"/>
          </w:tcPr>
          <w:p>
            <w:pPr>
              <w:spacing w:line="240" w:lineRule="auto" w:before="0" w:after="0"/>
              <w:pStyle w:val="Compact"/>
            </w:pPr>
            <w:r>
              <w:rPr>
                <w:sz w:val="20"/>
                <w:szCs w:val="20"/>
              </w:rPr>
              <w:t xml:space="preserve">GHGSat-C</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GHGSat ESG statement 2023 mentions emissions monitoring mission; no SSR rating located (ghgsat.com about)</w:t>
            </w:r>
          </w:p>
        </w:tc>
      </w:tr>
      <w:tr>
        <w:tc>
          <w:tcPr>
            <w:tcW w:w="0" w:type="auto"/>
          </w:tcPr>
          <w:p>
            <w:pPr>
              <w:spacing w:line="240" w:lineRule="auto" w:before="0" w:after="0"/>
              <w:pStyle w:val="Compact"/>
            </w:pPr>
            <w:r>
              <w:rPr>
                <w:sz w:val="20"/>
                <w:szCs w:val="20"/>
              </w:rPr>
              <w:t xml:space="preserve">Maxar</w:t>
            </w:r>
          </w:p>
        </w:tc>
        <w:tc>
          <w:tcPr>
            <w:tcW w:w="0" w:type="auto"/>
          </w:tcPr>
          <w:p>
            <w:pPr>
              <w:spacing w:line="240" w:lineRule="auto" w:before="0" w:after="0"/>
              <w:pStyle w:val="Compact"/>
            </w:pPr>
            <w:r>
              <w:rPr>
                <w:sz w:val="20"/>
                <w:szCs w:val="20"/>
              </w:rPr>
              <w:t xml:space="preserve">WorldView Legion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Maxar 2023 Corporate Responsibility Report commits to Legion disposal plans (maxar.com/social-impact)</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Global</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2.773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10-K filings reference standard FCC disposal; no public SSR commitment found (sec.gov BlackSky 10-K 2023)</w:t>
            </w:r>
          </w:p>
        </w:tc>
      </w:tr>
      <w:tr>
        <w:tc>
          <w:tcPr>
            <w:tcW w:w="0" w:type="auto"/>
          </w:tcPr>
          <w:p>
            <w:pPr>
              <w:spacing w:line="240" w:lineRule="auto" w:before="0" w:after="0"/>
              <w:pStyle w:val="Compact"/>
            </w:pPr>
            <w:r>
              <w:rPr>
                <w:sz w:val="20"/>
                <w:szCs w:val="20"/>
              </w:rPr>
              <w:t xml:space="preserve">HawkEye 360</w:t>
            </w:r>
          </w:p>
        </w:tc>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HawkEye 360 mission documentation; no public sustainability statement located as of 2024 (he360.com news)</w:t>
            </w:r>
          </w:p>
        </w:tc>
      </w:tr>
      <w:tr>
        <w:tc>
          <w:tcPr>
            <w:tcW w:w="0" w:type="auto"/>
          </w:tcPr>
          <w:p>
            <w:pPr>
              <w:spacing w:line="240" w:lineRule="auto" w:before="0" w:after="0"/>
              <w:pStyle w:val="Compact"/>
            </w:pPr>
            <w:r>
              <w:rPr>
                <w:sz w:val="20"/>
                <w:szCs w:val="20"/>
              </w:rPr>
              <w:t xml:space="preserve">Capella Space</w:t>
            </w:r>
          </w:p>
        </w:tc>
        <w:tc>
          <w:tcPr>
            <w:tcW w:w="0" w:type="auto"/>
          </w:tcPr>
          <w:p>
            <w:pPr>
              <w:spacing w:line="240" w:lineRule="auto" w:before="0" w:after="0"/>
              <w:pStyle w:val="Compact"/>
            </w:pPr>
            <w:r>
              <w:rPr>
                <w:sz w:val="20"/>
                <w:szCs w:val="20"/>
              </w:rPr>
              <w:t xml:space="preserve">Capella SAR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documented rapid orbit decay at ~525 km (capellaspace.com about; ESA SEN-2023 list of decayed objects)</w:t>
            </w:r>
          </w:p>
        </w:tc>
      </w:tr>
      <w:tr>
        <w:tc>
          <w:tcPr>
            <w:tcW w:w="0" w:type="auto"/>
          </w:tcPr>
          <w:p>
            <w:pPr>
              <w:spacing w:line="240" w:lineRule="auto" w:before="0" w:after="0"/>
              <w:pStyle w:val="Compact"/>
            </w:pPr>
            <w:r>
              <w:rPr>
                <w:sz w:val="20"/>
                <w:szCs w:val="20"/>
              </w:rPr>
              <w:t xml:space="preserve">Satellogic</w:t>
            </w:r>
          </w:p>
        </w:tc>
        <w:tc>
          <w:tcPr>
            <w:tcW w:w="0" w:type="auto"/>
          </w:tcPr>
          <w:p>
            <w:pPr>
              <w:spacing w:line="240" w:lineRule="auto" w:before="0" w:after="0"/>
              <w:pStyle w:val="Compact"/>
            </w:pPr>
            <w:r>
              <w:rPr>
                <w:sz w:val="20"/>
                <w:szCs w:val="20"/>
              </w:rPr>
              <w:t xml:space="preserve">Aleph-1</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Satellogic FCC market access filings; no public SSR or sustainability rating located (fcc.gov IBFS SAT-LOI-20210212)</w:t>
            </w:r>
          </w:p>
        </w:tc>
      </w:tr>
      <w:tr>
        <w:tc>
          <w:tcPr>
            <w:tcW w:w="0" w:type="auto"/>
          </w:tcPr>
          <w:p>
            <w:pPr>
              <w:spacing w:line="240" w:lineRule="auto" w:before="0" w:after="0"/>
              <w:pStyle w:val="Compact"/>
            </w:pPr>
            <w:r>
              <w:rPr>
                <w:sz w:val="20"/>
                <w:szCs w:val="20"/>
              </w:rPr>
              <w:t xml:space="preserve">Astrocast</w:t>
            </w:r>
          </w:p>
        </w:tc>
        <w:tc>
          <w:tcPr>
            <w:tcW w:w="0" w:type="auto"/>
          </w:tcPr>
          <w:p>
            <w:pPr>
              <w:spacing w:line="240" w:lineRule="auto" w:before="0" w:after="0"/>
              <w:pStyle w:val="Compact"/>
            </w:pPr>
            <w:r>
              <w:rPr>
                <w:sz w:val="20"/>
                <w:szCs w:val="20"/>
              </w:rPr>
              <w:t xml:space="preserve">IoT Cluster</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Astrocast confirmed SSR rated mission 2022 (spacesustainabilityrating.org/rated-missions; astrocast.com news)</w:t>
            </w:r>
          </w:p>
        </w:tc>
      </w:tr>
      <w:tr>
        <w:tc>
          <w:tcPr>
            <w:tcW w:w="0" w:type="auto"/>
          </w:tcPr>
          <w:p>
            <w:pPr>
              <w:spacing w:line="240" w:lineRule="auto" w:before="0" w:after="0"/>
              <w:pStyle w:val="Compact"/>
            </w:pPr>
            <w:r>
              <w:rPr>
                <w:sz w:val="20"/>
                <w:szCs w:val="20"/>
              </w:rPr>
              <w:t xml:space="preserve">Kepler Communications</w:t>
            </w:r>
          </w:p>
        </w:tc>
        <w:tc>
          <w:tcPr>
            <w:tcW w:w="0" w:type="auto"/>
          </w:tcPr>
          <w:p>
            <w:pPr>
              <w:spacing w:line="240" w:lineRule="auto" w:before="0" w:after="0"/>
              <w:pStyle w:val="Compact"/>
            </w:pPr>
            <w:r>
              <w:rPr>
                <w:sz w:val="20"/>
                <w:szCs w:val="20"/>
              </w:rPr>
              <w:t xml:space="preserve">Kepler IoT</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Kepler ESG mention in Series C announcements; standard ITU disposal compliance (kepler.space news 2023)</w:t>
            </w:r>
          </w:p>
        </w:tc>
      </w:tr>
      <w:tr>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Lightspeed</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5.288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Telesat Lightspeed FCC market access and Telesat Sustainability Report 2023 commits to 5-year PMD (telesat.com sustainability)</w:t>
            </w:r>
          </w:p>
        </w:tc>
      </w:tr>
      <w:tr>
        <w:tc>
          <w:tcPr>
            <w:tcW w:w="0" w:type="auto"/>
          </w:tcPr>
          <w:p>
            <w:pPr>
              <w:spacing w:line="240" w:lineRule="auto" w:before="0" w:after="0"/>
              <w:pStyle w:val="Compact"/>
            </w:pPr>
            <w:r>
              <w:rPr>
                <w:sz w:val="20"/>
                <w:szCs w:val="20"/>
              </w:rPr>
              <w:t xml:space="preserve">Amazon</w:t>
            </w:r>
          </w:p>
        </w:tc>
        <w:tc>
          <w:tcPr>
            <w:tcW w:w="0" w:type="auto"/>
          </w:tcPr>
          <w:p>
            <w:pPr>
              <w:spacing w:line="240" w:lineRule="auto" w:before="0" w:after="0"/>
              <w:pStyle w:val="Compact"/>
            </w:pPr>
            <w:r>
              <w:rPr>
                <w:sz w:val="20"/>
                <w:szCs w:val="20"/>
              </w:rPr>
              <w:t xml:space="preserve">Project Kuiper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8.083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Amazon Project Kuiper FCC grant FCC-20-102 and Kuiper Sustainability commitments (fcc.gov/document/fcc-authorizes-kuiper-satellite-constellation; aboutamazon.com/news/innovation-at-amazon/project-kuiper-sustainability)</w:t>
            </w:r>
          </w:p>
        </w:tc>
      </w:tr>
      <w:tr>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LM 400 Tech Demo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Lockheed Martin 2023 Sustainability Report; SSR application announced 2022 (lockheedmartin.com/sustainability; spacesustainabilityrating.org)</w:t>
            </w:r>
          </w:p>
        </w:tc>
      </w:tr>
      <w:tr>
        <w:tc>
          <w:tcPr>
            <w:tcW w:w="0" w:type="auto"/>
          </w:tcPr>
          <w:p>
            <w:pPr>
              <w:spacing w:line="240" w:lineRule="auto" w:before="0" w:after="0"/>
              <w:pStyle w:val="Compact"/>
            </w:pPr>
            <w:r>
              <w:rPr>
                <w:sz w:val="20"/>
                <w:szCs w:val="20"/>
              </w:rPr>
              <w:t xml:space="preserve">Airbus</w:t>
            </w:r>
          </w:p>
        </w:tc>
        <w:tc>
          <w:tcPr>
            <w:tcW w:w="0" w:type="auto"/>
          </w:tcPr>
          <w:p>
            <w:pPr>
              <w:spacing w:line="240" w:lineRule="auto" w:before="0" w:after="0"/>
              <w:pStyle w:val="Compact"/>
            </w:pPr>
            <w:r>
              <w:rPr>
                <w:sz w:val="20"/>
                <w:szCs w:val="20"/>
              </w:rPr>
              <w:t xml:space="preserve">Pleiades Neo</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Airbus Pleiades Neo first SSR-rated mission, 2022 announcement (spacesustainabilityrating.org/news/pleiades-neo-first-rated; airbus.com/sustainability)</w:t>
            </w:r>
          </w:p>
        </w:tc>
      </w:tr>
      <w:tr>
        <w:tc>
          <w:tcPr>
            <w:tcW w:w="0" w:type="auto"/>
          </w:tcPr>
          <w:p>
            <w:pPr>
              <w:spacing w:line="240" w:lineRule="auto" w:before="0" w:after="0"/>
              <w:pStyle w:val="Compact"/>
            </w:pPr>
            <w:r>
              <w:rPr>
                <w:sz w:val="20"/>
                <w:szCs w:val="20"/>
              </w:rPr>
              <w:t xml:space="preserve">Thales Alenia</w:t>
            </w:r>
          </w:p>
        </w:tc>
        <w:tc>
          <w:tcPr>
            <w:tcW w:w="0" w:type="auto"/>
          </w:tcPr>
          <w:p>
            <w:pPr>
              <w:spacing w:line="240" w:lineRule="auto" w:before="0" w:after="0"/>
              <w:pStyle w:val="Compact"/>
            </w:pPr>
            <w:r>
              <w:rPr>
                <w:sz w:val="20"/>
                <w:szCs w:val="20"/>
              </w:rPr>
              <w:t xml:space="preserve">COSMO-SkyMed SG</w:t>
            </w:r>
          </w:p>
        </w:tc>
        <w:tc>
          <w:tcPr>
            <w:tcW w:w="0" w:type="auto"/>
          </w:tcPr>
          <w:p>
            <w:pPr>
              <w:spacing w:line="240" w:lineRule="auto" w:before="0" w:after="0"/>
              <w:pStyle w:val="Compact"/>
            </w:pPr>
            <w:r>
              <w:rPr>
                <w:sz w:val="20"/>
                <w:szCs w:val="20"/>
              </w:rPr>
              <w:t xml:space="preserve">France/Italy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Thales Alenia Space ESG Report 2023; COSMO-SkyMed SG disposal plan documented (thalesaleniaspace.com; asi.it COSMO SG)</w:t>
            </w:r>
          </w:p>
        </w:tc>
      </w:tr>
      <w:tr>
        <w:tc>
          <w:tcPr>
            <w:tcW w:w="0" w:type="auto"/>
          </w:tcPr>
          <w:p>
            <w:pPr>
              <w:spacing w:line="240" w:lineRule="auto" w:before="0" w:after="0"/>
              <w:pStyle w:val="Compact"/>
            </w:pPr>
            <w:r>
              <w:rPr>
                <w:sz w:val="20"/>
                <w:szCs w:val="20"/>
              </w:rPr>
              <w:t xml:space="preserve">NorthStar</w:t>
            </w:r>
          </w:p>
        </w:tc>
        <w:tc>
          <w:tcPr>
            <w:tcW w:w="0" w:type="auto"/>
          </w:tcPr>
          <w:p>
            <w:pPr>
              <w:spacing w:line="240" w:lineRule="auto" w:before="0" w:after="0"/>
              <w:pStyle w:val="Compact"/>
            </w:pPr>
            <w:r>
              <w:rPr>
                <w:sz w:val="20"/>
                <w:szCs w:val="20"/>
              </w:rPr>
              <w:t xml:space="preserve">Skylark</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NorthStar Earth and Space first SSA-mission SSR rated 2024 (spacesustainabilityrating.org/news; northstar-data.com)</w:t>
            </w:r>
          </w:p>
        </w:tc>
      </w:tr>
      <w:tr>
        <w:tc>
          <w:tcPr>
            <w:tcW w:w="0" w:type="auto"/>
          </w:tcPr>
          <w:p>
            <w:pPr>
              <w:spacing w:line="240" w:lineRule="auto" w:before="0" w:after="0"/>
              <w:pStyle w:val="Compact"/>
            </w:pPr>
            <w:r>
              <w:rPr>
                <w:sz w:val="20"/>
                <w:szCs w:val="20"/>
              </w:rPr>
              <w:t xml:space="preserve">Axiom Space</w:t>
            </w:r>
          </w:p>
        </w:tc>
        <w:tc>
          <w:tcPr>
            <w:tcW w:w="0" w:type="auto"/>
          </w:tcPr>
          <w:p>
            <w:pPr>
              <w:spacing w:line="240" w:lineRule="auto" w:before="0" w:after="0"/>
              <w:pStyle w:val="Compact"/>
            </w:pPr>
            <w:r>
              <w:rPr>
                <w:sz w:val="20"/>
                <w:szCs w:val="20"/>
              </w:rPr>
              <w:t xml:space="preserve">AxStation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Axiom commercial station sustainability documentation; NASA CLDP partner agreement (axiomspace.com sustainability)</w:t>
            </w:r>
          </w:p>
        </w:tc>
      </w:tr>
      <w:tr>
        <w:tc>
          <w:tcPr>
            <w:tcW w:w="0" w:type="auto"/>
          </w:tcPr>
          <w:p>
            <w:pPr>
              <w:spacing w:line="240" w:lineRule="auto" w:before="0" w:after="0"/>
              <w:pStyle w:val="Compact"/>
            </w:pPr>
            <w:r>
              <w:rPr>
                <w:sz w:val="20"/>
                <w:szCs w:val="20"/>
              </w:rPr>
              <w:t xml:space="preserve">Sateliot</w:t>
            </w:r>
          </w:p>
        </w:tc>
        <w:tc>
          <w:tcPr>
            <w:tcW w:w="0" w:type="auto"/>
          </w:tcPr>
          <w:p>
            <w:pPr>
              <w:spacing w:line="240" w:lineRule="auto" w:before="0" w:after="0"/>
              <w:pStyle w:val="Compact"/>
            </w:pPr>
            <w:r>
              <w:rPr>
                <w:sz w:val="20"/>
                <w:szCs w:val="20"/>
              </w:rPr>
              <w:t xml:space="preserve">IoT Constellation</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Sateliot mission documentation; no public SSR statement located (sateliot.space about) [illustrative for ssr_or_pmd_signal=0]</w:t>
            </w:r>
          </w:p>
        </w:tc>
      </w:tr>
      <w:tr>
        <w:tc>
          <w:tcPr>
            <w:tcW w:w="0" w:type="auto"/>
          </w:tcPr>
          <w:p>
            <w:pPr>
              <w:spacing w:line="240" w:lineRule="auto" w:before="0" w:after="0"/>
              <w:pStyle w:val="Compact"/>
            </w:pPr>
            <w:r>
              <w:rPr>
                <w:sz w:val="20"/>
                <w:szCs w:val="20"/>
              </w:rPr>
              <w:t xml:space="preserve">Loft Orbital</w:t>
            </w:r>
          </w:p>
        </w:tc>
        <w:tc>
          <w:tcPr>
            <w:tcW w:w="0" w:type="auto"/>
          </w:tcPr>
          <w:p>
            <w:pPr>
              <w:spacing w:line="240" w:lineRule="auto" w:before="0" w:after="0"/>
              <w:pStyle w:val="Compact"/>
            </w:pPr>
            <w:r>
              <w:rPr>
                <w:sz w:val="20"/>
                <w:szCs w:val="20"/>
              </w:rPr>
              <w:t xml:space="preserve">YAM</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Loft Orbital corporate sustainability page references PMD; no SSR rating located (loftorbital.com about)</w:t>
            </w:r>
          </w:p>
        </w:tc>
      </w:tr>
      <w:tr>
        <w:tc>
          <w:tcPr>
            <w:tcW w:w="0" w:type="auto"/>
          </w:tcPr>
          <w:p>
            <w:pPr>
              <w:spacing w:line="240" w:lineRule="auto" w:before="0" w:after="0"/>
              <w:pStyle w:val="Compact"/>
            </w:pPr>
            <w:r>
              <w:rPr>
                <w:sz w:val="20"/>
                <w:szCs w:val="20"/>
              </w:rPr>
              <w:t xml:space="preserve">Astranis</w:t>
            </w:r>
          </w:p>
        </w:tc>
        <w:tc>
          <w:tcPr>
            <w:tcW w:w="0" w:type="auto"/>
          </w:tcPr>
          <w:p>
            <w:pPr>
              <w:spacing w:line="240" w:lineRule="auto" w:before="0" w:after="0"/>
              <w:pStyle w:val="Compact"/>
            </w:pPr>
            <w:r>
              <w:rPr>
                <w:sz w:val="20"/>
                <w:szCs w:val="20"/>
              </w:rPr>
              <w:t xml:space="preserve">MicroGEO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Astranis MicroGEO documented to operate in GEO with graveyard disposal commitment (astranis.com news; fcc.gov filing 2021)</w:t>
            </w:r>
          </w:p>
        </w:tc>
      </w:tr>
      <w:tr>
        <w:tc>
          <w:tcPr>
            <w:tcW w:w="0" w:type="auto"/>
          </w:tcPr>
          <w:p>
            <w:pPr>
              <w:spacing w:line="240" w:lineRule="auto" w:before="0" w:after="0"/>
              <w:pStyle w:val="Compact"/>
            </w:pPr>
            <w:r>
              <w:rPr>
                <w:sz w:val="20"/>
                <w:szCs w:val="20"/>
              </w:rPr>
              <w:t xml:space="preserve">Synspective</w:t>
            </w:r>
          </w:p>
        </w:tc>
        <w:tc>
          <w:tcPr>
            <w:tcW w:w="0" w:type="auto"/>
          </w:tcPr>
          <w:p>
            <w:pPr>
              <w:spacing w:line="240" w:lineRule="auto" w:before="0" w:after="0"/>
              <w:pStyle w:val="Compact"/>
            </w:pPr>
            <w:r>
              <w:rPr>
                <w:sz w:val="20"/>
                <w:szCs w:val="20"/>
              </w:rPr>
              <w:t xml:space="preserve">StriX</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Synspective StriX mission press kit; no public SSR commitment found (synspective.com news)</w:t>
            </w:r>
          </w:p>
        </w:tc>
      </w:tr>
      <w:tr>
        <w:tc>
          <w:tcPr>
            <w:tcW w:w="0" w:type="auto"/>
          </w:tcPr>
          <w:p>
            <w:pPr>
              <w:spacing w:line="240" w:lineRule="auto" w:before="0" w:after="0"/>
              <w:pStyle w:val="Compact"/>
            </w:pPr>
            <w:r>
              <w:rPr>
                <w:sz w:val="20"/>
                <w:szCs w:val="20"/>
              </w:rPr>
              <w:t xml:space="preserve">Hera Systems</w:t>
            </w:r>
          </w:p>
        </w:tc>
        <w:tc>
          <w:tcPr>
            <w:tcW w:w="0" w:type="auto"/>
          </w:tcPr>
          <w:p>
            <w:pPr>
              <w:spacing w:line="240" w:lineRule="auto" w:before="0" w:after="0"/>
              <w:pStyle w:val="Compact"/>
            </w:pPr>
            <w:r>
              <w:rPr>
                <w:sz w:val="20"/>
                <w:szCs w:val="20"/>
              </w:rPr>
              <w:t xml:space="preserve">Hera-1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Hera Systems mission documentation; no public sustainability statement located (herasys.com)</w:t>
            </w:r>
          </w:p>
        </w:tc>
      </w:tr>
      <w:tr>
        <w:tc>
          <w:tcPr>
            <w:tcW w:w="0" w:type="auto"/>
          </w:tcPr>
          <w:p>
            <w:pPr>
              <w:spacing w:line="240" w:lineRule="auto" w:before="0" w:after="0"/>
              <w:pStyle w:val="Compact"/>
            </w:pPr>
            <w:r>
              <w:rPr>
                <w:sz w:val="20"/>
                <w:szCs w:val="20"/>
              </w:rPr>
              <w:t xml:space="preserve">Geespace</w:t>
            </w:r>
          </w:p>
        </w:tc>
        <w:tc>
          <w:tcPr>
            <w:tcW w:w="0" w:type="auto"/>
          </w:tcPr>
          <w:p>
            <w:pPr>
              <w:spacing w:line="240" w:lineRule="auto" w:before="0" w:after="0"/>
              <w:pStyle w:val="Compact"/>
            </w:pPr>
            <w:r>
              <w:rPr>
                <w:sz w:val="20"/>
                <w:szCs w:val="20"/>
              </w:rPr>
              <w:t xml:space="preserve">GeeSAT</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4.277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Geespace GeeSAT-1 mission documentation; no public English-language SSR commitment located (geespace.com news)</w:t>
            </w:r>
          </w:p>
        </w:tc>
      </w:tr>
      <w:tr>
        <w:tc>
          <w:tcPr>
            <w:tcW w:w="0" w:type="auto"/>
          </w:tcPr>
          <w:p>
            <w:pPr>
              <w:spacing w:line="240" w:lineRule="auto" w:before="0" w:after="0"/>
              <w:pStyle w:val="Compact"/>
            </w:pPr>
            <w:r>
              <w:rPr>
                <w:sz w:val="20"/>
                <w:szCs w:val="20"/>
              </w:rPr>
              <w:t xml:space="preserve">Galaxy Space</w:t>
            </w:r>
          </w:p>
        </w:tc>
        <w:tc>
          <w:tcPr>
            <w:tcW w:w="0" w:type="auto"/>
          </w:tcPr>
          <w:p>
            <w:pPr>
              <w:spacing w:line="240" w:lineRule="auto" w:before="0" w:after="0"/>
              <w:pStyle w:val="Compact"/>
            </w:pPr>
            <w:r>
              <w:rPr>
                <w:sz w:val="20"/>
                <w:szCs w:val="20"/>
              </w:rPr>
              <w:t xml:space="preserve">Yinhe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Galaxy Space Yinhe mission documentation; no public SSR commitment located (galaxyspace.com)</w:t>
            </w:r>
          </w:p>
        </w:tc>
      </w:tr>
      <w:tr>
        <w:tc>
          <w:tcPr>
            <w:tcW w:w="0" w:type="auto"/>
          </w:tcPr>
          <w:p>
            <w:pPr>
              <w:spacing w:line="240" w:lineRule="auto" w:before="0" w:after="0"/>
              <w:pStyle w:val="Compact"/>
            </w:pPr>
            <w:r>
              <w:rPr>
                <w:sz w:val="20"/>
                <w:szCs w:val="20"/>
              </w:rPr>
              <w:t xml:space="preserve">GalaxySpace</w:t>
            </w:r>
          </w:p>
        </w:tc>
        <w:tc>
          <w:tcPr>
            <w:tcW w:w="0" w:type="auto"/>
          </w:tcPr>
          <w:p>
            <w:pPr>
              <w:spacing w:line="240" w:lineRule="auto" w:before="0" w:after="0"/>
              <w:pStyle w:val="Compact"/>
            </w:pPr>
            <w:r>
              <w:rPr>
                <w:sz w:val="20"/>
                <w:szCs w:val="20"/>
              </w:rPr>
              <w:t xml:space="preserve">Lingxi-03</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GalaxySpace Lingxi mission press; no SSR commitment located [illustrative for ssr_or_pmd_signal=0]</w:t>
            </w:r>
          </w:p>
        </w:tc>
      </w:tr>
      <w:tr>
        <w:tc>
          <w:tcPr>
            <w:tcW w:w="0" w:type="auto"/>
          </w:tcPr>
          <w:p>
            <w:pPr>
              <w:spacing w:line="240" w:lineRule="auto" w:before="0" w:after="0"/>
              <w:pStyle w:val="Compact"/>
            </w:pPr>
            <w:r>
              <w:rPr>
                <w:sz w:val="20"/>
                <w:szCs w:val="20"/>
              </w:rPr>
              <w:t xml:space="preserve">Skylo</w:t>
            </w:r>
          </w:p>
        </w:tc>
        <w:tc>
          <w:tcPr>
            <w:tcW w:w="0" w:type="auto"/>
          </w:tcPr>
          <w:p>
            <w:pPr>
              <w:spacing w:line="240" w:lineRule="auto" w:before="0" w:after="0"/>
              <w:pStyle w:val="Compact"/>
            </w:pPr>
            <w:r>
              <w:rPr>
                <w:sz w:val="20"/>
                <w:szCs w:val="20"/>
              </w:rPr>
              <w:t xml:space="preserve">IoT NTN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Skylo NTN deployment via Inmarsat GEO; inherits Inmarsat disposal plan (skylo.tech about)</w:t>
            </w:r>
          </w:p>
        </w:tc>
      </w:tr>
      <w:tr>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Globalstar 2023 ESG Report references PMD plans and FCC license terms (globalstar.com sustainability)</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publicly_committed</w:t>
            </w:r>
          </w:p>
        </w:tc>
        <w:tc>
          <w:tcPr>
            <w:tcW w:w="0" w:type="auto"/>
          </w:tcPr>
          <w:p>
            <w:pPr>
              <w:spacing w:line="240" w:lineRule="auto" w:before="0" w:after="0"/>
              <w:pStyle w:val="Compact"/>
            </w:pPr>
            <w:r>
              <w:rPr>
                <w:sz w:val="20"/>
                <w:szCs w:val="20"/>
              </w:rPr>
              <w:t xml:space="preserve">Binary outcome: 1 if the operator has issued a public sustainability statement, ESG/sustainability report with explicit space-debris language, or has been formally rated by the Space Sustainability Rating (SSR) as of the 2026-06 observation cutoff; 0 otherwise.</w:t>
            </w:r>
          </w:p>
        </w:tc>
        <w:tc>
          <w:tcPr>
            <w:tcW w:w="0" w:type="auto"/>
          </w:tcPr>
          <w:p>
            <w:pPr>
              <w:spacing w:line="240" w:lineRule="auto" w:before="0" w:after="0"/>
              <w:pStyle w:val="Compact"/>
            </w:pPr>
            <w:r>
              <w:rPr>
                <w:sz w:val="20"/>
                <w:szCs w:val="20"/>
              </w:rPr>
              <w:t xml:space="preserve">Operator websites, ESG/sustainability reports, and the SSR rated-missions registry (spacesustainabilityrating.org/rated-missions) per row source.</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Natural logarithm of the operator’s authorized or deployed satellite count for the lead system in the row.</w:t>
            </w:r>
          </w:p>
        </w:tc>
        <w:tc>
          <w:tcPr>
            <w:tcW w:w="0" w:type="auto"/>
          </w:tcPr>
          <w:p>
            <w:pPr>
              <w:spacing w:line="240" w:lineRule="auto" w:before="0" w:after="0"/>
              <w:pStyle w:val="Compact"/>
            </w:pPr>
            <w:r>
              <w:rPr>
                <w:sz w:val="20"/>
                <w:szCs w:val="20"/>
              </w:rPr>
              <w:t xml:space="preserve">Computed from FCC filings, operator press kits, and ESA Annual Space Environment Report 2023 (esoc.esa.int/space_environment_report_2023) per row source.</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Binary: 1 if the operator’s lead system is principally in low Earth orbit (LEO); 0 if the lead system is in MEO or GEO. Captures exposure to the conjunction/debris commons.</w:t>
            </w:r>
          </w:p>
        </w:tc>
        <w:tc>
          <w:tcPr>
            <w:tcW w:w="0" w:type="auto"/>
          </w:tcPr>
          <w:p>
            <w:pPr>
              <w:spacing w:line="240" w:lineRule="auto" w:before="0" w:after="0"/>
              <w:pStyle w:val="Compact"/>
            </w:pPr>
            <w:r>
              <w:rPr>
                <w:sz w:val="20"/>
                <w:szCs w:val="20"/>
              </w:rPr>
              <w:t xml:space="preserve">Operator filings and mission documentation per row source.</w:t>
            </w:r>
          </w:p>
        </w:tc>
      </w:tr>
      <w:tr>
        <w:tc>
          <w:tcPr>
            <w:tcW w:w="0" w:type="auto"/>
          </w:tcPr>
          <w:p>
            <w:pPr>
              <w:spacing w:line="240" w:lineRule="auto" w:before="0" w:after="0"/>
              <w:pStyle w:val="Compact"/>
            </w:pPr>
            <w:r>
              <w:rPr>
                <w:sz w:val="20"/>
                <w:szCs w:val="20"/>
              </w:rPr>
              <w:t xml:space="preserve">ssr_or_pmd_signal</w:t>
            </w:r>
          </w:p>
        </w:tc>
        <w:tc>
          <w:tcPr>
            <w:tcW w:w="0" w:type="auto"/>
          </w:tcPr>
          <w:p>
            <w:pPr>
              <w:spacing w:line="240" w:lineRule="auto" w:before="0" w:after="0"/>
              <w:pStyle w:val="Compact"/>
            </w:pPr>
            <w:r>
              <w:rPr>
                <w:sz w:val="20"/>
                <w:szCs w:val="20"/>
              </w:rPr>
              <w:t xml:space="preserve">Binary signal-strength proxy: 1 if the operator has either applied for an SSR rating or published a specific post-mission disposal (PMD) timeline (e.g., 5-year compliant with FCC 2022 rule); 0 if no such specific commitment is documented.</w:t>
            </w:r>
          </w:p>
        </w:tc>
        <w:tc>
          <w:tcPr>
            <w:tcW w:w="0" w:type="auto"/>
          </w:tcPr>
          <w:p>
            <w:pPr>
              <w:spacing w:line="240" w:lineRule="auto" w:before="0" w:after="0"/>
              <w:pStyle w:val="Compact"/>
            </w:pPr>
            <w:r>
              <w:rPr>
                <w:sz w:val="20"/>
                <w:szCs w:val="20"/>
              </w:rPr>
              <w:t xml:space="preserve">SSR rated-missions registry, FCC orders, and operator sustainability reports per row source.</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Binary: 1 if the lead system is a constellation of 5+ satellites; 0 if a single satellite or pair (control variable in robustness checks).</w:t>
            </w:r>
          </w:p>
        </w:tc>
        <w:tc>
          <w:tcPr>
            <w:tcW w:w="0" w:type="auto"/>
          </w:tcPr>
          <w:p>
            <w:pPr>
              <w:spacing w:line="240" w:lineRule="auto" w:before="0" w:after="0"/>
              <w:pStyle w:val="Compact"/>
            </w:pPr>
            <w:r>
              <w:rPr>
                <w:sz w:val="20"/>
                <w:szCs w:val="20"/>
              </w:rPr>
              <w:t xml:space="preserve">Operator filings per row source.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-2.7686</w:t>
            </w:r>
          </w:p>
        </w:tc>
        <w:tc>
          <w:tcPr>
            <w:tcW w:w="0" w:type="auto"/>
          </w:tcPr>
          <w:p>
            <w:pPr>
              <w:spacing w:line="240" w:lineRule="auto" w:before="0" w:after="0"/>
              <w:pStyle w:val="Compact"/>
            </w:pPr>
            <w:r>
              <w:rPr>
                <w:sz w:val="20"/>
                <w:szCs w:val="20"/>
              </w:rPr>
              <w:t xml:space="preserve">1.6967</w:t>
            </w:r>
          </w:p>
        </w:tc>
        <w:tc>
          <w:tcPr>
            <w:tcW w:w="0" w:type="auto"/>
          </w:tcPr>
          <w:p>
            <w:pPr>
              <w:spacing w:line="240" w:lineRule="auto" w:before="0" w:after="0"/>
              <w:pStyle w:val="Compact"/>
            </w:pPr>
            <w:r>
              <w:rPr>
                <w:sz w:val="20"/>
                <w:szCs w:val="20"/>
              </w:rPr>
              <w:t xml:space="preserve">-1.6318</w:t>
            </w:r>
          </w:p>
        </w:tc>
        <w:tc>
          <w:tcPr>
            <w:tcW w:w="0" w:type="auto"/>
          </w:tcPr>
          <w:p>
            <w:pPr>
              <w:spacing w:line="240" w:lineRule="auto" w:before="0" w:after="0"/>
              <w:pStyle w:val="Compact"/>
            </w:pPr>
            <w:r>
              <w:rPr>
                <w:sz w:val="20"/>
                <w:szCs w:val="20"/>
              </w:rPr>
              <w:t xml:space="preserve">0.1027</w:t>
            </w:r>
          </w:p>
        </w:tc>
        <w:tc>
          <w:tcPr>
            <w:tcW w:w="0" w:type="auto"/>
          </w:tcPr>
          <w:p>
            <w:pPr>
              <w:spacing w:line="240" w:lineRule="auto" w:before="0" w:after="0"/>
              <w:pStyle w:val="Compact"/>
            </w:pPr>
            <w:r>
              <w:rPr>
                <w:sz w:val="20"/>
                <w:szCs w:val="20"/>
              </w:rPr>
              <w:t xml:space="preserve">[-6.0941, 0.5569]</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0.1263</w:t>
            </w:r>
          </w:p>
        </w:tc>
        <w:tc>
          <w:tcPr>
            <w:tcW w:w="0" w:type="auto"/>
          </w:tcPr>
          <w:p>
            <w:pPr>
              <w:spacing w:line="240" w:lineRule="auto" w:before="0" w:after="0"/>
              <w:pStyle w:val="Compact"/>
            </w:pPr>
            <w:r>
              <w:rPr>
                <w:sz w:val="20"/>
                <w:szCs w:val="20"/>
              </w:rPr>
              <w:t xml:space="preserve">0.2968</w:t>
            </w:r>
          </w:p>
        </w:tc>
        <w:tc>
          <w:tcPr>
            <w:tcW w:w="0" w:type="auto"/>
          </w:tcPr>
          <w:p>
            <w:pPr>
              <w:spacing w:line="240" w:lineRule="auto" w:before="0" w:after="0"/>
              <w:pStyle w:val="Compact"/>
            </w:pPr>
            <w:r>
              <w:rPr>
                <w:sz w:val="20"/>
                <w:szCs w:val="20"/>
              </w:rPr>
              <w:t xml:space="preserve">0.4255</w:t>
            </w:r>
          </w:p>
        </w:tc>
        <w:tc>
          <w:tcPr>
            <w:tcW w:w="0" w:type="auto"/>
          </w:tcPr>
          <w:p>
            <w:pPr>
              <w:spacing w:line="240" w:lineRule="auto" w:before="0" w:after="0"/>
              <w:pStyle w:val="Compact"/>
            </w:pPr>
            <w:r>
              <w:rPr>
                <w:sz w:val="20"/>
                <w:szCs w:val="20"/>
              </w:rPr>
              <w:t xml:space="preserve">0.6705</w:t>
            </w:r>
          </w:p>
        </w:tc>
        <w:tc>
          <w:tcPr>
            <w:tcW w:w="0" w:type="auto"/>
          </w:tcPr>
          <w:p>
            <w:pPr>
              <w:spacing w:line="240" w:lineRule="auto" w:before="0" w:after="0"/>
              <w:pStyle w:val="Compact"/>
            </w:pPr>
            <w:r>
              <w:rPr>
                <w:sz w:val="20"/>
                <w:szCs w:val="20"/>
              </w:rPr>
              <w:t xml:space="preserve">[-0.4554, 0.708]</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0.2016</w:t>
            </w:r>
          </w:p>
        </w:tc>
        <w:tc>
          <w:tcPr>
            <w:tcW w:w="0" w:type="auto"/>
          </w:tcPr>
          <w:p>
            <w:pPr>
              <w:spacing w:line="240" w:lineRule="auto" w:before="0" w:after="0"/>
              <w:pStyle w:val="Compact"/>
            </w:pPr>
            <w:r>
              <w:rPr>
                <w:sz w:val="20"/>
                <w:szCs w:val="20"/>
              </w:rPr>
              <w:t xml:space="preserve">1.4502</w:t>
            </w:r>
          </w:p>
        </w:tc>
        <w:tc>
          <w:tcPr>
            <w:tcW w:w="0" w:type="auto"/>
          </w:tcPr>
          <w:p>
            <w:pPr>
              <w:spacing w:line="240" w:lineRule="auto" w:before="0" w:after="0"/>
              <w:pStyle w:val="Compact"/>
            </w:pPr>
            <w:r>
              <w:rPr>
                <w:sz w:val="20"/>
                <w:szCs w:val="20"/>
              </w:rPr>
              <w:t xml:space="preserve">0.139</w:t>
            </w:r>
          </w:p>
        </w:tc>
        <w:tc>
          <w:tcPr>
            <w:tcW w:w="0" w:type="auto"/>
          </w:tcPr>
          <w:p>
            <w:pPr>
              <w:spacing w:line="240" w:lineRule="auto" w:before="0" w:after="0"/>
              <w:pStyle w:val="Compact"/>
            </w:pPr>
            <w:r>
              <w:rPr>
                <w:sz w:val="20"/>
                <w:szCs w:val="20"/>
              </w:rPr>
              <w:t xml:space="preserve">0.8895</w:t>
            </w:r>
          </w:p>
        </w:tc>
        <w:tc>
          <w:tcPr>
            <w:tcW w:w="0" w:type="auto"/>
          </w:tcPr>
          <w:p>
            <w:pPr>
              <w:spacing w:line="240" w:lineRule="auto" w:before="0" w:after="0"/>
              <w:pStyle w:val="Compact"/>
            </w:pPr>
            <w:r>
              <w:rPr>
                <w:sz w:val="20"/>
                <w:szCs w:val="20"/>
              </w:rPr>
              <w:t xml:space="preserve">[-2.6409, 3.044]</w:t>
            </w:r>
          </w:p>
        </w:tc>
      </w:tr>
      <w:tr>
        <w:tc>
          <w:tcPr>
            <w:tcW w:w="0" w:type="auto"/>
          </w:tcPr>
          <w:p>
            <w:pPr>
              <w:spacing w:line="240" w:lineRule="auto" w:before="0" w:after="0"/>
              <w:pStyle w:val="Compact"/>
            </w:pPr>
            <w:r>
              <w:rPr>
                <w:sz w:val="20"/>
                <w:szCs w:val="20"/>
              </w:rPr>
              <w:t xml:space="preserve">ssr_or_pmd_signal</w:t>
            </w:r>
          </w:p>
        </w:tc>
        <w:tc>
          <w:tcPr>
            <w:tcW w:w="0" w:type="auto"/>
          </w:tcPr>
          <w:p>
            <w:pPr>
              <w:spacing w:line="240" w:lineRule="auto" w:before="0" w:after="0"/>
              <w:pStyle w:val="Compact"/>
            </w:pPr>
            <w:r>
              <w:rPr>
                <w:sz w:val="20"/>
                <w:szCs w:val="20"/>
              </w:rPr>
              <w:t xml:space="preserve">4.2216</w:t>
            </w:r>
          </w:p>
        </w:tc>
        <w:tc>
          <w:tcPr>
            <w:tcW w:w="0" w:type="auto"/>
          </w:tcPr>
          <w:p>
            <w:pPr>
              <w:spacing w:line="240" w:lineRule="auto" w:before="0" w:after="0"/>
              <w:pStyle w:val="Compact"/>
            </w:pPr>
            <w:r>
              <w:rPr>
                <w:sz w:val="20"/>
                <w:szCs w:val="20"/>
              </w:rPr>
              <w:t xml:space="preserve">1.321</w:t>
            </w:r>
          </w:p>
        </w:tc>
        <w:tc>
          <w:tcPr>
            <w:tcW w:w="0" w:type="auto"/>
          </w:tcPr>
          <w:p>
            <w:pPr>
              <w:spacing w:line="240" w:lineRule="auto" w:before="0" w:after="0"/>
              <w:pStyle w:val="Compact"/>
            </w:pPr>
            <w:r>
              <w:rPr>
                <w:sz w:val="20"/>
                <w:szCs w:val="20"/>
              </w:rPr>
              <w:t xml:space="preserve">3.1958</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[1.6325, 6.8106]</w:t>
            </w:r>
          </w:p>
        </w:tc>
      </w:tr>
    </w:tbl>
    <w:p>
      <w:pPr>
        <w:pStyle w:val="BodyText"/>
      </w:pPr>
      <w:r>
        <w:t xml:space="preserve">Fit: N = 35 pseudo_R2 = 0.47 LL = -12.2375</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2" Target="https://doi.org/10.1016/j.actaastro.2024.03.002" TargetMode="External" /><Relationship Type="http://schemas.openxmlformats.org/officeDocument/2006/relationships/hyperlink" Id="rId68" Target="https://doi.org/10.1016/j.actaastro.2025.03.034" TargetMode="External" /><Relationship Type="http://schemas.openxmlformats.org/officeDocument/2006/relationships/hyperlink" Id="rId70" Target="https://doi.org/10.1016/j.actaastro.2025.06.029"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4.03.002" TargetMode="External" /><Relationship Type="http://schemas.openxmlformats.org/officeDocument/2006/relationships/hyperlink" Id="rId68" Target="https://doi.org/10.1016/j.actaastro.2025.03.034" TargetMode="External" /><Relationship Type="http://schemas.openxmlformats.org/officeDocument/2006/relationships/hyperlink" Id="rId70" Target="https://doi.org/10.1016/j.actaastro.2025.06.02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2026-06-27T13:10:04Z</dcterms:created>
  <dcterms:modified xsi:type="dcterms:W3CDTF">2026-06-27T13:10:04Z</dcterms:modified>
</cp:coreProperties>
</file>

<file path=docProps/custom.xml><?xml version="1.0" encoding="utf-8"?>
<Properties xmlns="http://schemas.openxmlformats.org/officeDocument/2006/custom-properties" xmlns:vt="http://schemas.openxmlformats.org/officeDocument/2006/docPropsVTypes"/>
</file>