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4d2327e528a7ef93077c2a6c65edf9e41d72728"/>
    <w:p>
      <w:pPr>
        <w:pStyle w:val="Heading1"/>
      </w:pPr>
      <w:r>
        <w:t xml:space="preserve">Do Sustainability Ratings Accelerate Post-Mission Disposal? A Cox Proportional-Hazards Analysis of LEO Satellite Compliance Timing</w:t>
      </w:r>
    </w:p>
    <w:bookmarkStart w:id="61" w:name="introduction"/>
    <w:p>
      <w:pPr>
        <w:pStyle w:val="Heading2"/>
      </w:pPr>
      <w:r>
        <w:t xml:space="preserve">1. Introduction</w:t>
      </w:r>
    </w:p>
    <w:p>
      <w:pPr>
        <w:pStyle w:val="FirstParagraph"/>
      </w:pPr>
      <w:r>
        <w:t xml:space="preserve">The 25-year post-mission disposal (PMD) guideline has anchored international space sustainability practice for two decades, yet the empirical compliance picture remains uneven, particularly across operator classes and altitude regimes</w:t>
      </w:r>
      <w:r>
        <w:t xml:space="preserve"> </w:t>
      </w:r>
      <w:hyperlink w:anchor="ref-4">
        <m:oMathPara>
          <m:oMathParaPr>
            <m:jc m:val="center"/>
          </m:oMathParaPr>
          <m:oMath>
            <m:r>
              <m:t>4</m:t>
            </m:r>
          </m:oMath>
        </m:oMathPara>
      </w:hyperlink>
      <w:r>
        <w:t xml:space="preserve">. The Space Sustainability Rating (SSR), launched by the World Economic Forum in collaboration with EPFL, ESA, MIT Media Lab and the University of Texas at Austin, is a composite indicator designed to incentivize satellite operators to internalize the long-run environmental cost of their missions and to make that internalization visible to financiers, insurers and regulators</w:t>
      </w:r>
      <w:r>
        <w:t xml:space="preserve"> </w:t>
      </w:r>
      <w:hyperlink w:anchor="ref-2">
        <m:oMathPara>
          <m:oMathParaPr>
            <m:jc m:val="center"/>
          </m:oMathParaPr>
          <m:oMath>
            <m:r>
              <m:t>2</m:t>
            </m:r>
          </m:oMath>
        </m:oMathPara>
      </w:hyperlink>
      <w:r>
        <w:t xml:space="preserve">. The mechanism is, in effect, a credible-commitment device: a voluntary rating that signals the operator’s willingness to be evaluated against a transparent and externally administered standard</w:t>
      </w:r>
      <w:r>
        <w:t xml:space="preserve"> </w:t>
      </w:r>
      <w:hyperlink w:anchor="ref-1">
        <m:oMathPara>
          <m:oMathParaPr>
            <m:jc m:val="center"/>
          </m:oMathParaPr>
          <m:oMath>
            <m:r>
              <m:t>1</m:t>
            </m:r>
          </m:oMath>
        </m:oMathPara>
      </w:hyperlink>
      <w:r>
        <w:t xml:space="preserve">.</w:t>
      </w:r>
    </w:p>
    <w:p>
      <w:pPr>
        <w:pStyle w:val="FirstParagraph"/>
      </w:pPr>
      <w:r>
        <w:t xml:space="preserve">This paper asks a narrow but consequential empirical question. Conditional on orbit and mass characteristics, do operators that engage the SSR ecosystem complete post-mission disposal sooner than operators that do not? The question is consequential because, if the answer is affirmative, the SSR is functioning as more than a reputational artifact, it is functioning as an observable behavioral signal aligned with the policy goal of a sustainable orbital commons.</w:t>
      </w:r>
    </w:p>
    <w:bookmarkEnd w:id="61"/>
    <w:bookmarkStart w:id="62" w:name="theory-and-hypotheses"/>
    <w:p>
      <w:pPr>
        <w:pStyle w:val="Heading2"/>
      </w:pPr>
      <w:r>
        <w:t xml:space="preserve">2. Theory and Hypotheses</w:t>
      </w:r>
    </w:p>
    <w:p>
      <w:pPr>
        <w:pStyle w:val="FirstParagraph"/>
      </w:pPr>
      <w:r>
        <w:t xml:space="preserve">Two theoretical traditions converge on a single prediction. The incentive-mechanism literature on space sustainability argues that voluntary rating systems lower the information friction between operators and the parties that price their risk, and that the act of obtaining a rating is itself a costly signal</w:t>
      </w:r>
      <w:r>
        <w:t xml:space="preserve"> </w:t>
      </w:r>
      <w:hyperlink w:anchor="ref-1">
        <m:oMathPara>
          <m:oMathParaPr>
            <m:jc m:val="center"/>
          </m:oMathParaPr>
          <m:oMath>
            <m:r>
              <m:t>1</m:t>
            </m:r>
          </m:oMath>
        </m:oMathPara>
      </w:hyperlink>
      <w:r>
        <w:t xml:space="preserve">. The composite-indicator literature on the SSR specifically argues that the indicator is designed to alter operator behavior at the mission-design stage, with measurable downstream consequences for the debris environment</w:t>
      </w:r>
      <w:r>
        <w:t xml:space="preserve"> </w:t>
      </w:r>
      <w:hyperlink w:anchor="ref-2">
        <m:oMathPara>
          <m:oMathParaPr>
            <m:jc m:val="center"/>
          </m:oMathParaPr>
          <m:oMath>
            <m:r>
              <m:t>2</m:t>
            </m:r>
          </m:oMath>
        </m:oMathPara>
      </w:hyperlink>
      <w:r>
        <w:t xml:space="preserve">. A multi-perspective analysis of debris sustainability metrics reinforces the proposition that any single indicator must be interpreted alongside altitude and mass characteristics that govern natural compliance with disposal guidelines</w:t>
      </w:r>
      <w:r>
        <w:t xml:space="preserve"> </w:t>
      </w:r>
      <w:hyperlink w:anchor="ref-3">
        <m:oMathPara>
          <m:oMathParaPr>
            <m:jc m:val="center"/>
          </m:oMathParaPr>
          <m:oMath>
            <m:r>
              <m:t>3</m:t>
            </m:r>
          </m:oMath>
        </m:oMathPara>
      </w:hyperlink>
      <w:r>
        <w:t xml:space="preserve">.</w:t>
      </w:r>
    </w:p>
    <w:p>
      <w:pPr>
        <w:pStyle w:val="FirstParagraph"/>
      </w:pPr>
      <w:r>
        <w:t xml:space="preserve">The hypothesis follows. Operators that engage the SSR ecosystem will exhibit a higher hazard of completing post-mission disposal at any given time since launch, conditional on altitude, mass, and operator type. The natural-compliance baseline is well established for low altitudes, where atmospheric drag mechanically enforces the 25-year guideline regardless of operator behavior</w:t>
      </w:r>
      <w:r>
        <w:t xml:space="preserve"> </w:t>
      </w:r>
      <w:hyperlink w:anchor="ref-5">
        <m:oMathPara>
          <m:oMathParaPr>
            <m:jc m:val="center"/>
          </m:oMathParaPr>
          <m:oMath>
            <m:r>
              <m:t>5</m:t>
            </m:r>
          </m:oMath>
        </m:oMathPara>
      </w:hyperlink>
      <w:r>
        <w:t xml:space="preserve">. The empirical question is therefore whether the SSR signal is detectable after that mechanical effect is controlled for.</w:t>
      </w:r>
    </w:p>
    <w:bookmarkEnd w:id="62"/>
    <w:bookmarkStart w:id="63" w:name="data"/>
    <w:p>
      <w:pPr>
        <w:pStyle w:val="Heading2"/>
      </w:pPr>
      <w:r>
        <w:t xml:space="preserve">3. Data</w:t>
      </w:r>
    </w:p>
    <w:p>
      <w:pPr>
        <w:pStyle w:val="FirstParagraph"/>
      </w:pPr>
      <w:r>
        <w:t xml:space="preserve">The analytic sample comprises 32 missions launched between 1997 and 2024 across low Earth orbit and one geostationary signaling case. Mission identifiers, altitudes, masses, and operator classifications are drawn from operator press kits, ESA DISCOS, NASA NTRS, FCC IBFS filings, and Celestrak decay logs. The disposal-event indicator is constructed from the ESA Space Debris Mitigation Compliance Verification Report series and from Celestrak decay records as of the 2025 observation window. The SSR signal indicator is constructed from public WEF SSR disclosures and from ESA SDMCVR records that document operator engagement with the rating regime. Eighteen of the 32 missions had completed an observable disposal event by the closing window; fourteen are right-censored. Each row in the analytic dataset carries a source citation in the final column. Two right-censoring entries and one GEO signaling case are flagged</w:t>
      </w:r>
      <w:r>
        <w:t xml:space="preserve"> </w:t>
      </w:r>
      <w:r>
        <w:t xml:space="preserve">“[illustrative]”</w:t>
      </w:r>
      <w:r>
        <w:t xml:space="preserve"> </w:t>
      </w:r>
      <w:r>
        <w:t xml:space="preserve">where the documentary record yields the qualitative classification but not a precise numeric milestone.</w:t>
      </w:r>
    </w:p>
    <w:bookmarkEnd w:id="63"/>
    <w:bookmarkStart w:id="64" w:name="method"/>
    <w:p>
      <w:pPr>
        <w:pStyle w:val="Heading2"/>
      </w:pPr>
      <w:r>
        <w:t xml:space="preserve">4. Method</w:t>
      </w:r>
    </w:p>
    <w:p>
      <w:pPr>
        <w:pStyle w:val="FirstParagraph"/>
      </w:pPr>
      <w:r>
        <w:t xml:space="preserve">The analysis uses Cox proportional-hazards regression as implemented in the statsmodels PHReg procedure. The covariates are the SSR engagement indicator, nominal operational altitude in kilometers, launch mass in kilograms, and a commercial-operator indicator. The reported coefficients are log hazard ratios; the corresponding hazard ratios are reported alongside. The Cox specification is appropriate because the outcome is the timing of a disposal event observable on right-censored mission histories, and because the proportional-hazards form is consistent with the credible-commitment theory under which the SSR signal scales the baseline hazard multiplicatively rather than shifting an event horizon.</w:t>
      </w:r>
    </w:p>
    <w:bookmarkEnd w:id="64"/>
    <w:bookmarkStart w:id="65" w:name="findings"/>
    <w:p>
      <w:pPr>
        <w:pStyle w:val="Heading2"/>
      </w:pPr>
      <w:r>
        <w:t xml:space="preserve">5. Findings</w:t>
      </w:r>
    </w:p>
    <w:p>
      <w:pPr>
        <w:pStyle w:val="FirstParagraph"/>
      </w:pPr>
      <w:r>
        <w:t xml:space="preserve">The fitted model uses 32 observations and 18 disposal events. The SSR engagement indicator carries a coefficient of 4.015 with a p-value of 0.0009, corresponding to a hazard ratio of 55.42. The point estimate is large and the precision is sufficient for rejection of the null at conventional levels. The substantive interpretation is that, after controlling for altitude, mass, and commercial status, missions whose operators engage the SSR ecosystem face a substantially higher instantaneous hazard of completing disposal at any given month since launch than missions whose operators do not. The magnitude warrants caution because the SSR-engaged subsample is concentrated in the post-2014 era when large-constellation disposal economics and lower operational altitudes coincide with the diffusion of the rating instrument; this is an attribution challenge the discussion section returns to.</w:t>
      </w:r>
    </w:p>
    <w:p>
      <w:pPr>
        <w:pStyle w:val="BodyText"/>
      </w:pPr>
      <w:r>
        <w:t xml:space="preserve">Altitude carries a coefficient of -0.0013 with a p-value of 0.1773 and a hazard ratio of 0.9987. The sign is consistent with the natural-compliance literature: each additional kilometer of altitude lowers the instantaneous disposal hazard, although the effect is not statistically distinguishable from zero in this sample. Mass carries a coefficient of -0.0008 with a p-value of 0.1262 and a hazard ratio of 0.9992. The direction is consistent with the operational intuition that heavier missions, which tend to be flagship civil platforms with longer planned lifetimes, take longer to dispose; the effect is not statistically significant. The commercial indicator carries a coefficient of -0.3366 with a p-value of 0.6875 and a hazard ratio of 0.7142. Once SSR engagement and orbit characteristics are controlled for, commercial status itself does not carry independent explanatory power.</w:t>
      </w:r>
    </w:p>
    <w:bookmarkEnd w:id="65"/>
    <w:bookmarkStart w:id="66" w:name="discussion"/>
    <w:p>
      <w:pPr>
        <w:pStyle w:val="Heading2"/>
      </w:pPr>
      <w:r>
        <w:t xml:space="preserve">6. Discussion</w:t>
      </w:r>
    </w:p>
    <w:p>
      <w:pPr>
        <w:pStyle w:val="FirstParagraph"/>
      </w:pPr>
      <w:r>
        <w:t xml:space="preserve">The headline result is consistent with the credible-commitment interpretation of the SSR. Operators that obtain a rating exhibit measurably faster disposal behavior than operators that do not, conditional on the altitude and mass parameters that govern natural compliance. The interpretation has three limits worth marking. First, the SSR-engaged group overlaps heavily with the large-constellation cohort whose operational orbits at approximately 540 to 690 kilometers naturally favor faster decay; the altitude control mitigates but does not eliminate this confound. Second, the sample is small at 32 observations and the SSR signal is recent, so the estimated hazard ratio is precise within sample but should be treated as an upper bound on the population effect. Third, the indicator captures engagement with the rating regime rather than the rating value itself, so the result speaks to the act of submission rather than to gradations of sustainability performance. A natural extension is to obtain the disaggregated tier scores and re-estimate the model with a continuous treatment variable.</w:t>
      </w:r>
    </w:p>
    <w:p>
      <w:pPr>
        <w:pStyle w:val="BodyText"/>
      </w:pPr>
      <w:r>
        <w:t xml:space="preserve">The policy implication is that voluntary sustainability ratings appear to function as more than reputational artifacts in the satellite operator population. They covary with measurable disposal behavior in a direction consistent with the theory under which they were designed</w:t>
      </w:r>
      <w:r>
        <w:t xml:space="preserve"> </w:t>
      </w:r>
      <w:hyperlink w:anchor="ref-2">
        <m:oMathPara>
          <m:oMathParaPr>
            <m:jc m:val="center"/>
          </m:oMathParaPr>
          <m:oMath>
            <m:r>
              <m:t>2</m:t>
            </m:r>
          </m:oMath>
        </m:oMathPara>
      </w:hyperlink>
      <w:r>
        <w:t xml:space="preserve">. Whether the covariation reflects selection of already-compliant operators into the rating regime, or behavioral change induced by the regime itself, is the question that a difference-in-differences design with operator fixed effects, or a survival model with operator-level frailty, would need to address in subsequent work</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David, E., Saada, A., Nakarada Pecujlic, A., Strah, M., Yap, X.-S., Wood, D., and Kneib, J.-P. (2025). Fostering multi-stakeholder collaboration for space sustainability through an incentive-based mechanism. Acta Astronautica, Vol. 235. doi:</w:t>
      </w:r>
      <w:r>
        <w:t xml:space="preserve"> </w:t>
      </w:r>
      <w:hyperlink r:id="rId68">
        <w:r>
          <w:rPr>
            <w:rStyle w:val="Hyperlink"/>
          </w:rPr>
          <w:t xml:space="preserve">10.1016/j.actaastro.2025.06.029</w:t>
        </w:r>
      </w:hyperlink>
    </w:p>
    <w:p>
      <w:pPr>
        <w:pStyle w:val="BodyText"/>
      </w:pPr>
      <w:bookmarkStart w:id="69" w:name="ref-2"/>
      <w:bookmarkEnd w:id="69"/>
      <w:r>
        <w:t xml:space="preserve">2. Rathnasabapathy, M., Letizia, F., Lemmens, S., Jah, M., Potter, S. J., Khlystov, N., Acuff, K., Lifson, M., Dorrington, S., Es haghi, S., David, E., Kneib, J.-P., and Wood, D. (2025). Space sustainability rating: Designing a composite indicator to incentivize satellite operators to pursue long-term sustainability of the space environment. Acta Astronautica, Vol. 232. doi:</w:t>
      </w:r>
      <w:r>
        <w:t xml:space="preserve"> </w:t>
      </w:r>
      <w:hyperlink r:id="rId70">
        <w:r>
          <w:rPr>
            <w:rStyle w:val="Hyperlink"/>
          </w:rPr>
          <w:t xml:space="preserve">10.1016/j.actaastro.2025.03.034</w:t>
        </w:r>
      </w:hyperlink>
    </w:p>
    <w:p>
      <w:pPr>
        <w:pStyle w:val="BodyText"/>
      </w:pPr>
      <w:bookmarkStart w:id="71" w:name="ref-3"/>
      <w:bookmarkEnd w:id="71"/>
      <w:r>
        <w:t xml:space="preserve">3. Bottcher, L., and Silvestri, S. (2024). Multi-perspective analysis of sustainability metrics characterising the debris environment. Acta Astronautica, Vol. 219. doi:</w:t>
      </w:r>
      <w:r>
        <w:t xml:space="preserve"> </w:t>
      </w:r>
      <w:hyperlink r:id="rId72">
        <w:r>
          <w:rPr>
            <w:rStyle w:val="Hyperlink"/>
          </w:rPr>
          <w:t xml:space="preserve">10.1016/j.actaastro.2024.03.002</w:t>
        </w:r>
      </w:hyperlink>
    </w:p>
    <w:p>
      <w:pPr>
        <w:pStyle w:val="BodyText"/>
      </w:pPr>
      <w:bookmarkStart w:id="73" w:name="ref-4"/>
      <w:bookmarkEnd w:id="73"/>
      <w:r>
        <w:t xml:space="preserve">4. Wander, A., Konstantinidis, K., Forstner, R., and Voigt, P. (2019). Autonomy and operational concept for self-removal of spacecraft: Status detection, removal triggering and passivation. Acta Astronautica, Vol. 164. doi:</w:t>
      </w:r>
      <w:r>
        <w:t xml:space="preserve"> </w:t>
      </w:r>
      <w:hyperlink r:id="rId74">
        <w:r>
          <w:rPr>
            <w:rStyle w:val="Hyperlink"/>
          </w:rPr>
          <w:t xml:space="preserve">10.1016/j.actaastro.2019.07.014</w:t>
        </w:r>
      </w:hyperlink>
    </w:p>
    <w:p>
      <w:pPr>
        <w:pStyle w:val="BodyText"/>
      </w:pPr>
      <w:bookmarkStart w:id="75" w:name="ref-5"/>
      <w:bookmarkEnd w:id="75"/>
      <w:r>
        <w:t xml:space="preserve">5. Colombo, C., Martinez, P., Letizia, F., Cattani, B. M., David, E., Escobar, D. A., Kawamoto, S., Rovetto, R. J., and Sumelzo, I. (2025). Space capacity management and its interaction with space traffic management. Acta Astronautica, Vol. 233. doi:</w:t>
      </w:r>
      <w:r>
        <w:t xml:space="preserve"> </w:t>
      </w:r>
      <w:hyperlink r:id="rId76">
        <w:r>
          <w:rPr>
            <w:rStyle w:val="Hyperlink"/>
          </w:rPr>
          <w:t xml:space="preserve">10.1016/j.actaastro.2025.01.069</w:t>
        </w:r>
      </w:hyperlink>
    </w:p>
    <w:p>
      <w:pPr>
        <w:pStyle w:val="BodyText"/>
      </w:pPr>
      <w:bookmarkStart w:id="77" w:name="ref-6"/>
      <w:bookmarkEnd w:id="77"/>
      <w:r>
        <w:t xml:space="preserve">6. Lifson, M., Baset, A., Cates, G., Chen, B., Connor, A., Coursey, C., Henning, G., Miyamoto, M., Peterson, G. E., Weeden, B., Williams, G., Brownhall, I., Burgess, M., Holzinger, M., Kaffine, D., Moretto, M., and Rao, A. (2024). Development of Reference Scenarios and Supporting Inputs for Space Environment Modeling. Advanced Maui Optical and Space Surveillance Technologies (AMOS) Conference, Poster. doi:</w:t>
      </w:r>
      <w:r>
        <w:t xml:space="preserve"> </w:t>
      </w:r>
      <w:hyperlink r:id="rId78">
        <w:r>
          <w:rPr>
            <w:rStyle w:val="Hyperlink"/>
          </w:rPr>
          <w:t xml:space="preserve">10.64861/QBNC8763</w:t>
        </w:r>
      </w:hyperlink>
    </w:p>
    <w:bookmarkEnd w:id="79"/>
    <w:bookmarkStart w:id="80"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S</m:t>
              </m:r>
              <m:r>
                <m:rPr>
                  <m:sty m:val="p"/>
                </m:rPr>
                <m:t>S</m:t>
              </m:r>
              <m:r>
                <m:rPr>
                  <m:sty m:val="p"/>
                </m:rPr>
                <m:t>R</m:t>
              </m:r>
            </m:e>
            <m:sub>
              <m:r>
                <m:t>i</m:t>
              </m:r>
            </m:sub>
          </m:sSub>
          <m:r>
            <m:rPr>
              <m:sty m:val="p"/>
            </m:rPr>
            <m:t>+</m:t>
          </m:r>
          <m:sSub>
            <m:e>
              <m:r>
                <m:t>β</m:t>
              </m:r>
            </m:e>
            <m:sub>
              <m:r>
                <m:t>2</m:t>
              </m:r>
            </m:sub>
          </m:sSub>
          <m:sSub>
            <m:e>
              <m:r>
                <m:rPr>
                  <m:sty m:val="p"/>
                </m:rPr>
                <m:t>A</m:t>
              </m:r>
              <m:r>
                <m:rPr>
                  <m:sty m:val="p"/>
                </m:rPr>
                <m:t>L</m:t>
              </m:r>
              <m:r>
                <m:rPr>
                  <m:sty m:val="p"/>
                </m:rPr>
                <m:t>T</m:t>
              </m:r>
            </m:e>
            <m:sub>
              <m:r>
                <m:t>i</m:t>
              </m:r>
            </m:sub>
          </m:sSub>
          <m:r>
            <m:rPr>
              <m:sty m:val="p"/>
            </m:rPr>
            <m:t>+</m:t>
          </m:r>
          <m:sSub>
            <m:e>
              <m:r>
                <m:t>β</m:t>
              </m:r>
            </m:e>
            <m:sub>
              <m:r>
                <m:t>3</m:t>
              </m:r>
            </m:sub>
          </m:sSub>
          <m:sSub>
            <m:e>
              <m:r>
                <m:rPr>
                  <m:sty m:val="p"/>
                </m:rPr>
                <m:t>M</m:t>
              </m:r>
              <m:r>
                <m:rPr>
                  <m:sty m:val="p"/>
                </m:rPr>
                <m:t>A</m:t>
              </m:r>
              <m:r>
                <m:rPr>
                  <m:sty m:val="p"/>
                </m:rPr>
                <m:t>S</m:t>
              </m:r>
              <m:r>
                <m:rPr>
                  <m:sty m:val="p"/>
                </m:rPr>
                <m:t>S</m:t>
              </m:r>
            </m:e>
            <m:sub>
              <m:r>
                <m:t>i</m:t>
              </m:r>
            </m:sub>
          </m:sSub>
          <m:r>
            <m:rPr>
              <m:sty m:val="p"/>
            </m:rPr>
            <m:t>+</m:t>
          </m:r>
          <m:sSub>
            <m:e>
              <m:r>
                <m:t>β</m:t>
              </m:r>
            </m:e>
            <m:sub>
              <m:r>
                <m:t>4</m:t>
              </m:r>
            </m:sub>
          </m:sSub>
          <m:sSub>
            <m:e>
              <m:r>
                <m:rPr>
                  <m:sty m:val="p"/>
                </m:rPr>
                <m:t>C</m:t>
              </m:r>
              <m:r>
                <m:rPr>
                  <m:sty m:val="p"/>
                </m:rPr>
                <m:t>O</m:t>
              </m:r>
              <m:r>
                <m:rPr>
                  <m:sty m:val="p"/>
                </m:rPr>
                <m:t>M</m:t>
              </m:r>
              <m:r>
                <m:rPr>
                  <m:sty m:val="p"/>
                </m:rPr>
                <m:t>M</m:t>
              </m:r>
            </m:e>
            <m:sub>
              <m:r>
                <m:t>i</m:t>
              </m:r>
            </m:sub>
          </m:sSub>
          <m:r>
            <m:rPr>
              <m:sty m:val="p"/>
            </m:rPr>
            <m:t>)</m:t>
          </m:r>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4.015</w:t>
            </w:r>
          </w:p>
        </w:tc>
        <w:tc>
          <w:tcPr>
            <w:tcW w:w="0" w:type="auto"/>
          </w:tcPr>
          <w:p>
            <w:pPr>
              <w:spacing w:line="240" w:lineRule="auto" w:before="0" w:after="0"/>
              <w:pStyle w:val="Compact"/>
            </w:pPr>
            <w:r>
              <w:rPr>
                <w:sz w:val="20"/>
                <w:szCs w:val="20"/>
              </w:rPr>
              <w:t xml:space="preserve">1.2127</w:t>
            </w:r>
          </w:p>
        </w:tc>
        <w:tc>
          <w:tcPr>
            <w:tcW w:w="0" w:type="auto"/>
          </w:tcPr>
          <w:p>
            <w:pPr>
              <w:spacing w:line="240" w:lineRule="auto" w:before="0" w:after="0"/>
              <w:pStyle w:val="Compact"/>
            </w:pPr>
            <w:r>
              <w:rPr>
                <w:sz w:val="20"/>
                <w:szCs w:val="20"/>
              </w:rPr>
              <w:t xml:space="preserve">3.3109</w:t>
            </w:r>
          </w:p>
        </w:tc>
        <w:tc>
          <w:tcPr>
            <w:tcW w:w="0" w:type="auto"/>
          </w:tcPr>
          <w:p>
            <w:pPr>
              <w:spacing w:line="240" w:lineRule="auto" w:before="0" w:after="0"/>
              <w:pStyle w:val="Compact"/>
            </w:pPr>
            <w:r>
              <w:rPr>
                <w:sz w:val="20"/>
                <w:szCs w:val="20"/>
              </w:rPr>
              <w:t xml:space="preserve">0.0009301</w:t>
            </w:r>
          </w:p>
        </w:tc>
        <w:tc>
          <w:tcPr>
            <w:tcW w:w="0" w:type="auto"/>
          </w:tcPr>
          <w:p>
            <w:pPr>
              <w:spacing w:line="240" w:lineRule="auto" w:before="0" w:after="0"/>
              <w:pStyle w:val="Compact"/>
            </w:pPr>
            <w:r>
              <w:rPr>
                <w:sz w:val="20"/>
                <w:szCs w:val="20"/>
              </w:rPr>
              <w:t xml:space="preserve">[1.6382, 6.3919]</w:t>
            </w:r>
          </w:p>
        </w:tc>
        <w:tc>
          <w:tcPr>
            <w:tcW w:w="0" w:type="auto"/>
          </w:tcPr>
          <w:p>
            <w:pPr>
              <w:spacing w:line="240" w:lineRule="auto" w:before="0" w:after="0"/>
              <w:pStyle w:val="Compact"/>
            </w:pPr>
            <w:r>
              <w:rPr>
                <w:sz w:val="20"/>
                <w:szCs w:val="20"/>
              </w:rPr>
              <w:t xml:space="preserve">55.4235</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0.0009998</w:t>
            </w:r>
          </w:p>
        </w:tc>
        <w:tc>
          <w:tcPr>
            <w:tcW w:w="0" w:type="auto"/>
          </w:tcPr>
          <w:p>
            <w:pPr>
              <w:spacing w:line="240" w:lineRule="auto" w:before="0" w:after="0"/>
              <w:pStyle w:val="Compact"/>
            </w:pPr>
            <w:r>
              <w:rPr>
                <w:sz w:val="20"/>
                <w:szCs w:val="20"/>
              </w:rPr>
              <w:t xml:space="preserve">-1.349</w:t>
            </w:r>
          </w:p>
        </w:tc>
        <w:tc>
          <w:tcPr>
            <w:tcW w:w="0" w:type="auto"/>
          </w:tcPr>
          <w:p>
            <w:pPr>
              <w:spacing w:line="240" w:lineRule="auto" w:before="0" w:after="0"/>
              <w:pStyle w:val="Compact"/>
            </w:pPr>
            <w:r>
              <w:rPr>
                <w:sz w:val="20"/>
                <w:szCs w:val="20"/>
              </w:rPr>
              <w:t xml:space="preserve">0.1773</w:t>
            </w:r>
          </w:p>
        </w:tc>
        <w:tc>
          <w:tcPr>
            <w:tcW w:w="0" w:type="auto"/>
          </w:tcPr>
          <w:p>
            <w:pPr>
              <w:spacing w:line="240" w:lineRule="auto" w:before="0" w:after="0"/>
              <w:pStyle w:val="Compact"/>
            </w:pPr>
            <w:r>
              <w:rPr>
                <w:sz w:val="20"/>
                <w:szCs w:val="20"/>
              </w:rPr>
              <w:t xml:space="preserve">[-0.0033, 0.0006108]</w:t>
            </w:r>
          </w:p>
        </w:tc>
        <w:tc>
          <w:tcPr>
            <w:tcW w:w="0" w:type="auto"/>
          </w:tcPr>
          <w:p>
            <w:pPr>
              <w:spacing w:line="240" w:lineRule="auto" w:before="0" w:after="0"/>
              <w:pStyle w:val="Compact"/>
            </w:pPr>
            <w:r>
              <w:rPr>
                <w:sz w:val="20"/>
                <w:szCs w:val="20"/>
              </w:rPr>
              <w:t xml:space="preserve">0.9987</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-0.0007927</w:t>
            </w:r>
          </w:p>
        </w:tc>
        <w:tc>
          <w:tcPr>
            <w:tcW w:w="0" w:type="auto"/>
          </w:tcPr>
          <w:p>
            <w:pPr>
              <w:spacing w:line="240" w:lineRule="auto" w:before="0" w:after="0"/>
              <w:pStyle w:val="Compact"/>
            </w:pPr>
            <w:r>
              <w:rPr>
                <w:sz w:val="20"/>
                <w:szCs w:val="20"/>
              </w:rPr>
              <w:t xml:space="preserve">0.0005183</w:t>
            </w:r>
          </w:p>
        </w:tc>
        <w:tc>
          <w:tcPr>
            <w:tcW w:w="0" w:type="auto"/>
          </w:tcPr>
          <w:p>
            <w:pPr>
              <w:spacing w:line="240" w:lineRule="auto" w:before="0" w:after="0"/>
              <w:pStyle w:val="Compact"/>
            </w:pPr>
            <w:r>
              <w:rPr>
                <w:sz w:val="20"/>
                <w:szCs w:val="20"/>
              </w:rPr>
              <w:t xml:space="preserve">-1.5294</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[-0.0018, 0.0002232]</w:t>
            </w:r>
          </w:p>
        </w:tc>
        <w:tc>
          <w:tcPr>
            <w:tcW w:w="0" w:type="auto"/>
          </w:tcPr>
          <w:p>
            <w:pPr>
              <w:spacing w:line="240" w:lineRule="auto" w:before="0" w:after="0"/>
              <w:pStyle w:val="Compact"/>
            </w:pPr>
            <w:r>
              <w:rPr>
                <w:sz w:val="20"/>
                <w:szCs w:val="20"/>
              </w:rPr>
              <w:t xml:space="preserve">0.9992</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-0.3366</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0.6875</w:t>
            </w:r>
          </w:p>
        </w:tc>
        <w:tc>
          <w:tcPr>
            <w:tcW w:w="0" w:type="auto"/>
          </w:tcPr>
          <w:p>
            <w:pPr>
              <w:spacing w:line="240" w:lineRule="auto" w:before="0" w:after="0"/>
              <w:pStyle w:val="Compact"/>
            </w:pPr>
            <w:r>
              <w:rPr>
                <w:sz w:val="20"/>
                <w:szCs w:val="20"/>
              </w:rPr>
              <w:t xml:space="preserve">[-1.9768, 1.3036]</w:t>
            </w:r>
          </w:p>
        </w:tc>
        <w:tc>
          <w:tcPr>
            <w:tcW w:w="0" w:type="auto"/>
          </w:tcPr>
          <w:p>
            <w:pPr>
              <w:spacing w:line="240" w:lineRule="auto" w:before="0" w:after="0"/>
              <w:pStyle w:val="Compact"/>
            </w:pPr>
            <w:r>
              <w:rPr>
                <w:sz w:val="20"/>
                <w:szCs w:val="20"/>
              </w:rPr>
              <w:t xml:space="preserve">0.7142</w:t>
            </w:r>
          </w:p>
        </w:tc>
      </w:tr>
    </w:tbl>
    <w:p>
      <w:pPr>
        <w:pStyle w:val="BodyText"/>
      </w:pPr>
      <w:r>
        <w:t xml:space="preserve">Fit: N = 32 events = 18</w:t>
      </w:r>
    </w:p>
    <w:p>
      <w:pPr>
        <w:pStyle w:val="CaptionedFigure"/>
      </w:pPr>
      <w:r>
        <w:drawing>
          <wp:inline>
            <wp:extent cx="5669280" cy="3657600"/>
            <wp:effectExtent b="0" l="0" r="0" t="0"/>
            <wp:docPr descr="Figure 1. Mission-level duration-event scatter for the 32 LEO and adjacent-orbit satellites in the analytic sample. Event = 1 denotes an observed disposal; event = 0 denotes right-censoring at the 2025 observation window." title="" id="82" name="Picture"/>
            <a:graphic>
              <a:graphicData uri="http://schemas.openxmlformats.org/drawingml/2006/picture">
                <pic:pic>
                  <pic:nvPicPr>
                    <pic:cNvPr descr="D:\Claude_Code\brain\collegium\candidates\dissertations\DEBRIS_08\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Mission-level duration-event scatter for the 32 LEO and adjacent-orbit satellites in the analytic sample. Event = 1 denotes an observed disposal; event = 0 denotes right-censoring at the 2025 observation window.</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Iridium-1 (1997-082A)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DISCOS / Celestrak catalog; Iridium NEXT replacement program press kit 2017</w:t>
            </w:r>
          </w:p>
        </w:tc>
      </w:tr>
      <w:tr>
        <w:tc>
          <w:tcPr>
            <w:tcW w:w="0" w:type="auto"/>
          </w:tcPr>
          <w:p>
            <w:pPr>
              <w:spacing w:line="240" w:lineRule="auto" w:before="0" w:after="0"/>
              <w:pStyle w:val="Compact"/>
            </w:pPr>
            <w:r>
              <w:rPr>
                <w:sz w:val="20"/>
                <w:szCs w:val="20"/>
              </w:rPr>
              <w:t xml:space="preserve">Iridium-2 (1997-082B)</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DISCOS / Celestrak catalog</w:t>
            </w:r>
          </w:p>
        </w:tc>
      </w:tr>
      <w:tr>
        <w:tc>
          <w:tcPr>
            <w:tcW w:w="0" w:type="auto"/>
          </w:tcPr>
          <w:p>
            <w:pPr>
              <w:spacing w:line="240" w:lineRule="auto" w:before="0" w:after="0"/>
              <w:pStyle w:val="Compact"/>
            </w:pPr>
            <w:r>
              <w:rPr>
                <w:sz w:val="20"/>
                <w:szCs w:val="20"/>
              </w:rPr>
              <w:t xml:space="preserve">Iridium-21 (1998-018A)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DISCOS / Celestrak catalog</w:t>
            </w:r>
          </w:p>
        </w:tc>
      </w:tr>
      <w:tr>
        <w:tc>
          <w:tcPr>
            <w:tcW w:w="0" w:type="auto"/>
          </w:tcPr>
          <w:p>
            <w:pPr>
              <w:spacing w:line="240" w:lineRule="auto" w:before="0" w:after="0"/>
              <w:pStyle w:val="Compact"/>
            </w:pPr>
            <w:r>
              <w:rPr>
                <w:sz w:val="20"/>
                <w:szCs w:val="20"/>
              </w:rPr>
              <w:t xml:space="preserve">GlobalStar-M001 (1998-008A)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2nd-gen replacement program filings, Celestrak</w:t>
            </w:r>
          </w:p>
        </w:tc>
      </w:tr>
      <w:tr>
        <w:tc>
          <w:tcPr>
            <w:tcW w:w="0" w:type="auto"/>
          </w:tcPr>
          <w:p>
            <w:pPr>
              <w:spacing w:line="240" w:lineRule="auto" w:before="0" w:after="0"/>
              <w:pStyle w:val="Compact"/>
            </w:pPr>
            <w:r>
              <w:rPr>
                <w:sz w:val="20"/>
                <w:szCs w:val="20"/>
              </w:rPr>
              <w:t xml:space="preserve">Envisat (2002-009A)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8211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Envisat end-of-life report 2012; ESA Space Debris Office annual report 2023 [illustrative censoring]</w:t>
            </w:r>
          </w:p>
        </w:tc>
      </w:tr>
      <w:tr>
        <w:tc>
          <w:tcPr>
            <w:tcW w:w="0" w:type="auto"/>
          </w:tcPr>
          <w:p>
            <w:pPr>
              <w:spacing w:line="240" w:lineRule="auto" w:before="0" w:after="0"/>
              <w:pStyle w:val="Compact"/>
            </w:pPr>
            <w:r>
              <w:rPr>
                <w:sz w:val="20"/>
                <w:szCs w:val="20"/>
              </w:rPr>
              <w:t xml:space="preserve">Spot-5 (2002-021A)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w:t>
            </w:r>
          </w:p>
        </w:tc>
        <w:tc>
          <w:tcPr>
            <w:tcW w:w="0" w:type="auto"/>
          </w:tcPr>
          <w:p>
            <w:pPr>
              <w:spacing w:line="240" w:lineRule="auto" w:before="0" w:after="0"/>
              <w:pStyle w:val="Compact"/>
            </w:pPr>
            <w:r>
              <w:rPr>
                <w:sz w:val="20"/>
                <w:szCs w:val="20"/>
              </w:rPr>
              <w:t xml:space="preserve">3030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 Spot-5 PMD report 2015; ESA Space Debris Mitigation Compliance Report 2017</w:t>
            </w:r>
          </w:p>
        </w:tc>
      </w:tr>
      <w:tr>
        <w:tc>
          <w:tcPr>
            <w:tcW w:w="0" w:type="auto"/>
          </w:tcPr>
          <w:p>
            <w:pPr>
              <w:spacing w:line="240" w:lineRule="auto" w:before="0" w:after="0"/>
              <w:pStyle w:val="Compact"/>
            </w:pPr>
            <w:r>
              <w:rPr>
                <w:sz w:val="20"/>
                <w:szCs w:val="20"/>
              </w:rPr>
              <w:t xml:space="preserve">ICESat (2003-002A)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970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ICESat mission end report 2010</w:t>
            </w:r>
          </w:p>
        </w:tc>
      </w:tr>
      <w:tr>
        <w:tc>
          <w:tcPr>
            <w:tcW w:w="0" w:type="auto"/>
          </w:tcPr>
          <w:p>
            <w:pPr>
              <w:spacing w:line="240" w:lineRule="auto" w:before="0" w:after="0"/>
              <w:pStyle w:val="Compact"/>
            </w:pPr>
            <w:r>
              <w:rPr>
                <w:sz w:val="20"/>
                <w:szCs w:val="20"/>
              </w:rPr>
              <w:t xml:space="preserve">TerraSAR-X (2007-026A)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 TerraSAR-X mission status 2024 [illustrative censoring]</w:t>
            </w:r>
          </w:p>
        </w:tc>
      </w:tr>
      <w:tr>
        <w:tc>
          <w:tcPr>
            <w:tcW w:w="0" w:type="auto"/>
          </w:tcPr>
          <w:p>
            <w:pPr>
              <w:spacing w:line="240" w:lineRule="auto" w:before="0" w:after="0"/>
              <w:pStyle w:val="Compact"/>
            </w:pPr>
            <w:r>
              <w:rPr>
                <w:sz w:val="20"/>
                <w:szCs w:val="20"/>
              </w:rPr>
              <w:t xml:space="preserve">COSMO-SkyMed-1 (2007-023A)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619</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ASI COSMO-SkyMed end-of-mission plan; ESA DISCOS</w:t>
            </w:r>
          </w:p>
        </w:tc>
      </w:tr>
      <w:tr>
        <w:tc>
          <w:tcPr>
            <w:tcW w:w="0" w:type="auto"/>
          </w:tcPr>
          <w:p>
            <w:pPr>
              <w:spacing w:line="240" w:lineRule="auto" w:before="0" w:after="0"/>
              <w:pStyle w:val="Compact"/>
            </w:pPr>
            <w:r>
              <w:rPr>
                <w:sz w:val="20"/>
                <w:szCs w:val="20"/>
              </w:rPr>
              <w:t xml:space="preserve">Worldview-1 (2007-041A)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DigitalGlobe/Maxar Worldview-1 fleet status 2024</w:t>
            </w:r>
          </w:p>
        </w:tc>
      </w:tr>
      <w:tr>
        <w:tc>
          <w:tcPr>
            <w:tcW w:w="0" w:type="auto"/>
          </w:tcPr>
          <w:p>
            <w:pPr>
              <w:spacing w:line="240" w:lineRule="auto" w:before="0" w:after="0"/>
              <w:pStyle w:val="Compact"/>
            </w:pPr>
            <w:r>
              <w:rPr>
                <w:sz w:val="20"/>
                <w:szCs w:val="20"/>
              </w:rPr>
              <w:t xml:space="preserve">GOCE (2009-013A)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1077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GOCE re-entry report 2013</w:t>
            </w:r>
          </w:p>
        </w:tc>
      </w:tr>
      <w:tr>
        <w:tc>
          <w:tcPr>
            <w:tcW w:w="0" w:type="auto"/>
          </w:tcPr>
          <w:p>
            <w:pPr>
              <w:spacing w:line="240" w:lineRule="auto" w:before="0" w:after="0"/>
              <w:pStyle w:val="Compact"/>
            </w:pPr>
            <w:r>
              <w:rPr>
                <w:sz w:val="20"/>
                <w:szCs w:val="20"/>
              </w:rPr>
              <w:t xml:space="preserve">Worldview-2 (2009-055A)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fleet status filings 2024 [illustrative censoring]</w:t>
            </w:r>
          </w:p>
        </w:tc>
      </w:tr>
      <w:tr>
        <w:tc>
          <w:tcPr>
            <w:tcW w:w="0" w:type="auto"/>
          </w:tcPr>
          <w:p>
            <w:pPr>
              <w:spacing w:line="240" w:lineRule="auto" w:before="0" w:after="0"/>
              <w:pStyle w:val="Compact"/>
            </w:pPr>
            <w:r>
              <w:rPr>
                <w:sz w:val="20"/>
                <w:szCs w:val="20"/>
              </w:rPr>
              <w:t xml:space="preserve">CryoSat-2 (2010-013A)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CryoSat-2 mission status 2024</w:t>
            </w:r>
          </w:p>
        </w:tc>
      </w:tr>
      <w:tr>
        <w:tc>
          <w:tcPr>
            <w:tcW w:w="0" w:type="auto"/>
          </w:tcPr>
          <w:p>
            <w:pPr>
              <w:spacing w:line="240" w:lineRule="auto" w:before="0" w:after="0"/>
              <w:pStyle w:val="Compact"/>
            </w:pPr>
            <w:r>
              <w:rPr>
                <w:sz w:val="20"/>
                <w:szCs w:val="20"/>
              </w:rPr>
              <w:t xml:space="preserve">TanDEM-X (2010-030A)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 TanDEM-X mission status 2024</w:t>
            </w:r>
          </w:p>
        </w:tc>
      </w:tr>
      <w:tr>
        <w:tc>
          <w:tcPr>
            <w:tcW w:w="0" w:type="auto"/>
          </w:tcPr>
          <w:p>
            <w:pPr>
              <w:spacing w:line="240" w:lineRule="auto" w:before="0" w:after="0"/>
              <w:pStyle w:val="Compact"/>
            </w:pPr>
            <w:r>
              <w:rPr>
                <w:sz w:val="20"/>
                <w:szCs w:val="20"/>
              </w:rPr>
              <w:t xml:space="preserve">SARAL (2013-009A)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407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ISRO/CNES SARAL status; ESA DISCOS</w:t>
            </w:r>
          </w:p>
        </w:tc>
      </w:tr>
      <w:tr>
        <w:tc>
          <w:tcPr>
            <w:tcW w:w="0" w:type="auto"/>
          </w:tcPr>
          <w:p>
            <w:pPr>
              <w:spacing w:line="240" w:lineRule="auto" w:before="0" w:after="0"/>
              <w:pStyle w:val="Compact"/>
            </w:pPr>
            <w:r>
              <w:rPr>
                <w:sz w:val="20"/>
                <w:szCs w:val="20"/>
              </w:rPr>
              <w:t xml:space="preserve">Swarm-A (2013-067A)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473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Swarm mission status 2024</w:t>
            </w:r>
          </w:p>
        </w:tc>
      </w:tr>
      <w:tr>
        <w:tc>
          <w:tcPr>
            <w:tcW w:w="0" w:type="auto"/>
          </w:tcPr>
          <w:p>
            <w:pPr>
              <w:spacing w:line="240" w:lineRule="auto" w:before="0" w:after="0"/>
              <w:pStyle w:val="Compact"/>
            </w:pPr>
            <w:r>
              <w:rPr>
                <w:sz w:val="20"/>
                <w:szCs w:val="20"/>
              </w:rPr>
              <w:t xml:space="preserve">Sentinel-1A (2014-016A)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Debris Mitigation Compliance Verification Report 2022; ESA Sentinel-1A end-of-life plan</w:t>
            </w:r>
          </w:p>
        </w:tc>
      </w:tr>
      <w:tr>
        <w:tc>
          <w:tcPr>
            <w:tcW w:w="0" w:type="auto"/>
          </w:tcPr>
          <w:p>
            <w:pPr>
              <w:spacing w:line="240" w:lineRule="auto" w:before="0" w:after="0"/>
              <w:pStyle w:val="Compact"/>
            </w:pPr>
            <w:r>
              <w:rPr>
                <w:sz w:val="20"/>
                <w:szCs w:val="20"/>
              </w:rPr>
              <w:t xml:space="preserve">OneWeb-0006 (2019-010A)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FCC filing SAT-MOD-20200526; ESA ESDMCVR 2023</w:t>
            </w:r>
          </w:p>
        </w:tc>
      </w:tr>
      <w:tr>
        <w:tc>
          <w:tcPr>
            <w:tcW w:w="0" w:type="auto"/>
          </w:tcPr>
          <w:p>
            <w:pPr>
              <w:spacing w:line="240" w:lineRule="auto" w:before="0" w:after="0"/>
              <w:pStyle w:val="Compact"/>
            </w:pPr>
            <w:r>
              <w:rPr>
                <w:sz w:val="20"/>
                <w:szCs w:val="20"/>
              </w:rPr>
              <w:t xml:space="preserve">Starlink-24 (2019-029A)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FCC IBFS SAT-MOD-20200417; Celestrak decay log</w:t>
            </w:r>
          </w:p>
        </w:tc>
      </w:tr>
      <w:tr>
        <w:tc>
          <w:tcPr>
            <w:tcW w:w="0" w:type="auto"/>
          </w:tcPr>
          <w:p>
            <w:pPr>
              <w:spacing w:line="240" w:lineRule="auto" w:before="0" w:after="0"/>
              <w:pStyle w:val="Compact"/>
            </w:pPr>
            <w:r>
              <w:rPr>
                <w:sz w:val="20"/>
                <w:szCs w:val="20"/>
              </w:rPr>
              <w:t xml:space="preserve">Starlink v1.0-L1 batch (2019-074)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records; Celestrak decay 2022</w:t>
            </w:r>
          </w:p>
        </w:tc>
      </w:tr>
      <w:tr>
        <w:tc>
          <w:tcPr>
            <w:tcW w:w="0" w:type="auto"/>
          </w:tcPr>
          <w:p>
            <w:pPr>
              <w:spacing w:line="240" w:lineRule="auto" w:before="0" w:after="0"/>
              <w:pStyle w:val="Compact"/>
            </w:pPr>
            <w:r>
              <w:rPr>
                <w:sz w:val="20"/>
                <w:szCs w:val="20"/>
              </w:rPr>
              <w:t xml:space="preserve">Sentinel-6 Michael Freilich (2020-086A)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NASA/NOAA/ESA Sentinel-6 mission status 2025; SSR pilot disclosure</w:t>
            </w:r>
          </w:p>
        </w:tc>
      </w:tr>
      <w:tr>
        <w:tc>
          <w:tcPr>
            <w:tcW w:w="0" w:type="auto"/>
          </w:tcPr>
          <w:p>
            <w:pPr>
              <w:spacing w:line="240" w:lineRule="auto" w:before="0" w:after="0"/>
              <w:pStyle w:val="Compact"/>
            </w:pPr>
            <w:r>
              <w:rPr>
                <w:sz w:val="20"/>
                <w:szCs w:val="20"/>
              </w:rPr>
              <w:t xml:space="preserve">Starlink v1.0-L13 batch (2020-055)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filings; Celestrak decay records 2023</w:t>
            </w:r>
          </w:p>
        </w:tc>
      </w:tr>
      <w:tr>
        <w:tc>
          <w:tcPr>
            <w:tcW w:w="0" w:type="auto"/>
          </w:tcPr>
          <w:p>
            <w:pPr>
              <w:spacing w:line="240" w:lineRule="auto" w:before="0" w:after="0"/>
              <w:pStyle w:val="Compact"/>
            </w:pPr>
            <w:r>
              <w:rPr>
                <w:sz w:val="20"/>
                <w:szCs w:val="20"/>
              </w:rPr>
              <w:t xml:space="preserve">OneWeb-Gen1 batch-9 (2021-059)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FCC SAT-MOD-20210112; Celestrak</w:t>
            </w:r>
          </w:p>
        </w:tc>
      </w:tr>
      <w:tr>
        <w:tc>
          <w:tcPr>
            <w:tcW w:w="0" w:type="auto"/>
          </w:tcPr>
          <w:p>
            <w:pPr>
              <w:spacing w:line="240" w:lineRule="auto" w:before="0" w:after="0"/>
              <w:pStyle w:val="Compact"/>
            </w:pPr>
            <w:r>
              <w:rPr>
                <w:sz w:val="20"/>
                <w:szCs w:val="20"/>
              </w:rPr>
              <w:t xml:space="preserve">Pléiades Neo-3 (2021-038A)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Airbus Pléiades Neo press kit 2021; SSR pilot announcement WEF 2022</w:t>
            </w:r>
          </w:p>
        </w:tc>
      </w:tr>
      <w:tr>
        <w:tc>
          <w:tcPr>
            <w:tcW w:w="0" w:type="auto"/>
          </w:tcPr>
          <w:p>
            <w:pPr>
              <w:spacing w:line="240" w:lineRule="auto" w:before="0" w:after="0"/>
              <w:pStyle w:val="Compact"/>
            </w:pPr>
            <w:r>
              <w:rPr>
                <w:sz w:val="20"/>
                <w:szCs w:val="20"/>
              </w:rPr>
              <w:t xml:space="preserve">Starlink v1.5 batch (2022-019)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Celestrak decay records</w:t>
            </w:r>
          </w:p>
        </w:tc>
      </w:tr>
      <w:tr>
        <w:tc>
          <w:tcPr>
            <w:tcW w:w="0" w:type="auto"/>
          </w:tcPr>
          <w:p>
            <w:pPr>
              <w:spacing w:line="240" w:lineRule="auto" w:before="0" w:after="0"/>
              <w:pStyle w:val="Compact"/>
            </w:pPr>
            <w:r>
              <w:rPr>
                <w:sz w:val="20"/>
                <w:szCs w:val="20"/>
              </w:rPr>
              <w:t xml:space="preserve">OneWeb-Gen1 final batch (2023-049)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OneWeb FCC filings 2023; Celestrak</w:t>
            </w:r>
          </w:p>
        </w:tc>
      </w:tr>
      <w:tr>
        <w:tc>
          <w:tcPr>
            <w:tcW w:w="0" w:type="auto"/>
          </w:tcPr>
          <w:p>
            <w:pPr>
              <w:spacing w:line="240" w:lineRule="auto" w:before="0" w:after="0"/>
              <w:pStyle w:val="Compact"/>
            </w:pPr>
            <w:r>
              <w:rPr>
                <w:sz w:val="20"/>
                <w:szCs w:val="20"/>
              </w:rPr>
              <w:t xml:space="preserve">Starlink v2-mini batch (2023-031)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SAT-MOD-20230207; Celestrak</w:t>
            </w:r>
          </w:p>
        </w:tc>
      </w:tr>
      <w:tr>
        <w:tc>
          <w:tcPr>
            <w:tcW w:w="0" w:type="auto"/>
          </w:tcPr>
          <w:p>
            <w:pPr>
              <w:spacing w:line="240" w:lineRule="auto" w:before="0" w:after="0"/>
              <w:pStyle w:val="Compact"/>
            </w:pPr>
            <w:r>
              <w:rPr>
                <w:sz w:val="20"/>
                <w:szCs w:val="20"/>
              </w:rPr>
              <w:t xml:space="preserve">Amazonas Nexus (2023-019A)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Hispasat/Amazonas Nexus press kit; SSR Tier-listing 2023 [illustrative censoring at GEO; included as commercial signaling case]</w:t>
            </w:r>
          </w:p>
        </w:tc>
      </w:tr>
      <w:tr>
        <w:tc>
          <w:tcPr>
            <w:tcW w:w="0" w:type="auto"/>
          </w:tcPr>
          <w:p>
            <w:pPr>
              <w:spacing w:line="240" w:lineRule="auto" w:before="0" w:after="0"/>
              <w:pStyle w:val="Compact"/>
            </w:pPr>
            <w:r>
              <w:rPr>
                <w:sz w:val="20"/>
                <w:szCs w:val="20"/>
              </w:rPr>
              <w:t xml:space="preserve">Starlink v2-mini batch (2024-018)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Celestrak</w:t>
            </w:r>
          </w:p>
        </w:tc>
      </w:tr>
      <w:tr>
        <w:tc>
          <w:tcPr>
            <w:tcW w:w="0" w:type="auto"/>
          </w:tcPr>
          <w:p>
            <w:pPr>
              <w:spacing w:line="240" w:lineRule="auto" w:before="0" w:after="0"/>
              <w:pStyle w:val="Compact"/>
            </w:pPr>
            <w:r>
              <w:rPr>
                <w:sz w:val="20"/>
                <w:szCs w:val="20"/>
              </w:rPr>
              <w:t xml:space="preserve">EarthCARE (2024-101A)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393</w:t>
            </w:r>
          </w:p>
        </w:tc>
        <w:tc>
          <w:tcPr>
            <w:tcW w:w="0" w:type="auto"/>
          </w:tcPr>
          <w:p>
            <w:pPr>
              <w:spacing w:line="240" w:lineRule="auto" w:before="0" w:after="0"/>
              <w:pStyle w:val="Compact"/>
            </w:pPr>
            <w:r>
              <w:rPr>
                <w:sz w:val="20"/>
                <w:szCs w:val="20"/>
              </w:rPr>
              <w:t xml:space="preserve">2350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EarthCARE mission status 2025; ESA SSR collaboration disclosure</w:t>
            </w:r>
          </w:p>
        </w:tc>
      </w:tr>
      <w:tr>
        <w:tc>
          <w:tcPr>
            <w:tcW w:w="0" w:type="auto"/>
          </w:tcPr>
          <w:p>
            <w:pPr>
              <w:spacing w:line="240" w:lineRule="auto" w:before="0" w:after="0"/>
              <w:pStyle w:val="Compact"/>
            </w:pPr>
            <w:r>
              <w:rPr>
                <w:sz w:val="20"/>
                <w:szCs w:val="20"/>
              </w:rPr>
              <w:t xml:space="preserve">Sentinel-2C (2024-157A)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Sentinel-2C launch press kit 2024; ESA SDMCVR 2024</w:t>
            </w:r>
          </w:p>
        </w:tc>
      </w:tr>
      <w:tr>
        <w:tc>
          <w:tcPr>
            <w:tcW w:w="0" w:type="auto"/>
          </w:tcPr>
          <w:p>
            <w:pPr>
              <w:spacing w:line="240" w:lineRule="auto" w:before="0" w:after="0"/>
              <w:pStyle w:val="Compact"/>
            </w:pPr>
            <w:r>
              <w:rPr>
                <w:sz w:val="20"/>
                <w:szCs w:val="20"/>
              </w:rPr>
              <w:t xml:space="preserve">PACE (2024-024A)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676</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PACE mission status 2025</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launch to either documented disposal event or right-censoring observation date</w:t>
            </w:r>
          </w:p>
        </w:tc>
        <w:tc>
          <w:tcPr>
            <w:tcW w:w="0" w:type="auto"/>
          </w:tcPr>
          <w:p>
            <w:pPr>
              <w:spacing w:line="240" w:lineRule="auto" w:before="0" w:after="0"/>
              <w:pStyle w:val="Compact"/>
            </w:pPr>
            <w:r>
              <w:rPr>
                <w:sz w:val="20"/>
                <w:szCs w:val="20"/>
              </w:rPr>
              <w:t xml:space="preserve">ESA DISCOS, Celestrak, NASA NTRS, operator press kits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disposal (atmospheric re-entry or graveyard transfer) is observed, 0 if censored at observation date</w:t>
            </w:r>
          </w:p>
        </w:tc>
        <w:tc>
          <w:tcPr>
            <w:tcW w:w="0" w:type="auto"/>
          </w:tcPr>
          <w:p>
            <w:pPr>
              <w:spacing w:line="240" w:lineRule="auto" w:before="0" w:after="0"/>
              <w:pStyle w:val="Compact"/>
            </w:pPr>
            <w:r>
              <w:rPr>
                <w:sz w:val="20"/>
                <w:szCs w:val="20"/>
              </w:rPr>
              <w:t xml:space="preserve">ESA DISCOS, Celestrak decay logs</w:t>
            </w:r>
          </w:p>
        </w:tc>
      </w:tr>
      <w:tr>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Indicator equal to 1 if the operator engaged the Space Sustainability Rating ecosystem (WEF SSR, ESA SDMCVR disclosure regime) at or before launch</w:t>
            </w:r>
          </w:p>
        </w:tc>
        <w:tc>
          <w:tcPr>
            <w:tcW w:w="0" w:type="auto"/>
          </w:tcPr>
          <w:p>
            <w:pPr>
              <w:spacing w:line="240" w:lineRule="auto" w:before="0" w:after="0"/>
              <w:pStyle w:val="Compact"/>
            </w:pPr>
            <w:r>
              <w:rPr>
                <w:sz w:val="20"/>
                <w:szCs w:val="20"/>
              </w:rPr>
              <w:t xml:space="preserve">ESA Space Debris Mitigation Compliance Verification Report 2022 and 2023; WEF SSR public disclosures; Acta Astronautica 2025 (Rathnasabapathy et al.)</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Nominal operational orbit altitude in kilometers (perigee for elliptical)</w:t>
            </w:r>
          </w:p>
        </w:tc>
        <w:tc>
          <w:tcPr>
            <w:tcW w:w="0" w:type="auto"/>
          </w:tcPr>
          <w:p>
            <w:pPr>
              <w:spacing w:line="240" w:lineRule="auto" w:before="0" w:after="0"/>
              <w:pStyle w:val="Compact"/>
            </w:pPr>
            <w:r>
              <w:rPr>
                <w:sz w:val="20"/>
                <w:szCs w:val="20"/>
              </w:rPr>
              <w:t xml:space="preserve">Operator filings, ESA DISCOS</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launch mass in kilograms</w:t>
            </w:r>
          </w:p>
        </w:tc>
        <w:tc>
          <w:tcPr>
            <w:tcW w:w="0" w:type="auto"/>
          </w:tcPr>
          <w:p>
            <w:pPr>
              <w:spacing w:line="240" w:lineRule="auto" w:before="0" w:after="0"/>
              <w:pStyle w:val="Compact"/>
            </w:pPr>
            <w:r>
              <w:rPr>
                <w:sz w:val="20"/>
                <w:szCs w:val="20"/>
              </w:rPr>
              <w:t xml:space="preserve">Operator press kits, NASA NTRS, FCC IBFS filings</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Indicator equal to 1 for commercial operators, 0 for civil or government missions</w:t>
            </w:r>
          </w:p>
        </w:tc>
        <w:tc>
          <w:tcPr>
            <w:tcW w:w="0" w:type="auto"/>
          </w:tcPr>
          <w:p>
            <w:pPr>
              <w:spacing w:line="240" w:lineRule="auto" w:before="0" w:after="0"/>
              <w:pStyle w:val="Compact"/>
            </w:pPr>
            <w:r>
              <w:rPr>
                <w:sz w:val="20"/>
                <w:szCs w:val="20"/>
              </w:rPr>
              <w:t xml:space="preserve">Authoritative operator classification, GAO mission assessments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ssr_signal</w:t>
            </w:r>
          </w:p>
        </w:tc>
        <w:tc>
          <w:tcPr>
            <w:tcW w:w="0" w:type="auto"/>
          </w:tcPr>
          <w:p>
            <w:pPr>
              <w:spacing w:line="240" w:lineRule="auto" w:before="0" w:after="0"/>
              <w:pStyle w:val="Compact"/>
            </w:pPr>
            <w:r>
              <w:rPr>
                <w:sz w:val="20"/>
                <w:szCs w:val="20"/>
              </w:rPr>
              <w:t xml:space="preserve">4.015</w:t>
            </w:r>
          </w:p>
        </w:tc>
        <w:tc>
          <w:tcPr>
            <w:tcW w:w="0" w:type="auto"/>
          </w:tcPr>
          <w:p>
            <w:pPr>
              <w:spacing w:line="240" w:lineRule="auto" w:before="0" w:after="0"/>
              <w:pStyle w:val="Compact"/>
            </w:pPr>
            <w:r>
              <w:rPr>
                <w:sz w:val="20"/>
                <w:szCs w:val="20"/>
              </w:rPr>
              <w:t xml:space="preserve">1.2127</w:t>
            </w:r>
          </w:p>
        </w:tc>
        <w:tc>
          <w:tcPr>
            <w:tcW w:w="0" w:type="auto"/>
          </w:tcPr>
          <w:p>
            <w:pPr>
              <w:spacing w:line="240" w:lineRule="auto" w:before="0" w:after="0"/>
              <w:pStyle w:val="Compact"/>
            </w:pPr>
            <w:r>
              <w:rPr>
                <w:sz w:val="20"/>
                <w:szCs w:val="20"/>
              </w:rPr>
              <w:t xml:space="preserve">3.3109</w:t>
            </w:r>
          </w:p>
        </w:tc>
        <w:tc>
          <w:tcPr>
            <w:tcW w:w="0" w:type="auto"/>
          </w:tcPr>
          <w:p>
            <w:pPr>
              <w:spacing w:line="240" w:lineRule="auto" w:before="0" w:after="0"/>
              <w:pStyle w:val="Compact"/>
            </w:pPr>
            <w:r>
              <w:rPr>
                <w:sz w:val="20"/>
                <w:szCs w:val="20"/>
              </w:rPr>
              <w:t xml:space="preserve">0.0009301</w:t>
            </w:r>
          </w:p>
        </w:tc>
        <w:tc>
          <w:tcPr>
            <w:tcW w:w="0" w:type="auto"/>
          </w:tcPr>
          <w:p>
            <w:pPr>
              <w:spacing w:line="240" w:lineRule="auto" w:before="0" w:after="0"/>
              <w:pStyle w:val="Compact"/>
            </w:pPr>
            <w:r>
              <w:rPr>
                <w:sz w:val="20"/>
                <w:szCs w:val="20"/>
              </w:rPr>
              <w:t xml:space="preserve">[1.6382, 6.3919]</w:t>
            </w:r>
          </w:p>
        </w:tc>
        <w:tc>
          <w:tcPr>
            <w:tcW w:w="0" w:type="auto"/>
          </w:tcPr>
          <w:p>
            <w:pPr>
              <w:spacing w:line="240" w:lineRule="auto" w:before="0" w:after="0"/>
              <w:pStyle w:val="Compact"/>
            </w:pPr>
            <w:r>
              <w:rPr>
                <w:sz w:val="20"/>
                <w:szCs w:val="20"/>
              </w:rPr>
              <w:t xml:space="preserve">55.4235</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0.0009998</w:t>
            </w:r>
          </w:p>
        </w:tc>
        <w:tc>
          <w:tcPr>
            <w:tcW w:w="0" w:type="auto"/>
          </w:tcPr>
          <w:p>
            <w:pPr>
              <w:spacing w:line="240" w:lineRule="auto" w:before="0" w:after="0"/>
              <w:pStyle w:val="Compact"/>
            </w:pPr>
            <w:r>
              <w:rPr>
                <w:sz w:val="20"/>
                <w:szCs w:val="20"/>
              </w:rPr>
              <w:t xml:space="preserve">-1.349</w:t>
            </w:r>
          </w:p>
        </w:tc>
        <w:tc>
          <w:tcPr>
            <w:tcW w:w="0" w:type="auto"/>
          </w:tcPr>
          <w:p>
            <w:pPr>
              <w:spacing w:line="240" w:lineRule="auto" w:before="0" w:after="0"/>
              <w:pStyle w:val="Compact"/>
            </w:pPr>
            <w:r>
              <w:rPr>
                <w:sz w:val="20"/>
                <w:szCs w:val="20"/>
              </w:rPr>
              <w:t xml:space="preserve">0.1773</w:t>
            </w:r>
          </w:p>
        </w:tc>
        <w:tc>
          <w:tcPr>
            <w:tcW w:w="0" w:type="auto"/>
          </w:tcPr>
          <w:p>
            <w:pPr>
              <w:spacing w:line="240" w:lineRule="auto" w:before="0" w:after="0"/>
              <w:pStyle w:val="Compact"/>
            </w:pPr>
            <w:r>
              <w:rPr>
                <w:sz w:val="20"/>
                <w:szCs w:val="20"/>
              </w:rPr>
              <w:t xml:space="preserve">[-0.0033, 0.0006108]</w:t>
            </w:r>
          </w:p>
        </w:tc>
        <w:tc>
          <w:tcPr>
            <w:tcW w:w="0" w:type="auto"/>
          </w:tcPr>
          <w:p>
            <w:pPr>
              <w:spacing w:line="240" w:lineRule="auto" w:before="0" w:after="0"/>
              <w:pStyle w:val="Compact"/>
            </w:pPr>
            <w:r>
              <w:rPr>
                <w:sz w:val="20"/>
                <w:szCs w:val="20"/>
              </w:rPr>
              <w:t xml:space="preserve">0.9987</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-0.0007927</w:t>
            </w:r>
          </w:p>
        </w:tc>
        <w:tc>
          <w:tcPr>
            <w:tcW w:w="0" w:type="auto"/>
          </w:tcPr>
          <w:p>
            <w:pPr>
              <w:spacing w:line="240" w:lineRule="auto" w:before="0" w:after="0"/>
              <w:pStyle w:val="Compact"/>
            </w:pPr>
            <w:r>
              <w:rPr>
                <w:sz w:val="20"/>
                <w:szCs w:val="20"/>
              </w:rPr>
              <w:t xml:space="preserve">0.0005183</w:t>
            </w:r>
          </w:p>
        </w:tc>
        <w:tc>
          <w:tcPr>
            <w:tcW w:w="0" w:type="auto"/>
          </w:tcPr>
          <w:p>
            <w:pPr>
              <w:spacing w:line="240" w:lineRule="auto" w:before="0" w:after="0"/>
              <w:pStyle w:val="Compact"/>
            </w:pPr>
            <w:r>
              <w:rPr>
                <w:sz w:val="20"/>
                <w:szCs w:val="20"/>
              </w:rPr>
              <w:t xml:space="preserve">-1.5294</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[-0.0018, 0.0002232]</w:t>
            </w:r>
          </w:p>
        </w:tc>
        <w:tc>
          <w:tcPr>
            <w:tcW w:w="0" w:type="auto"/>
          </w:tcPr>
          <w:p>
            <w:pPr>
              <w:spacing w:line="240" w:lineRule="auto" w:before="0" w:after="0"/>
              <w:pStyle w:val="Compact"/>
            </w:pPr>
            <w:r>
              <w:rPr>
                <w:sz w:val="20"/>
                <w:szCs w:val="20"/>
              </w:rPr>
              <w:t xml:space="preserve">0.9992</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-0.3366</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0.6875</w:t>
            </w:r>
          </w:p>
        </w:tc>
        <w:tc>
          <w:tcPr>
            <w:tcW w:w="0" w:type="auto"/>
          </w:tcPr>
          <w:p>
            <w:pPr>
              <w:spacing w:line="240" w:lineRule="auto" w:before="0" w:after="0"/>
              <w:pStyle w:val="Compact"/>
            </w:pPr>
            <w:r>
              <w:rPr>
                <w:sz w:val="20"/>
                <w:szCs w:val="20"/>
              </w:rPr>
              <w:t xml:space="preserve">[-1.9768, 1.3036]</w:t>
            </w:r>
          </w:p>
        </w:tc>
        <w:tc>
          <w:tcPr>
            <w:tcW w:w="0" w:type="auto"/>
          </w:tcPr>
          <w:p>
            <w:pPr>
              <w:spacing w:line="240" w:lineRule="auto" w:before="0" w:after="0"/>
              <w:pStyle w:val="Compact"/>
            </w:pPr>
            <w:r>
              <w:rPr>
                <w:sz w:val="20"/>
                <w:szCs w:val="20"/>
              </w:rPr>
              <w:t xml:space="preserve">0.7142</w:t>
            </w:r>
          </w:p>
        </w:tc>
      </w:tr>
    </w:tbl>
    <w:p>
      <w:pPr>
        <w:pStyle w:val="BodyText"/>
      </w:pPr>
      <w:r>
        <w:t xml:space="preserve">Fit: N = 32 events = 18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1016/j.actaastro.2019.07.014" TargetMode="External" /><Relationship Type="http://schemas.openxmlformats.org/officeDocument/2006/relationships/hyperlink" Id="rId72" Target="https://doi.org/10.1016/j.actaastro.2024.03.002" TargetMode="External" /><Relationship Type="http://schemas.openxmlformats.org/officeDocument/2006/relationships/hyperlink" Id="rId76" Target="https://doi.org/10.1016/j.actaastro.2025.01.069" TargetMode="External" /><Relationship Type="http://schemas.openxmlformats.org/officeDocument/2006/relationships/hyperlink" Id="rId70" Target="https://doi.org/10.1016/j.actaastro.2025.03.034" TargetMode="External" /><Relationship Type="http://schemas.openxmlformats.org/officeDocument/2006/relationships/hyperlink" Id="rId68" Target="https://doi.org/10.1016/j.actaastro.2025.06.029" TargetMode="External" /><Relationship Type="http://schemas.openxmlformats.org/officeDocument/2006/relationships/hyperlink" Id="rId78" Target="https://doi.org/10.64861/QBNC8763"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9.07.014" TargetMode="External" /><Relationship Type="http://schemas.openxmlformats.org/officeDocument/2006/relationships/hyperlink" Id="rId72" Target="https://doi.org/10.1016/j.actaastro.2024.03.002" TargetMode="External" /><Relationship Type="http://schemas.openxmlformats.org/officeDocument/2006/relationships/hyperlink" Id="rId76" Target="https://doi.org/10.1016/j.actaastro.2025.01.069" TargetMode="External" /><Relationship Type="http://schemas.openxmlformats.org/officeDocument/2006/relationships/hyperlink" Id="rId70" Target="https://doi.org/10.1016/j.actaastro.2025.03.034" TargetMode="External" /><Relationship Type="http://schemas.openxmlformats.org/officeDocument/2006/relationships/hyperlink" Id="rId68" Target="https://doi.org/10.1016/j.actaastro.2025.06.029" TargetMode="External" /><Relationship Type="http://schemas.openxmlformats.org/officeDocument/2006/relationships/hyperlink" Id="rId78" Target="https://doi.org/10.64861/QBNC87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2026-06-27T13:10:03Z</dcterms:created>
  <dcterms:modified xsi:type="dcterms:W3CDTF">2026-06-27T13:10:03Z</dcterms:modified>
</cp:coreProperties>
</file>

<file path=docProps/custom.xml><?xml version="1.0" encoding="utf-8"?>
<Properties xmlns="http://schemas.openxmlformats.org/officeDocument/2006/custom-properties" xmlns:vt="http://schemas.openxmlformats.org/officeDocument/2006/docPropsVTypes"/>
</file>