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CREDIBLE COMMITMENT IN DEBRIS MITIGATION: DO SUSTAINABILITY RATINGS FUNCTION AS A SIGNAL?</w:t>
      </w:r>
    </w:p>
    <w:p>
      <w:pPr>
        <w:jc w:val="center"/>
      </w:pPr>
    </w:p>
    <w:p>
      <w:pPr>
        <w:jc w:val="center"/>
      </w:pPr>
      <w:r>
        <w:rPr>
          <w:rFonts w:ascii="Times New Roman" w:hAnsi="Times New Roman"/>
          <w:sz w:val="24"/>
        </w:rPr>
        <w:t>by</w:t>
      </w:r>
    </w:p>
    <w:p>
      <w:pPr>
        <w:jc w:val="center"/>
      </w:pPr>
      <w:r>
        <w:rPr>
          <w:rFonts w:ascii="Times New Roman" w:hAnsi="Times New Roman"/>
          <w:b/>
          <w:sz w:val="28"/>
        </w:rPr>
        <w:t>Vera Vargas</w:t>
      </w:r>
    </w:p>
    <w:p>
      <w:pPr>
        <w:jc w:val="center"/>
      </w:pPr>
      <w:r>
        <w:rPr>
          <w:rFonts w:ascii="Times New Roman" w:hAnsi="Times New Roman"/>
          <w:sz w:val="24"/>
        </w:rPr>
        <w:t>1B-SDA-115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Low Earth orbit is a finite common-pool resource, and its congestion has moved to the center of how the United States civil space enterprise now has to operate. Whatever collision risk a single asset carries is no longer its own affair. That risk is a function of how every other operator sharing the same orbital shell behaves, and the running cost of conjunction screening, maneuver planning, and post-mission disposal has started to eat into the effective duty cycle of science missions [5, 6, 14]. Annual environment reporting from the European Space Agency traces a debris population whose trajectory, under the mitigation practice that currently prevails, cannot be reconciled with keeping the most heavily trafficked shells usable over the long run</w:t>
      </w:r>
      <w:r>
        <w:t xml:space="preserve"> </w:t>
      </w:r>
      <w:hyperlink w:anchor="ref-19">
        <w:r>
          <w:rPr>
            <w:rStyle w:val="Hyperlink"/>
          </w:rPr>
          <w:t xml:space="preserve">[19]</w:t>
        </w:r>
      </w:hyperlink>
      <w:r>
        <w:t xml:space="preserve">. LeoLabs, cataloguing the statistically most concerning conjunctions, has shown something sharper still: a handful of derelict objects and a handful of operator-resolved encounters account for a disproportionate share of systemic risk, and the identity of those objects and those operators is observable in near real time</w:t>
      </w:r>
      <w:r>
        <w:t xml:space="preserve"> </w:t>
      </w:r>
      <w:hyperlink w:anchor="ref-5">
        <w:r>
          <w:rPr>
            <w:rStyle w:val="Hyperlink"/>
          </w:rPr>
          <w:t xml:space="preserve">[5]</w:t>
        </w:r>
      </w:hyperlink>
      <w:r>
        <w:t xml:space="preserve">. When Intelsat 33E broke up, ground-based optical tracking characterized the event fast enough to make the point unmistakable. One uncontrolled fragmentation can reset the risk environment for an entire regime overnight</w:t>
      </w:r>
      <w:r>
        <w:t xml:space="preserve"> </w:t>
      </w:r>
      <w:hyperlink w:anchor="ref-6">
        <w:r>
          <w:rPr>
            <w:rStyle w:val="Hyperlink"/>
          </w:rPr>
          <w:t xml:space="preserve">[6]</w:t>
        </w:r>
      </w:hyperlink>
      <w:r>
        <w:t xml:space="preserve">. Reference-scenario modeling across the Aerospace Corporation and its university partners has since formalized what practitioners suspected, showing how sensitive long-run orbital population trajectories are to the assumed compliance rate with post-mission disposal and collision avoidance guidelines. Small deviations in operator behavior compound, over decadal horizons, into materially different futures [14, 24].</w:t>
      </w:r>
    </w:p>
    <w:p>
      <w:pPr>
        <w:pStyle w:val="BodyText"/>
        <w:spacing w:line="480" w:lineRule="auto"/>
        <w:ind w:firstLine="720"/>
      </w:pPr>
      <w:r>
        <w:t xml:space="preserve">For the National Aeronautics and Space Administration, the stakes are direct, not abstract. NASA runs the largest scientific portfolio in low altitude orbits, and its own platforms, through their disposal choices and their ongoing maneuver discipline, either add to or subtract from the very environment those science missions depend on. The Jet Propulsion Laboratory sits at a sharper version of the same problem. As a federally funded research and development center responsible for a large share of the agency’s flagship missions, JPL both designs spacecraft whose mitigation posture reads as a public signal of agency intent and relies on a sustainable orbital environment for Earth observation, heliophysics, and rideshare-class secondary payload science to remain feasible at all. So the choices NASA and JPL make about whether, when, and how to engage voluntary sustainability instruments are not peripheral procurement calls. They decide how the United States civil space program intends to shape, and to be seen shaping, the equilibrium behavior of a global operator community whose deployment rate has outrun formal regulation.</w:t>
      </w:r>
    </w:p>
    <w:p>
      <w:pPr>
        <w:pStyle w:val="BodyText"/>
        <w:spacing w:line="480" w:lineRule="auto"/>
        <w:ind w:firstLine="720"/>
      </w:pPr>
      <w:r>
        <w:t xml:space="preserve">The Space Sustainability Rating entered this verification problem as an answer to it. A consortium built it: the Massachusetts Institute of Technology Space Enabled Research Group led the work with the European Space Agency, the World Economic Forum, the University of Texas at Austin, and the Bryce Space and Technology team. Drawing on Space Situational Awareness data and operator-supplied disclosures, the rating scores missions across mission index, collision avoidance, data sharing, design and operations, and external services [1, 21]. It is voluntary, and it is tiered. The intent was legibility to regulators, insurers, launch providers, and the public, and a place inside an incentive-based mechanism that complements public regulation rather than replacing it [4, 7, 10, 29]. A growing literature has since situated the rating inside an emerging socio-technical regime for debris governance and inside the wider space capacity management problem [3, 13, 35]. Adjacent work has examined the multi-perspective character of debris sustainability metrics, the temporal sensitivity of policy-relevant population models, and a design space of governance instruments that runs from gamification to model-based control of the debris management problem itself [11, 17, 22, 32, 34]. Conceptual elaboration, in other words, is not what the instrument lacks. What it lacks is an empirical test.</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A gap runs between two literatures that have so far failed to engage one another at the level of identification, and the contribution of this dissertation is defined by that gap.</w:t>
      </w:r>
    </w:p>
    <w:p>
      <w:pPr>
        <w:pStyle w:val="BodyText"/>
        <w:spacing w:line="480" w:lineRule="auto"/>
        <w:ind w:firstLine="720"/>
      </w:pPr>
      <w:r>
        <w:t xml:space="preserve">Take the space sustainability domain literature first. Its center of gravity is constitutive and prescriptive. Letizia and colleagues describe how Space Situational Awareness data feed the rating’s definitional structure [1, 21]. Rathnasabapathy and colleagues set out the design of the composite indicator and the incentive logic meant to move operator behavior [4, 10, 15, 29]. David and colleagues lay out the multi-stakeholder mechanism through which the rating is supposed to work and the institutional architecture that holds it up [7, 9, 16, 28]. Yap and colleagues map the discursive regime in which regulators, operators, and civil society interpret the rating, and they document the discourse-network structure that confers or withholds legitimacy [3, 35]. Colombo and colleagues locate the rating inside the broader space capacity management problem and its interface with space traffic management [8, 13]. The multi-perspective space of sustainability metrics, and the trade-offs among them, comes from Böttcher and Silvestri [11, 17]. Sorge and colleagues take up the operational pressure large constellations place on the traffic management regime</w:t>
      </w:r>
      <w:r>
        <w:t xml:space="preserve"> </w:t>
      </w:r>
      <w:hyperlink w:anchor="ref-30">
        <w:r>
          <w:rPr>
            <w:rStyle w:val="Hyperlink"/>
          </w:rPr>
          <w:t xml:space="preserve">[30]</w:t>
        </w:r>
      </w:hyperlink>
      <w:r>
        <w:t xml:space="preserve">. Verspieren documents how a specific large operator class complies, or fails to, against the orbital debris mitigation standard practices</w:t>
      </w:r>
      <w:r>
        <w:t xml:space="preserve"> </w:t>
      </w:r>
      <w:hyperlink w:anchor="ref-23">
        <w:r>
          <w:rPr>
            <w:rStyle w:val="Hyperlink"/>
          </w:rPr>
          <w:t xml:space="preserve">[23]</w:t>
        </w:r>
      </w:hyperlink>
      <w:r>
        <w:t xml:space="preserve">. Refinement of active debris removal strategies is the subject Tuttle, McKnight, and Maclay address</w:t>
      </w:r>
      <w:r>
        <w:t xml:space="preserve"> </w:t>
      </w:r>
      <w:hyperlink w:anchor="ref-27">
        <w:r>
          <w:rPr>
            <w:rStyle w:val="Hyperlink"/>
          </w:rPr>
          <w:t xml:space="preserve">[27]</w:t>
        </w:r>
      </w:hyperlink>
      <w:r>
        <w:t xml:space="preserve">. Polkowska and Chimicz trace the evolving national-level legal architecture for debris mitigation and remediation</w:t>
      </w:r>
      <w:r>
        <w:t xml:space="preserve"> </w:t>
      </w:r>
      <w:hyperlink w:anchor="ref-20">
        <w:r>
          <w:rPr>
            <w:rStyle w:val="Hyperlink"/>
          </w:rPr>
          <w:t xml:space="preserve">[20]</w:t>
        </w:r>
      </w:hyperlink>
      <w:r>
        <w:t xml:space="preserve">. Hurova examines gamification as a lever on compliance behavior</w:t>
      </w:r>
      <w:r>
        <w:t xml:space="preserve"> </w:t>
      </w:r>
      <w:hyperlink w:anchor="ref-34">
        <w:r>
          <w:rPr>
            <w:rStyle w:val="Hyperlink"/>
          </w:rPr>
          <w:t xml:space="preserve">[34]</w:t>
        </w:r>
      </w:hyperlink>
      <w:r>
        <w:t xml:space="preserve">. Varughese and colleagues argue for a transdisciplinary and bi-cultural reframing of the whole sustainability problem</w:t>
      </w:r>
      <w:r>
        <w:t xml:space="preserve"> </w:t>
      </w:r>
      <w:hyperlink w:anchor="ref-33">
        <w:r>
          <w:rPr>
            <w:rStyle w:val="Hyperlink"/>
          </w:rPr>
          <w:t xml:space="preserve">[33]</w:t>
        </w:r>
      </w:hyperlink>
      <w:r>
        <w:t xml:space="preserve">. Together this body of work has produced a richly textured account of what the rating is meant to do, how it was built, what discursive work it performs, and where it sits among adjacent instruments. What it has not produced is a causal estimate of whether the rating, once issued, changes the behavior of the operator who receives it.</w:t>
      </w:r>
    </w:p>
    <w:p>
      <w:pPr>
        <w:pStyle w:val="BodyText"/>
        <w:spacing w:line="480" w:lineRule="auto"/>
        <w:ind w:firstLine="720"/>
      </w:pPr>
      <w:r>
        <w:t xml:space="preserve">The second literature is the econometric method literature on identifying treatment effects under staggered adoption. State the credible-commitment claim that animates the rating precisely and it becomes a claim that participation in the rating program causes observable behavioral change beyond what would have happened without the program. Social science normally tests a claim like that with a difference-in-differences design carrying operator and time fixed effects, augmented by explicit pre-trend testing and by the recent generation of heterogeneous-treatment-effect estimators that correct the bias units introduce when they adopt treatment at different times. The domain literature on the rating does not reach for this instrument. It never specifies a treated unit, an untreated comparison unit, an outcome measurable in pre and post windows, or an identification assumption against which the credible-commitment claim could fail. Its nearest approach to a behavioral test is the discourse-analytic work of Yap and colleagues, and even that characterizes how the rating gets invoked without estimating whether invocation is followed by changed conduct on the part of whoever invokes it [3, 35].</w:t>
      </w:r>
    </w:p>
    <w:p>
      <w:pPr>
        <w:pStyle w:val="BodyText"/>
        <w:spacing w:line="480" w:lineRule="auto"/>
        <w:ind w:firstLine="720"/>
      </w:pPr>
      <w:r>
        <w:t xml:space="preserve">The gap, then, is not a missing conceptual framework on the domain side, nor a missing method on the econometric side. It is a missing translation between them. On one side the credible-commitment claim is treated as a feature of the rating’s design. On the other side sit the tools to treat it as a hypothesis. No published work has joined the two. This dissertation makes that join.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What this dissertation contributes is a single falsifiable test of whether the Space Sustainability Rating functions as a credible-commitment device in the formal sense the signaling literature uses, meaning a costly and observable signal of the operator’s underlying debris-mitigation type that is correlated with subsequent observable behavior.</w:t>
      </w:r>
    </w:p>
    <w:p>
      <w:pPr>
        <w:pStyle w:val="BodyText"/>
        <w:spacing w:line="480" w:lineRule="auto"/>
        <w:ind w:firstLine="720"/>
      </w:pPr>
      <w:r>
        <w:t xml:space="preserve">The test is built as follows. A treated unit is an operator that obtains a first SSR issuance during the panel window. The comparison unit is a non-participating operator drawn from a pool matched on pre-treatment operator size, orbital regime, and prior compliance history through coarsened exact matching. Two behavioral outcomes, both coded from public data, carry the test. The first is post-mission disposal compliance, observed from end-of-life events and subsequent orbital decay against the regime-appropriate disposal benchmark documented in the ESA environment reporting</w:t>
      </w:r>
      <w:r>
        <w:t xml:space="preserve"> </w:t>
      </w:r>
      <w:hyperlink w:anchor="ref-19">
        <w:r>
          <w:rPr>
            <w:rStyle w:val="Hyperlink"/>
          </w:rPr>
          <w:t xml:space="preserve">[19]</w:t>
        </w:r>
      </w:hyperlink>
      <w:r>
        <w:t xml:space="preserve"> </w:t>
      </w:r>
      <w:r>
        <w:t xml:space="preserve">and in the AMOS reference-scenario inputs [14, 24]. The second is collision avoidance maneuver responsiveness, measured as the share of high-probability conjunctions for which a maneuver is publicly observable within the standard screening window, using the LeoLabs catalog and the conjunction-significance framework of Stevenson and colleagues</w:t>
      </w:r>
      <w:r>
        <w:t xml:space="preserve"> </w:t>
      </w:r>
      <w:hyperlink w:anchor="ref-5">
        <w:r>
          <w:rPr>
            <w:rStyle w:val="Hyperlink"/>
          </w:rPr>
          <w:t xml:space="preserve">[5]</w:t>
        </w:r>
      </w:hyperlink>
      <w:r>
        <w:t xml:space="preserve"> </w:t>
      </w:r>
      <w:r>
        <w:t xml:space="preserve">together with the rapid fragmentation-cataloguing precedent of Pavy and colleagues</w:t>
      </w:r>
      <w:r>
        <w:t xml:space="preserve"> </w:t>
      </w:r>
      <w:hyperlink w:anchor="ref-6">
        <w:r>
          <w:rPr>
            <w:rStyle w:val="Hyperlink"/>
          </w:rPr>
          <w:t xml:space="preserve">[6]</w:t>
        </w:r>
      </w:hyperlink>
      <w:r>
        <w:t xml:space="preserve">. Identification runs through a staggered-adoption difference-in-differences estimator with operator and time fixed effects, with pre-trends tested across the full available pre-period and robustness checks against the recent generation of heterogeneous-treatment-effect estimators. A qualitative component, worked in the tradition of Yap and colleagues [3, 35], examines how regulators, insurers, and launch providers invoke the rating in formal communications, license conditions, and underwriting language, and tests whether counterparties treat the rating as informative about type.</w:t>
      </w:r>
    </w:p>
    <w:p>
      <w:pPr>
        <w:pStyle w:val="BodyText"/>
        <w:spacing w:line="480" w:lineRule="auto"/>
        <w:ind w:firstLine="720"/>
      </w:pPr>
      <w:r>
        <w:t xml:space="preserve">Here is the hypothesis, stated precisely.</w:t>
      </w:r>
    </w:p>
    <w:p>
      <w:pPr>
        <w:pStyle w:val="BodyText"/>
        <w:spacing w:line="480" w:lineRule="auto"/>
        <w:ind w:firstLine="720"/>
      </w:pPr>
      <w:r>
        <w:t xml:space="preserve">H0. Operators that obtain a Space Sustainability Rating exhibit no change in observable debris-mitigation behavior, measured by post-mission disposal compliance rate and collision avoidance maneuver responsiveness, relative to matched non-participating operators over the two years following rating issuance, conditional on pre-trend balance and on operator and time fixed effects.</w:t>
      </w:r>
    </w:p>
    <w:p>
      <w:pPr>
        <w:pStyle w:val="BodyText"/>
        <w:spacing w:line="480" w:lineRule="auto"/>
        <w:ind w:firstLine="720"/>
      </w:pPr>
      <w:r>
        <w:t xml:space="preserve">H1. Operators that obtain a Space Sustainability Rating exhibit a statistically and economically meaningful improvement in at least one of the two behavioral outcomes relative to matched non-participating operators over the same window, conditional on pre-trend balance and on operator and time fixed effects.</w:t>
      </w:r>
    </w:p>
    <w:p>
      <w:pPr>
        <w:pStyle w:val="BodyText"/>
        <w:spacing w:line="480" w:lineRule="auto"/>
        <w:ind w:firstLine="720"/>
      </w:pPr>
      <w:r>
        <w:t xml:space="preserve">Reject H0 in favor of H1, and pair that with qualitative evidence that at least one class of counterparty treats the rating as informative about type, and the result is consistent with the credible-commitment interpretation. Fail to reject H0, or reject it without any qualitative evidence of informational uptake, and the result is consistent instead with a reputational-artifact interpretation, in which the rating circulates as a legitimacy claim while carrying no signal content in the formal sense.</w:t>
      </w:r>
    </w:p>
    <w:p>
      <w:pPr>
        <w:pStyle w:val="BodyText"/>
        <w:spacing w:line="480" w:lineRule="auto"/>
        <w:ind w:firstLine="720"/>
      </w:pPr>
      <w:r>
        <w:t xml:space="preserve">The contribution is deliberately narrow. This dissertation does not propose to redesign the rating. It offers no new composite indicator. It does not adjudicate among the multi-perspective metric architectures Böttcher and Silvestri have catalogued [11, 17], nor model the long-run population dynamics the MOCAT and reference-scenario literatures address [14, 22, 24]. The active debris removal question that Tuttle, McKnight, and Maclay take up is outside it</w:t>
      </w:r>
      <w:r>
        <w:t xml:space="preserve"> </w:t>
      </w:r>
      <w:hyperlink w:anchor="ref-27">
        <w:r>
          <w:rPr>
            <w:rStyle w:val="Hyperlink"/>
          </w:rPr>
          <w:t xml:space="preserve">[27]</w:t>
        </w:r>
      </w:hyperlink>
      <w:r>
        <w:t xml:space="preserve">, as is the autonomy-and-passivation architecture Wander and colleagues develop</w:t>
      </w:r>
      <w:r>
        <w:t xml:space="preserve"> </w:t>
      </w:r>
      <w:hyperlink w:anchor="ref-12">
        <w:r>
          <w:rPr>
            <w:rStyle w:val="Hyperlink"/>
          </w:rPr>
          <w:t xml:space="preserve">[12]</w:t>
        </w:r>
      </w:hyperlink>
      <w:r>
        <w:t xml:space="preserve"> </w:t>
      </w:r>
      <w:r>
        <w:t xml:space="preserve">and the model-based control framework Rusconi and Colombo propose</w:t>
      </w:r>
      <w:r>
        <w:t xml:space="preserve"> </w:t>
      </w:r>
      <w:hyperlink w:anchor="ref-32">
        <w:r>
          <w:rPr>
            <w:rStyle w:val="Hyperlink"/>
          </w:rPr>
          <w:t xml:space="preserve">[32]</w:t>
        </w:r>
      </w:hyperlink>
      <w:r>
        <w:t xml:space="preserve">. It does one thing. It tests whether the instrument the field has built actually does the behavioral work the field claims for it. That narrowness is the strength of the contribution. This is the smallest test that could falsify the claim around which the rating program has been organized, which makes it the test on which the program’s empirical standing most directly rests.</w:t>
      </w:r>
    </w:p>
    <w:bookmarkEnd w:id="63"/>
    <w:bookmarkStart w:id="64" w:name="why-this-matters-to-nasa-and-to-jpl"/>
    <w:p>
      <w:pPr>
        <w:pStyle w:val="Heading2"/>
        <w:spacing w:line="480" w:lineRule="auto"/>
      </w:pPr>
      <w:r>
        <w:t xml:space="preserve">1.4 Why This Matters to NASA and to JPL</w:t>
      </w:r>
    </w:p>
    <w:p>
      <w:pPr>
        <w:pStyle w:val="FirstParagraph"/>
        <w:spacing w:line="480" w:lineRule="auto"/>
      </w:pPr>
      <w:r>
        <w:t xml:space="preserve">The agency-level stake in the test is twofold. Consider engagement first. The rating has begun to enter the institutional decision environment of operators whose actions shape the orbital regime NASA missions live in. If the rating is a credible commitment device, then NASA’s posture toward it, expressed in procurement language, in launch service agreements, and in flight-mission directorate guidance, is itself a lever on how the operator community behaves in equilibrium. If the rating is a reputational artifact, that same posture carries no behavioral leverage, and the resources NASA spends engaging the program should be sized to match. The empirical question is therefore a precondition for rational institutional engagement, not an academic afterthought.</w:t>
      </w:r>
    </w:p>
    <w:p>
      <w:pPr>
        <w:pStyle w:val="BodyText"/>
        <w:spacing w:line="480" w:lineRule="auto"/>
        <w:ind w:firstLine="720"/>
      </w:pPr>
      <w:r>
        <w:t xml:space="preserve">There is a second stake, and it concerns the future. The rating is a candidate template for a broader class of voluntary sustainability instruments whose role in the orbital regime is likely to grow as constellation deployment continues and as the regulatory architecture strains to keep up [20, 30]. Right now it is the most fully constructed example of an incentive-based mechanism for orbital sustainability operating at the multi-stakeholder level [7, 9, 10, 16, 28, 29]. A clean empirical verdict on whether this instrument carries signal content therefore speaks directly to the design space in which successor instruments will be judged. NASA and JPL have a strategic interest in that design space, because their own mission portfolios will, across the coming decade, be both subject to and shaped by whatever instruments emerge from it.</w:t>
      </w:r>
    </w:p>
    <w:p>
      <w:pPr>
        <w:pStyle w:val="BodyText"/>
        <w:spacing w:line="480" w:lineRule="auto"/>
        <w:ind w:firstLine="720"/>
      </w:pPr>
      <w:r>
        <w:t xml:space="preserve">For JPL the exposure is sharpened by the shape of its mission portfolio. Flagship missions in low altitude orbits operate inside an environment whose long-run usability depends on exactly the aggregate compliance behavior this dissertation’s test examines. Secondary payload science, including rideshare-class instruments increasingly flown on commercial buses, is exposed to the underwriting and insurance posture the qualitative component examines through the discourse of insurers and launch providers. The empirical verdict therefore reaches JPL’s planning environment at both levels at once, mission design and mission acquisition alike.</w:t>
      </w:r>
    </w:p>
    <w:bookmarkEnd w:id="64"/>
    <w:bookmarkStart w:id="65" w:name="roadmap"/>
    <w:p>
      <w:pPr>
        <w:pStyle w:val="Heading2"/>
        <w:spacing w:line="480" w:lineRule="auto"/>
      </w:pPr>
      <w:r>
        <w:t xml:space="preserve">1.5 Roadmap</w:t>
      </w:r>
    </w:p>
    <w:p>
      <w:pPr>
        <w:pStyle w:val="FirstParagraph"/>
        <w:spacing w:line="480" w:lineRule="auto"/>
      </w:pPr>
      <w:r>
        <w:t xml:space="preserve">The rest of the dissertation proceeds as follows.</w:t>
      </w:r>
    </w:p>
    <w:p>
      <w:pPr>
        <w:pStyle w:val="BodyText"/>
        <w:spacing w:line="480" w:lineRule="auto"/>
        <w:ind w:firstLine="720"/>
      </w:pPr>
      <w:r>
        <w:t xml:space="preserve">Chapter 2 builds the theoretical apparatus. It states the credible-commitment claim in formal terms, places it within the signaling literature, and derives the testable implications the empirical chapters address. It draws the line between the credible-commitment interpretation and the reputational-artifact interpretation and specifies the joint inference rule that adjudicates between them.</w:t>
      </w:r>
    </w:p>
    <w:p>
      <w:pPr>
        <w:pStyle w:val="BodyText"/>
        <w:spacing w:line="480" w:lineRule="auto"/>
        <w:ind w:firstLine="720"/>
      </w:pPr>
      <w:r>
        <w:t xml:space="preserve">Chapter 3 reviews the domain literature on the Space Sustainability Rating alongside the adjacent literatures on debris mitigation behavior, space capacity management, and the governance architecture the rating is embedded in [1, 3, 4, 7, 8, 9, 10, 11, 13, 15, 16, 17, 21, 28, 29, 33, 35]. It also reviews the econometric method literature on staggered-adoption difference-in-differences identification and on the heterogeneous-treatment-effect estimators that form the robustness layer of the empirical strategy. The chapter closes by stating the gap this dissertation joins.</w:t>
      </w:r>
    </w:p>
    <w:p>
      <w:pPr>
        <w:pStyle w:val="BodyText"/>
        <w:spacing w:line="480" w:lineRule="auto"/>
        <w:ind w:firstLine="720"/>
      </w:pPr>
      <w:r>
        <w:t xml:space="preserve">Chapter 4 develops the data architecture. It documents how the operator-month behavioral panel is built from the LeoLabs conjunction record</w:t>
      </w:r>
      <w:r>
        <w:t xml:space="preserve"> </w:t>
      </w:r>
      <w:hyperlink w:anchor="ref-5">
        <w:r>
          <w:rPr>
            <w:rStyle w:val="Hyperlink"/>
          </w:rPr>
          <w:t xml:space="preserve">[5]</w:t>
        </w:r>
      </w:hyperlink>
      <w:r>
        <w:t xml:space="preserve">, the ESA environment reporting</w:t>
      </w:r>
      <w:r>
        <w:t xml:space="preserve"> </w:t>
      </w:r>
      <w:hyperlink w:anchor="ref-19">
        <w:r>
          <w:rPr>
            <w:rStyle w:val="Hyperlink"/>
          </w:rPr>
          <w:t xml:space="preserve">[19]</w:t>
        </w:r>
      </w:hyperlink>
      <w:r>
        <w:t xml:space="preserve">, the AMOS reference-scenario inputs [14, 24], and the rapid fragmentation-cataloguing precedent</w:t>
      </w:r>
      <w:r>
        <w:t xml:space="preserve"> </w:t>
      </w:r>
      <w:hyperlink w:anchor="ref-6">
        <w:r>
          <w:rPr>
            <w:rStyle w:val="Hyperlink"/>
          </w:rPr>
          <w:t xml:space="preserve">[6]</w:t>
        </w:r>
      </w:hyperlink>
      <w:r>
        <w:t xml:space="preserve">. It documents how the treatment indicator is drawn from the SSR rated-missions registry</w:t>
      </w:r>
      <w:r>
        <w:t xml:space="preserve"> </w:t>
      </w:r>
      <w:hyperlink w:anchor="ref-18">
        <w:r>
          <w:rPr>
            <w:rStyle w:val="Hyperlink"/>
          </w:rPr>
          <w:t xml:space="preserve">[18]</w:t>
        </w:r>
      </w:hyperlink>
      <w:r>
        <w:t xml:space="preserve"> </w:t>
      </w:r>
      <w:r>
        <w:t xml:space="preserve">and from the design and version history of the rating instrument [4, 10, 15, 29]. It documents the matched comparison-unit pool and the coarsened exact matching procedure, and it documents the qualitative corpus of regulator, insurer, and launch-provider communications.</w:t>
      </w:r>
    </w:p>
    <w:p>
      <w:pPr>
        <w:pStyle w:val="BodyText"/>
        <w:spacing w:line="480" w:lineRule="auto"/>
        <w:ind w:firstLine="720"/>
      </w:pPr>
      <w:r>
        <w:t xml:space="preserve">Chapter 5 presents the quantitative analysis. It reports pre-trend tests, the staggered-adoption difference-in-differences estimates with operator and time fixed effects, and the robustness checks against the heterogeneous-treatment-effect estimator family. Results are reported for each of the two behavioral outcomes and for the joint outcome.</w:t>
      </w:r>
    </w:p>
    <w:p>
      <w:pPr>
        <w:pStyle w:val="BodyText"/>
        <w:spacing w:line="480" w:lineRule="auto"/>
        <w:ind w:firstLine="720"/>
      </w:pPr>
      <w:r>
        <w:t xml:space="preserve">Chapter 6 presents the qualitative analysis. It applies the discourse-analytic apparatus of Yap and colleagues [3, 35] to the regulator, insurer, and launch-provider corpus and tests whether at least one class of counterparty invokes the rating as informative about type.</w:t>
      </w:r>
    </w:p>
    <w:p>
      <w:pPr>
        <w:pStyle w:val="BodyText"/>
        <w:spacing w:line="480" w:lineRule="auto"/>
        <w:ind w:firstLine="720"/>
      </w:pPr>
      <w:r>
        <w:t xml:space="preserve">Chapter 7 integrates the quantitative and qualitative findings under the pre-registered joint inference rule and renders the verdict on the credible-commitment hypothesis.</w:t>
      </w:r>
    </w:p>
    <w:p>
      <w:pPr>
        <w:pStyle w:val="BodyText"/>
        <w:spacing w:line="480" w:lineRule="auto"/>
        <w:ind w:firstLine="720"/>
      </w:pPr>
      <w:r>
        <w:t xml:space="preserve">Chapter 8 discusses implications. It takes up what the verdict means for NASA’s institutional engagement with the rating program, what it means for JPL mission acquisition and mission design, and what it means for the design of successor instruments in the broader voluntary-sustainability instrument class. It addresses the limitations of the test, the boundary of its external validity, and the agenda of follow-on work the result invites.</w:t>
      </w:r>
    </w:p>
    <w:p>
      <w:pPr>
        <w:pStyle w:val="BodyText"/>
        <w:spacing w:line="480" w:lineRule="auto"/>
        <w:ind w:firstLine="720"/>
      </w:pPr>
      <w:r>
        <w:t xml:space="preserve">Chapter 9 concludes.</w:t>
      </w:r>
    </w:p>
    <w:bookmarkEnd w:id="65"/>
    <w:bookmarkEnd w:id="66"/>
    <w:bookmarkStart w:id="83"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This chapter places the dissertation at the intersection of two literatures that have, to date, stayed largely apart. One is the domain technical literature on orbital debris, space situational awareness, and the design of voluntary sustainability instruments, the Space Sustainability Rating (SSR) chief among them. The other is the cliometric and econometric methodology literature concerned with identifying causal effects from observational panel data, estimating survival functions under right censoring, and analyzing binary commitment outcomes by limited dependent variable methods. Each has done its own job well. The first has produced a sophisticated constitutive account of what the SSR is, how it is computed, and where it sits inside an emergent socio-technical regime, yet it has not produced an identification strategy capable of answering whether the rating changes operator behavior. The second has produced the identification machinery and has never turned it on the debris-mitigation problem. I review each in turn, show that each is internally coherent but operationally sealed off from the other, and then state the gap the dissertation is positioned to close. My argument is that the SSR is treated by its designers and by adjacent policy scholarship as a credible commitment device, while the economic predicate of that designation, that participation is observably and causally associated with conduct, has never been tested against the standards the methodological literature would demand of an equivalent claim in any other voluntary disclosure regime. The chapter ends by deriving the testable hypotheses the empirical chapters will evaluate.</w:t>
      </w:r>
    </w:p>
    <w:bookmarkEnd w:id="67"/>
    <w:bookmarkStart w:id="74" w:name="the-domain-technical-literature"/>
    <w:p>
      <w:pPr>
        <w:pStyle w:val="Heading2"/>
        <w:spacing w:line="480" w:lineRule="auto"/>
      </w:pPr>
      <w:r>
        <w:t xml:space="preserve">2.2 The Domain Technical Literature</w:t>
      </w:r>
    </w:p>
    <w:bookmarkStart w:id="68" w:name="X949a0f620b15928b5ee1c53fac21f801da53a91"/>
    <w:p>
      <w:pPr>
        <w:pStyle w:val="Heading3"/>
        <w:spacing w:line="480" w:lineRule="auto"/>
      </w:pPr>
      <w:r>
        <w:t xml:space="preserve">2.2.1 The constitutive account of the Space Sustainability Rating</w:t>
      </w:r>
    </w:p>
    <w:p>
      <w:pPr>
        <w:pStyle w:val="FirstParagraph"/>
        <w:spacing w:line="480" w:lineRule="auto"/>
      </w:pPr>
      <w:r>
        <w:t xml:space="preserve">Constitutive in the strict methodological sense, the foundational SSR papers specify what the indicator measures, what data feed it, and what behavioral logic the designers meant it to carry. Writing from the European Space Agency, the MIT Media Lab, and the World Economic Forum, Letizia and colleagues set out the role Space Situational Awareness data play in the indicator’s definition and describe the rating as a vehicle for translating otherwise opaque mitigation effort into a market-legible score [1, 21]. In its mature form the composite-indicator architecture appears in the 2025 design paper by Rathnasabapathy and colleagues, which lays out the five-module structure (mission index, collision avoidance, data sharing, design and operations, and external services) and states the explicit intent that the rating function as a costly and observable signal driving operators to internalize the long-run environmental externalities of their missions [4, 10, 15, 29]. A companion paper by David and colleagues develops the multi-stakeholder mechanism the rating is meant to run on, modeling it as the visible coordination point for an incentive ecology that spans regulators, insurers, launch providers, and institutional investors [7, 9, 16, 28]. Across all of this the SSR is presented as a credible commitment device in the sense institutional economics uses the term: a publicly observable, costly action that ties an operator’s reputational rent to its underlying mitigation type.</w:t>
      </w:r>
    </w:p>
    <w:p>
      <w:pPr>
        <w:pStyle w:val="BodyText"/>
        <w:spacing w:line="480" w:lineRule="auto"/>
        <w:ind w:firstLine="720"/>
      </w:pPr>
      <w:r>
        <w:t xml:space="preserve">Rigorous as it is on the question of what the rating is, the constitutive literature stays silent on whether the rating works. Rathnasabapathy’s design paper is explicit that behavioral evaluation is downstream of indicator instantiation, and David’s multi-stakeholder paper frames adoption as a normative aspiration rather than an empirical regularity [4, 7]. No treatment effect is estimated in either. Neither specifies what would count as disconfirming evidence, and neither engages the standard econometric machinery for evaluating voluntary disclosure regimes. None of this is a criticism of work that was never designed to answer the behavioral question. It is, though, the structural fact from which the dissertation’s gap is derived.</w:t>
      </w:r>
    </w:p>
    <w:bookmarkEnd w:id="68"/>
    <w:bookmarkStart w:id="69" w:name="the-discursive-regime-around-debris"/>
    <w:p>
      <w:pPr>
        <w:pStyle w:val="Heading3"/>
        <w:spacing w:line="480" w:lineRule="auto"/>
      </w:pPr>
      <w:r>
        <w:t xml:space="preserve">2.2.2 The discursive regime around debris</w:t>
      </w:r>
    </w:p>
    <w:p>
      <w:pPr>
        <w:pStyle w:val="FirstParagraph"/>
        <w:spacing w:line="480" w:lineRule="auto"/>
      </w:pPr>
      <w:r>
        <w:t xml:space="preserve">A second strand of the domain literature has moved from indicator design to the socio-technical regime the SSR and adjacent instruments are embedded in. Applying discourse network analysis to the global debris debate, Yap, Heiberg, and Truffer show that a recognizable transnational regime is consolidating around a small number of focal instruments, the SSR among them [3, 35]. Theirs is the most methodologically distinctive paper in the domain corpus, because it treats the rating not as a technical artifact to be checked against its design specification but as a discursive object whose authority is constituted by the network of actors that invoke it. What follows from that is a demand on any behavioral evaluation of the SSR: it must also evaluate the rating’s reception, that is, whether counterparties weight it as informative about operator type. Hurova develops the adjacent claim that gamified and reputational mechanisms are moving to the center of the debris policy toolkit, and that the analytic boundary between technical performance and reputational performance is dissolving</w:t>
      </w:r>
      <w:r>
        <w:t xml:space="preserve"> </w:t>
      </w:r>
      <w:hyperlink w:anchor="ref-34">
        <w:r>
          <w:rPr>
            <w:rStyle w:val="Hyperlink"/>
          </w:rPr>
          <w:t xml:space="preserve">[34]</w:t>
        </w:r>
      </w:hyperlink>
      <w:r>
        <w:t xml:space="preserve">. From a transdisciplinary and bi-cultural vantage, Varughese and colleagues argue that the meaning of sustainability in the orbital commons is contested across constituencies and that any single indicator will land differently with different audiences</w:t>
      </w:r>
      <w:r>
        <w:t xml:space="preserve"> </w:t>
      </w:r>
      <w:hyperlink w:anchor="ref-33">
        <w:r>
          <w:rPr>
            <w:rStyle w:val="Hyperlink"/>
          </w:rPr>
          <w:t xml:space="preserve">[33]</w:t>
        </w:r>
      </w:hyperlink>
      <w:r>
        <w:t xml:space="preserve">. Taken together, the discursive literature establishes the warrant for treating the SSR as a signal whose effects must be sought in counterparty conduct as much as in operator conduct, and it supplies the methodological precedent for the dissertation’s qualitative component.</w:t>
      </w:r>
    </w:p>
    <w:bookmarkEnd w:id="69"/>
    <w:bookmarkStart w:id="70" w:name="Xd75f13c6657f715379b1ce257c5722b42cf5245"/>
    <w:p>
      <w:pPr>
        <w:pStyle w:val="Heading3"/>
        <w:spacing w:line="480" w:lineRule="auto"/>
      </w:pPr>
      <w:r>
        <w:t xml:space="preserve">2.2.3 The debris environment and mitigation guidelines</w:t>
      </w:r>
    </w:p>
    <w:p>
      <w:pPr>
        <w:pStyle w:val="FirstParagraph"/>
        <w:spacing w:line="480" w:lineRule="auto"/>
      </w:pPr>
      <w:r>
        <w:t xml:space="preserve">A third strand characterizes the underlying physical environment the SSR is meant to protect and documents how unevenly operators comply with existing mitigation guidance. Colombo and colleagues develop the concept of space capacity management and its interaction with space traffic management, modeling the orbital shell as a finite carrying-capacity resource whose long-run usability depends on the joint conduct of every operator [8, 13]. That framework is the analytic anchor for the claim that marginal operator behavior is consequential, because it converts the debris problem from a bilateral conjunction problem into a commons problem. Identifying the statistically most concerning conjunctions in low Earth orbit, Stevenson and colleagues show that the catalog of high-probability conjunctions concentrates on a small number of derelict objects and operator-controlled platforms, which is what makes maneuver responsiveness a tractable behavioral outcome to begin with</w:t>
      </w:r>
      <w:r>
        <w:t xml:space="preserve"> </w:t>
      </w:r>
      <w:hyperlink w:anchor="ref-5">
        <w:r>
          <w:rPr>
            <w:rStyle w:val="Hyperlink"/>
          </w:rPr>
          <w:t xml:space="preserve">[5]</w:t>
        </w:r>
      </w:hyperlink>
      <w:r>
        <w:t xml:space="preserve">. Rapid tracking and cataloguing of fragmentation events using ground-based optical telescopes, with the Intelsat 33E case worked in detail, comes from Pavy and colleagues, and it establishes that fragmentation outcomes are observable in near real time</w:t>
      </w:r>
      <w:r>
        <w:t xml:space="preserve"> </w:t>
      </w:r>
      <w:hyperlink w:anchor="ref-6">
        <w:r>
          <w:rPr>
            <w:rStyle w:val="Hyperlink"/>
          </w:rPr>
          <w:t xml:space="preserve">[6]</w:t>
        </w:r>
      </w:hyperlink>
      <w:r>
        <w:t xml:space="preserve">. Wander and colleagues develop the operational concept for autonomous self-removal of spacecraft, attending to status detection, removal triggering, and passivation, and they document that the 25-year post-mission disposal guideline anchors international practice while being observed unevenly across operator classes and altitude regimes</w:t>
      </w:r>
      <w:r>
        <w:t xml:space="preserve"> </w:t>
      </w:r>
      <w:hyperlink w:anchor="ref-12">
        <w:r>
          <w:rPr>
            <w:rStyle w:val="Hyperlink"/>
          </w:rPr>
          <w:t xml:space="preserve">[12]</w:t>
        </w:r>
      </w:hyperlink>
      <w:r>
        <w:t xml:space="preserve">. Verspieren documents United States Air Force compliance with the orbital debris mitigation standard practices and shows that even a sophisticated, well-resourced operator carries material non-compliance margins, which establishes that voluntary compliance with existing guidelines is not a saturated outcome and that there is empirical room for a rating instrument to move conduct</w:t>
      </w:r>
      <w:r>
        <w:t xml:space="preserve"> </w:t>
      </w:r>
      <w:hyperlink w:anchor="ref-23">
        <w:r>
          <w:rPr>
            <w:rStyle w:val="Hyperlink"/>
          </w:rPr>
          <w:t xml:space="preserve">[23]</w:t>
        </w:r>
      </w:hyperlink>
      <w:r>
        <w:t xml:space="preserve">. Reference scenarios and supporting inputs for space environment modeling, the canonical methodological resource for projecting operator behavior forward under counterfactual policy regimes, come from Lifson and colleagues [14, 24].</w:t>
      </w:r>
    </w:p>
    <w:bookmarkEnd w:id="70"/>
    <w:bookmarkStart w:id="71" w:name="X5d5e8647ba4eeb3cf3c2e3786777e7ccc0584e4"/>
    <w:p>
      <w:pPr>
        <w:pStyle w:val="Heading3"/>
        <w:spacing w:line="480" w:lineRule="auto"/>
      </w:pPr>
      <w:r>
        <w:t xml:space="preserve">2.2.4 Sustainability metrics, large constellations, and remediation</w:t>
      </w:r>
    </w:p>
    <w:p>
      <w:pPr>
        <w:pStyle w:val="FirstParagraph"/>
        <w:spacing w:line="480" w:lineRule="auto"/>
      </w:pPr>
      <w:r>
        <w:t xml:space="preserve">A fourth strand evaluates the broader landscape of sustainability metrics the SSR is inserted into. In a multi-perspective analysis of sustainability metrics characterizing the debris environment, Bottcher and Silvestri show that any single indicator is necessarily partial and has to be read alongside altitude, mass, and operational regime [11, 17]. Their analysis is the precedent for the dissertation’s emphasis on careful conditioning, since it establishes that the SSR cannot be evaluated in isolation from the orbital geometry a given mission operates in. Sorge and colleagues take the large-constellation case head-on, modeling the traffic management implications of a small number of operators whose fleet behavior is consequential for the entire shell, and they set the frame within which large-constellation operators’ SSR engagement is to be read</w:t>
      </w:r>
      <w:r>
        <w:t xml:space="preserve"> </w:t>
      </w:r>
      <w:hyperlink w:anchor="ref-30">
        <w:r>
          <w:rPr>
            <w:rStyle w:val="Hyperlink"/>
          </w:rPr>
          <w:t xml:space="preserve">[30]</w:t>
        </w:r>
      </w:hyperlink>
      <w:r>
        <w:t xml:space="preserve">. A model-based control framework for space debris management, consistent with the broader Colombo capacity management argument, comes from Rusconi and Colombo</w:t>
      </w:r>
      <w:r>
        <w:t xml:space="preserve"> </w:t>
      </w:r>
      <w:hyperlink w:anchor="ref-32">
        <w:r>
          <w:rPr>
            <w:rStyle w:val="Hyperlink"/>
          </w:rPr>
          <w:t xml:space="preserve">[32]</w:t>
        </w:r>
      </w:hyperlink>
      <w:r>
        <w:t xml:space="preserve">. Refining active debris removal strategies, Tuttle, McKnight, and Maclay show that mitigation and remediation are complements rather than substitutes in responding to the underlying environmental problem</w:t>
      </w:r>
      <w:r>
        <w:t xml:space="preserve"> </w:t>
      </w:r>
      <w:hyperlink w:anchor="ref-27">
        <w:r>
          <w:rPr>
            <w:rStyle w:val="Hyperlink"/>
          </w:rPr>
          <w:t xml:space="preserve">[27]</w:t>
        </w:r>
      </w:hyperlink>
      <w:r>
        <w:t xml:space="preserve">. From the United States Air Force perspective, Tarantino documents the policy debate around active debris removal and shows that the institutional landscape the SSR operates in is contested across military, civil, and commercial constituencies</w:t>
      </w:r>
      <w:r>
        <w:t xml:space="preserve"> </w:t>
      </w:r>
      <w:hyperlink w:anchor="ref-25">
        <w:r>
          <w:rPr>
            <w:rStyle w:val="Hyperlink"/>
          </w:rPr>
          <w:t xml:space="preserve">[25]</w:t>
        </w:r>
      </w:hyperlink>
      <w:r>
        <w:t xml:space="preserve">. Poland’s evolving space law and its treatment of debris mitigation and remediation in the European context is documented by Polkowska and Chimicz, establishing that the regulatory environment around voluntary instruments is itself in motion and that the SSR’s empirical effects have to be read against a moving regulatory baseline</w:t>
      </w:r>
      <w:r>
        <w:t xml:space="preserve"> </w:t>
      </w:r>
      <w:hyperlink w:anchor="ref-20">
        <w:r>
          <w:rPr>
            <w:rStyle w:val="Hyperlink"/>
          </w:rPr>
          <w:t xml:space="preserve">[20]</w:t>
        </w:r>
      </w:hyperlink>
      <w:r>
        <w:t xml:space="preserve">. Harrison’s analysis of international perspectives on space weapons, though mainly concerned with intentional sources of debris, completes the policy landscape and makes clear that the universe of debris-generating events is heterogeneous and that mitigation instruments must be evaluated against the specific class of behavior they are designed to influence [2, 26].</w:t>
      </w:r>
    </w:p>
    <w:bookmarkEnd w:id="71"/>
    <w:bookmarkStart w:id="72" w:name="X49b3e40924149ee65a63776da36d17750b3103b"/>
    <w:p>
      <w:pPr>
        <w:pStyle w:val="Heading3"/>
        <w:spacing w:line="480" w:lineRule="auto"/>
      </w:pPr>
      <w:r>
        <w:t xml:space="preserve">2.2.5 Modeling the policy consequences of voluntary instruments</w:t>
      </w:r>
    </w:p>
    <w:p>
      <w:pPr>
        <w:pStyle w:val="FirstParagraph"/>
        <w:spacing w:line="480" w:lineRule="auto"/>
      </w:pPr>
      <w:r>
        <w:t xml:space="preserve">A fifth strand uses environment models to evaluate the projected consequences of policy interventions, voluntary instruments included. Wu and colleagues develop the MOCAT framework for temporal analysis and quantification of policies in space sustainability and show that the long-run trajectory of the debris environment is sensitive to operator compliance margins of the magnitude voluntary instruments plausibly induce</w:t>
      </w:r>
      <w:r>
        <w:t xml:space="preserve"> </w:t>
      </w:r>
      <w:hyperlink w:anchor="ref-22">
        <w:r>
          <w:rPr>
            <w:rStyle w:val="Hyperlink"/>
          </w:rPr>
          <w:t xml:space="preserve">[22]</w:t>
        </w:r>
      </w:hyperlink>
      <w:r>
        <w:t xml:space="preserve">. In an adjacent line of work on space resources markets, McKeown and colleagues develop the evaluation framework that establishes how voluntary market mechanisms should be assessed against their behavioral predicates</w:t>
      </w:r>
      <w:r>
        <w:t xml:space="preserve"> </w:t>
      </w:r>
      <w:hyperlink w:anchor="ref-31">
        <w:r>
          <w:rPr>
            <w:rStyle w:val="Hyperlink"/>
          </w:rPr>
          <w:t xml:space="preserve">[31]</w:t>
        </w:r>
      </w:hyperlink>
      <w:r>
        <w:t xml:space="preserve">. Their framework matters methodologically because it imports into the space domain the evaluation logic familiar from the broader environmental economics literature: market instruments are to be judged by their incentive compatibility and their observable behavioral effects, not by their normative design intent.</w:t>
      </w:r>
    </w:p>
    <w:bookmarkEnd w:id="72"/>
    <w:bookmarkStart w:id="73" w:name="synthesis-of-the-domain-literature"/>
    <w:p>
      <w:pPr>
        <w:pStyle w:val="Heading3"/>
        <w:spacing w:line="480" w:lineRule="auto"/>
      </w:pPr>
      <w:r>
        <w:t xml:space="preserve">2.2.6 Synthesis of the domain literature</w:t>
      </w:r>
    </w:p>
    <w:p>
      <w:pPr>
        <w:pStyle w:val="FirstParagraph"/>
        <w:spacing w:line="480" w:lineRule="auto"/>
      </w:pPr>
      <w:r>
        <w:t xml:space="preserve">Taken as a whole, the domain literature has produced a coherent and increasingly mature account of what the SSR is, how it is computed, what it is meant to do, and what discursive and regulatory environment it inhabits. It has established that the orbital environment is approaching capacity constraints in commercially significant shells [8, 13]; that operator behavior is heterogeneous and consequential for the long-run usability of those shells [12, 14, 23, 24]; that high-probability conjunctions and fragmentation events are observable in near real time and can be attributed to specific operators [5, 6]; that the SSR is one of a small number of focal voluntary instruments in the emergent regime [3, 7, 35]; and that the rating’s design intent is to function as a credible signal that alters operator conduct [4, 10, 15, 29]. What it has not produced is an empirical test of whether the rating clears the credible-signal bar. The behavioral question is acknowledged and deferred. That deferral is the constitutive feature of the gap.</w:t>
      </w:r>
    </w:p>
    <w:bookmarkEnd w:id="73"/>
    <w:bookmarkEnd w:id="74"/>
    <w:bookmarkStart w:id="79"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second literature is methodological. As a literature it is not concerned with space debris. Its concern is the identification of causal effects of voluntary interventions from observational data under standard threats to validity, the estimation of event timing under right censoring, and the analysis of binary commitment outcomes when the sample is moderate and the covariate set is constrained. Labor economics, environmental economics, finance, and public policy have developed and refined this toolkit over several decades, and it has never been mobilized against the SSR question. The dissertation’s empirical strategy draws on three methodological traditions within it, each reviewed in turn.</w:t>
      </w:r>
    </w:p>
    <w:bookmarkStart w:id="75" w:name="Xa511cd3846a7fc74c6de5c02e855044c476500e"/>
    <w:p>
      <w:pPr>
        <w:pStyle w:val="Heading3"/>
        <w:spacing w:line="480" w:lineRule="auto"/>
      </w:pPr>
      <w:r>
        <w:t xml:space="preserve">2.3.1 Difference in differences and the identification of policy effects</w:t>
      </w:r>
    </w:p>
    <w:p>
      <w:pPr>
        <w:pStyle w:val="FirstParagraph"/>
        <w:spacing w:line="480" w:lineRule="auto"/>
      </w:pPr>
      <w:r>
        <w:t xml:space="preserve">For evaluating the effect of a discrete policy or programmatic intervention on a treated population relative to a control population when randomization is off the table, difference in differences is the canonical observational identification strategy. Its identifying assumption is that the treated and control groups would have followed parallel trajectories on the outcome of interest absent treatment, an assumption tested by examining pre-treatment trends and reinforced by careful construction of the comparison group. Transposing the design to the SSR setting is direct, and it is the analytic backbone of the dissertation’s first quantitative chapter. Treatment is the first SSR issuance for a given operator. The outcome is observable mitigation behavior, operationalized as post-mission disposal compliance and as collision avoidance maneuver responsiveness. Control is constructed by coarsened exact matching on pre-treatment operator size, orbital regime, and prior compliance history. Two features make the design well suited to the SSR setting: SSR adoption is staggered across operators, and pre-treatment conduct is observable from the same data sources that generate the post-treatment outcomes [5, 6, 19]. The design’s principal threats, selection on unobservables, anticipation effects, and heterogeneous treatment effects under staggered adoption, are exactly the threats the methodological literature has built mitigations for, and the dissertation imports those mitigations. That literature has also clarified that staggered adoption designs need careful handling, because conventional two-way fixed effects estimators can produce misleading aggregate effects when treatment effects are heterogeneous over time and across cohorts. The dissertation accordingly checks robustness against the recent generation of heterogeneous treatment effect estimators.</w:t>
      </w:r>
    </w:p>
    <w:bookmarkEnd w:id="75"/>
    <w:bookmarkStart w:id="76" w:name="X1260bc01c524d7bd395c388ff177c8bc20e5048"/>
    <w:p>
      <w:pPr>
        <w:pStyle w:val="Heading3"/>
        <w:spacing w:line="480" w:lineRule="auto"/>
      </w:pPr>
      <w:r>
        <w:t xml:space="preserve">2.3.2 Survival analysis and the timing of compliance events</w:t>
      </w:r>
    </w:p>
    <w:p>
      <w:pPr>
        <w:pStyle w:val="FirstParagraph"/>
        <w:spacing w:line="480" w:lineRule="auto"/>
      </w:pPr>
      <w:r>
        <w:t xml:space="preserve">Survival analysis is the second methodological tradition, modeling the timing of an event of interest as a function of covariates under right censoring. Cox proportional hazards regression is the canonical semi-parametric form, and it is the form the dissertation’s first research paper uses to model the timing of post-mission disposal completion as a function of SSR engagement, altitude, mass, and commercial status. Three reasons the methodological literature has clarified make the Cox specification appropriate here. The outcome is the timing of a discrete event observable on right-censored mission histories, which is the canonical setting for survival analysis. The proportional hazards form is consistent with the credible commitment theory, under which the SSR engagement signal scales the baseline hazard multiplicatively rather than shifting an event horizon, which is the substantively right form of the effect under the theory of interest. And the Cox specification asks for no parametric assumptions about the baseline hazard, which is desirable when that hazard is governed by orbital decay physics varying nonparametrically with altitude. The dissertation’s first paper estimates this specification on a sample of 32 missions with 18 observed disposal events and 14 right-censored cases, and it reports a large and statistically significant SSR engagement coefficient (log hazard ratio 4.015, p = 0.0009, hazard ratio 55.42) alongside altitude, mass, and commercial covariates whose signs are consistent with the natural compliance literature [12, 14, 24] but whose magnitudes are not statistically distinguishable from zero in this sample. On hazard ratios of this magnitude in small samples the methodological literature is explicit: interpret with caution, treat the selection of already-complying operators into the rating regime as the principal threat to causal reading, and mitigate it by transposing the analysis into a panel design with operator-level fixed effects or operator-level frailty. That is exactly the analytic move the dissertation’s central difference in differences chapter executes.</w:t>
      </w:r>
    </w:p>
    <w:bookmarkEnd w:id="76"/>
    <w:bookmarkStart w:id="77" w:name="X4f4865deba4ad21c69ed16521757d45e9669da8"/>
    <w:p>
      <w:pPr>
        <w:pStyle w:val="Heading3"/>
        <w:spacing w:line="480" w:lineRule="auto"/>
      </w:pPr>
      <w:r>
        <w:t xml:space="preserve">2.3.3 Limited dependent variables and the analysis of public commitment</w:t>
      </w:r>
    </w:p>
    <w:p>
      <w:pPr>
        <w:pStyle w:val="FirstParagraph"/>
        <w:spacing w:line="480" w:lineRule="auto"/>
      </w:pPr>
      <w:r>
        <w:t xml:space="preserve">Analysis of binary commitment outcomes by logistic regression is the third tradition, the appropriate specification when the outcome is the presence or absence of a public commitment and the sample is moderate. The dissertation’s second research paper applies it to the question of which commercial operators publicly commit to a sustainability standard, where the standard is operationalized as the conjunction of an SSR rating, a published sustainability report with explicit debris mitigation language, or a documented five-year post-mission disposal plan. The logistic specification regresses public commitment on log fleet size, low Earth orbit exposure, and a binary indicator for prior operational signal (SSR application or published five-year post-mission disposal plan). Fitted on 35 operators, the model yields a McFadden pseudo R-squared of 0.47 and a large, statistically significant coefficient on the operational signal indicator (beta = 4.22, p = 0.0014), with fleet size and orbit share coefficients that are positive but not statistically distinguishable from zero. What this says substantively is that operational signal and public commitment travel as an inseparable bundle in the cross section, which is consistent with the credible commitment prediction that costly action and public statement are complements. The methodological literature is clear that this is a cross-sectional regularity rather than a causal effect, and that the right next analytic step is the panel design the dissertation executes in its central chapter.</w:t>
      </w:r>
    </w:p>
    <w:bookmarkEnd w:id="77"/>
    <w:bookmarkStart w:id="78" w:name="X66a9b8ebb3ed2b63646f2400fe90038a2b71c39"/>
    <w:p>
      <w:pPr>
        <w:pStyle w:val="Heading3"/>
        <w:spacing w:line="480" w:lineRule="auto"/>
      </w:pPr>
      <w:r>
        <w:t xml:space="preserve">2.3.4 The methodological literature’s silence on space debris</w:t>
      </w:r>
    </w:p>
    <w:p>
      <w:pPr>
        <w:pStyle w:val="FirstParagraph"/>
        <w:spacing w:line="480" w:lineRule="auto"/>
      </w:pPr>
      <w:r>
        <w:t xml:space="preserve">What is decisive about the methodological literature for this dissertation is its silence on space debris. The difference in differences, survival, and limited dependent variable traditions have been applied at length to corporate environmental disclosure, to voluntary certification regimes in forestry and fisheries, and to financial disclosure regimes. They have not been applied to the SSR or to adjacent voluntary instruments in the orbital commons. So the methodological literature is a resource that is available and unused, and the dissertation’s contribution is in part the mobilization of that resource against a question the domain literature has posed but not answered.</w:t>
      </w:r>
    </w:p>
    <w:bookmarkEnd w:id="78"/>
    <w:bookmarkEnd w:id="79"/>
    <w:bookmarkStart w:id="80" w:name="the-gap-two-literatures-unjoined"/>
    <w:p>
      <w:pPr>
        <w:pStyle w:val="Heading2"/>
        <w:spacing w:line="480" w:lineRule="auto"/>
      </w:pPr>
      <w:r>
        <w:t xml:space="preserve">2.4 The Gap: Two Literatures, Unjoined</w:t>
      </w:r>
    </w:p>
    <w:p>
      <w:pPr>
        <w:pStyle w:val="FirstParagraph"/>
        <w:spacing w:line="480" w:lineRule="auto"/>
      </w:pPr>
      <w:r>
        <w:t xml:space="preserve">Each of the two literatures reviewed above is internally coherent, and each is operationally sealed off from the other. On the domain side sit the constitutive account of the SSR, the discursive analysis of its regime, the physical model of the environment it is meant to protect, and the projection models of its possible long-run consequences [3, 4, 5, 6, 7, 8, 11, 12, 14, 22, 30, 35]. What is missing there is an identification strategy, an outcome operationalization, and a falsifiable test of the credible commitment claim that animates the rating’s design. On the methodological side sit the difference in differences, survival, and limited dependent variable machinery such a test would require, applied at length in adjacent domains. What is missing there is any application to the SSR. So the gap is not a missing framework, nor a missing tool, but the missing join between them.</w:t>
      </w:r>
    </w:p>
    <w:p>
      <w:pPr>
        <w:pStyle w:val="BodyText"/>
        <w:spacing w:line="480" w:lineRule="auto"/>
        <w:ind w:firstLine="720"/>
      </w:pPr>
      <w:r>
        <w:t xml:space="preserve">That gap is consequential for three reasons. First, the credible commitment claim is the central economic claim of the SSR’s design, and an untested central claim is an unstable foundation for an emergent regime. The discourse analysis shows the rating being weighted by counterparties [3, 35], and the policy analysis shows voluntary instruments moving to the center of debris governance [27, 30, 32], which together mean the rating is being relied upon as though the credible commitment claim were established when it has not in fact been tested. Second, the design of subsequent voluntary instruments, and the calibration of the SSR itself across methodology versions [7, 10], depends on empirical evidence about what works and what does not. The constitutive literature acknowledges that dependence and does not satisfy it. Third, the long-run trajectory of the orbital environment is sensitive to operator compliance margins of the magnitude voluntary instruments plausibly induce [22, 24], which makes empirical evaluation of voluntary instruments not merely an academic exercise but a precondition for environment management at the systemic level [8, 13].</w:t>
      </w:r>
    </w:p>
    <w:p>
      <w:pPr>
        <w:pStyle w:val="BodyText"/>
        <w:spacing w:line="480" w:lineRule="auto"/>
        <w:ind w:firstLine="720"/>
      </w:pPr>
      <w:r>
        <w:t xml:space="preserve">The dissertation closes the gap by joining the two literatures at the level of empirical practice. It takes the constitutive account of the SSR from the domain literature without modification [1, 4, 7, 10, 15, 21, 28, 29]. It operationalizes the behavioral outcomes from the technical environment literature [5, 6, 11, 12, 19]. It conducts the discursive analysis in the tradition of Yap and colleagues and extends it to the specific question of whether counterparties weight the SSR as informative about type [3, 35]. It imports the identification strategy from the methodological literature on difference in differences with staggered adoption and reinforces it with the survival and limited dependent variable analyses the dissertation’s research papers have already executed. And it operationalizes the integration through a pre-registered joint inference rule, under which the credible commitment interpretation requires both a behavioral effect in the quantitative analysis and uptake as informative by at least one class of counterparty in the qualitative analysis.</w:t>
      </w:r>
    </w:p>
    <w:bookmarkEnd w:id="80"/>
    <w:bookmarkStart w:id="81" w:name="derived-hypotheses"/>
    <w:p>
      <w:pPr>
        <w:pStyle w:val="Heading2"/>
        <w:spacing w:line="480" w:lineRule="auto"/>
      </w:pPr>
      <w:r>
        <w:t xml:space="preserve">2.5 Derived Hypotheses</w:t>
      </w:r>
    </w:p>
    <w:p>
      <w:pPr>
        <w:pStyle w:val="FirstParagraph"/>
        <w:spacing w:line="480" w:lineRule="auto"/>
      </w:pPr>
      <w:r>
        <w:t xml:space="preserve">From the joined literatures the dissertation derives one principal hypothesis and three subsidiary ones.</w:t>
      </w:r>
    </w:p>
    <w:p>
      <w:pPr>
        <w:pStyle w:val="BodyText"/>
        <w:spacing w:line="480" w:lineRule="auto"/>
        <w:ind w:firstLine="720"/>
      </w:pPr>
      <w:r>
        <w:t xml:space="preserve">The principal hypothesis holds that operators who obtain an SSR exhibit a statistically and economically meaningful improvement in observable debris mitigation behavior, measured by post-mission disposal compliance rate and by collision avoidance maneuver responsiveness, relative to matched non-participating operators over the two years following rating issuance, conditional on pre-trend balance. This is the H1 of the prospectus, and it is the falsifiable form of the credible commitment claim derived from Rathnasabapathy and colleagues and from David and colleagues [4, 7, 10, 28, 29].</w:t>
      </w:r>
    </w:p>
    <w:p>
      <w:pPr>
        <w:pStyle w:val="BodyText"/>
        <w:spacing w:line="480" w:lineRule="auto"/>
        <w:ind w:firstLine="720"/>
      </w:pPr>
      <w:r>
        <w:t xml:space="preserve">A first subsidiary hypothesis holds that the timing of post-mission disposal is faster for SSR-engaged operators than for non-engaged operators, conditional on altitude, mass, and operator type. Operationalized by the Cox proportional hazards specification described in section 2.3.2, it is the form of the credible commitment claim the dissertation’s first research paper has already tested at small sample. That paper supports the hypothesis [12, 14, 24], while the small sample and the cross-sectional design preclude causal interpretation, which is the warrant for the central panel design.</w:t>
      </w:r>
    </w:p>
    <w:p>
      <w:pPr>
        <w:pStyle w:val="BodyText"/>
        <w:spacing w:line="480" w:lineRule="auto"/>
        <w:ind w:firstLine="720"/>
      </w:pPr>
      <w:r>
        <w:t xml:space="preserve">A second subsidiary hypothesis holds that public commitment to a sustainability standard travels as a bundle with prior operational signal, such that operators who have taken a costly operational step are dramatically more likely to also issue a public statement than operators who have not. Operationalized by the logistic specification described in section 2.3.3, it is the cross-sectional form of the bundling prediction derived from Bottcher and Silvestri [11, 17] and from David and colleagues [7, 28]. The dissertation’s second research paper supports it, and it motivates including the public commitment outcome in the discourse component of the central analysis.</w:t>
      </w:r>
    </w:p>
    <w:p>
      <w:pPr>
        <w:pStyle w:val="BodyText"/>
        <w:spacing w:line="480" w:lineRule="auto"/>
        <w:ind w:firstLine="720"/>
      </w:pPr>
      <w:r>
        <w:t xml:space="preserve">A third subsidiary hypothesis, internal to the qualitative component, holds that at least one class of counterparty (regulator, insurer, or launch provider) treats the SSR as informative about operator type in formal communications, license conditions, or underwriting language. Operationalized by the discourse analysis tradition of Yap and colleagues [3, 35], it is the predicate condition for the credible signal interpretation. Should this hypothesis fail, any observed behavioral effect is not received as a signal by the parties whose pricing of risk is the mechanism through which the credible commitment claim is supposed to operate.</w:t>
      </w:r>
    </w:p>
    <w:bookmarkEnd w:id="81"/>
    <w:bookmarkStart w:id="82" w:name="conclusion"/>
    <w:p>
      <w:pPr>
        <w:pStyle w:val="Heading2"/>
        <w:spacing w:line="480" w:lineRule="auto"/>
      </w:pPr>
      <w:r>
        <w:t xml:space="preserve">2.6 Conclusion</w:t>
      </w:r>
    </w:p>
    <w:p>
      <w:pPr>
        <w:pStyle w:val="FirstParagraph"/>
        <w:spacing w:line="480" w:lineRule="auto"/>
      </w:pPr>
      <w:r>
        <w:t xml:space="preserve">Two literatures that have, to date, stayed largely apart are what this chapter has reviewed. The domain technical literature on orbital debris and the SSR has produced a mature constitutive account and has deferred the behavioral evaluation. The cliometric and econometric methodology literature has produced the identification machinery and has not applied it to the SSR. The dissertation’s contribution is the join, executed through a difference in differences design on operator-level mitigation outcomes and a discourse analysis of counterparty reception, integrated by a pre-registered joint inference rule. The empirical chapters that follow evaluate the hypotheses derived above.</w:t>
      </w:r>
    </w:p>
    <w:bookmarkEnd w:id="82"/>
    <w:bookmarkEnd w:id="83"/>
    <w:bookmarkStart w:id="90" w:name="Xcfcc00a3ded59aed0c781c16bfc121f2a509603"/>
    <w:p>
      <w:pPr>
        <w:pStyle w:val="Heading1"/>
        <w:spacing w:line="480" w:lineRule="auto"/>
      </w:pPr>
      <w:r>
        <w:t xml:space="preserve">Chapter 3. Theoretical Framework and Hypotheses</w:t>
      </w:r>
    </w:p>
    <w:bookmarkStart w:id="84" w:name="overview-and-argument-of-the-chapter"/>
    <w:p>
      <w:pPr>
        <w:pStyle w:val="Heading2"/>
        <w:spacing w:line="480" w:lineRule="auto"/>
      </w:pPr>
      <w:r>
        <w:t xml:space="preserve">3.1 Overview and Argument of the Chapter</w:t>
      </w:r>
    </w:p>
    <w:p>
      <w:pPr>
        <w:pStyle w:val="FirstParagraph"/>
        <w:spacing w:line="480" w:lineRule="auto"/>
      </w:pPr>
      <w:r>
        <w:t xml:space="preserve">Does the Space Sustainability Rating (SSR) function as a credible commitment device in the sense economists assign to that term, or does it function principally as a reputational artifact decoupled from the underlying mitigation conduct of the rated operator</w:t>
      </w:r>
      <w:r>
        <w:t xml:space="preserve"> </w:t>
      </w:r>
      <w:hyperlink w:anchor="ref-4">
        <w:r>
          <w:rPr>
            <w:rStyle w:val="Hyperlink"/>
          </w:rPr>
          <w:t xml:space="preserve">[4]</w:t>
        </w:r>
      </w:hyperlink>
      <w:r>
        <w:t xml:space="preserve">? That empirical question organizes the dissertation. The two interpretations are not merely rhetorical alternatives. They generate distinct, observable predictions about how operator behavior should evolve after rating issuance, and about how the rating should be invoked by counterparties whose decisions turn on inferring the operator’s unobserved type. This chapter assembles the theoretical structure under which those predictions can be derived, states the formal hypotheses H0 and H1 that follow, and specifies the auxiliary conditions under which rejecting H0 in favor of H1 may be read as evidence consistent with the credible-commitment view rather than with one of several plausible confounding stories.</w:t>
      </w:r>
    </w:p>
    <w:p>
      <w:pPr>
        <w:pStyle w:val="BodyText"/>
        <w:spacing w:line="480" w:lineRule="auto"/>
        <w:ind w:firstLine="720"/>
      </w:pPr>
      <w:r>
        <w:t xml:space="preserve">Five movements structure the chapter. Section 3.2 specifies the type space and the information environment in which SSR participation is decided. Section 3.3 develops the signaling logic by which a costly, observable, and type-correlated action can in principle separate operator types in equilibrium, and locates the SSR within it. Section 3.4 develops the causal mechanism linking separation in the rating game to observable shifts in debris-mitigation conduct and to counterparty behavior. Section 3.5 states H0 and H1, with explicit attention to the joint inference rule integrating the quantitative and qualitative components of the design. Section 3.6 sets out the auxiliary conditions and the alternative explanations the design must defeat to license the credible-commitment interpretation, and previews how Chapter 4 operationalizes the resulting empirical strategy.</w:t>
      </w:r>
    </w:p>
    <w:bookmarkEnd w:id="84"/>
    <w:bookmarkStart w:id="85" w:name="Xb9638b232b7116e7aec561e61e86632beed248f"/>
    <w:p>
      <w:pPr>
        <w:pStyle w:val="Heading2"/>
        <w:spacing w:line="480" w:lineRule="auto"/>
      </w:pPr>
      <w:r>
        <w:t xml:space="preserve">3.2 The Type Space and the Information Environment</w:t>
      </w:r>
    </w:p>
    <w:p>
      <w:pPr>
        <w:pStyle w:val="FirstParagraph"/>
        <w:spacing w:line="480" w:lineRule="auto"/>
      </w:pPr>
      <w:r>
        <w:t xml:space="preserve">Economic primitives of the rating problem are familiar from the literature on voluntary environmental disclosure and from the broader literature on signaling under asymmetric information, but they need restating in the specific institutional environment of the orbital debris regime [3, 7]. A satellite operator is characterized by a latent type that summarizes its private cost of complying with the canonical debris-mitigation practices: post-mission disposal at end of life, responsiveness to high-probability conjunctions through publicly observable avoidance maneuvers, design-for-demise and passivation, and structured data sharing for catalog maintenance. That type is private information to the operator. Counterparties, whether national licensing authorities, insurers, launch providers, or downstream rideshare hosts, observe the operator’s actions only with delay and with substantial measurement error, because the relevant outcomes are realized over the full mission lifetime and the relevant intermediate behaviors, maneuver responsiveness among them, are visible only through external Space Situational Awareness inference [1, 5, 21].</w:t>
      </w:r>
    </w:p>
    <w:p>
      <w:pPr>
        <w:pStyle w:val="BodyText"/>
        <w:spacing w:line="480" w:lineRule="auto"/>
        <w:ind w:firstLine="720"/>
      </w:pPr>
      <w:r>
        <w:t xml:space="preserve">Two features of this information environment are essential to the argument. First, the relevant operator behaviors are technically observable to a sufficiently capable external tracker, yet producing the inference is non-trivially costly, the inference is probabilistic rather than definitive, and the lag between behavior and external attribution is substantial. End-of-life decay events, fragmentation events, and conjunction responsiveness can be reconstructed from public conjunction and tracking records and from fragmentation cataloguing pipelines [5, 6, 14, 24]. That reconstruction, though, is performed by a small number of capable trackers and is not a routine output of operator self-report. Second, the population of operators is heterogeneous in economically material ways. Large incumbent constellations, small commercial operators, and government missions differ in their per-satellite cost of compliance, in their exposure to reputational sanction, and in their access to the data systems that underpin both compliance and external verification [3, 23, 30]. That heterogeneity is precisely the condition under which a separating signal can do work, because the marginal cost of producing the signal differs across types along a margin the signal designer can exploit.</w:t>
      </w:r>
    </w:p>
    <w:p>
      <w:pPr>
        <w:pStyle w:val="BodyText"/>
        <w:spacing w:line="480" w:lineRule="auto"/>
        <w:ind w:firstLine="720"/>
      </w:pPr>
      <w:r>
        <w:t xml:space="preserve">Within this environment the SSR sits as a voluntary composite indicator that aggregates mission-index, collision-avoidance, data-sharing, design-and-operations, and external-services dimensions into a tiered rating meant to be legible to the counterparties named above [1, 4, 7, 10, 21, 29]. In the typology of the regime literature it is a non-state market-driven instrument that runs alongside but does not substitute for state licensing and the canonical mitigation guidelines [3, 7, 35]. The institutional question motivating this dissertation is whether the rating in fact occupies the role of a separating signal, or whether it occupies the role of a costly but uninformative gesture that nonetheless earns a reputational return for participants who would have complied in any case.</w:t>
      </w:r>
    </w:p>
    <w:bookmarkEnd w:id="85"/>
    <w:bookmarkStart w:id="86" w:name="Xe16506d0cd4f01d3f752bdf805b06fc28f011d9"/>
    <w:p>
      <w:pPr>
        <w:pStyle w:val="Heading2"/>
        <w:spacing w:line="480" w:lineRule="auto"/>
      </w:pPr>
      <w:r>
        <w:t xml:space="preserve">3.3 The Signaling Logic and Its Application to the SSR</w:t>
      </w:r>
    </w:p>
    <w:p>
      <w:pPr>
        <w:pStyle w:val="FirstParagraph"/>
        <w:spacing w:line="480" w:lineRule="auto"/>
      </w:pPr>
      <w:r>
        <w:t xml:space="preserve">Classical signaling theory supplies three minimum conditions under which a voluntary action can work as a credible signal of an unobserved type, and the SSR design literature adopts this incentive framing explicitly when it positions the rating as a mechanism to reward operators who bear the cost of sustainable practice</w:t>
      </w:r>
      <w:r>
        <w:t xml:space="preserve"> </w:t>
      </w:r>
      <w:hyperlink w:anchor="ref-10">
        <w:r>
          <w:rPr>
            <w:rStyle w:val="Hyperlink"/>
          </w:rPr>
          <w:t xml:space="preserve">[10]</w:t>
        </w:r>
      </w:hyperlink>
      <w:r>
        <w:t xml:space="preserve">. The action must be observable to the receiver. The action must be costly to the sender, and its cost must vary across types so that the high-type sender finds it affordable while the low-type sender finds it prohibitive at the margin. And the receiver must respond to the signal as the sender anticipates, so that the high-type sender’s expected payoff from sending exceeds the expected payoff from not sending. Applied to the SSR, these conditions generate a set of predictions the dissertation’s empirical design is built to test.</w:t>
      </w:r>
    </w:p>
    <w:p>
      <w:pPr>
        <w:pStyle w:val="BodyText"/>
        <w:spacing w:line="480" w:lineRule="auto"/>
        <w:ind w:firstLine="720"/>
      </w:pPr>
      <w:r>
        <w:t xml:space="preserve">On its face, the observability condition is satisfied. The rating is issued to identified operators, the SSR public registry discloses participation, and the design literature is explicit that the rating is meant to be legible to regulators, insurers, and launch providers [1, 4, 7, 18]. Whether the rating is in fact perceived and weighted by counterparties is another matter, and a contestable empirical one. Yap and colleagues’ analysis of the discourse network around orbital debris suggests the rating has been folded into the regime’s vocabulary, but folding into discourse is not the same as folding into decision rules [3, 35]. The dissertation’s qualitative component is organized around exactly that distinction, between rhetorical incorporation and operative incorporation.</w:t>
      </w:r>
    </w:p>
    <w:p>
      <w:pPr>
        <w:pStyle w:val="BodyText"/>
        <w:spacing w:line="480" w:lineRule="auto"/>
        <w:ind w:firstLine="720"/>
      </w:pPr>
      <w:r>
        <w:t xml:space="preserve">Cost is where the argument gets contested. Obtaining and maintaining an SSR carries two kinds of cost. One is the direct administrative cost of preparing data submissions and engaging with the rating process. The other, more analytically interesting, is the indirect cost of conforming operations to the practices the rating rewards. The design literature is explicit that the composite indicator rewards conformance with practices that themselves carry operational and capital cost, including conservative post-mission disposal margins, responsiveness to a wider window of conjunction screening, and design choices that raise the probability of complete demise [4, 10, 29]. Differential cost across types arises because the marginal cost of conformance is lower for operators whose baseline practice is already close to the rewarded practice and higher for operators whose baseline practice sits further away. That differential cost, the signaling argument runs, is precisely what lets the rating separate types in equilibrium.</w:t>
      </w:r>
    </w:p>
    <w:p>
      <w:pPr>
        <w:pStyle w:val="BodyText"/>
        <w:spacing w:line="480" w:lineRule="auto"/>
        <w:ind w:firstLine="720"/>
      </w:pPr>
      <w:r>
        <w:t xml:space="preserve">On the response condition the credible-commitment interpretation most plausibly fails. If counterparties do not adjust their behavior in response to the rating, the signaling equilibrium collapses and the rating becomes a costly gesture whose only return is reputational. The qualitative analysis is built to detect, at the level of regulator license conditions, insurer underwriting language, and launch-provider rideshare terms, whether the rating is treated as informative about type. The Yap, Heiberg, and Truffer methodology for discourse network analysis is the natural starting point, since it has already been used to characterize how actors in the debris regime mobilize particular instruments in their formal communications [3, 35]. David and colleagues’ account of the multi-stakeholder mechanism is the complementary starting point, because it articulates the intended uptake pathway and so identifies the counterparty classes whose response is theoretically privileged [7, 9, 16, 28].</w:t>
      </w:r>
    </w:p>
    <w:p>
      <w:pPr>
        <w:pStyle w:val="BodyText"/>
        <w:spacing w:line="480" w:lineRule="auto"/>
        <w:ind w:firstLine="720"/>
      </w:pPr>
      <w:r>
        <w:t xml:space="preserve">Applied to the SSR, the signaling logic yields a sharp prediction. If the rating functions as a credible signal, then operators who obtain it should, in the period following issuance, exhibit observable mitigation behavior congruent with the rated practices, because that congruence is what the signal was costly to achieve and what counterparties are responding to. If the rating functions as a reputational artifact, then operators who obtain it should not, in the period following issuance, exhibit observable mitigation behavior that differs systematically from that of matched non-participants, because participation in that case is decoupled from the underlying conduct the rating purports to summarize. The contrast between those predictions is the analytic foundation of H0 and H1.</w:t>
      </w:r>
    </w:p>
    <w:bookmarkEnd w:id="86"/>
    <w:bookmarkStart w:id="87" w:name="the-causal-mechanism"/>
    <w:p>
      <w:pPr>
        <w:pStyle w:val="Heading2"/>
        <w:spacing w:line="480" w:lineRule="auto"/>
      </w:pPr>
      <w:r>
        <w:t xml:space="preserve">3.4 The Causal Mechanism</w:t>
      </w:r>
    </w:p>
    <w:p>
      <w:pPr>
        <w:pStyle w:val="FirstParagraph"/>
        <w:spacing w:line="480" w:lineRule="auto"/>
      </w:pPr>
      <w:r>
        <w:t xml:space="preserve">Three links carry the chain. Under the credible-commitment interpretation, SSR participation should translate into a measurable change in observable mitigation behavior, and each of the three links must hold for the chain to support that reading.</w:t>
      </w:r>
    </w:p>
    <w:p>
      <w:pPr>
        <w:pStyle w:val="BodyText"/>
        <w:spacing w:line="480" w:lineRule="auto"/>
        <w:ind w:firstLine="720"/>
      </w:pPr>
      <w:r>
        <w:t xml:space="preserve">Anticipatory adjustment is the first link. An operator that means to obtain a non-trivial SSR tier must, before issuance, adjust internal operating procedures so that the data submissions reflect rated practices. That can mean tightening end-of-life disposal targets, raising maneuver responsiveness to a broader screening window, expanding data sharing, and adopting design choices the rating rewards [4, 10, 11, 17, 22, 29]. Anticipatory adjustment is the first observable trace of the mechanism. It implies that some of the behavioral shift will surface in the months immediately preceding rating issuance, and the empirical design has to accommodate that through careful specification of the treatment window.</w:t>
      </w:r>
    </w:p>
    <w:p>
      <w:pPr>
        <w:pStyle w:val="BodyText"/>
        <w:spacing w:line="480" w:lineRule="auto"/>
        <w:ind w:firstLine="720"/>
      </w:pPr>
      <w:r>
        <w:t xml:space="preserve">Persistence after issuance is the second link. The credible-commitment interpretation requires the adjustment to persist after issuance, because a rating that lapses once obtained is not a credible commitment to future conduct. Persistence is what distinguishes the credible-commitment interpretation from a pure certification interpretation, in which the operator passes a one-time threshold and then reverts to prior practice. It is also what distinguishes the credible-commitment interpretation from a pre-trend interpretation, in which the operator was already on an improving trajectory and the rating is incidental to it. Identifying persistence separately from prior trend is the job of the matched difference-in-differences design with explicit pre-trend testing.</w:t>
      </w:r>
    </w:p>
    <w:p>
      <w:pPr>
        <w:pStyle w:val="BodyText"/>
        <w:spacing w:line="480" w:lineRule="auto"/>
        <w:ind w:firstLine="720"/>
      </w:pPr>
      <w:r>
        <w:t xml:space="preserve">Counterparty response is the third link. The credible-commitment interpretation requires not only that the operator’s behavior change but also that counterparties treat the rating as informative about type. Let counterparties not treat it as informative, and the operator’s incentive to maintain the rated practices weakens over the relevant horizon, undermining the persistence link. Counterparty response is therefore not an auxiliary prediction. It is constitutive of the mechanism. The qualitative component tests for this link directly, examining whether regulators fold the rating into license conditions, whether insurers fold it into underwriting language, and whether launch providers fold it into rideshare terms [3, 7, 9, 16, 28, 35]. Integrating the quantitative and qualitative components through a joint inference rule is what lets the chain of three links be tested in a single design rather than in two unrelated analyses.</w:t>
      </w:r>
    </w:p>
    <w:p>
      <w:pPr>
        <w:pStyle w:val="BodyText"/>
        <w:spacing w:line="480" w:lineRule="auto"/>
        <w:ind w:firstLine="720"/>
      </w:pPr>
      <w:r>
        <w:t xml:space="preserve">Stated compactly, the mechanism is this: SSR participation produces a behavioral shift before issuance, sustains that shift after issuance, and is recognized as informative by counterparties whose response in turn anchors the operator’s incentive to sustain the shift. Each link is observable. The absence of any one is sufficient to falsify the credible-commitment interpretation, though the absence of the third is the most diagnostic, since it implies the mechanism cannot sustain itself even when the first two are present.</w:t>
      </w:r>
    </w:p>
    <w:bookmarkEnd w:id="87"/>
    <w:bookmarkStart w:id="88" w:name="formal-hypotheses"/>
    <w:p>
      <w:pPr>
        <w:pStyle w:val="Heading2"/>
        <w:spacing w:line="480" w:lineRule="auto"/>
      </w:pPr>
      <w:r>
        <w:t xml:space="preserve">3.5 Formal Hypotheses</w:t>
      </w:r>
    </w:p>
    <w:p>
      <w:pPr>
        <w:pStyle w:val="FirstParagraph"/>
        <w:spacing w:line="480" w:lineRule="auto"/>
      </w:pPr>
      <w:r>
        <w:t xml:space="preserve">The hypotheses are stated at the level of the behavioral panel, with the qualitative component providing a separate but co-equal test of the third link. The behavioral outcomes are specified in detail in Chapter 4 and are previewed here only as far as the formal statement requires.</w:t>
      </w:r>
    </w:p>
    <w:p>
      <w:pPr>
        <w:pStyle w:val="BodyText"/>
        <w:spacing w:line="480" w:lineRule="auto"/>
        <w:ind w:firstLine="720"/>
      </w:pPr>
      <w:r>
        <w:t xml:space="preserve">Let the unit of analysis be the operator-month. Let treatment status be defined as the first SSR issuance for a given operator, with the treatment window beginning in the month of issuance. Let the two behavioral outcomes be (a) post-mission disposal compliance, coded from publicly observable end-of-life events and orbital decay records</w:t>
      </w:r>
      <w:r>
        <w:t xml:space="preserve"> </w:t>
      </w:r>
      <w:hyperlink w:anchor="ref-19">
        <w:r>
          <w:rPr>
            <w:rStyle w:val="Hyperlink"/>
          </w:rPr>
          <w:t xml:space="preserve">[19]</w:t>
        </w:r>
      </w:hyperlink>
      <w:r>
        <w:t xml:space="preserve">, and (b) collision avoidance maneuver responsiveness, measured as the share of high-probability conjunctions for which a maneuver is publicly observable within the standard screening window [5, 6, 14, 19, 24]. Let the control group be built by coarsened exact matching on pre-treatment operator size, orbital regime, and prior compliance history.</w:t>
      </w:r>
    </w:p>
    <w:p>
      <w:pPr>
        <w:pStyle w:val="BodyText"/>
        <w:spacing w:line="480" w:lineRule="auto"/>
        <w:ind w:firstLine="720"/>
      </w:pPr>
      <w:r>
        <w:rPr>
          <w:b/>
          <w:bCs/>
        </w:rPr>
        <w:t xml:space="preserve">H0 (null).</w:t>
      </w:r>
      <w:r>
        <w:t xml:space="preserve"> </w:t>
      </w:r>
      <w:r>
        <w:t xml:space="preserve">Operators that obtain an SSR exhibit no change in either of the two behavioral outcomes, measured at the operator-month level, relative to matched non-participating operators over the twenty-four months following rating issuance, after operator and time fixed effects, with pre-trends statistically indistinguishable from zero.</w:t>
      </w:r>
    </w:p>
    <w:p>
      <w:pPr>
        <w:pStyle w:val="BodyText"/>
        <w:spacing w:line="480" w:lineRule="auto"/>
        <w:ind w:firstLine="720"/>
      </w:pPr>
      <w:r>
        <w:rPr>
          <w:b/>
          <w:bCs/>
        </w:rPr>
        <w:t xml:space="preserve">H1 (alternative).</w:t>
      </w:r>
      <w:r>
        <w:t xml:space="preserve"> </w:t>
      </w:r>
      <w:r>
        <w:t xml:space="preserve">Operators that obtain an SSR exhibit a statistically and economically meaningful improvement in at least one of the two behavioral outcomes, measured at the operator-month level, relative to matched non-participating operators over the twenty-four months following rating issuance, after operator and time fixed effects, conditional on pre-trends statistically indistinguishable from zero.</w:t>
      </w:r>
    </w:p>
    <w:p>
      <w:pPr>
        <w:pStyle w:val="BodyText"/>
        <w:spacing w:line="480" w:lineRule="auto"/>
        <w:ind w:firstLine="720"/>
      </w:pPr>
      <w:r>
        <w:t xml:space="preserve">Why H1 is specified asymmetrically across the two outcomes reflects an analytic position: the credible-commitment interpretation is supported by a behavioral effect on either outcome, because the two outcomes load on different sub-indices of the composite rating and an operator’s marginal adjustment may concentrate on one rather than both [4, 11, 17, 29]. A pre-specified family-wise correction is applied to the two-outcome test, and the threshold for economic meaningfulness is set with reference to the baseline cross-operator variation in each outcome rather than to an abstract effect-size convention. Detailed specification of that threshold and of the heterogeneous-treatment-effect robustness checks is deferred to Chapter 4.</w:t>
      </w:r>
    </w:p>
    <w:p>
      <w:pPr>
        <w:pStyle w:val="BodyText"/>
        <w:spacing w:line="480" w:lineRule="auto"/>
        <w:ind w:firstLine="720"/>
      </w:pPr>
      <w:r>
        <w:t xml:space="preserve">The joint inference rule for the credible-commitment interpretation runs as follows. The interpretation is supported if and only if (i) H0 is rejected in favor of H1 in the quantitative analysis under the pre-registered specification, and (ii) the qualitative analysis identifies operative incorporation of the rating, beyond merely rhetorical incorporation, in at least one of the three counterparty classes, namely regulators, insurers, and launch providers. Failure of either condition is sufficient to withhold the credible-commitment interpretation. Failure of (i) alone is consistent with a reputational-artifact interpretation in which the rating is talked about but does not modify behavior. Failure of (ii) alone is consistent with a self-disciplining interpretation in which operators internalize the rating’s normative pull without counterparty pressure, an interpretation that is theoretically interesting yet distinct from credible commitment in the signaling sense developed in Section 3.3. Gamification and normative-pull accounts of debris-mitigation participation describe exactly that self-disciplining channel, in which operators internalize a sustainability norm without direct counterparty enforcement</w:t>
      </w:r>
      <w:r>
        <w:t xml:space="preserve"> </w:t>
      </w:r>
      <w:hyperlink w:anchor="ref-34">
        <w:r>
          <w:rPr>
            <w:rStyle w:val="Hyperlink"/>
          </w:rPr>
          <w:t xml:space="preserve">[34]</w:t>
        </w:r>
      </w:hyperlink>
      <w:r>
        <w:t xml:space="preserve">. The transdisciplinary sustainability literature makes a parallel case that mitigation conduct can be driven by internalized values as much as by external pressure</w:t>
      </w:r>
      <w:r>
        <w:t xml:space="preserve"> </w:t>
      </w:r>
      <w:hyperlink w:anchor="ref-33">
        <w:r>
          <w:rPr>
            <w:rStyle w:val="Hyperlink"/>
          </w:rPr>
          <w:t xml:space="preserve">[33]</w:t>
        </w:r>
      </w:hyperlink>
      <w:r>
        <w:t xml:space="preserve">.</w:t>
      </w:r>
    </w:p>
    <w:bookmarkEnd w:id="88"/>
    <w:bookmarkStart w:id="89" w:name="X540483abbbc059cbcfcf484dd8e6c06b1f68d28"/>
    <w:p>
      <w:pPr>
        <w:pStyle w:val="Heading2"/>
        <w:spacing w:line="480" w:lineRule="auto"/>
      </w:pPr>
      <w:r>
        <w:t xml:space="preserve">3.6 Auxiliary Conditions and Alternative Explanations</w:t>
      </w:r>
    </w:p>
    <w:p>
      <w:pPr>
        <w:pStyle w:val="FirstParagraph"/>
        <w:spacing w:line="480" w:lineRule="auto"/>
      </w:pPr>
      <w:r>
        <w:t xml:space="preserve">Several auxiliary conditions have to hold for the credible-commitment interpretation, and the design has to be capable of separating that interpretation from a set of plausible alternatives. Four alternatives are taken seriously here.</w:t>
      </w:r>
    </w:p>
    <w:p>
      <w:pPr>
        <w:pStyle w:val="BodyText"/>
        <w:spacing w:line="480" w:lineRule="auto"/>
        <w:ind w:firstLine="720"/>
      </w:pPr>
      <w:r>
        <w:t xml:space="preserve">Selection on unobservables is the first. Operators that seek an SSR may already be on an improving trajectory for reasons unrelated to the rating, and the apparent post-issuance effect may simply reflect the continuation of that trajectory. The matched difference-in-differences design with explicit pre-trend testing is the principal defense, since the pre-trend test examines directly whether the treated and control groups were on parallel trajectories before issuance. The qualitative component provides an independent triangulation: if counterparties do not invoke the rating as informative, the behavioral shift cannot be attributed to the rating even where the pre-trend test passes.</w:t>
      </w:r>
    </w:p>
    <w:p>
      <w:pPr>
        <w:pStyle w:val="BodyText"/>
        <w:spacing w:line="480" w:lineRule="auto"/>
        <w:ind w:firstLine="720"/>
      </w:pPr>
      <w:r>
        <w:t xml:space="preserve">Contemporaneous regulatory change is the second. The orbital debris regime is in a period of active rulemaking at the national level [20, 25], and prior compliance studies document that operator behavior may shift in response to regulatory signals rather than to the rating</w:t>
      </w:r>
      <w:r>
        <w:t xml:space="preserve"> </w:t>
      </w:r>
      <w:hyperlink w:anchor="ref-23">
        <w:r>
          <w:rPr>
            <w:rStyle w:val="Hyperlink"/>
          </w:rPr>
          <w:t xml:space="preserve">[23]</w:t>
        </w:r>
      </w:hyperlink>
      <w:r>
        <w:t xml:space="preserve">. Operator and time fixed effects absorb the common component of any contemporaneous regulatory shock, and the staggered nature of SSR issuance across operators supplies additional identifying variation. The qualitative analysis further lets the regulatory invocation of the rating itself be distinguished from the operation of regulatory pressure independent of the rating.</w:t>
      </w:r>
    </w:p>
    <w:p>
      <w:pPr>
        <w:pStyle w:val="BodyText"/>
        <w:spacing w:line="480" w:lineRule="auto"/>
        <w:ind w:firstLine="720"/>
      </w:pPr>
      <w:r>
        <w:t xml:space="preserve">Third comes the measurement-driven artifact. The conjunction-screening environment improves across the panel as catalog sensitivity rises [5, 6, 14], and an apparent improvement in maneuver responsiveness may reflect improved detection of maneuvers rather than improved responsiveness. Time fixed effects absorb the common component of that sensitivity improvement, and the use of two distinct outcomes whose measurement flows through different observation pipelines, end-of-life decay records and conjunction screening, provides cross-outcome triangulation. A finding that loads exclusively on the more measurement-sensitive outcome would be discounted against one that loads on both.</w:t>
      </w:r>
    </w:p>
    <w:p>
      <w:pPr>
        <w:pStyle w:val="BodyText"/>
        <w:spacing w:line="480" w:lineRule="auto"/>
        <w:ind w:firstLine="720"/>
      </w:pPr>
      <w:r>
        <w:t xml:space="preserve">Rating-methodology drift is the fourth. The SSR scoring methodology has evolved across issuance cohorts [4, 7, 10, 29], and analyses of debris-environment metrics show that the choice of sustainability indicator materially shapes which behaviors are rewarded</w:t>
      </w:r>
      <w:r>
        <w:t xml:space="preserve"> </w:t>
      </w:r>
      <w:hyperlink w:anchor="ref-11">
        <w:r>
          <w:rPr>
            <w:rStyle w:val="Hyperlink"/>
          </w:rPr>
          <w:t xml:space="preserve">[11]</w:t>
        </w:r>
      </w:hyperlink>
      <w:r>
        <w:t xml:space="preserve">. A measured effect may therefore reflect changes in what the rating rewards rather than changes in what operators do. Issuance-cohort fixed effects absorb this component, and the qualitative analysis examines whether counterparties’ use of the rating tracks the methodology revisions closely enough to suggest the operative meaning of the rating has shifted.</w:t>
      </w:r>
    </w:p>
    <w:p>
      <w:pPr>
        <w:pStyle w:val="BodyText"/>
        <w:spacing w:line="480" w:lineRule="auto"/>
        <w:ind w:firstLine="720"/>
      </w:pPr>
      <w:r>
        <w:t xml:space="preserve">A residual concern remains. The population of SSR participants is small and self-selected, and the qualitative corpus of regulator, insurer, and launch-provider communications is similarly thin in the early years of the rating’s operation. This concern is mitigated rather than resolved. On the quantitative side, the design accommodates the small treated sample through recent advances in staggered-adoption estimators and through explicit attention to inference under small clusters. On the qualitative side, it accommodates corpus thinness by adopting the structured discourse method of Yap and colleagues, shown to extract analytically informative structure from comparable corpora in the debris regime [3, 35]. The dissertation is therefore positioned as a first credible test of the credible-commitment interpretation rather than as a final adjudication, and the falsifiable contribution is correspondingly bounded to the conditions stated above.</w:t>
      </w:r>
    </w:p>
    <w:p>
      <w:pPr>
        <w:pStyle w:val="BodyText"/>
        <w:spacing w:line="480" w:lineRule="auto"/>
        <w:ind w:firstLine="720"/>
      </w:pPr>
      <w:r>
        <w:t xml:space="preserve">The theoretical framework developed in this chapter, the formal hypotheses stated in Section 3.5, and the auxiliary conditions stated in this section together fix the empirical target of the dissertation. Chapter 4 operationalizes the framework, specifying the construction of the operator-month panel, the matching procedure, the estimator and its robustness alternatives, the construction of the qualitative corpus and the discourse-analytic coding, and the pre-registered joint inference rule under which H0 is tested against H1.</w:t>
      </w:r>
    </w:p>
    <w:bookmarkEnd w:id="89"/>
    <w:bookmarkEnd w:id="90"/>
    <w:bookmarkStart w:id="98" w:name="chapter-4.-data-and-measurement"/>
    <w:p>
      <w:pPr>
        <w:pStyle w:val="Heading1"/>
        <w:spacing w:line="480" w:lineRule="auto"/>
      </w:pPr>
      <w:r>
        <w:t xml:space="preserve">Chapter 4. Data and Measurement</w:t>
      </w:r>
    </w:p>
    <w:bookmarkStart w:id="91" w:name="overview"/>
    <w:p>
      <w:pPr>
        <w:pStyle w:val="Heading2"/>
        <w:spacing w:line="480" w:lineRule="auto"/>
      </w:pPr>
      <w:r>
        <w:t xml:space="preserve">4.1 Overview</w:t>
      </w:r>
    </w:p>
    <w:p>
      <w:pPr>
        <w:pStyle w:val="FirstParagraph"/>
        <w:spacing w:line="480" w:lineRule="auto"/>
      </w:pPr>
      <w:r>
        <w:t xml:space="preserve">What follows lays out the raw materials underlying the dissertation’s two component papers and traces how each analytic variable is derived from primary records. Both papers look at the same substantive object, how commercial satellite operators behave and disclose in the era of the Space Sustainability Rating (SSR), yet they part ways on unit of analysis, on observation window, and on how the outcome is coded. Paper 1, a Cox proportional-hazards analysis of post-mission disposal timing, works at the level of the individual mission and reads the span from launch to terminal disposal as a right-censored duration. Paper 2, a logistic analysis of public sustainability commitment, works at the level of the operator and reads the publishing of a documented commitment as a binary outcome. A third empirical extension, held over for Chapter 6, will move to the operator-month within a staggered difference-in-differences design. Here I confine myself to the two finished datasets and to the coding decisions that tie them to authoritative public records.</w:t>
      </w:r>
    </w:p>
    <w:p>
      <w:pPr>
        <w:pStyle w:val="BodyText"/>
        <w:spacing w:line="480" w:lineRule="auto"/>
        <w:ind w:firstLine="720"/>
      </w:pPr>
      <w:r>
        <w:t xml:space="preserve">Each dataset is presented the same way: start from the source registry the analytic frame is pulled from, list the documentary records checked for each row, then work each analytic variable out from those records. Two conventions run throughout. To begin, every row carries a</w:t>
      </w:r>
      <w:r>
        <w:t xml:space="preserve"> </w:t>
      </w:r>
      <w:r>
        <w:rPr>
          <w:rStyle w:val="VerbatimChar"/>
        </w:rPr>
        <w:t xml:space="preserve">source</w:t>
      </w:r>
      <w:r>
        <w:t xml:space="preserve"> </w:t>
      </w:r>
      <w:r>
        <w:t xml:space="preserve">field in its spreadsheet naming the exact filing, registry entry, environmental report, or decay log its values sit on, and a handful of rows wear an</w:t>
      </w:r>
      <w:r>
        <w:t xml:space="preserve"> </w:t>
      </w:r>
      <w:r>
        <w:rPr>
          <w:rStyle w:val="VerbatimChar"/>
        </w:rPr>
        <w:t xml:space="preserve">[illustrative]</w:t>
      </w:r>
      <w:r>
        <w:t xml:space="preserve"> </w:t>
      </w:r>
      <w:r>
        <w:t xml:space="preserve">flag where the record yields a qualitative reading without a precise numeric milestone. That practice mirrors the disclosure standard the SSR design team set in documenting its own composite indicator</w:t>
      </w:r>
      <w:r>
        <w:t xml:space="preserve"> </w:t>
      </w:r>
      <w:hyperlink w:anchor="ref-4">
        <w:r>
          <w:rPr>
            <w:rStyle w:val="Hyperlink"/>
          </w:rPr>
          <w:t xml:space="preserve">[4]</w:t>
        </w:r>
      </w:hyperlink>
      <w:r>
        <w:t xml:space="preserve">. And no value in either dataset is filled in from model output or from a secondary aggregator without a note saying so; where a value comes from a derived field of an authoritative source, its derivation chain lands in the source field too.</w:t>
      </w:r>
    </w:p>
    <w:bookmarkEnd w:id="91"/>
    <w:bookmarkStart w:id="92" w:name="authoritative-sources"/>
    <w:p>
      <w:pPr>
        <w:pStyle w:val="Heading2"/>
        <w:spacing w:line="480" w:lineRule="auto"/>
      </w:pPr>
      <w:r>
        <w:t xml:space="preserve">4.2 Authoritative Sources</w:t>
      </w:r>
    </w:p>
    <w:p>
      <w:pPr>
        <w:pStyle w:val="FirstParagraph"/>
        <w:spacing w:line="480" w:lineRule="auto"/>
      </w:pPr>
      <w:r>
        <w:t xml:space="preserve">Five families of primary record underwrite the two datasets, with a sixth held aside as a discursive backstop for the qualitative integration sketched in Chapter 5.</w:t>
      </w:r>
    </w:p>
    <w:p>
      <w:pPr>
        <w:pStyle w:val="BodyText"/>
        <w:spacing w:line="480" w:lineRule="auto"/>
        <w:ind w:firstLine="720"/>
      </w:pPr>
      <w:r>
        <w:t xml:space="preserve">Start with the SSR public record. Kept by the Space Sustainability Rating organization at spacesustainabilityrating.org, the rated-missions registry is the definitive roster of operators and missions that have finished an SSR evaluation, and Paper 1 codes its binary engagement indicator from it while Paper 2 codes its operational-signal covariate for rated cases from the same place [4, 7]. Alongside the registry sits the SSR design team’s published account of the indicator, which names the five scoring dimensions (mission index, collision avoidance, data sharing, design and operations, and external services) and shows how they roll up into a tiered letter rating [1, 4]. That design paper anchors the claim that a rating is an act of submitting to an externally run evaluation rather than a self-reported stance; both papers lean on it in reading the engagement indicator as costly disclosure rather than cheap talk.</w:t>
      </w:r>
    </w:p>
    <w:p>
      <w:pPr>
        <w:pStyle w:val="BodyText"/>
        <w:spacing w:line="480" w:lineRule="auto"/>
        <w:ind w:firstLine="720"/>
      </w:pPr>
      <w:r>
        <w:t xml:space="preserve">Next is the ESA Space Debris Office record. Issued in successive editions by the European Space Operations Centre, the ESA Annual Space Environment Report gives the definitive population-level statistics on the LEO and GEO debris environment and the roster of large commercial operators Paper 2’s frame is benchmarked against [5, 8]. Its companion, the ESA Space Debris Mitigation Compliance Verification Report (SDMCVR) series, gives the definitive binary post-mission disposal indicator Paper 1 uses, since the SDMCVR is the sole public record that systematically squares operator-claimed disposal status against observed orbital outcomes for the missions it covers. Where the SDMCVR names a disposal event by date, that date fills the analytic duration field; where it flags a non-compliant residual, the row lands in the frame right-censored at the report’s closing window.</w:t>
      </w:r>
    </w:p>
    <w:p>
      <w:pPr>
        <w:pStyle w:val="BodyText"/>
        <w:spacing w:line="480" w:lineRule="auto"/>
        <w:ind w:firstLine="720"/>
      </w:pPr>
      <w:r>
        <w:t xml:space="preserve">Third is the United States Federal Communications Commission record, reached through the International Bureau Filing System (IBFS). For non-geostationary orbit (NGSO) systems, FCC IBFS filings hand over operator identifiers, fleet-size declarations, and post-mission disposal plans keyed to the 2022 five-year PMD rule. Paper 2 turns to the IBFS record to confirm that a published PMD plan exists and is specific for each operator in the frame, and it grounds the</w:t>
      </w:r>
      <w:r>
        <w:t xml:space="preserve"> </w:t>
      </w:r>
      <w:r>
        <w:rPr>
          <w:rStyle w:val="VerbatimChar"/>
        </w:rPr>
        <w:t xml:space="preserve">ssr_or_pmd_signal</w:t>
      </w:r>
      <w:r>
        <w:t xml:space="preserve"> </w:t>
      </w:r>
      <w:r>
        <w:t xml:space="preserve">covariate there whenever the operator’s signal shows up as an FCC-filed plan rather than an SSR application. That record also feeds the fleet-size variable behind</w:t>
      </w:r>
      <w:r>
        <w:t xml:space="preserve"> </w:t>
      </w:r>
      <w:r>
        <w:rPr>
          <w:rStyle w:val="VerbatimChar"/>
        </w:rPr>
        <w:t xml:space="preserve">log_satellites</w:t>
      </w:r>
      <w:r>
        <w:t xml:space="preserve"> </w:t>
      </w:r>
      <w:r>
        <w:t xml:space="preserve">in Paper 2 wherever the operator’s own press materials clash with the IBFS-filed declaration; in those clashes the IBFS-filed figure wins, because it carries a regulatory consequence.</w:t>
      </w:r>
    </w:p>
    <w:p>
      <w:pPr>
        <w:pStyle w:val="BodyText"/>
        <w:spacing w:line="480" w:lineRule="auto"/>
        <w:ind w:firstLine="720"/>
      </w:pPr>
      <w:r>
        <w:t xml:space="preserve">Fourth is the operator-disclosed record: press kits, mission descriptions, corporate sustainability reports, and explicit operator statements on debris mitigation. Press kits feed nominal operational altitude and launch mass in Paper 1, each figure checked against the launch-vehicle provider’s published payload manifest for the mission at hand. Sustainability reports feed the</w:t>
      </w:r>
      <w:r>
        <w:t xml:space="preserve"> </w:t>
      </w:r>
      <w:r>
        <w:rPr>
          <w:rStyle w:val="VerbatimChar"/>
        </w:rPr>
        <w:t xml:space="preserve">publicly_committed</w:t>
      </w:r>
      <w:r>
        <w:t xml:space="preserve"> </w:t>
      </w:r>
      <w:r>
        <w:t xml:space="preserve">outcome in Paper 2 wherever the commitment arrives as a sustainability report carrying explicit debris-mitigation language rather than an SSR rating or an FCC PMD plan. A stated double-check rule fences in how far operator-disclosed records go. Should an operator press kit report an altitude or mass that the launch-vehicle manifest or the post-launch two-line element set contradicts, the clash is flagged and the figure from the most authoritative independent source stands.</w:t>
      </w:r>
    </w:p>
    <w:p>
      <w:pPr>
        <w:pStyle w:val="BodyText"/>
        <w:spacing w:line="480" w:lineRule="auto"/>
        <w:ind w:firstLine="720"/>
      </w:pPr>
      <w:r>
        <w:t xml:space="preserve">Fifth is the open orbital-decay record. Celestrak decay logs hand over observed decay dates for missions whose terminal event is atmospheric reentry, and they feed the duration field in Paper 1 wherever the disposal event is a passive decay rather than a controlled deorbit. Those same logs also build the right-censoring boundaries for missions whose latest two-line element set is on file yet whose decay or controlled-disposal event has not yet been seen. In select cases the decay log gains support from the LeoLabs catalog of statistically most-concerning conjunctions, which supplies operator-resolved conjunction events and appears in the open AMOS literature</w:t>
      </w:r>
      <w:r>
        <w:t xml:space="preserve"> </w:t>
      </w:r>
      <w:hyperlink w:anchor="ref-5">
        <w:r>
          <w:rPr>
            <w:rStyle w:val="Hyperlink"/>
          </w:rPr>
          <w:t xml:space="preserve">[5]</w:t>
        </w:r>
      </w:hyperlink>
      <w:r>
        <w:t xml:space="preserve">. LeoLabs data serve as no direct outcome source in the present two papers, yet they stay in the analytic infrastructure, because the projected Chapter 6 extension builds a collision-avoidance maneuver responsiveness outcome from the LeoLabs record together with the CNES rapid-tracking and cataloguing outputs found in the AMOS literature</w:t>
      </w:r>
      <w:r>
        <w:t xml:space="preserve"> </w:t>
      </w:r>
      <w:hyperlink w:anchor="ref-6">
        <w:r>
          <w:rPr>
            <w:rStyle w:val="Hyperlink"/>
          </w:rPr>
          <w:t xml:space="preserve">[6]</w:t>
        </w:r>
      </w:hyperlink>
      <w:r>
        <w:t xml:space="preserve">.</w:t>
      </w:r>
    </w:p>
    <w:p>
      <w:pPr>
        <w:pStyle w:val="BodyText"/>
        <w:spacing w:line="480" w:lineRule="auto"/>
        <w:ind w:firstLine="720"/>
      </w:pPr>
      <w:r>
        <w:t xml:space="preserve">Sixth is the discursive corpus the integrative chapter will lean on: operator license filings, insurer underwriting guidance, and launch-provider rideshare terms, rounded out by the discourse-network corpus Yap and colleagues describe</w:t>
      </w:r>
      <w:r>
        <w:t xml:space="preserve"> </w:t>
      </w:r>
      <w:hyperlink w:anchor="ref-3">
        <w:r>
          <w:rPr>
            <w:rStyle w:val="Hyperlink"/>
          </w:rPr>
          <w:t xml:space="preserve">[3]</w:t>
        </w:r>
      </w:hyperlink>
      <w:r>
        <w:t xml:space="preserve">. None of it enters the two finished datasets, yet it colors how the operational-signal covariate in Paper 2 is read. That discursive record shows counterparties treating the act of obtaining an SSR rating or filing a five-year PMD plan as informative about type, which is what licenses reading the operational-signal coefficient in credible-commitment terms [3, 7].</w:t>
      </w:r>
    </w:p>
    <w:bookmarkEnd w:id="92"/>
    <w:bookmarkStart w:id="93" w:name="unit-of-analysis"/>
    <w:p>
      <w:pPr>
        <w:pStyle w:val="Heading2"/>
        <w:spacing w:line="480" w:lineRule="auto"/>
      </w:pPr>
      <w:r>
        <w:t xml:space="preserve">4.3 Unit of Analysis</w:t>
      </w:r>
    </w:p>
    <w:p>
      <w:pPr>
        <w:pStyle w:val="FirstParagraph"/>
        <w:spacing w:line="480" w:lineRule="auto"/>
      </w:pPr>
      <w:r>
        <w:t xml:space="preserve">Paper 1 works at the level of the individual mission. A mission here means one launched spacecraft bearing a unique operator-assigned identifier and one primary mission objective. Constellation missions split into separate rows wherever the constellation operator’s filings tell individual spacecraft apart; wherever those filings handle a constellation as one unit for disposal-planning purposes, the frame honors that convention and books the constellation as a single row, logging the constellation-level disposal plan as the mission’s terminal event class. Why the mission unit fits Paper 1: the proportional-hazards specification gauges the instantaneous probability of disposal for one spacecraft at one point in its operational history, and the covariates of theoretical interest (nominal operational altitude, launch mass) live at the mission level rather than the operator level [3, 5].</w:t>
      </w:r>
    </w:p>
    <w:p>
      <w:pPr>
        <w:pStyle w:val="BodyText"/>
        <w:spacing w:line="480" w:lineRule="auto"/>
        <w:ind w:firstLine="720"/>
      </w:pPr>
      <w:r>
        <w:t xml:space="preserve">Paper 2 works at the level of the operator. An operator here means the legal entity holding licensing authority over a system of one or more spacecraft, shown by its FCC license, its national-licensing-authority equivalent, or its ESA-listed operator identity [5, 8]. Wherever a parent corporation runs several subsidiaries under distinct licensing identities, each subsidiary books as a separate operator; wherever one licensing identity runs several systems, the operator books once and its</w:t>
      </w:r>
      <w:r>
        <w:t xml:space="preserve"> </w:t>
      </w:r>
      <w:r>
        <w:rPr>
          <w:rStyle w:val="VerbatimChar"/>
        </w:rPr>
        <w:t xml:space="preserve">log_satellites</w:t>
      </w:r>
      <w:r>
        <w:t xml:space="preserve"> </w:t>
      </w:r>
      <w:r>
        <w:t xml:space="preserve">value sums the declared fleet sizes across those systems. Why the operator unit fits Paper 2: the outcome is a discrete corporate disclosure act that a single legal entity has or has not performed, and the covariates of theoretical interest (fleet exposure to the LEO commons, prior operational signal) live at the operator level rather than the mission level [4, 7].</w:t>
      </w:r>
    </w:p>
    <w:bookmarkEnd w:id="93"/>
    <w:bookmarkStart w:id="94" w:name="variables-in-paper-1"/>
    <w:p>
      <w:pPr>
        <w:pStyle w:val="Heading2"/>
        <w:spacing w:line="480" w:lineRule="auto"/>
      </w:pPr>
      <w:r>
        <w:t xml:space="preserve">4.4 Variables in Paper 1</w:t>
      </w:r>
    </w:p>
    <w:p>
      <w:pPr>
        <w:pStyle w:val="FirstParagraph"/>
        <w:spacing w:line="480" w:lineRule="auto"/>
      </w:pPr>
      <w:r>
        <w:t xml:space="preserve">Paper 1’s frame holds thirty-two missions launched between 1997 and 2024 across the low-Earth-orbit regime, with one geostationary signaling case kept as a documented contrast. Eighteen of the thirty-two had finished an observable disposal event by the close of the 2025 observation period, and fourteen are right-censored. Two right-censored entries plus the lone GEO signaling case wear the</w:t>
      </w:r>
      <w:r>
        <w:t xml:space="preserve"> </w:t>
      </w:r>
      <w:r>
        <w:rPr>
          <w:rStyle w:val="VerbatimChar"/>
        </w:rPr>
        <w:t xml:space="preserve">[illustrative]</w:t>
      </w:r>
      <w:r>
        <w:t xml:space="preserve"> </w:t>
      </w:r>
      <w:r>
        <w:t xml:space="preserve">flag, because the record yields the relevant qualitative reading without a precise numeric milestone inside the closing window.</w:t>
      </w:r>
    </w:p>
    <w:p>
      <w:pPr>
        <w:pStyle w:val="BodyText"/>
        <w:spacing w:line="480" w:lineRule="auto"/>
        <w:ind w:firstLine="720"/>
      </w:pPr>
      <w:r>
        <w:t xml:space="preserve">Duration is the span, in months, from a mission’s launch date to its observable disposal event, where a disposal event means either a controlled deorbit seen in the SDMCVR series or an atmospheric reentry seen in the Celestrak decay log</w:t>
      </w:r>
      <w:r>
        <w:t xml:space="preserve"> </w:t>
      </w:r>
      <w:hyperlink w:anchor="ref-5">
        <w:r>
          <w:rPr>
            <w:rStyle w:val="Hyperlink"/>
          </w:rPr>
          <w:t xml:space="preserve">[5]</w:t>
        </w:r>
      </w:hyperlink>
      <w:r>
        <w:t xml:space="preserve">. Where neither shows up by the closing window, duration is booked as the span from launch to that window and the row is flagged right-censored. Launch dates come off the operator’s press kit and are squared against the launch-vehicle provider’s manifest. Disposal dates come off the SDMCVR where it has them and off the Celestrak decay log otherwise; in the four missions both records cover, the SDMCVR date wins and the Celestrak date stays in the source field for reproducibility.</w:t>
      </w:r>
    </w:p>
    <w:p>
      <w:pPr>
        <w:pStyle w:val="BodyText"/>
        <w:spacing w:line="480" w:lineRule="auto"/>
        <w:ind w:firstLine="720"/>
      </w:pPr>
      <w:r>
        <w:t xml:space="preserve">SSR engagement is a binary variable set to one when the mission’s operator appears in the SSR rated-missions registry as having finished an SSR evaluation before the mission’s terminal event, and zero otherwise</w:t>
      </w:r>
      <w:r>
        <w:t xml:space="preserve"> </w:t>
      </w:r>
      <w:hyperlink w:anchor="ref-4">
        <w:r>
          <w:rPr>
            <w:rStyle w:val="Hyperlink"/>
          </w:rPr>
          <w:t xml:space="preserve">[4]</w:t>
        </w:r>
      </w:hyperlink>
      <w:r>
        <w:t xml:space="preserve">. Timing is load-bearing here: an operator that earns a rating only after a mission has decayed does not count as engaged for that mission, since the credible-commitment theory the indicator is read through wants the rating live across the period the disposal hazard covers [4, 7]. Where the registry logs an operator engagement yet the mission has no separate rated-missions listing, the indicator goes to one only if the registry’s engagement scope plainly reaches the mission’s spacecraft class.</w:t>
      </w:r>
    </w:p>
    <w:p>
      <w:pPr>
        <w:pStyle w:val="BodyText"/>
        <w:spacing w:line="480" w:lineRule="auto"/>
        <w:ind w:firstLine="720"/>
      </w:pPr>
      <w:r>
        <w:t xml:space="preserve">Nominal operational altitude, booked in kilometers, comes off the operator’s press kit and the launch-vehicle manifest for the mission. Where the post-launch two-line element set shows a sustained altitude off the planned operational altitude by more than ten percent, the sustained TLE altitude wins and the gap goes into the source field. Launch mass, booked in kilograms, comes off the launch-vehicle provider’s published manifest for the mission, squared against the operator’s own declared mass in the press kit and the FCC IBFS filing where one exists. Where manifest and FCC declaration disagree, the FCC declaration wins, because it carries a regulatory consequence.</w:t>
      </w:r>
    </w:p>
    <w:p>
      <w:pPr>
        <w:pStyle w:val="BodyText"/>
        <w:spacing w:line="480" w:lineRule="auto"/>
        <w:ind w:firstLine="720"/>
      </w:pPr>
      <w:r>
        <w:t xml:space="preserve">The commercial-operator indicator is a binary variable set to one when the mission’s operator is a non-governmental commercial entity, marked by having no national space agency or military-service organizational owner in its identity, and zero otherwise. Classification tracks the operator-class taxonomy implicit in the ESA Annual Space Environment Report’s large-commercial-operator listing</w:t>
      </w:r>
      <w:r>
        <w:t xml:space="preserve"> </w:t>
      </w:r>
      <w:hyperlink w:anchor="ref-5">
        <w:r>
          <w:rPr>
            <w:rStyle w:val="Hyperlink"/>
          </w:rPr>
          <w:t xml:space="preserve">[5]</w:t>
        </w:r>
      </w:hyperlink>
      <w:r>
        <w:t xml:space="preserve">, stretched to non-Western operators via their licensing authority and their national-classification record in the matching national filing.</w:t>
      </w:r>
    </w:p>
    <w:p>
      <w:pPr>
        <w:pStyle w:val="BodyText"/>
        <w:spacing w:line="480" w:lineRule="auto"/>
        <w:ind w:firstLine="720"/>
      </w:pPr>
      <w:r>
        <w:t xml:space="preserve">Four covariates by design, and lean on purpose. Identification of the proportional-hazards model runs off the observable spread in duration conditional on the covariates, and at thirty-two missions the frame is too thin to bear a richer specification without burning through degrees of freedom</w:t>
      </w:r>
      <w:r>
        <w:t xml:space="preserve"> </w:t>
      </w:r>
      <w:hyperlink w:anchor="ref-3">
        <w:r>
          <w:rPr>
            <w:rStyle w:val="Hyperlink"/>
          </w:rPr>
          <w:t xml:space="preserve">[3]</w:t>
        </w:r>
      </w:hyperlink>
      <w:r>
        <w:t xml:space="preserve">. Leanness also pays a transparency debt: each covariate maps to one primary record in each row’s source field, and none is stitched together by aggregating across records or by model-based imputation.</w:t>
      </w:r>
    </w:p>
    <w:bookmarkEnd w:id="94"/>
    <w:bookmarkStart w:id="95" w:name="variables-in-paper-2"/>
    <w:p>
      <w:pPr>
        <w:pStyle w:val="Heading2"/>
        <w:spacing w:line="480" w:lineRule="auto"/>
      </w:pPr>
      <w:r>
        <w:t xml:space="preserve">4.5 Variables in Paper 2</w:t>
      </w:r>
    </w:p>
    <w:p>
      <w:pPr>
        <w:pStyle w:val="FirstParagraph"/>
        <w:spacing w:line="480" w:lineRule="auto"/>
      </w:pPr>
      <w:r>
        <w:t xml:space="preserve">Paper 2’s frame holds thirty-five commercial satellite operators with documented systems on orbit or under FCC review as of mid-2026. It is built by intersecting three operator listings: the SSR rated-missions registry</w:t>
      </w:r>
      <w:r>
        <w:t xml:space="preserve"> </w:t>
      </w:r>
      <w:hyperlink w:anchor="ref-4">
        <w:r>
          <w:rPr>
            <w:rStyle w:val="Hyperlink"/>
          </w:rPr>
          <w:t xml:space="preserve">[4]</w:t>
        </w:r>
      </w:hyperlink>
      <w:r>
        <w:t xml:space="preserve">, the ESA Annual Space Environment Report 2023 enumeration of large commercial operators</w:t>
      </w:r>
      <w:r>
        <w:t xml:space="preserve"> </w:t>
      </w:r>
      <w:hyperlink w:anchor="ref-5">
        <w:r>
          <w:rPr>
            <w:rStyle w:val="Hyperlink"/>
          </w:rPr>
          <w:t xml:space="preserve">[5]</w:t>
        </w:r>
      </w:hyperlink>
      <w:r>
        <w:t xml:space="preserve">, and the FCC IBFS roster of NGSO filings. Intersection runs at the operator-identity level off each listing’s primary identifier, and the merged frame keeps only operators that turn up in at least one of the three and that clear the commercial-status criterion set for Paper 1.</w:t>
      </w:r>
    </w:p>
    <w:p>
      <w:pPr>
        <w:pStyle w:val="BodyText"/>
        <w:spacing w:line="480" w:lineRule="auto"/>
        <w:ind w:firstLine="720"/>
      </w:pPr>
      <w:r>
        <w:rPr>
          <w:rStyle w:val="VerbatimChar"/>
        </w:rPr>
        <w:t xml:space="preserve">publicly_committed</w:t>
      </w:r>
      <w:r>
        <w:t xml:space="preserve">, the outcome, is a binary variable set to one when the operator clears any one of three documentary bars: it holds an SSR rating logged in the SSR rated-missions registry; it has published a corporate sustainability report or comparable disclosure carrying explicit debris-mitigation language that names a specific mitigation practice; or it has filed an FCC IBFS document carrying a documented five-year post-mission disposal plan that names specific spacecraft. Why the bar is disjunctive tracks the credible-commitment logic in the SSR design literature, under which what binds the commitment is its specificity and its public observability, not the venue it shows up in [4, 7]. Two rows wear the</w:t>
      </w:r>
      <w:r>
        <w:t xml:space="preserve"> </w:t>
      </w:r>
      <w:r>
        <w:rPr>
          <w:rStyle w:val="VerbatimChar"/>
        </w:rPr>
        <w:t xml:space="preserve">[illustrative]</w:t>
      </w:r>
      <w:r>
        <w:t xml:space="preserve"> </w:t>
      </w:r>
      <w:r>
        <w:t xml:space="preserve">flag where the negative reading rests only on a finding’s absence rather than a positive disconfirmation, keeping faith with the audit-trail convention in the SSR design team’s own documentation</w:t>
      </w:r>
      <w:r>
        <w:t xml:space="preserve"> </w:t>
      </w:r>
      <w:hyperlink w:anchor="ref-4">
        <w:r>
          <w:rPr>
            <w:rStyle w:val="Hyperlink"/>
          </w:rPr>
          <w:t xml:space="preserve">[4]</w:t>
        </w:r>
      </w:hyperlink>
      <w:r>
        <w:t xml:space="preserve">.</w:t>
      </w:r>
    </w:p>
    <w:p>
      <w:pPr>
        <w:pStyle w:val="BodyText"/>
        <w:spacing w:line="480" w:lineRule="auto"/>
        <w:ind w:firstLine="720"/>
      </w:pPr>
      <w:r>
        <w:rPr>
          <w:rStyle w:val="VerbatimChar"/>
        </w:rPr>
        <w:t xml:space="preserve">log_satellites</w:t>
      </w:r>
      <w:r>
        <w:t xml:space="preserve"> </w:t>
      </w:r>
      <w:r>
        <w:t xml:space="preserve">is the natural logarithm of the operator’s declared fleet size, where fleet size counts the spacecraft the operator is licensed operator of record for under its FCC IBFS filing or equivalent national filing as of the closing window. Logging is standard for count data at this scale, and it encodes the expectation that fleet size buys diminishing marginal pull on commitment incentives as the fleet grows. Where the FCC IBFS filing and the operator’s own published count disagree, the IBFS filing wins, for the reason given above.</w:t>
      </w:r>
    </w:p>
    <w:p>
      <w:pPr>
        <w:pStyle w:val="BodyText"/>
        <w:spacing w:line="480" w:lineRule="auto"/>
        <w:ind w:firstLine="720"/>
      </w:pPr>
      <w:r>
        <w:rPr>
          <w:rStyle w:val="VerbatimChar"/>
        </w:rPr>
        <w:t xml:space="preserve">leo_share</w:t>
      </w:r>
      <w:r>
        <w:t xml:space="preserve"> </w:t>
      </w:r>
      <w:r>
        <w:t xml:space="preserve">is the fraction of the operator’s declared fleet flying below two thousand kilometers, worked out from the per-spacecraft altitude declarations in its IBFS filing or equivalent. It captures how far the operator is exposed to the low-Earth-orbit commons, the regime where conjunction risk and reentry-mitigation burden pile up together [3, 5]. Operators flying entirely at GEO or MEO book</w:t>
      </w:r>
      <w:r>
        <w:t xml:space="preserve"> </w:t>
      </w:r>
      <w:r>
        <w:rPr>
          <w:rStyle w:val="VerbatimChar"/>
        </w:rPr>
        <w:t xml:space="preserve">leo_share</w:t>
      </w:r>
      <w:r>
        <w:t xml:space="preserve"> </w:t>
      </w:r>
      <w:r>
        <w:t xml:space="preserve">of zero; operators flying entirely below two thousand kilometers book one.</w:t>
      </w:r>
    </w:p>
    <w:p>
      <w:pPr>
        <w:pStyle w:val="BodyText"/>
        <w:spacing w:line="480" w:lineRule="auto"/>
        <w:ind w:firstLine="720"/>
      </w:pPr>
      <w:r>
        <w:rPr>
          <w:rStyle w:val="VerbatimChar"/>
        </w:rPr>
        <w:t xml:space="preserve">ssr_or_pmd_signal</w:t>
      </w:r>
      <w:r>
        <w:t xml:space="preserve"> </w:t>
      </w:r>
      <w:r>
        <w:t xml:space="preserve">is a binary variable set to one when the operator has either lodged an application with the SSR rating regime (per the SSR public record) or filed a five-year PMD plan with the FCC IBFS naming specific spacecraft, and zero otherwise</w:t>
      </w:r>
      <w:r>
        <w:t xml:space="preserve"> </w:t>
      </w:r>
      <w:hyperlink w:anchor="ref-4">
        <w:r>
          <w:rPr>
            <w:rStyle w:val="Hyperlink"/>
          </w:rPr>
          <w:t xml:space="preserve">[4]</w:t>
        </w:r>
      </w:hyperlink>
      <w:r>
        <w:t xml:space="preserve">. It is the operational-signal variable through which Paper 2 tests whether binding action and public statement travel as a bundle</w:t>
      </w:r>
      <w:r>
        <w:t xml:space="preserve"> </w:t>
      </w:r>
      <w:hyperlink w:anchor="ref-7">
        <w:r>
          <w:rPr>
            <w:rStyle w:val="Hyperlink"/>
          </w:rPr>
          <w:t xml:space="preserve">[7]</w:t>
        </w:r>
      </w:hyperlink>
      <w:r>
        <w:t xml:space="preserve">. The bar is disjunctive across the two venues on purpose, since the credible-commitment theory draws no line between an SSR submission and an FCC PMD filing on specificity or observability; both cost, both show, and both bind the operator in public.</w:t>
      </w:r>
    </w:p>
    <w:p>
      <w:pPr>
        <w:pStyle w:val="BodyText"/>
        <w:spacing w:line="480" w:lineRule="auto"/>
        <w:ind w:firstLine="720"/>
      </w:pPr>
      <w:r>
        <w:t xml:space="preserve">The</w:t>
      </w:r>
      <w:r>
        <w:t xml:space="preserve"> </w:t>
      </w:r>
      <w:r>
        <w:rPr>
          <w:rStyle w:val="VerbatimChar"/>
        </w:rPr>
        <w:t xml:space="preserve">constellation</w:t>
      </w:r>
      <w:r>
        <w:t xml:space="preserve"> </w:t>
      </w:r>
      <w:r>
        <w:t xml:space="preserve">indicator is a binary variable set to one when the operator runs a system of more than one hundred spacecraft and zero otherwise. It is kept in reserve for Paper 2’s robustness analyses and stays out of the primary specification; it is worked out from the operator’s IBFS declaration and logged in the source-field record for every operator.</w:t>
      </w:r>
    </w:p>
    <w:bookmarkEnd w:id="95"/>
    <w:bookmarkStart w:id="96" w:name="Xd12e0cd3504c568e1a83a2f6fcdf8233a840b46"/>
    <w:p>
      <w:pPr>
        <w:pStyle w:val="Heading2"/>
        <w:spacing w:line="480" w:lineRule="auto"/>
      </w:pPr>
      <w:r>
        <w:t xml:space="preserve">4.6 Cross-Paper Consistency and the Audit Trail</w:t>
      </w:r>
    </w:p>
    <w:p>
      <w:pPr>
        <w:pStyle w:val="FirstParagraph"/>
        <w:spacing w:line="480" w:lineRule="auto"/>
      </w:pPr>
      <w:r>
        <w:t xml:space="preserve">The two frames overlap on a handful of operators (those whose operator-level rows in Paper 2 also surface as mission-level rows in Paper 1) and on a single shared coding convention around operator commercial status. Overlapping operators are logged in a cross-reference field in the spreadsheets that records, for each Paper 2 operator row, the Paper 1 mission rows whose operator field matches. That field is built by hand off the operator-identity strings in each frame, and it is the footing on which the projected Chapter 6 difference-in-differences extension will stand up the operator-month panel.</w:t>
      </w:r>
    </w:p>
    <w:p>
      <w:pPr>
        <w:pStyle w:val="BodyText"/>
        <w:spacing w:line="480" w:lineRule="auto"/>
        <w:ind w:firstLine="720"/>
      </w:pPr>
      <w:r>
        <w:t xml:space="preserve">Three artifacts carry the audit trail. To start, every row carries the source field described above, and the spreadsheets are versioned so the source field yields only to an explicit change-tracking commit. Then the SSR engagement and operational-signal indicators are built off the SSR rated-missions registry by transcription rather than scraping, each transcription event stamped with date and registry-version identifier; that step is needed because the registry’s listing has grown over the SSR’s operational history [4, 7]. And Paper 1’s right-censoring calls live in a separate decision log naming the closing-window date, the SDMCVR edition consulted, and the Celestrak query date for each right-censored row; that log is the footing on which the censoring assumptions can be reproduced under a different closing-window choice.</w:t>
      </w:r>
    </w:p>
    <w:p>
      <w:pPr>
        <w:pStyle w:val="BodyText"/>
        <w:spacing w:line="480" w:lineRule="auto"/>
        <w:ind w:firstLine="720"/>
      </w:pPr>
      <w:r>
        <w:t xml:space="preserve">Together the three discharge the reproducibility debt a credible-commitment empirical literature ought to owe itself. The dissertation’s substantive claim is that the SSR works as a costly and observable signal of operator type; that claim’s credibility rides on the credibility of the records the signal indicator is built from [1, 4]. The audit-trail convention taken up here matches the one the SSR design team took up in documenting its own composite indicator, and it is the convention under which the SSR’s own claims can be squared against the public record [4, 7].</w:t>
      </w:r>
    </w:p>
    <w:bookmarkEnd w:id="96"/>
    <w:bookmarkStart w:id="97" w:name="limits-of-the-measurement-strategy"/>
    <w:p>
      <w:pPr>
        <w:pStyle w:val="Heading2"/>
        <w:spacing w:line="480" w:lineRule="auto"/>
      </w:pPr>
      <w:r>
        <w:t xml:space="preserve">4.7 Limits of the Measurement Strategy</w:t>
      </w:r>
    </w:p>
    <w:p>
      <w:pPr>
        <w:pStyle w:val="FirstParagraph"/>
        <w:spacing w:line="480" w:lineRule="auto"/>
      </w:pPr>
      <w:r>
        <w:t xml:space="preserve">Four measurement limits deserve to be named. To begin, the SSR engagement indicator is blunt: it marks whether an operator has been rated, not the tier the rating reached. Blunt coding suits the present two papers, whose frames are too thin to carry a continuous-treatment specification, yet it does leave the engagement coefficient in Paper 1 and the operational-signal coefficient in Paper 2 estimating an average effect of submitting rather than an effect of sustainability performance itself. The projected Chapter 6 extension answers this by pulling the disaggregated tier scores from the SSR public record and re-fitting Paper 1 with a continuous treatment.</w:t>
      </w:r>
    </w:p>
    <w:p>
      <w:pPr>
        <w:pStyle w:val="BodyText"/>
        <w:spacing w:line="480" w:lineRule="auto"/>
        <w:ind w:firstLine="720"/>
      </w:pPr>
      <w:r>
        <w:t xml:space="preserve">Then the post-mission disposal outcome in Paper 1 is censored for missions whose terminal event falls past the observation window. The Cox proportional-hazards specification takes right-censoring in stride under the standard assumption that the censoring mechanism runs independent of the hazard conditional on the covariates, and that assumption holds up here because the censoring boundary is fixed by the calendar date of the analytic close rather than by any operator-level call</w:t>
      </w:r>
      <w:r>
        <w:t xml:space="preserve"> </w:t>
      </w:r>
      <w:hyperlink w:anchor="ref-3">
        <w:r>
          <w:rPr>
            <w:rStyle w:val="Hyperlink"/>
          </w:rPr>
          <w:t xml:space="preserve">[3]</w:t>
        </w:r>
      </w:hyperlink>
      <w:r>
        <w:t xml:space="preserve">. It resists direct testing, though, and its credibility turns on how much conditioning power the four-covariate specification carries.</w:t>
      </w:r>
    </w:p>
    <w:p>
      <w:pPr>
        <w:pStyle w:val="BodyText"/>
        <w:spacing w:line="480" w:lineRule="auto"/>
        <w:ind w:firstLine="720"/>
      </w:pPr>
      <w:r>
        <w:t xml:space="preserve">Then the operator frame in Paper 2 tilts toward Western operators, because non-Western operators put out less English-language sustainability documentation</w:t>
      </w:r>
      <w:r>
        <w:t xml:space="preserve"> </w:t>
      </w:r>
      <w:hyperlink w:anchor="ref-3">
        <w:r>
          <w:rPr>
            <w:rStyle w:val="Hyperlink"/>
          </w:rPr>
          <w:t xml:space="preserve">[3]</w:t>
        </w:r>
      </w:hyperlink>
      <w:r>
        <w:t xml:space="preserve">. That tilt pulls the estimated coefficient on</w:t>
      </w:r>
      <w:r>
        <w:t xml:space="preserve"> </w:t>
      </w:r>
      <w:r>
        <w:rPr>
          <w:rStyle w:val="VerbatimChar"/>
        </w:rPr>
        <w:t xml:space="preserve">publicly_committed</w:t>
      </w:r>
      <w:r>
        <w:t xml:space="preserve"> </w:t>
      </w:r>
      <w:r>
        <w:t xml:space="preserve">toward the disclosure norms of the Western subset and narrows the external validity of the logit fit against the global commercial operator population. The tilt is named in Paper 2’s discussion section and left uncorrected by post-stratification, since at this frame size the sample-size cost of post-stratifying would outrun the bias it buys back.</w:t>
      </w:r>
    </w:p>
    <w:p>
      <w:pPr>
        <w:pStyle w:val="BodyText"/>
        <w:spacing w:line="480" w:lineRule="auto"/>
        <w:ind w:firstLine="720"/>
      </w:pPr>
      <w:r>
        <w:t xml:space="preserve">Finally, both papers ride on the SSR rated-missions registry’s coverage as it stood at the closing window. The registry has grown over the SSR’s operational history, and the present frames reflect it as of mid-2026 [4, 7]. Later registry updates will open the door to reanalysis on a larger engagement sample, and the audit-trail convention taken up here is built to make that reanalysis clean, sparing any rebuild of the underlying data infrastructure. The composite-indicator literature the SSR sits in expects exactly this kind of incremental empirical update [4, 8], and the dissertation’s measurement strategy is laid out to allow it.</w:t>
      </w:r>
    </w:p>
    <w:bookmarkEnd w:id="97"/>
    <w:bookmarkEnd w:id="98"/>
    <w:bookmarkStart w:id="108" w:name="chapter-5.-methods-and-identification"/>
    <w:p>
      <w:pPr>
        <w:pStyle w:val="Heading1"/>
        <w:spacing w:line="480" w:lineRule="auto"/>
      </w:pPr>
      <w:r>
        <w:t xml:space="preserve">Chapter 5. Methods and Identification</w:t>
      </w:r>
    </w:p>
    <w:bookmarkStart w:id="99" w:name="X28e3ea397ab69dedd886ce87e510010501cd690"/>
    <w:p>
      <w:pPr>
        <w:pStyle w:val="Heading2"/>
        <w:spacing w:line="480" w:lineRule="auto"/>
      </w:pPr>
      <w:r>
        <w:t xml:space="preserve">5.1 Overview and Logic of the Empirical Strategy</w:t>
      </w:r>
    </w:p>
    <w:p>
      <w:pPr>
        <w:pStyle w:val="FirstParagraph"/>
        <w:spacing w:line="480" w:lineRule="auto"/>
      </w:pPr>
      <w:r>
        <w:t xml:space="preserve">Here I lay out the estimators that turn the prospectus’s falsifiable test, sharpened across the two empirical papers in Part II, into working machinery. Under the credible-commitment hypothesis, operators who earn a Space Sustainability Rating (SSR) will, once it issues, shift their debris-mitigation behavior further than comparable non-participating operators shift over the same stretch, and counterparties will read the rating as telling them something about operator type [4, 7]. Three layered estimators keep that prediction honest: a staggered-adoption difference-in-differences (DiD) panel run at operator-month frequency, a Cox proportional-hazards model on when post-mission disposal (PMD) events happen at the mission level, and a logistic model on the yes-or-no act of issuing a public commitment at the operator level. Each takes on a different face of the signaling hypothesis. The DiD model pulls out the behavioral change that earning a rating is responsible for. The Cox model asks whether rating engagement scales the baseline hazard of disposal. The logit model asks whether observable operator traits forecast the upstream decision to pay the cost of committing. The chapter then fixes a pre-registered joint-inference rule that binds the quantitative machinery to the structured discourse-network coding [3, 35], and it ends with a full account of the threats to validity and the walls that hold each one in.</w:t>
      </w:r>
    </w:p>
    <w:p>
      <w:pPr>
        <w:pStyle w:val="BodyText"/>
        <w:spacing w:line="480" w:lineRule="auto"/>
        <w:ind w:firstLine="720"/>
      </w:pPr>
      <w:r>
        <w:t xml:space="preserve">None of the three estimators repeats another. They test complementary margins of the signaling hypothesis under different identifying assumptions and different data shapes, and no single one could carry a credible-commitment inference by itself. The DiD design mines within-operator variation over time and rests on parallel trends [5, 8]. The Cox specification mines cross-mission variation in disposal timing and rests on proportional hazards [12, 13]. The logit specification mines cross-operator variation at one observation moment and rests on there being no omitted confounder once the included covariates are held fixed</w:t>
      </w:r>
      <w:r>
        <w:t xml:space="preserve"> </w:t>
      </w:r>
      <w:hyperlink w:anchor="ref-11">
        <w:r>
          <w:rPr>
            <w:rStyle w:val="Hyperlink"/>
          </w:rPr>
          <w:t xml:space="preserve">[11]</w:t>
        </w:r>
      </w:hyperlink>
      <w:r>
        <w:t xml:space="preserve">. When all three agree, and each would break under a different violation, the agreement counts for more than agreement inside one specification.</w:t>
      </w:r>
    </w:p>
    <w:bookmarkEnd w:id="99"/>
    <w:bookmarkStart w:id="100" w:name="X9be4d28a94efa54228ce88ac1b39049f8fe3085"/>
    <w:p>
      <w:pPr>
        <w:pStyle w:val="Heading2"/>
        <w:spacing w:line="480" w:lineRule="auto"/>
      </w:pPr>
      <w:r>
        <w:t xml:space="preserve">5.2 The Operator-Month Difference-in-Differences Estimator</w:t>
      </w:r>
    </w:p>
    <w:p>
      <w:pPr>
        <w:pStyle w:val="FirstParagraph"/>
        <w:spacing w:line="480" w:lineRule="auto"/>
      </w:pPr>
      <w:r>
        <w:t xml:space="preserve">Carrying the primary causal weight is a staggered-adoption two-way fixed-effects DiD run on an operator-month panel assembled from the LeoLabs conjunction record and the ESA Space Debris Office annual environment report [5, 6, 19]. For operator i in month t, the structural equation reads</w:t>
      </w:r>
    </w:p>
    <w:p>
      <w:pPr>
        <w:pStyle w:val="BodyText"/>
        <w:spacing w:line="480" w:lineRule="auto"/>
        <w:ind w:firstLine="720"/>
      </w:pPr>
      <w:r>
        <w:t xml:space="preserve">Y_{it} = alpha_i + lambda_t + theta * D_{it} + X_{it}’ gamma + epsilon_{it},</w:t>
      </w:r>
    </w:p>
    <w:p>
      <w:pPr>
        <w:pStyle w:val="BodyText"/>
        <w:spacing w:line="480" w:lineRule="auto"/>
        <w:ind w:firstLine="720"/>
      </w:pPr>
      <w:r>
        <w:t xml:space="preserve">where Y_{it} is one of two behavioral outcomes (PMD compliance rate over the rolling twelve-month window ending in month t, and collision-avoidance maneuver responsiveness, the share of high-probability conjunctions with a public maneuver indication visible inside the standard screening window</w:t>
      </w:r>
      <w:r>
        <w:t xml:space="preserve"> </w:t>
      </w:r>
      <w:hyperlink w:anchor="ref-5">
        <w:r>
          <w:rPr>
            <w:rStyle w:val="Hyperlink"/>
          </w:rPr>
          <w:t xml:space="preserve">[5]</w:t>
        </w:r>
      </w:hyperlink>
      <w:r>
        <w:t xml:space="preserve">), alpha_i is an operator fixed effect, lambda_t is a calendar-month fixed effect, D_{it} switches to one in the months after operator i first earns an SSR, X_{it} gathers time-varying controls (operator fleet size in log satellites, log mean operational altitude, share of fleet in LEO), and epsilon_{it} is a clustered disturbance.</w:t>
      </w:r>
    </w:p>
    <w:p>
      <w:pPr>
        <w:pStyle w:val="BodyText"/>
        <w:spacing w:line="480" w:lineRule="auto"/>
        <w:ind w:firstLine="720"/>
      </w:pPr>
      <w:r>
        <w:t xml:space="preserve">D_{it}, the treatment variable, is drawn from the SSR public registry as the design team documents it [4, 7, 18]. For operator i the treatment date is the first issuance month the registry shows; operators that have worked with the rating process yet drawn no public issuance read as untreated in the principal specification and as treated from their engagement date in a robustness run. The control group grows out of coarsened exact matching on pre-treatment operator size, orbital regime, and prior compliance history, with the matching pool pulled from every commercial satellite operator carrying at least one system on orbit that the LeoLabs catalog shows as of mid-2026.</w:t>
      </w:r>
    </w:p>
    <w:p>
      <w:pPr>
        <w:pStyle w:val="BodyText"/>
        <w:spacing w:line="480" w:lineRule="auto"/>
        <w:ind w:firstLine="720"/>
      </w:pPr>
      <w:r>
        <w:t xml:space="preserve">Since treatment arrives at staggered dates, and since the canonical two-way fixed-effects estimator is known to hand back a contaminated weighted average of unit-specific average treatment effects once treatment timing varies, the principal estimate comes in two versions. One is the plain two-way fixed-effects coefficient on theta. The other is a cohort-event-study version that breaks theta into pre-issuance and post-issuance event-time coefficients keyed to the issuance month, with that month set to zero and the cohort fixed effects soaked up by issuance-year strata to handle the methodology-version drift the SSR design literature records [4, 7]. Pre-issuance event-time coefficients are the pre-trend test; their joint nullity is what the parallel-trends assumption stakes itself on.</w:t>
      </w:r>
    </w:p>
    <w:p>
      <w:pPr>
        <w:pStyle w:val="BodyText"/>
        <w:spacing w:line="480" w:lineRule="auto"/>
        <w:ind w:firstLine="720"/>
      </w:pPr>
      <w:r>
        <w:t xml:space="preserve">Standard errors cluster at the operator level to soak up the within-operator serial correlation that persistent operational and contractual structure stamps onto mitigation outcomes</w:t>
      </w:r>
      <w:r>
        <w:t xml:space="preserve"> </w:t>
      </w:r>
      <w:hyperlink w:anchor="ref-33">
        <w:r>
          <w:rPr>
            <w:rStyle w:val="Hyperlink"/>
          </w:rPr>
          <w:t xml:space="preserve">[33]</w:t>
        </w:r>
      </w:hyperlink>
      <w:r>
        <w:t xml:space="preserve">. When treated operators are few, inference gains a wild cluster bootstrap on top, the right small-sample fix once registry size caps the count of treated clusters.</w:t>
      </w:r>
    </w:p>
    <w:bookmarkEnd w:id="100"/>
    <w:bookmarkStart w:id="101" w:name="X08cbf078443c645dd09e3dbf07bf6347cfe74b9"/>
    <w:p>
      <w:pPr>
        <w:pStyle w:val="Heading2"/>
        <w:spacing w:line="480" w:lineRule="auto"/>
      </w:pPr>
      <w:r>
        <w:t xml:space="preserve">5.3 The Cox Proportional-Hazards Estimator on Disposal Timing</w:t>
      </w:r>
    </w:p>
    <w:p>
      <w:pPr>
        <w:pStyle w:val="FirstParagraph"/>
        <w:spacing w:line="480" w:lineRule="auto"/>
      </w:pPr>
      <w:r>
        <w:t xml:space="preserve">Where the DiD works at operator-month, the second estimator drops to the mission and probes the same hypothesis there. Each mission gives one observation indexed by time-since-launch, and the outcome is the hazard of finishing PMD in any given month given survival without disposal up to it. The structural equation reads</w:t>
      </w:r>
    </w:p>
    <w:p>
      <w:pPr>
        <w:pStyle w:val="BodyText"/>
        <w:spacing w:line="480" w:lineRule="auto"/>
        <w:ind w:firstLine="720"/>
      </w:pPr>
      <w:r>
        <w:t xml:space="preserve">h_j(t) = h_0(t) exp{ beta * SSR_j + delta_1 * altitude_j + delta_2 * mass_j + delta_3 * commercial_j },</w:t>
      </w:r>
    </w:p>
    <w:p>
      <w:pPr>
        <w:pStyle w:val="BodyText"/>
        <w:spacing w:line="480" w:lineRule="auto"/>
        <w:ind w:firstLine="720"/>
      </w:pPr>
      <w:r>
        <w:t xml:space="preserve">where h_0(t) is the unrestricted baseline hazard, SSR_j flags operator engagement with the SSR ecosystem at the mission’s reference epoch, altitude_j is nominal operational altitude in kilometers, mass_j is launch mass in kilograms, and commercial_j flags a commercial operator. The baseline hazard stays unparameterized, so identifying beta rides on within-stratum variation in disposal timing under proportional hazards</w:t>
      </w:r>
      <w:r>
        <w:t xml:space="preserve"> </w:t>
      </w:r>
      <w:hyperlink w:anchor="ref-12">
        <w:r>
          <w:rPr>
            <w:rStyle w:val="Hyperlink"/>
          </w:rPr>
          <w:t xml:space="preserve">[12]</w:t>
        </w:r>
      </w:hyperlink>
      <w:r>
        <w:t xml:space="preserve">.</w:t>
      </w:r>
    </w:p>
    <w:p>
      <w:pPr>
        <w:pStyle w:val="BodyText"/>
        <w:spacing w:line="480" w:lineRule="auto"/>
        <w:ind w:firstLine="720"/>
      </w:pPr>
      <w:r>
        <w:t xml:space="preserve">Parsimony was chosen for the covariate set. The natural-compliance literature shows that atmospheric drag mechanically drives disposal timing at low altitudes, so altitude has to be held fixed lest the rating instrument get credited for what is really a mechanical effect of orbital decay physics [13, 14]. Mass holds fixed a structural stand-in for mission class. The commercial flag holds fixed operator type. Whatever variation in disposal timing survives those controls is the channel through which the rating signal would, under the credible-commitment hypothesis, register as a multiplicative shift in the baseline hazard.</w:t>
      </w:r>
    </w:p>
    <w:p>
      <w:pPr>
        <w:pStyle w:val="BodyText"/>
        <w:spacing w:line="480" w:lineRule="auto"/>
        <w:ind w:firstLine="720"/>
      </w:pPr>
      <w:r>
        <w:t xml:space="preserve">Proportional hazards can be checked, and it will be. The chapter fixes that Schoenfeld residual diagnostics get reported for each covariate, that any covariate flunking the proportionality check gets re-entered with a time-varying coefficient, and that the principal SSR-engagement coefficient gets reported under both the proportional specification and a stratified one in which altitude is binned and the baseline hazard may vary across altitude strata. Cox suits the job because the outcome is when a censored event happens on right-censored mission histories, and because the proportional-hazards form squares with a signaling theory under which the rating scales the operator’s baseline disposal hazard multiplicatively rather than sliding an event horizon</w:t>
      </w:r>
      <w:r>
        <w:t xml:space="preserve"> </w:t>
      </w:r>
      <w:hyperlink w:anchor="ref-11">
        <w:r>
          <w:rPr>
            <w:rStyle w:val="Hyperlink"/>
          </w:rPr>
          <w:t xml:space="preserve">[11]</w:t>
        </w:r>
      </w:hyperlink>
      <w:r>
        <w:t xml:space="preserve">.</w:t>
      </w:r>
    </w:p>
    <w:bookmarkEnd w:id="101"/>
    <w:bookmarkStart w:id="102" w:name="Xbd2eb4b64aff9fef9f28decfca76971cc48fccb"/>
    <w:p>
      <w:pPr>
        <w:pStyle w:val="Heading2"/>
        <w:spacing w:line="480" w:lineRule="auto"/>
      </w:pPr>
      <w:r>
        <w:t xml:space="preserve">5.4 The Operator-Level Logit Estimator on Public Commitment</w:t>
      </w:r>
    </w:p>
    <w:p>
      <w:pPr>
        <w:pStyle w:val="FirstParagraph"/>
        <w:spacing w:line="480" w:lineRule="auto"/>
      </w:pPr>
      <w:r>
        <w:t xml:space="preserve">An upstream margin is what the third estimator chases: the yes-or-no act of issuing a public commitment to a sustainability standard. For operator k, the structural equation reads</w:t>
      </w:r>
    </w:p>
    <w:p>
      <w:pPr>
        <w:pStyle w:val="BodyText"/>
        <w:spacing w:line="480" w:lineRule="auto"/>
        <w:ind w:firstLine="720"/>
      </w:pPr>
      <w:r>
        <w:t xml:space="preserve">Pr(C_k = 1) = Lambda( phi_0 + phi_1 * log_satellites_k + phi_2 * leo_share_k + phi_3 * S_k ),</w:t>
      </w:r>
    </w:p>
    <w:p>
      <w:pPr>
        <w:pStyle w:val="BodyText"/>
        <w:spacing w:line="480" w:lineRule="auto"/>
        <w:ind w:firstLine="720"/>
      </w:pPr>
      <w:r>
        <w:t xml:space="preserve">where Lambda is the logistic CDF, C_k is one when the operator holds an SSR rating, a published sustainability report with explicit debris-mitigation language, or a documented five-year PMD plan, and S_k flags operational signal, set to one when the operator has applied for an SSR rating or published a specific five-year PMD timeline. Leanness was chosen because the pool of commercial operators with documented systems on orbit is only moderate, and a three-covariate model spares degrees of freedom.</w:t>
      </w:r>
    </w:p>
    <w:p>
      <w:pPr>
        <w:pStyle w:val="BodyText"/>
        <w:spacing w:line="480" w:lineRule="auto"/>
        <w:ind w:firstLine="720"/>
      </w:pPr>
      <w:r>
        <w:t xml:space="preserve">By itself the logit estimator identifies no causal effect. It predicts, and its substantive payoff is the bundling of operational signal and public statement it lays bare. Under the credible-commitment theory, the operational step (an audit application or a binding timeline) and the public statement complement each other: the statement is what renders the step legible to counterparties, and the step is what makes the statement dear enough to inform [9, 28]. So finding the two inseparable in the data squares with the theory, without on its own licensing a causal claim that the rating produces the step.</w:t>
      </w:r>
    </w:p>
    <w:p>
      <w:pPr>
        <w:pStyle w:val="BodyText"/>
        <w:spacing w:line="480" w:lineRule="auto"/>
        <w:ind w:firstLine="720"/>
      </w:pPr>
      <w:r>
        <w:t xml:space="preserve">Inside the joint estimator architecture the logit earns its keep twice over. It maps the cross-section the DiD’s longitudinal variation is nested inside, and it supplies the operator-level selection structure the DiD’s pre-trend test has to be weighed against. Should the logit reveal operators sorting into rating engagement on observable traits, the DiD’s matching has to rebalance on those traits; should it reveal sorting on unobservable operational signal, the qualitative discourse-network triangulation starts carrying weight.</w:t>
      </w:r>
    </w:p>
    <w:bookmarkEnd w:id="102"/>
    <w:bookmarkStart w:id="103" w:name="X4d35a651875634f55f6830bc480b4fbdbec5f42"/>
    <w:p>
      <w:pPr>
        <w:pStyle w:val="Heading2"/>
        <w:spacing w:line="480" w:lineRule="auto"/>
      </w:pPr>
      <w:r>
        <w:t xml:space="preserve">5.5 The Structured Discourse-Network Component</w:t>
      </w:r>
    </w:p>
    <w:p>
      <w:pPr>
        <w:pStyle w:val="FirstParagraph"/>
        <w:spacing w:line="480" w:lineRule="auto"/>
      </w:pPr>
      <w:r>
        <w:t xml:space="preserve">A structured discourse-network analysis of how regulators, insurers, and launch providers reach for the SSR in formal communications, license conditions, and underwriting language makes up the qualitative component, run in the methodological tradition already worked out for the debris regime [3, 35]. Its corpus is assembled from operator license filings, insurer underwriting guidance, and launch-provider rideshare terms, rounded out with national-level regulatory documents that name voluntary rating instruments</w:t>
      </w:r>
      <w:r>
        <w:t xml:space="preserve"> </w:t>
      </w:r>
      <w:hyperlink w:anchor="ref-20">
        <w:r>
          <w:rPr>
            <w:rStyle w:val="Hyperlink"/>
          </w:rPr>
          <w:t xml:space="preserve">[20]</w:t>
        </w:r>
      </w:hyperlink>
      <w:r>
        <w:t xml:space="preserve">. Coding runs against a pre-registered codebook logging, for each text segment, whether the SSR is invoked, who invokes it, what the invocation does (inform, condition, evaluate), and whether it is treated as saying something substantive about operator type.</w:t>
      </w:r>
    </w:p>
    <w:p>
      <w:pPr>
        <w:pStyle w:val="BodyText"/>
        <w:spacing w:line="480" w:lineRule="auto"/>
        <w:ind w:firstLine="720"/>
      </w:pPr>
      <w:r>
        <w:t xml:space="preserve">That discourse-network output feeds the joint inference rule as the test of whether the rating clears a credible signal’s second predicate, that counterparties read it as informative. Absent that uptake, even a rock-solid DiD effect could still square with reputational decoupling: operators might move observable behavior in the period after rating without the rating itself budging counterparty beliefs. So the discourse-network component is no decorative aside but a weight-bearing piece of the identification logic.</w:t>
      </w:r>
    </w:p>
    <w:bookmarkEnd w:id="103"/>
    <w:bookmarkStart w:id="104" w:name="joint-inference-rule"/>
    <w:p>
      <w:pPr>
        <w:pStyle w:val="Heading2"/>
        <w:spacing w:line="480" w:lineRule="auto"/>
      </w:pPr>
      <w:r>
        <w:t xml:space="preserve">5.6 Joint Inference Rule</w:t>
      </w:r>
    </w:p>
    <w:p>
      <w:pPr>
        <w:pStyle w:val="FirstParagraph"/>
        <w:spacing w:line="480" w:lineRule="auto"/>
      </w:pPr>
      <w:r>
        <w:t xml:space="preserve">The credible-commitment interpretation earns its license only when every one of the following holds. To start, the DiD event-study coefficients show pre-trend balance, no single pre-issuance coefficient telling itself apart from zero at conventional levels and no joint pre-trend test significant at five percent. Then at least one of the two DiD behavioral outcomes shows a post-issuance coefficient that both parts from zero statistically and lands as economically meaningful, its magnitude reported against operator-level baseline rates. Then the Cox model returns a hazard ratio on SSR engagement that agrees in sign with the DiD result and holds up under stratification on altitude. And the discourse-network coding turns up at least one counterparty class (regulator, insurer, or launch provider) that reads the rating as substantively informative in its formal communications.</w:t>
      </w:r>
    </w:p>
    <w:p>
      <w:pPr>
        <w:pStyle w:val="BodyText"/>
        <w:spacing w:line="480" w:lineRule="auto"/>
        <w:ind w:firstLine="720"/>
      </w:pPr>
      <w:r>
        <w:t xml:space="preserve">Flunking any one element leaves the underlying behavioral claim standing, yet flunking the full four falsifies the credible-commitment interpretation taken as a joint hypothesis. This rule is the working form of the H0 / H1 contrast the prospectus stated, and it is pre-registered ahead of the principal estimation runs.</w:t>
      </w:r>
    </w:p>
    <w:bookmarkEnd w:id="104"/>
    <w:bookmarkStart w:id="105" w:name="threats-to-validity-and-their-bounds"/>
    <w:p>
      <w:pPr>
        <w:pStyle w:val="Heading2"/>
        <w:spacing w:line="480" w:lineRule="auto"/>
      </w:pPr>
      <w:r>
        <w:t xml:space="preserve">5.7 Threats to Validity and Their Bounds</w:t>
      </w:r>
    </w:p>
    <w:p>
      <w:pPr>
        <w:pStyle w:val="FirstParagraph"/>
        <w:spacing w:line="480" w:lineRule="auto"/>
      </w:pPr>
      <w:r>
        <w:t xml:space="preserve">Six threats to validity carry weight, and a specific design feature walls in each one.</w:t>
      </w:r>
    </w:p>
    <w:p>
      <w:pPr>
        <w:pStyle w:val="BodyText"/>
        <w:spacing w:line="480" w:lineRule="auto"/>
        <w:ind w:firstLine="720"/>
      </w:pPr>
      <w:r>
        <w:t xml:space="preserve">Selection on unobservables leads. Operators that pursue a rating may sit on an improving mitigation trajectory already, the rating rubber-stamping the trajectory rather than causing it. The matched DiD design with explicit pre-trend testing is the front-line answer: a parallel pre-trend in the event-study version is what the no-anticipation assumption stakes itself on, and a broken pre-trend disqualifies the principal causal claim. The discourse-network component then triangulates whether counterparties weight the rating itself or the trajectory under it. By showing operational signal and public statement travel bundled, the logit estimator flags that selection on operational signal is observable in the cross-section and has to be matched on. What is left over is selection on a time-varying unobservable that moves with treatment timing, which the staggered-cohort event study can catch through systematic drift in pre-issuance coefficients across issuance cohorts.</w:t>
      </w:r>
    </w:p>
    <w:p>
      <w:pPr>
        <w:pStyle w:val="BodyText"/>
        <w:spacing w:line="480" w:lineRule="auto"/>
        <w:ind w:firstLine="720"/>
      </w:pPr>
      <w:r>
        <w:t xml:space="preserve">Measurement censoring of the PMD outcome comes second. Operators whose terminal events land past the observation window feed the Cox estimator no disposal information, and the operator-month DiD’s PMD outcome goes mechanically quiet for operators whose fleets have not yet aged into the disposal window. Cox absorbs right-censoring by construction. The DiD confines the PMD outcome to operators with at least one terminal event visible in the panel for the principal estimate and reports a side specification on the maneuver-responsiveness outcome alone, which is visible for every operator with an active fleet in the conjunction-screening regime</w:t>
      </w:r>
      <w:r>
        <w:t xml:space="preserve"> </w:t>
      </w:r>
      <w:hyperlink w:anchor="ref-5">
        <w:r>
          <w:rPr>
            <w:rStyle w:val="Hyperlink"/>
          </w:rPr>
          <w:t xml:space="preserve">[5]</w:t>
        </w:r>
      </w:hyperlink>
      <w:r>
        <w:t xml:space="preserve">. So censoring walls in the PMD estimate while leaving the maneuver-responsiveness estimate free.</w:t>
      </w:r>
    </w:p>
    <w:p>
      <w:pPr>
        <w:pStyle w:val="BodyText"/>
        <w:spacing w:line="480" w:lineRule="auto"/>
        <w:ind w:firstLine="720"/>
      </w:pPr>
      <w:r>
        <w:t xml:space="preserve">Third is the shifting conjunction-screening environment. Catalog sensitivity and screening practice have moved across the panel as new sensors and processing pipelines came online [5, 6]. Calendar-month fixed effects soak up the common part of that movement. Operator fixed effects soak up level differences across operators in how visible their fleets are to the catalog. What is left over is heterogeneous catalog visibility that moves with treatment timing, walled in by the operator-level log-altitude control and by a sensitivity run computing the maneuver-responsiveness outcome against a fixed reference catalog snapshot.</w:t>
      </w:r>
    </w:p>
    <w:p>
      <w:pPr>
        <w:pStyle w:val="BodyText"/>
        <w:spacing w:line="480" w:lineRule="auto"/>
        <w:ind w:firstLine="720"/>
      </w:pPr>
      <w:r>
        <w:t xml:space="preserve">The SSR scoring methodology’s own drift is fourth. The composite indicator’s design has been reworked across publication cycles and the weight on subcomponents has shifted [4, 7]. Issuance-cohort fixed effects in the event-study version soak up the methodology-version effect, and the principal coefficient gets reported apart for the pre-revision and post-revision cohorts. Agreement in sign and significance across cohorts is what an interpretation not leaning on any one methodology version stakes itself on.</w:t>
      </w:r>
    </w:p>
    <w:p>
      <w:pPr>
        <w:pStyle w:val="BodyText"/>
        <w:spacing w:line="480" w:lineRule="auto"/>
        <w:ind w:firstLine="720"/>
      </w:pPr>
      <w:r>
        <w:t xml:space="preserve">Sample composition and external validity are fifth. Measured by fleet size, the commercial operator population is ruled by a few large-constellation operators whose operational orbits at low LEO altitudes naturally speed decay</w:t>
      </w:r>
      <w:r>
        <w:t xml:space="preserve"> </w:t>
      </w:r>
      <w:hyperlink w:anchor="ref-30">
        <w:r>
          <w:rPr>
            <w:rStyle w:val="Hyperlink"/>
          </w:rPr>
          <w:t xml:space="preserve">[30]</w:t>
        </w:r>
      </w:hyperlink>
      <w:r>
        <w:t xml:space="preserve">. The Cox altitude covariate and the DiD log-altitude control wall this confound in without killing it, and the dissertation reports the principal coefficients on subsamples that drop the largest constellation operators to see whether that cohort drives the result. The dataset tilts toward Western operators because non-Western operators put out less English-language sustainability documentation; the dissertation names this bound plainly and reports the sample’s split by operator nationality.</w:t>
      </w:r>
    </w:p>
    <w:p>
      <w:pPr>
        <w:pStyle w:val="BodyText"/>
        <w:spacing w:line="480" w:lineRule="auto"/>
        <w:ind w:firstLine="720"/>
      </w:pPr>
      <w:r>
        <w:t xml:space="preserve">Sixth is the familiar discourse-coding reliability worry. Inter-coder agreement on the discourse-network coding gets pinned down by parallel coding of a randomly drawn ten-percent sub-corpus by a second analyst, with Krippendorff’s alpha on the function-of-invocation variable reported as the central reliability statistic. A pre-registered threshold for acceptable reliability is fixed ahead of the full coding pass.</w:t>
      </w:r>
    </w:p>
    <w:p>
      <w:pPr>
        <w:pStyle w:val="BodyText"/>
        <w:spacing w:line="480" w:lineRule="auto"/>
        <w:ind w:firstLine="720"/>
      </w:pPr>
      <w:r>
        <w:t xml:space="preserve">A seventh, lower-order threat sits at the boundary between the SSR instrument and adjacent disclosure routes. Operators may put out ESG reports, sustainability policies, or specific PMD timelines that stand in for, or stack alongside, the SSR signal, and telling the two apart empirically is non-trivial [33, 34]. The logit estimator’s outcome definition folds adjacent disclosure routes in on purpose to map the bundle, and the DiD’s principal treatment is the SSR issuance event itself rather than the wider category of public commitment.</w:t>
      </w:r>
    </w:p>
    <w:bookmarkEnd w:id="105"/>
    <w:bookmarkStart w:id="106" w:name="pre-registration-and-reproducibility"/>
    <w:p>
      <w:pPr>
        <w:pStyle w:val="Heading2"/>
        <w:spacing w:line="480" w:lineRule="auto"/>
      </w:pPr>
      <w:r>
        <w:t xml:space="preserve">5.8 Pre-Registration and Reproducibility</w:t>
      </w:r>
    </w:p>
    <w:p>
      <w:pPr>
        <w:pStyle w:val="FirstParagraph"/>
        <w:spacing w:line="480" w:lineRule="auto"/>
      </w:pPr>
      <w:r>
        <w:t xml:space="preserve">The principal specifications, the joint inference rule, and the inter-coder reliability threshold are pre-registered ahead of the primary estimation runs. The dataset construction pipeline, matching procedure for the DiD control group and corpus-construction protocol for the discourse-network analysis included, is written up in a reproducibility appendix and built from publicly obtainable sources with no proprietary data access [5, 6, 18, 19]. Reliance on the publicly available reference scenarios for the long-run environment-modeling context, the AMOS reference-scenario architecture among them, is documented in the dissertation’s auxiliary materials [14, 24]. The dissertation pledges to release the estimation code and the constructed analytic datasets through a public repository at the time of final defense, held back only by the licensing constraints of the underlying source records.</w:t>
      </w:r>
    </w:p>
    <w:bookmarkEnd w:id="106"/>
    <w:bookmarkStart w:id="107" w:name="summary"/>
    <w:p>
      <w:pPr>
        <w:pStyle w:val="Heading2"/>
        <w:spacing w:line="480" w:lineRule="auto"/>
      </w:pPr>
      <w:r>
        <w:t xml:space="preserve">5.9 Summary</w:t>
      </w:r>
    </w:p>
    <w:p>
      <w:pPr>
        <w:pStyle w:val="FirstParagraph"/>
        <w:spacing w:line="480" w:lineRule="auto"/>
      </w:pPr>
      <w:r>
        <w:t xml:space="preserve">A three-estimator stack, disciplined by a structured qualitative component and bound together by a pre-registered joint-inference rule, is the whole apparatus. The DiD model bears the primary causal weight; the Cox model backs the result on a different unit of analysis under a different identifying assumption; the logit model maps the upstream selection structure; the discourse-network analysis tests whether the rating clears the counterparty-belief predicate of a credible signal. For each estimator the chapter has fixed the identifying assumption, the falsifiable predicate that assumption stakes itself on, and the design feature that walls in the principal threat to validity. The next chapter turns to the results.</w:t>
      </w:r>
    </w:p>
    <w:bookmarkEnd w:id="107"/>
    <w:bookmarkEnd w:id="108"/>
    <w:bookmarkStart w:id="124" w:name="chapter-6.-results"/>
    <w:p>
      <w:pPr>
        <w:pStyle w:val="Heading1"/>
        <w:spacing w:line="480" w:lineRule="auto"/>
      </w:pPr>
      <w:r>
        <w:t xml:space="preserve">Chapter 6. Results</w:t>
      </w:r>
    </w:p>
    <w:bookmarkStart w:id="109" w:name="orientation-to-the-two-estimations"/>
    <w:p>
      <w:pPr>
        <w:pStyle w:val="Heading2"/>
        <w:spacing w:line="480" w:lineRule="auto"/>
      </w:pPr>
      <w:r>
        <w:t xml:space="preserve">6.1 Orientation to the Two Estimations</w:t>
      </w:r>
    </w:p>
    <w:p>
      <w:pPr>
        <w:pStyle w:val="FirstParagraph"/>
        <w:spacing w:line="480" w:lineRule="auto"/>
      </w:pPr>
      <w:r>
        <w:t xml:space="preserve">Here I report what the two papers found in turning the prospectus’s falsifiable test into practice, the test being whether the Space Sustainability Rating (SSR) works as a credible commitment device or as a reputational artifact. Paper 1 gauges when post-mission disposal happens as a function of SSR engagement, fitting a Cox proportional-hazards specification to a 32-mission sample carrying 18 observed disposal events and 14 right-censored records. Paper 2 gauges the yes-or-no choice to issue a public sustainability commitment as a function of operational signal, fleet scale, and orbital exposure, fitting a logistic specification to a 35-operator cross section. Complementary by design are the two. Paper 1 pulls out a behavioral outcome once the engineering parameters that govern natural compliance are held fixed, while Paper 2 pulls out a discursive outcome once the operational steps ahead of it are held fixed. Set side by side, they ask whether the rating rides with behavior and with the public statements counterparties use to price operator type alike [3, 4, 7].</w:t>
      </w:r>
    </w:p>
    <w:p>
      <w:pPr>
        <w:pStyle w:val="BodyText"/>
        <w:spacing w:line="480" w:lineRule="auto"/>
        <w:ind w:firstLine="720"/>
      </w:pPr>
      <w:r>
        <w:t xml:space="preserve">Both estimators ran on the prepared datasets grounding each paper. Cox converged on 32 observations with 18 events. The logit converged on 35 observations at a maximized log-likelihood of -12.24 and a McFadden pseudo-R-squared of 0.47. Those numbers anchor the rest of the chapter; no figure, formula, or table reappears here, since the visual apparatus is held for Appendix A.</w:t>
      </w:r>
    </w:p>
    <w:bookmarkEnd w:id="109"/>
    <w:bookmarkStart w:id="115" w:name="Xe8d31fb0c1b60a046ae67c6e286483952ef39ae"/>
    <w:p>
      <w:pPr>
        <w:pStyle w:val="Heading2"/>
        <w:spacing w:line="480" w:lineRule="auto"/>
      </w:pPr>
      <w:r>
        <w:t xml:space="preserve">6.2 Paper 1: The Hazard of Post-Mission Disposal</w:t>
      </w:r>
    </w:p>
    <w:bookmarkStart w:id="110" w:name="headline-coefficient"/>
    <w:p>
      <w:pPr>
        <w:pStyle w:val="Heading3"/>
        <w:spacing w:line="480" w:lineRule="auto"/>
      </w:pPr>
      <w:r>
        <w:t xml:space="preserve">6.2.1 Headline Coefficient</w:t>
      </w:r>
    </w:p>
    <w:p>
      <w:pPr>
        <w:pStyle w:val="FirstParagraph"/>
        <w:spacing w:line="480" w:lineRule="auto"/>
      </w:pPr>
      <w:r>
        <w:t xml:space="preserve">On the log hazard ratio scale the SSR engagement indicator lands at 4.015, its standard error 1.2127 and its asymptotic p-value 0.0009. Exponentiate and the hazard ratio sits near 55: hold altitude, mass, and commercial status fixed, and missions whose operators engage the SSR ecosystem meet an instantaneous hazard of finishing post-mission disposal that is multiplicatively above that of missions whose operators stay out. The Wald statistic that the coefficient and its standard error imply comes to roughly 3.31, past the conventional two-sided threshold for rejecting the null at the 0.001 level. Inside this sample the result is sharp enough to carry a directional read: when disposal happens is not independent of whether the operator will submit to evaluation under the SSR composite indicator framework [4, 7].</w:t>
      </w:r>
    </w:p>
    <w:p>
      <w:pPr>
        <w:pStyle w:val="BodyText"/>
        <w:spacing w:line="480" w:lineRule="auto"/>
        <w:ind w:firstLine="720"/>
      </w:pPr>
      <w:r>
        <w:t xml:space="preserve">The coefficient’s substance is where to slow down. A log hazard ratio of 4.015 is, taken at face value, an enormous effect. Numbers that size are tractable in a Cox model only when the treated subgroup is small and its events cluster near the early end of the at-risk window, and that is exactly how the engaged subsample is built here. SSR engagement is young as a practice [4, 7], and the missions whose operators have engaged the rating regime are systematically post-2014 systems whose operational orbits fall at altitudes where atmospheric drag decays them relatively fast [5, 6]. So the hazard ratio reads as a tight within-sample association, not a population parameter that would carry over unchanged to a larger, more mixed fleet. Section 6.4 comes back to this attribution challenge, and the next chapter takes it head-on in the discussion of confounding and selection.</w:t>
      </w:r>
    </w:p>
    <w:bookmarkEnd w:id="110"/>
    <w:bookmarkStart w:id="111" w:name="the-altitude-control"/>
    <w:p>
      <w:pPr>
        <w:pStyle w:val="Heading3"/>
        <w:spacing w:line="480" w:lineRule="auto"/>
      </w:pPr>
      <w:r>
        <w:t xml:space="preserve">6.2.2 The Altitude Control</w:t>
      </w:r>
    </w:p>
    <w:p>
      <w:pPr>
        <w:pStyle w:val="FirstParagraph"/>
        <w:spacing w:line="480" w:lineRule="auto"/>
      </w:pPr>
      <w:r>
        <w:t xml:space="preserve">Nominal operational altitude lands at -0.0013, standard error 0.001, p-value 0.1773. Its sign is negative, just as the natural-compliance logic calls for: each extra kilometer of altitude drops the instantaneous hazard of decay-driven disposal, because atmospheric drag falls off sharply with altitude and the time to natural reentry climbs non-linearly. The point estimate says that, other covariates fixed, a 100-kilometer rise in altitude goes with a log hazard change of about -0.13, a hazard ratio near 0.88 across that band. That effect does not separate itself from zero in this sample. A Wald ratio of roughly -1.30 falls inside the conventional null region.</w:t>
      </w:r>
    </w:p>
    <w:p>
      <w:pPr>
        <w:pStyle w:val="BodyText"/>
        <w:spacing w:line="480" w:lineRule="auto"/>
        <w:ind w:firstLine="720"/>
      </w:pPr>
      <w:r>
        <w:t xml:space="preserve">The read is not that altitude fails to shape disposal timing, which would fly in the face of both first-principles orbital mechanics and the published environment-modeling literature</w:t>
      </w:r>
      <w:r>
        <w:t xml:space="preserve"> </w:t>
      </w:r>
      <w:hyperlink w:anchor="ref-6">
        <w:r>
          <w:rPr>
            <w:rStyle w:val="Hyperlink"/>
          </w:rPr>
          <w:t xml:space="preserve">[6]</w:t>
        </w:r>
      </w:hyperlink>
      <w:r>
        <w:t xml:space="preserve">. The read is that a sample of 32 observations spanning altitudes that include a geostationary signaling case simply lacks the variation, once the other regressors are conditioned on, to pin the altitude effect down. The point estimate lines up with the natural-compliance baseline Colombo and colleagues set out</w:t>
      </w:r>
      <w:r>
        <w:t xml:space="preserve"> </w:t>
      </w:r>
      <w:hyperlink w:anchor="ref-8">
        <w:r>
          <w:rPr>
            <w:rStyle w:val="Hyperlink"/>
          </w:rPr>
          <w:t xml:space="preserve">[8]</w:t>
        </w:r>
      </w:hyperlink>
      <w:r>
        <w:t xml:space="preserve"> </w:t>
      </w:r>
      <w:r>
        <w:t xml:space="preserve">and with the reference-scenario environment-modeling work that anchors the modern debris-evolution literature</w:t>
      </w:r>
      <w:r>
        <w:t xml:space="preserve"> </w:t>
      </w:r>
      <w:hyperlink w:anchor="ref-6">
        <w:r>
          <w:rPr>
            <w:rStyle w:val="Hyperlink"/>
          </w:rPr>
          <w:t xml:space="preserve">[6]</w:t>
        </w:r>
      </w:hyperlink>
      <w:r>
        <w:t xml:space="preserve">. The binding constraint is the standard error, not the sign.</w:t>
      </w:r>
    </w:p>
    <w:bookmarkEnd w:id="111"/>
    <w:bookmarkStart w:id="112" w:name="the-mass-control"/>
    <w:p>
      <w:pPr>
        <w:pStyle w:val="Heading3"/>
        <w:spacing w:line="480" w:lineRule="auto"/>
      </w:pPr>
      <w:r>
        <w:t xml:space="preserve">6.2.3 The Mass Control</w:t>
      </w:r>
    </w:p>
    <w:p>
      <w:pPr>
        <w:pStyle w:val="FirstParagraph"/>
        <w:spacing w:line="480" w:lineRule="auto"/>
      </w:pPr>
      <w:r>
        <w:t xml:space="preserve">Launch mass in kilograms lands at -0.0008, standard error 0.0005, p-value 0.1262. The sign is negative once more, and the direction again fits operational intuition: heavier missions, which in this sample tilt toward flagship civil platforms and large geostationary communications systems, take longer to dispose. Per kilogram the magnitude is small, as it must be, since the mass variation that matters runs across more than three orders of magnitude in the sample. Take a representative spread, say a 500-kilogram move, and the implied log hazard change is about -0.40, a hazard ratio near 0.67. The Wald ratio comes to roughly -1.53 and the p-value sits just past the conventional 0.10 threshold.</w:t>
      </w:r>
    </w:p>
    <w:p>
      <w:pPr>
        <w:pStyle w:val="BodyText"/>
        <w:spacing w:line="480" w:lineRule="auto"/>
        <w:ind w:firstLine="720"/>
      </w:pPr>
      <w:r>
        <w:t xml:space="preserve">Read for substance, mass acts in this sample as a slow structural covariate whose effect is thrown into shade by the far bigger engagement coefficient. It earns inclusion less for any standalone inferential role than because dropping it would leave the SSR coefficient exposed to the charge that the engaged subsample is simply lighter, and lighter missions decay faster whatever the operator does. The point estimate confirms a mass gradient pointing the expected way, and the SSR coefficient survives keeping it in.</w:t>
      </w:r>
    </w:p>
    <w:bookmarkEnd w:id="112"/>
    <w:bookmarkStart w:id="113" w:name="the-commercial-indicator"/>
    <w:p>
      <w:pPr>
        <w:pStyle w:val="Heading3"/>
        <w:spacing w:line="480" w:lineRule="auto"/>
      </w:pPr>
      <w:r>
        <w:t xml:space="preserve">6.2.4 The Commercial Indicator</w:t>
      </w:r>
    </w:p>
    <w:p>
      <w:pPr>
        <w:pStyle w:val="FirstParagraph"/>
        <w:spacing w:line="480" w:lineRule="auto"/>
      </w:pPr>
      <w:r>
        <w:t xml:space="preserve">The commercial-operator indicator lands at -0.3366, standard error 0.8368, p-value 0.6875. Measured against its standard error this point estimate is the weakest of the four in absolute value, its Wald ratio about -0.40, and it alone carries a sign that says nothing, since the confidence interval clears zero by a wide margin. Read for substance, once SSR engagement and the engineering covariates are held fixed, the commercial-versus-government split carries no standalone explanatory power for disposal timing. Two readings are open. One is that the relevant variation in disposal practice has moved from operator class to operator behavior, so that commercial actors who take the SSR step act like the most disciplined government actors while commercial actors who skip it act like the least disciplined. The other is that the commercial-versus-government coding is too blunt to catch the spread inside each class. Both sit comfortably with the discourse-analytic regime Yap and colleagues describe, in which the SSR has been cast as the boundary object that re-sorts operator practice across the public-private line</w:t>
      </w:r>
      <w:r>
        <w:t xml:space="preserve"> </w:t>
      </w:r>
      <w:hyperlink w:anchor="ref-3">
        <w:r>
          <w:rPr>
            <w:rStyle w:val="Hyperlink"/>
          </w:rPr>
          <w:t xml:space="preserve">[3]</w:t>
        </w:r>
      </w:hyperlink>
      <w:r>
        <w:t xml:space="preserve">.</w:t>
      </w:r>
    </w:p>
    <w:bookmarkEnd w:id="113"/>
    <w:bookmarkStart w:id="114" w:name="model-fit"/>
    <w:p>
      <w:pPr>
        <w:pStyle w:val="Heading3"/>
        <w:spacing w:line="480" w:lineRule="auto"/>
      </w:pPr>
      <w:r>
        <w:t xml:space="preserve">6.2.5 Model Fit</w:t>
      </w:r>
    </w:p>
    <w:p>
      <w:pPr>
        <w:pStyle w:val="FirstParagraph"/>
        <w:spacing w:line="480" w:lineRule="auto"/>
      </w:pPr>
      <w:r>
        <w:t xml:space="preserve">Two figures sum up the Cox fit: the event-to-observation ratio (18 of 32) and the convergence of the partial-likelihood optimization onto a stable point estimate for the four-covariate specification. Partial likelihood yields no R-squared analog, so the right fit summary for a small-sample Cox model is the event count together with the precision of the headline coefficient and the sign-consistency of the controls. On all three the model reads. Eighteen events is enough to identify a four-parameter Cox specification under the rule of thumb wanting at least five events per estimated coefficient, and the SSR coefficient is identified at the 0.001 level. So the chapter takes the Paper 1 fit as good enough for directional inference and short of good enough for population-parameter inference, which is just the stance the prospectus had braced for</w:t>
      </w:r>
      <w:r>
        <w:t xml:space="preserve"> </w:t>
      </w:r>
      <w:hyperlink w:anchor="ref-4">
        <w:r>
          <w:rPr>
            <w:rStyle w:val="Hyperlink"/>
          </w:rPr>
          <w:t xml:space="preserve">[4]</w:t>
        </w:r>
      </w:hyperlink>
      <w:r>
        <w:t xml:space="preserve">.</w:t>
      </w:r>
    </w:p>
    <w:bookmarkEnd w:id="114"/>
    <w:bookmarkEnd w:id="115"/>
    <w:bookmarkStart w:id="121" w:name="paper-2-the-logit-on-public-commitment"/>
    <w:p>
      <w:pPr>
        <w:pStyle w:val="Heading2"/>
        <w:spacing w:line="480" w:lineRule="auto"/>
      </w:pPr>
      <w:r>
        <w:t xml:space="preserve">6.3 Paper 2: The Logit on Public Commitment</w:t>
      </w:r>
    </w:p>
    <w:bookmarkStart w:id="116" w:name="model-fit-1"/>
    <w:p>
      <w:pPr>
        <w:pStyle w:val="Heading3"/>
        <w:spacing w:line="480" w:lineRule="auto"/>
      </w:pPr>
      <w:r>
        <w:t xml:space="preserve">6.3.1 Model Fit</w:t>
      </w:r>
    </w:p>
    <w:p>
      <w:pPr>
        <w:pStyle w:val="FirstParagraph"/>
        <w:spacing w:line="480" w:lineRule="auto"/>
      </w:pPr>
      <w:r>
        <w:t xml:space="preserve">Paper 2’s logit converges on 35 observations at a maximized log-likelihood of -12.237 and a McFadden pseudo-R-squared of 0.470. A pseudo-R-squared up there runs large for cross-sectional binary-outcome work in social and policy settings, and it mirrors the very strong tie between the operational signal covariate and the public commitment outcome. The likelihood-ratio gain over the constant-only model sits implicit in the pseudo-R-squared and squares with rejecting the null that the three covariates say nothing jointly. So the fit summary backs reading the individual coefficients, with the caveat that a small sample caps the precision of the marginal-effect estimates</w:t>
      </w:r>
      <w:r>
        <w:t xml:space="preserve"> </w:t>
      </w:r>
      <w:hyperlink w:anchor="ref-11">
        <w:r>
          <w:rPr>
            <w:rStyle w:val="Hyperlink"/>
          </w:rPr>
          <w:t xml:space="preserve">[11]</w:t>
        </w:r>
      </w:hyperlink>
      <w:r>
        <w:t xml:space="preserve">.</w:t>
      </w:r>
    </w:p>
    <w:bookmarkEnd w:id="116"/>
    <w:bookmarkStart w:id="117" w:name="the-operational-signal-coefficient"/>
    <w:p>
      <w:pPr>
        <w:pStyle w:val="Heading3"/>
        <w:spacing w:line="480" w:lineRule="auto"/>
      </w:pPr>
      <w:r>
        <w:t xml:space="preserve">6.3.2 The Operational Signal Coefficient</w:t>
      </w:r>
    </w:p>
    <w:p>
      <w:pPr>
        <w:pStyle w:val="FirstParagraph"/>
        <w:spacing w:line="480" w:lineRule="auto"/>
      </w:pPr>
      <w:r>
        <w:t xml:space="preserve">On the operational signal indicator, which flags whether the operator has either applied for an SSR rating or published a documented five-year post-mission disposal plan, sits the headline coefficient. It comes to 4.2216, standard error 1.3210, p-value 0.0014. The Wald ratio runs about 3.20, backing rejection of the null at the conventional 0.01 level. What that says is that operators who have already taken a specific operational step are far likelier to have also issued a public sustainability commitment than operators who have not.</w:t>
      </w:r>
    </w:p>
    <w:p>
      <w:pPr>
        <w:pStyle w:val="BodyText"/>
        <w:spacing w:line="480" w:lineRule="auto"/>
        <w:ind w:firstLine="720"/>
      </w:pPr>
      <w:r>
        <w:t xml:space="preserve">A magnitude of 4.22 on the logit scale implies a huge odds ratio raw, on the order of 68. The right read of so large a coefficient on so small a sample is not that the odds ratio names the population effect but that operational signal and public statement sit very nearly collinear here. The operators who take the binding action and the operators who issue the public statement are very nearly one set. That is the pattern driving the credible-commitment read: the rating, or its stand-in in the shape of a specific PMD timeline, rides bundled with the discursive commitment counterparties read [4, 7]. The bundle is the unit of signal, and it is the bundle the underwriting and licensing language tracks in the qualitative corpus.</w:t>
      </w:r>
    </w:p>
    <w:bookmarkEnd w:id="117"/>
    <w:bookmarkStart w:id="118" w:name="fleet-scale"/>
    <w:p>
      <w:pPr>
        <w:pStyle w:val="Heading3"/>
        <w:spacing w:line="480" w:lineRule="auto"/>
      </w:pPr>
      <w:r>
        <w:t xml:space="preserve">6.3.3 Fleet Scale</w:t>
      </w:r>
    </w:p>
    <w:p>
      <w:pPr>
        <w:pStyle w:val="FirstParagraph"/>
        <w:spacing w:line="480" w:lineRule="auto"/>
      </w:pPr>
      <w:r>
        <w:t xml:space="preserve">Cast as the log of the number of satellites on orbit or under FCC review, the fleet-scale covariate lands at 0.1263, standard error 0.2968, p-value 0.6705. A Wald ratio near 0.43 sits well inside the null region. The sign is positive, fitting the prediction that bigger fleets concentrate residual liability and pull regulatory and reputational scrutiny, yet the magnitude is small against the operational signal coefficient and the standard error is wide enough to leave the coefficient short of distinguishable from zero. Read for substance, once operational signal is held fixed, fleet scale carries no standalone explanatory power for the public commitment outcome. Whatever commitment variation scale might have forecast gets soaked up instead by the operational signal covariate, which itself moves with scale at the top of the distribution where the large-constellation operators live</w:t>
      </w:r>
      <w:r>
        <w:t xml:space="preserve"> </w:t>
      </w:r>
      <w:hyperlink w:anchor="ref-8">
        <w:r>
          <w:rPr>
            <w:rStyle w:val="Hyperlink"/>
          </w:rPr>
          <w:t xml:space="preserve">[8]</w:t>
        </w:r>
      </w:hyperlink>
      <w:r>
        <w:t xml:space="preserve">.</w:t>
      </w:r>
    </w:p>
    <w:bookmarkEnd w:id="118"/>
    <w:bookmarkStart w:id="119" w:name="leo-exposure"/>
    <w:p>
      <w:pPr>
        <w:pStyle w:val="Heading3"/>
        <w:spacing w:line="480" w:lineRule="auto"/>
      </w:pPr>
      <w:r>
        <w:t xml:space="preserve">6.3.4 LEO Exposure</w:t>
      </w:r>
    </w:p>
    <w:p>
      <w:pPr>
        <w:pStyle w:val="FirstParagraph"/>
        <w:spacing w:line="480" w:lineRule="auto"/>
      </w:pPr>
      <w:r>
        <w:t xml:space="preserve">Set as the share of the operator’s lead system flying in low Earth orbit, the LEO-share covariate lands at 0.2016, standard error 1.4502, p-value 0.8895. The sign is positive, pointing the way the conjunction-exposure logic calls for, yet the standard error runs about seven times the point estimate and the Wald ratio is roughly 0.14. LEO exposure leaves no detectable mark on the public commitment outcome once operational signal is held fixed. The substantive read runs parallel to the fleet-scale one. Orbital regime shapes the operator’s incentive to take the operational step, and once the operational signal covariate books that step, orbital regime adds nothing further to explaining the public commitment outcome.</w:t>
      </w:r>
    </w:p>
    <w:bookmarkEnd w:id="119"/>
    <w:bookmarkStart w:id="120" w:name="the-intercept"/>
    <w:p>
      <w:pPr>
        <w:pStyle w:val="Heading3"/>
        <w:spacing w:line="480" w:lineRule="auto"/>
      </w:pPr>
      <w:r>
        <w:t xml:space="preserve">6.3.5 The Intercept</w:t>
      </w:r>
    </w:p>
    <w:p>
      <w:pPr>
        <w:pStyle w:val="FirstParagraph"/>
        <w:spacing w:line="480" w:lineRule="auto"/>
      </w:pPr>
      <w:r>
        <w:t xml:space="preserve">The intercept comes to -2.7686, standard error 1.6967, p-value 0.1027. Run through the inverse logit into a baseline probability, it implies, for an operator at zero on all three covariates, a probability of public commitment of roughly 0.06. Read for substance, with no operational signal in hand the baseline pull toward issuing a public sustainability commitment stays low whatever the size or orbital regime. The intercept clears no conventional 0.05 significance, so the exact level of that baseline probability is not pinned down by the data, though the direction is plain. The result squares with the credible-commitment account under which the rating or the PMD plan is the necessary precursor and the public statement trails it.</w:t>
      </w:r>
    </w:p>
    <w:bookmarkEnd w:id="120"/>
    <w:bookmarkEnd w:id="121"/>
    <w:bookmarkStart w:id="122" w:name="joint-reading-of-the-two-estimations"/>
    <w:p>
      <w:pPr>
        <w:pStyle w:val="Heading2"/>
        <w:spacing w:line="480" w:lineRule="auto"/>
      </w:pPr>
      <w:r>
        <w:t xml:space="preserve">6.4 Joint Reading of the Two Estimations</w:t>
      </w:r>
    </w:p>
    <w:p>
      <w:pPr>
        <w:pStyle w:val="FirstParagraph"/>
        <w:spacing w:line="480" w:lineRule="auto"/>
      </w:pPr>
      <w:r>
        <w:t xml:space="preserve">On the dissertation’s central question the two estimations pull the same way. Paper 1 ties SSR engagement to a higher instantaneous hazard of finishing post-mission disposal once the engineering covariates that govern natural compliance are held fixed. Paper 2 ties operators who take the operational step of an SSR application or a documented PMD plan to being far likelier to also issue a public sustainability commitment. The behavioral outcome and the discursive outcome both load on the same operational signal, and both load the way the credible-commitment theory of the rating predicts [4, 7].</w:t>
      </w:r>
    </w:p>
    <w:p>
      <w:pPr>
        <w:pStyle w:val="BodyText"/>
        <w:spacing w:line="480" w:lineRule="auto"/>
        <w:ind w:firstLine="720"/>
      </w:pPr>
      <w:r>
        <w:t xml:space="preserve">Three integrative points bear recording before the discussion chapter picks them up.</w:t>
      </w:r>
    </w:p>
    <w:p>
      <w:pPr>
        <w:pStyle w:val="BodyText"/>
        <w:spacing w:line="480" w:lineRule="auto"/>
        <w:ind w:firstLine="720"/>
      </w:pPr>
      <w:r>
        <w:t xml:space="preserve">Take precision first. The Wald ratio on SSR engagement in Paper 1 runs about 3.31, and the Wald ratio on operational signal in Paper 2 runs about 3.20. Two independent specifications on two distinct samples land very close precision profiles. That squares with the joint-inference rule the prospectus set out, under which the credible-commitment read wants concordant evidence from both the behavioral channel and the discursive channel. The estimators meet at that concordance.</w:t>
      </w:r>
    </w:p>
    <w:p>
      <w:pPr>
        <w:pStyle w:val="BodyText"/>
        <w:spacing w:line="480" w:lineRule="auto"/>
        <w:ind w:firstLine="720"/>
      </w:pPr>
      <w:r>
        <w:t xml:space="preserve">Take the controls next. They act alike across the two specifications. In Paper 1, mass and altitude carry signs pointing the way the natural-compliance literature calls for while falling short of significance at conventional thresholds. In Paper 2, fleet scale and LEO exposure carry signs pointing the way the exposure logic calls for while falling short of significance at conventional thresholds. In both, the signal covariate soaking up the structural covariates is the pattern. However it is defined, the signal covariate carries the work in both estimators.</w:t>
      </w:r>
    </w:p>
    <w:p>
      <w:pPr>
        <w:pStyle w:val="BodyText"/>
        <w:spacing w:line="480" w:lineRule="auto"/>
        <w:ind w:firstLine="720"/>
      </w:pPr>
      <w:r>
        <w:t xml:space="preserve">Take magnitude last. The signal coefficients in the two specifications run jointly larger than an inert reputational artifact would produce. A pseudo-R-squared of 0.47 in Paper 2 and a hazard ratio implied by Paper 1 near 55 are not what an inert indicator throws off. They are what an indicator throws off when it tracks the underlying operator type with high fidelity within sample. Whether the indicator induces the type or only sorts on it is the question the discussion chapter takes up, and the one the difference-in-differences and qualitative pieces of the broader research program are built to answer [3, 8].</w:t>
      </w:r>
    </w:p>
    <w:bookmarkEnd w:id="122"/>
    <w:bookmarkStart w:id="123" w:name="limits-internal-to-the-estimations"/>
    <w:p>
      <w:pPr>
        <w:pStyle w:val="Heading2"/>
        <w:spacing w:line="480" w:lineRule="auto"/>
      </w:pPr>
      <w:r>
        <w:t xml:space="preserve">6.5 Limits Internal to the Estimations</w:t>
      </w:r>
    </w:p>
    <w:p>
      <w:pPr>
        <w:pStyle w:val="FirstParagraph"/>
        <w:spacing w:line="480" w:lineRule="auto"/>
      </w:pPr>
      <w:r>
        <w:t xml:space="preserve">Internal limits do attach to the estimations, and setting them down here belongs to reading the findings honestly.</w:t>
      </w:r>
    </w:p>
    <w:p>
      <w:pPr>
        <w:pStyle w:val="BodyText"/>
        <w:spacing w:line="480" w:lineRule="auto"/>
        <w:ind w:firstLine="720"/>
      </w:pPr>
      <w:r>
        <w:t xml:space="preserve">Small at 32 observations, 18 events, runs the Cox sample. The four-covariate specification clears the events-per-coefficient rule of thumb only by a slim margin, and the headline coefficient’s precision should be read against that. A hazard ratio near 55 is tight within sample and is almost surely an upper bound on the population effect. The sorting of SSR-engaged missions into the post-2014 cohort, where large-constellation operational orbits at roughly 540 to 690 kilometers speed decay, is a confound the altitude control softens without fully absorbing [5, 6]. The standard errors on altitude and mass run wide enough that those covariates contribute less to the partial likelihood than a researcher would want when reading a coefficient the size of the one on engagement.</w:t>
      </w:r>
    </w:p>
    <w:p>
      <w:pPr>
        <w:pStyle w:val="BodyText"/>
        <w:spacing w:line="480" w:lineRule="auto"/>
        <w:ind w:firstLine="720"/>
      </w:pPr>
      <w:r>
        <w:t xml:space="preserve">Small at 35 observations, too, runs the logit sample. The pseudo-R-squared of 0.47 is large, yet the standard errors on the fleet-scale and LEO-exposure coefficients run wide enough that the model cannot speak precisely to those covariates’ marginal contribution past the operational signal. An intercept p-value of 0.1027 says the baseline probability of commitment is not tightly pinned. Two rows in the analytic dataset wear the illustrative flag because the negative case rests only on a finding’s absence, and the tilt toward Western operators mirrors the lopsided availability of English-language sustainability documentation. None of this overturns the directional read, though each pins down how far the estimator alone can carry the magnitude claim.</w:t>
      </w:r>
    </w:p>
    <w:p>
      <w:pPr>
        <w:pStyle w:val="BodyText"/>
        <w:spacing w:line="480" w:lineRule="auto"/>
        <w:ind w:firstLine="720"/>
      </w:pPr>
      <w:r>
        <w:t xml:space="preserve">Observational is what both papers are. Neither identifies a causal effect in the strict randomized-assignment sense of operators sorted into the rating regime by lot, and neither settles the selection-versus-induction question the prospectus named as the principal interpretive challenge. What this chapter contributes is the showing that the empirical associations the credible-commitment account predicts are there in the data at the precision the estimators support. The interpretive work of parting selection from induction, and the tie-in with the qualitative discourse analysis, waits for the discussion in Chapter 7.</w:t>
      </w:r>
    </w:p>
    <w:bookmarkEnd w:id="123"/>
    <w:bookmarkEnd w:id="124"/>
    <w:bookmarkStart w:id="131" w:name="X21322cb5e29cbf4eb576afddcad42f86ace4e0d"/>
    <w:p>
      <w:pPr>
        <w:pStyle w:val="Heading1"/>
        <w:spacing w:line="480" w:lineRule="auto"/>
      </w:pPr>
      <w:r>
        <w:t xml:space="preserve">Chapter 7. Discussion and Governance Implications</w:t>
      </w:r>
    </w:p>
    <w:bookmarkStart w:id="125" w:name="what-the-findings-mean-taken-together"/>
    <w:p>
      <w:pPr>
        <w:pStyle w:val="Heading2"/>
        <w:spacing w:line="480" w:lineRule="auto"/>
      </w:pPr>
      <w:r>
        <w:t xml:space="preserve">7.1 What the Findings Mean, Taken Together</w:t>
      </w:r>
    </w:p>
    <w:p>
      <w:pPr>
        <w:pStyle w:val="FirstParagraph"/>
        <w:spacing w:line="480" w:lineRule="auto"/>
      </w:pPr>
      <w:r>
        <w:t xml:space="preserve">On one qualified inference the two empirical papers meet. The Cox proportional-hazards analysis of post-mission disposal timing returns a hazard ratio near 55 for missions whose operators engage the Space Sustainability Rating (SSR) ecosystem, once altitude, mass, and commercial status are held fixed, with the SSR coefficient significant at conventional levels (p = 0.0009) on a sample of 32 missions carrying 18 observed disposal events. Its companion logistic analysis of public sustainability commitments across 35 commercial operators returns the leading predictor of a public commitment as whether the operator has already taken a specific operational step, an SSR application or a documented five-year post-mission disposal plan (β = 4.22, p = 0.0014), while fleet size and low Earth orbit exposure fail to separate from zero on their own. Read side by side, the two results say the SSR rides with measurable mitigation behavior the way the credible-commitment theory it was designed under would predict [4, 7], yet that selection, not upstream behavioral induction, structures the ride. The operators who earn the rating are operators who have already chosen to act on the commitment beneath it.</w:t>
      </w:r>
    </w:p>
    <w:p>
      <w:pPr>
        <w:pStyle w:val="BodyText"/>
        <w:spacing w:line="480" w:lineRule="auto"/>
        <w:ind w:firstLine="720"/>
      </w:pPr>
      <w:r>
        <w:t xml:space="preserve">This is neither a null finding nor a vindication. It is a structural one. On the evidence in hand, the SSR works as a downstream confirmation device that packs an operator’s pre-existing mitigation trajectory into a legible market signal, rather than as an upstream forcing mechanism that turns indifferent operators into compliant ones. That line matters for governance, because it fixes which kind of intervention the rating can back and which it cannot. A confirmation device firms up contracting, underwriting, and procurement at the moment a call is made on an operator who has already self-sorted into the participating pool. A forcing mechanism would pull the marginal non-participating operator into the pool to begin with. The dissertation’s evidence squares with the first read and leaves the second undetermined. The constitutive literature on the SSR has stated its design intent as both indicator and incentive plainly [1, 4, 7]; the present results say the indicator function shows up while the incentive function waits on a research design that can isolate it.</w:t>
      </w:r>
    </w:p>
    <w:p>
      <w:pPr>
        <w:pStyle w:val="BodyText"/>
        <w:spacing w:line="480" w:lineRule="auto"/>
        <w:ind w:firstLine="720"/>
      </w:pPr>
      <w:r>
        <w:t xml:space="preserve">The behavioral effect the Cox model estimates should be read against the discursive evidence Yap and colleagues assembled, who cast debris-mitigation discourse as an emerging socio-technical regime in which voluntary instruments bank legitimacy through being invoked over and over by operators, insurers, and regulators</w:t>
      </w:r>
      <w:r>
        <w:t xml:space="preserve"> </w:t>
      </w:r>
      <w:hyperlink w:anchor="ref-3">
        <w:r>
          <w:rPr>
            <w:rStyle w:val="Hyperlink"/>
          </w:rPr>
          <w:t xml:space="preserve">[3]</w:t>
        </w:r>
      </w:hyperlink>
      <w:r>
        <w:t xml:space="preserve">. The dissertation’s quantitative findings square with that regime reading in that observable mitigation behavior and discursive uptake grow together. The dissertation pushes the discourse-network framing further by showing the rating’s tie to behavior real but selective: the rating books operators who have already committed and surfaces that commitment for counterparties who would otherwise have to check it themselves. In Colombo and colleagues’ framing of space capacity management as a layered system of administrative, technical, and market instruments</w:t>
      </w:r>
      <w:r>
        <w:t xml:space="preserve"> </w:t>
      </w:r>
      <w:hyperlink w:anchor="ref-8">
        <w:r>
          <w:rPr>
            <w:rStyle w:val="Hyperlink"/>
          </w:rPr>
          <w:t xml:space="preserve">[8]</w:t>
        </w:r>
      </w:hyperlink>
      <w:r>
        <w:t xml:space="preserve">, the SSR looks to hold the market layer in a particular way. It cuts verification cost for the contracting and underwriting nodes of the system without on its own moving the capacity underneath.</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NASA, the operational upshot turns on how the agency puts commercial sustainability signals to work in three distinct decision settings: source selection for commercial services, mission assurance for rideshare manifests and hosted-payload arrangements, and the agency’s own civil-mission planning under the post-mission disposal guidelines flowing down from the Orbital Debris Mitigation Standard Practices.</w:t>
      </w:r>
    </w:p>
    <w:p>
      <w:pPr>
        <w:pStyle w:val="BodyText"/>
        <w:spacing w:line="480" w:lineRule="auto"/>
        <w:ind w:firstLine="720"/>
      </w:pPr>
      <w:r>
        <w:t xml:space="preserve">Where source selection is concerned, the findings argue for treating SSR participation as a real but not-sufficient information good. The hazard-ratio result says participating operators act differently in the disposal dimension the rating means to capture, once the altitude and mass parameters that govern natural compliance are held fixed. So NASA can put SSR status to work as an evaluation input without overreaching on what it stands for. In concrete terms, the agency can fold participation into past-performance and mission-suitability evaluation under the existing Federal Acquisition Regulation framework as a documentable element, so long as the evaluation language takes care not to let the rating stand in for the agency’s own assurance review. That participation trails operator-specific reputational and contractual conditions, institutional investors, government customers, and prime-contractor flowdowns among them, is the logistic finding, and it says NASA’s own past procurement calls are part of the selection pressure that yields participation to begin with. The agency already sits inside the rating’s signal-making process, and owning that interdependence matters on both fair-evaluation and self-attribution grounds.</w:t>
      </w:r>
    </w:p>
    <w:p>
      <w:pPr>
        <w:pStyle w:val="BodyText"/>
        <w:spacing w:line="480" w:lineRule="auto"/>
        <w:ind w:firstLine="720"/>
      </w:pPr>
      <w:r>
        <w:t xml:space="preserve">Where mission assurance for rideshare and hosted-payload arrangements is concerned, the upshot cuts sharper. NASA payloads riding commercial buses take on the bus operator’s mitigation posture through the operational and disposal phases of the mission, and the findings say visible participation in the SSR ecosystem rides with shorter disposal timelines, which bears materially on the agency’s collision-probability exposure across the disposal interval [5, 6]. Program offices that pick bus providers without weighting that correlation are, in expectation, signing up for longer residual on-orbit exposure on the agency’s hosted assets. What follows is not that NASA should mandate participation, which the agency cannot do on its own authority, but that program offices should frame their bus-provider trade studies so participation scores as an attribute alongside the bus’s published reliability and disposal-engineering record. Wander and colleagues’ analysis of self-removal autonomy speaks straight to this, since the operational concept for status detection and removal triggering is the engineering substrate the rating’s behavioral correlate is picking up on</w:t>
      </w:r>
      <w:r>
        <w:t xml:space="preserve"> </w:t>
      </w:r>
      <w:hyperlink w:anchor="ref-12">
        <w:r>
          <w:rPr>
            <w:rStyle w:val="Hyperlink"/>
          </w:rPr>
          <w:t xml:space="preserve">[12]</w:t>
        </w:r>
      </w:hyperlink>
      <w:r>
        <w:t xml:space="preserve">.</w:t>
      </w:r>
    </w:p>
    <w:p>
      <w:pPr>
        <w:pStyle w:val="BodyText"/>
        <w:spacing w:line="480" w:lineRule="auto"/>
        <w:ind w:firstLine="720"/>
      </w:pPr>
      <w:r>
        <w:t xml:space="preserve">Where civil-mission planning is concerned, the upshot turns on NASA’s own standing in the rated-missions registry. That the rating is a downstream confirmation device means the agency’s choice to take part, or not, with its own civil missions carries a signal to the commercial sector about how the agency views the instrument. Should NASA’s civil missions stay off the rated-mission registry while the agency leans on participation as a source-selection input for commercial buys, the agency is asking commercial operators to show a commitment it has not shown itself. That gap holds up only if the agency is plain about the reasons, which take in the differences between civil-mission disposal economics at higher altitudes and the rating’s altitude-sensitive scoring [11, 17]. A program-management posture that engages the rating for at least some civil missions in regimes where its behavioral signal informs would close the gap and yield internal evidence on the rating’s diagnostic value for the agency’s own portfolio.</w:t>
      </w:r>
    </w:p>
    <w:bookmarkEnd w:id="126"/>
    <w:bookmarkStart w:id="127" w:name="implications-for-jpl-decision-making"/>
    <w:p>
      <w:pPr>
        <w:pStyle w:val="Heading2"/>
        <w:spacing w:line="480" w:lineRule="auto"/>
      </w:pPr>
      <w:r>
        <w:t xml:space="preserve">7.3 Implications for JPL Decision-Making</w:t>
      </w:r>
    </w:p>
    <w:p>
      <w:pPr>
        <w:pStyle w:val="FirstParagraph"/>
        <w:spacing w:line="480" w:lineRule="auto"/>
      </w:pPr>
      <w:r>
        <w:t xml:space="preserve">In the decision architecture the SSR speaks to, the Jet Propulsion Laboratory holds a particular spot. JPL’s flagship missions mostly fly outside low Earth orbit, where the rating’s altitude-mass scoring logic is calibrated [4, 8], and the laboratory’s spacecraft contractors run a mix of in-house build, prime-contractor partnerships, and emerging commercial bus providers. Three upshots follow from the findings, each pinned to a specific decision node in the laboratory’s program lifecycle.</w:t>
      </w:r>
    </w:p>
    <w:p>
      <w:pPr>
        <w:pStyle w:val="BodyText"/>
        <w:spacing w:line="480" w:lineRule="auto"/>
        <w:ind w:firstLine="720"/>
      </w:pPr>
      <w:r>
        <w:t xml:space="preserve">At the formulation stage of LEO-component missions, technology demonstrators, university-class missions, and constellation-architecture elements JPL may instrument or partner on included, the results argue for reading SSR participation by the bus or constellation operator as a tractable stand-in for disposal-discipline expectations. The stand-in is no guarantee, and the Cox finding is walled in by the small-sample crowding of participating operators into the post-2014 large-constellation cohort. But for a JPL mission manager weighing two otherwise matched LEO platform options, participation is a real piece of evidence on expected end-of-life behavior, and JPL’s formulation-stage trade studies should book that evidence rather than toss it.</w:t>
      </w:r>
    </w:p>
    <w:p>
      <w:pPr>
        <w:pStyle w:val="BodyText"/>
        <w:spacing w:line="480" w:lineRule="auto"/>
        <w:ind w:firstLine="720"/>
      </w:pPr>
      <w:r>
        <w:t xml:space="preserve">At the partner-selection stage for international flagship collaborations, the dissertation’s qualitative framing applies directly. International partners increasingly reach for the SSR in their own sustainability disclosures and procurement language [3, 7], and JPL’s negotiating footing in partner agreements gains from grasping how partners read the rating. The discursive evidence says the rating’s legitimacy in counterparty communication is real and growing, even where its causal grip on behavior stays contested. JPL gains from being able to speak to the rating’s structure in technical detail while negotiating end-of-life and disposal terms with partners whose home-state regulators are themselves edging toward folding the rating in, emerging European and EU-adjacent regulatory developments that Polkowska and Chimicz document among them</w:t>
      </w:r>
      <w:r>
        <w:t xml:space="preserve"> </w:t>
      </w:r>
      <w:hyperlink w:anchor="ref-20">
        <w:r>
          <w:rPr>
            <w:rStyle w:val="Hyperlink"/>
          </w:rPr>
          <w:t xml:space="preserve">[20]</w:t>
        </w:r>
      </w:hyperlink>
      <w:r>
        <w:t xml:space="preserve">.</w:t>
      </w:r>
    </w:p>
    <w:p>
      <w:pPr>
        <w:pStyle w:val="BodyText"/>
        <w:spacing w:line="480" w:lineRule="auto"/>
        <w:ind w:firstLine="720"/>
      </w:pPr>
      <w:r>
        <w:t xml:space="preserve">At the institutional-strategy stage, the laboratory’s recompete footing in the current federal environment turns in part on showing its technical practices line up with emerging sustainability norms. The findings say the SSR is turning into a coordination point at which that alignment is made visible. A laboratory strategy that engages the rating selectively, for missions where the engagement informs technically rather than performs, would let JPL signal its mitigation practices are externally checkable while keeping the laboratory’s professional judgment on which missions the rating actually fits. Lifson and colleagues’ work on reference scenarios and supporting inputs for space environment modeling is the technical bridge letting JPL speak to its mitigation posture in the same modeling vocabulary as the rating’s underlying analytics [14, 24].</w:t>
      </w:r>
    </w:p>
    <w:bookmarkEnd w:id="127"/>
    <w:bookmarkStart w:id="128" w:name="limitations"/>
    <w:p>
      <w:pPr>
        <w:pStyle w:val="Heading2"/>
        <w:spacing w:line="480" w:lineRule="auto"/>
      </w:pPr>
      <w:r>
        <w:t xml:space="preserve">7.4 Limitations</w:t>
      </w:r>
    </w:p>
    <w:p>
      <w:pPr>
        <w:pStyle w:val="FirstParagraph"/>
        <w:spacing w:line="480" w:lineRule="auto"/>
      </w:pPr>
      <w:r>
        <w:t xml:space="preserve">Structural are the dissertation’s limitations, and they should not be played down.</w:t>
      </w:r>
    </w:p>
    <w:p>
      <w:pPr>
        <w:pStyle w:val="BodyText"/>
        <w:spacing w:line="480" w:lineRule="auto"/>
        <w:ind w:firstLine="720"/>
      </w:pPr>
      <w:r>
        <w:t xml:space="preserve">Statistically tight yet underpowered for the run of subgroup analyses a fuller policy evaluation would demand is the Cox specification on 32 missions and 18 events. Its estimated hazard ratio is sharp within the sample but should be read as an upper bound on the population effect, both because participating operators crowd into the post-2014 cohort at lower operational altitudes where atmospheric drag speeds decay, and because the indicator books engagement with the rating regime rather than the rating value itself. The logistic specification on 35 operators is boxed in the same way: its binary outcome flattens a richer spread of commitment intensity into a single split, and its dataset tilts toward Western operators because non-Western operators put out less English-language sustainability documentation. Two rows in each paper wear the illustrative flag where the record yields a qualitative reading without a precise numeric milestone. Those flags are honest, and they warn that the magnitudes should not be over-read.</w:t>
      </w:r>
    </w:p>
    <w:p>
      <w:pPr>
        <w:pStyle w:val="BodyText"/>
        <w:spacing w:line="480" w:lineRule="auto"/>
        <w:ind w:firstLine="720"/>
      </w:pPr>
      <w:r>
        <w:t xml:space="preserve">Held to within-sample behavioral covariation is the dissertation’s identification claim. The Cox model does not part selection from behavioral change, and the logistic model states plainly that the operational step and the public statement sit observationally inseparable in the data at hand. The credible-commitment read squares with the evidence yet is not singled out by it. A world in which participating operators already sat on an improving disposal trajectory before engaging the rating is observationally the same as a world in which the rating itself moved their behavior. Telling the two apart wants either operator-fixed-effects panels of the kind the prospectus proposes for the main difference-in-differences design, or an instrument that shifts participation without shifting disposal incentives on its own. The dissertation reaches no such instrument and claims none.</w:t>
      </w:r>
    </w:p>
    <w:p>
      <w:pPr>
        <w:pStyle w:val="BodyText"/>
        <w:spacing w:line="480" w:lineRule="auto"/>
        <w:ind w:firstLine="720"/>
      </w:pPr>
      <w:r>
        <w:t xml:space="preserve">Assembled from a particular window of regulatory and industry communication was the qualitative discourse evidence Yap and colleagues drew on</w:t>
      </w:r>
      <w:r>
        <w:t xml:space="preserve"> </w:t>
      </w:r>
      <w:hyperlink w:anchor="ref-3">
        <w:r>
          <w:rPr>
            <w:rStyle w:val="Hyperlink"/>
          </w:rPr>
          <w:t xml:space="preserve">[3]</w:t>
        </w:r>
      </w:hyperlink>
      <w:r>
        <w:t xml:space="preserve">, and the dissertation’s use of it takes on the same temporal reach. The rating’s discursive uptake has grown since that corpus closed, but a systematic refresh of the discourse network sits past the present work’s scope. So the discourse-side evidence here should be read as a directional triangulation, not an independent test.</w:t>
      </w:r>
    </w:p>
    <w:p>
      <w:pPr>
        <w:pStyle w:val="BodyText"/>
        <w:spacing w:line="480" w:lineRule="auto"/>
        <w:ind w:firstLine="720"/>
      </w:pPr>
      <w:r>
        <w:t xml:space="preserve">Two adjacent strands of the literature go unengaged to the depth they finally deserve. One is the work on space capacity management as an integrated system, which Colombo and colleagues frame as the interplay of administrative, technical, and market instruments at the scale of orbital shells [8, 13]. The dissertation reads the SSR as a market instrument and mostly brackets its interplay with the administrative layer that ITU, FCC, and ESA disposal regulation stand for. The other is the active debris removal literature, where Tuttle, McKnight, and Maclay cast the strategic refinement of removal targeting as a complement to mitigation</w:t>
      </w:r>
      <w:r>
        <w:t xml:space="preserve"> </w:t>
      </w:r>
      <w:hyperlink w:anchor="ref-27">
        <w:r>
          <w:rPr>
            <w:rStyle w:val="Hyperlink"/>
          </w:rPr>
          <w:t xml:space="preserve">[27]</w:t>
        </w:r>
      </w:hyperlink>
      <w:r>
        <w:t xml:space="preserve">. The SSR may interact with removal economics in ways the dissertation leaves alone. These are scope calls rather than oversights, yet they bound the dissertation’s policy reach.</w:t>
      </w:r>
    </w:p>
    <w:bookmarkEnd w:id="128"/>
    <w:bookmarkStart w:id="129" w:name="future-research"/>
    <w:p>
      <w:pPr>
        <w:pStyle w:val="Heading2"/>
        <w:spacing w:line="480" w:lineRule="auto"/>
      </w:pPr>
      <w:r>
        <w:t xml:space="preserve">7.5 Future Research</w:t>
      </w:r>
    </w:p>
    <w:p>
      <w:pPr>
        <w:pStyle w:val="FirstParagraph"/>
        <w:spacing w:line="480" w:lineRule="auto"/>
      </w:pPr>
      <w:r>
        <w:t xml:space="preserve">Five directions come naturally out of the findings and limitations.</w:t>
      </w:r>
    </w:p>
    <w:p>
      <w:pPr>
        <w:pStyle w:val="BodyText"/>
        <w:spacing w:line="480" w:lineRule="auto"/>
        <w:ind w:firstLine="720"/>
      </w:pPr>
      <w:r>
        <w:t xml:space="preserve">First is the operator-fixed-effects panel the prospectus pre-registered as the main identification strategy. The Cox and logistic analyses here are tractable on the data assembled inside the dissertation’s window, and they answer their stated questions, yet a staggered-adoption difference-in-differences design with explicit pre-trend testing identifies the credible-commitment claim more cleanly. The pre-registered specification stands, and the present results say the strength of the cross-sectional covariation reported here justifies the effort to build the operator-month panel. Lifson and colleagues’ reference scenarios furnish the modeling substrate for the panel’s outcome construction [14, 24].</w:t>
      </w:r>
    </w:p>
    <w:p>
      <w:pPr>
        <w:pStyle w:val="BodyText"/>
        <w:spacing w:line="480" w:lineRule="auto"/>
        <w:ind w:firstLine="720"/>
      </w:pPr>
      <w:r>
        <w:t xml:space="preserve">Second is the continuous-treatment extension. The current Cox specification runs a binary engagement indicator, which books the act of participating but not the rating value. Pulling the disaggregated tier scores from the SSR registry</w:t>
      </w:r>
      <w:r>
        <w:t xml:space="preserve"> </w:t>
      </w:r>
      <w:hyperlink w:anchor="ref-18">
        <w:r>
          <w:rPr>
            <w:rStyle w:val="Hyperlink"/>
          </w:rPr>
          <w:t xml:space="preserve">[18]</w:t>
        </w:r>
      </w:hyperlink>
      <w:r>
        <w:t xml:space="preserve"> </w:t>
      </w:r>
      <w:r>
        <w:t xml:space="preserve">would open the way to a dose-response form in which the hazard ratio scales with the rating tier. Dose-response is a stiffer test of the credible-commitment theory, since it wants the rating’s gradations to carry information past the binary participation choice. Bottcher and Silvestri’s multi-perspective analysis of sustainability metrics furnishes the methodological frame for the within-rating heterogeneity such an extension would open up [11, 17].</w:t>
      </w:r>
    </w:p>
    <w:p>
      <w:pPr>
        <w:pStyle w:val="BodyText"/>
        <w:spacing w:line="480" w:lineRule="auto"/>
        <w:ind w:firstLine="720"/>
      </w:pPr>
      <w:r>
        <w:t xml:space="preserve">Third is the tie-in with active debris removal economics. McKnight and Tuttle’s strategic-refinement work on debris removal</w:t>
      </w:r>
      <w:r>
        <w:t xml:space="preserve"> </w:t>
      </w:r>
      <w:hyperlink w:anchor="ref-27">
        <w:r>
          <w:rPr>
            <w:rStyle w:val="Hyperlink"/>
          </w:rPr>
          <w:t xml:space="preserve">[27]</w:t>
        </w:r>
      </w:hyperlink>
      <w:r>
        <w:t xml:space="preserve"> </w:t>
      </w:r>
      <w:r>
        <w:t xml:space="preserve">and Rusconi and Colombo’s model-based control framework for debris management</w:t>
      </w:r>
      <w:r>
        <w:t xml:space="preserve"> </w:t>
      </w:r>
      <w:hyperlink w:anchor="ref-32">
        <w:r>
          <w:rPr>
            <w:rStyle w:val="Hyperlink"/>
          </w:rPr>
          <w:t xml:space="preserve">[32]</w:t>
        </w:r>
      </w:hyperlink>
      <w:r>
        <w:t xml:space="preserve"> </w:t>
      </w:r>
      <w:r>
        <w:t xml:space="preserve">together stake out a research program in which the SSR’s behavioral effect is weighed jointly with removal-targeting economics. A research design conditioning the SSR’s marginal effect on the operator’s residual contribution to removal-target prioritization would test whether the rating shifts the removal burden on top of speeding disposal.</w:t>
      </w:r>
    </w:p>
    <w:p>
      <w:pPr>
        <w:pStyle w:val="BodyText"/>
        <w:spacing w:line="480" w:lineRule="auto"/>
        <w:ind w:firstLine="720"/>
      </w:pPr>
      <w:r>
        <w:t xml:space="preserve">Fourth is the comparative-regulatory extension. Polkowska and Chimicz’s analysis of Polish space-law development</w:t>
      </w:r>
      <w:r>
        <w:t xml:space="preserve"> </w:t>
      </w:r>
      <w:hyperlink w:anchor="ref-20">
        <w:r>
          <w:rPr>
            <w:rStyle w:val="Hyperlink"/>
          </w:rPr>
          <w:t xml:space="preserve">[20]</w:t>
        </w:r>
      </w:hyperlink>
      <w:r>
        <w:t xml:space="preserve"> </w:t>
      </w:r>
      <w:r>
        <w:t xml:space="preserve">and Verspieren’s analysis of US Air Force compliance with the Orbital Debris Mitigation Standard Practices</w:t>
      </w:r>
      <w:r>
        <w:t xml:space="preserve"> </w:t>
      </w:r>
      <w:hyperlink w:anchor="ref-23">
        <w:r>
          <w:rPr>
            <w:rStyle w:val="Hyperlink"/>
          </w:rPr>
          <w:t xml:space="preserve">[23]</w:t>
        </w:r>
      </w:hyperlink>
      <w:r>
        <w:t xml:space="preserve"> </w:t>
      </w:r>
      <w:r>
        <w:t xml:space="preserve">together point toward a comparative-regulatory design in which the SSR’s behavioral signal is weighed against the disclosure and compliance regimes of national space agencies. That design would test whether the rating’s incremental information value runs larger in jurisdictions where the underlying regulatory regime is looser, which is the prediction the credible-commitment theory throws off for voluntary instruments working in mixed regulatory environments.</w:t>
      </w:r>
    </w:p>
    <w:p>
      <w:pPr>
        <w:pStyle w:val="BodyText"/>
        <w:spacing w:line="480" w:lineRule="auto"/>
        <w:ind w:firstLine="720"/>
      </w:pPr>
      <w:r>
        <w:t xml:space="preserve">Fifth is the constellation-architecture extension. Sorge and colleagues’ analysis of space traffic management for large constellations</w:t>
      </w:r>
      <w:r>
        <w:t xml:space="preserve"> </w:t>
      </w:r>
      <w:hyperlink w:anchor="ref-30">
        <w:r>
          <w:rPr>
            <w:rStyle w:val="Hyperlink"/>
          </w:rPr>
          <w:t xml:space="preserve">[30]</w:t>
        </w:r>
      </w:hyperlink>
      <w:r>
        <w:t xml:space="preserve"> </w:t>
      </w:r>
      <w:r>
        <w:t xml:space="preserve">frames the architecture-level question the operator-level analyses here cannot answer. A constellation-architecture extension would read the rating not as a property of an operator but as a property of a constellation design, and would test whether the rating shapes the design calls made at the architecture stage, altitude selection, redundancy, and replenishment cadence among them. This extension links the dissertation’s behavioral findings to the upstream design decisions that finally set the orbital commons’s long-run carrying capacity, and it ties the analysis back to the resource-evaluation framework McKeown and colleagues put forward for potential space resources markets</w:t>
      </w:r>
      <w:r>
        <w:t xml:space="preserve"> </w:t>
      </w:r>
      <w:hyperlink w:anchor="ref-31">
        <w:r>
          <w:rPr>
            <w:rStyle w:val="Hyperlink"/>
          </w:rPr>
          <w:t xml:space="preserve">[31]</w:t>
        </w:r>
      </w:hyperlink>
      <w:r>
        <w:t xml:space="preserve">. The bi-cultural and transdisciplinary framing Varughese and colleagues offer</w:t>
      </w:r>
      <w:r>
        <w:t xml:space="preserve"> </w:t>
      </w:r>
      <w:hyperlink w:anchor="ref-33">
        <w:r>
          <w:rPr>
            <w:rStyle w:val="Hyperlink"/>
          </w:rPr>
          <w:t xml:space="preserve">[33]</w:t>
        </w:r>
      </w:hyperlink>
      <w:r>
        <w:t xml:space="preserve"> </w:t>
      </w:r>
      <w:r>
        <w:t xml:space="preserve">and the gamification framing Hurova offers</w:t>
      </w:r>
      <w:r>
        <w:t xml:space="preserve"> </w:t>
      </w:r>
      <w:hyperlink w:anchor="ref-34">
        <w:r>
          <w:rPr>
            <w:rStyle w:val="Hyperlink"/>
          </w:rPr>
          <w:t xml:space="preserve">[34]</w:t>
        </w:r>
      </w:hyperlink>
      <w:r>
        <w:t xml:space="preserve"> </w:t>
      </w:r>
      <w:r>
        <w:t xml:space="preserve">suggest the constellation-architecture extension can also speak to the wider question of how operators, regulators, and publics together build the legitimacy of the rating regime, which is the discursive substrate the dissertation’s behavioral findings finally rest on</w:t>
      </w:r>
      <w:r>
        <w:t xml:space="preserve"> </w:t>
      </w:r>
      <w:hyperlink w:anchor="ref-35">
        <w:r>
          <w:rPr>
            <w:rStyle w:val="Hyperlink"/>
          </w:rPr>
          <w:t xml:space="preserve">[35]</w:t>
        </w:r>
      </w:hyperlink>
      <w:r>
        <w:t xml:space="preserve">.</w:t>
      </w:r>
    </w:p>
    <w:bookmarkEnd w:id="129"/>
    <w:bookmarkStart w:id="130" w:name="closing-synthesis"/>
    <w:p>
      <w:pPr>
        <w:pStyle w:val="Heading2"/>
        <w:spacing w:line="480" w:lineRule="auto"/>
      </w:pPr>
      <w:r>
        <w:t xml:space="preserve">7.6 Closing Synthesis</w:t>
      </w:r>
    </w:p>
    <w:p>
      <w:pPr>
        <w:pStyle w:val="FirstParagraph"/>
        <w:spacing w:line="480" w:lineRule="auto"/>
      </w:pPr>
      <w:r>
        <w:t xml:space="preserve">The dissertation set out to test whether the Space Sustainability Rating works as a credible commitment device for debris mitigation, on the standard economic predicate that a credible signal is costly, observable, and correlated with the underlying operator type. The two empirical chapters report covariation between SSR engagement and observable mitigation behavior that runs the way the credible-commitment theory predicts and that separates from zero in both specifications. That covariation is structured: participating operators are operators who have already chosen to act, and the rating books that choice for counterparties who would otherwise have to check it themselves. So the rating reads better, on the present evidence, as a downstream confirmation device than as an upstream forcing mechanism. The line matters for NASA program management, where the rating can back evaluation and assurance calls without standing in for the agency’s own review, and for JPL decision-making, where the rating can be engaged selectively in the mission classes its altitude-mass scoring informs technically. The dissertation’s limitations, small samples, an inability to part selection from behavioral change, and a bounded engagement with the administrative and removal-economics layers of the broader debris-governance system among them, stake out a research program rather than close one. The proposed extensions, the operator-fixed-effects panel, the continuous-treatment dose-response form, the tie-in with active debris removal economics, the comparative-regulatory design, and the constellation-architecture extension in particular, together make up the next phase of work the present dissertation lays the empirical foundation for.</w:t>
      </w:r>
    </w:p>
    <w:bookmarkEnd w:id="130"/>
    <w:bookmarkEnd w:id="131"/>
    <w:bookmarkStart w:id="190" w:name="chapter-8.-conclusion"/>
    <w:p>
      <w:pPr>
        <w:pStyle w:val="Heading1"/>
        <w:spacing w:line="480" w:lineRule="auto"/>
      </w:pPr>
      <w:r>
        <w:t xml:space="preserve">Chapter 8. Conclusion</w:t>
      </w:r>
    </w:p>
    <w:bookmarkStart w:id="132" w:name="restatement-of-the-problem"/>
    <w:p>
      <w:pPr>
        <w:pStyle w:val="Heading2"/>
        <w:spacing w:line="480" w:lineRule="auto"/>
      </w:pPr>
      <w:r>
        <w:t xml:space="preserve">8.1 Restatement of the Problem</w:t>
      </w:r>
    </w:p>
    <w:p>
      <w:pPr>
        <w:pStyle w:val="FirstParagraph"/>
        <w:spacing w:line="480" w:lineRule="auto"/>
      </w:pPr>
      <w:r>
        <w:t xml:space="preserve">A question the published literature on the Space Sustainability Rating (SSR) had put in normative terms without ever testing empirically is where this dissertation started. The SSR was built as a voluntary composite indicator meant to nudge satellite operators toward practices that keep Earth orbits usable over the long run, and its architects cast it as a market mechanism that complements public regulation rather than displacing it [4, 7]. What lends the instrument its theoretical interest is the motivating empirical claim: that the rating works as a credible commitment device. Put in signaling-theory terms, the claim is that participation costs, that the rating shows, and that the resulting score correlates with the operator’s underlying debris-mitigation type. Hold those three predicates and the SSR clears the standard economic bar for a credible signal, leaving counterparties (regulators, insurers, launch providers) rational to weight it in their own calls. Break any one and the rating shrinks to a reputational artifact, worth something to the operator only as a marker of belonging to a discourse community rather than of committing to a behavioral standard</w:t>
      </w:r>
      <w:r>
        <w:t xml:space="preserve"> </w:t>
      </w:r>
      <w:hyperlink w:anchor="ref-3">
        <w:r>
          <w:rPr>
            <w:rStyle w:val="Hyperlink"/>
          </w:rPr>
          <w:t xml:space="preserve">[3]</w:t>
        </w:r>
      </w:hyperlink>
      <w:r>
        <w:t xml:space="preserve">.</w:t>
      </w:r>
    </w:p>
    <w:p>
      <w:pPr>
        <w:pStyle w:val="BodyText"/>
        <w:spacing w:line="480" w:lineRule="auto"/>
        <w:ind w:firstLine="720"/>
      </w:pPr>
      <w:r>
        <w:t xml:space="preserve">What this dissertation took on was that the constitutive literature on the SSR had mapped the instrument, its scoring methodology, and its institutional setting in fine detail [1, 4, 7, 8], while never estimating a causal effect of SSR participation on operator behavior, never testing whether counterparties read the rating as informative about type, and never fixing the joint inference rule under which the two questions get answered together. The gap was no missing framework. It was a missing identification strategy paired with a missing behavioral outcome measure, the two things the framework’s central claim needed to bear weight or to break under.</w:t>
      </w:r>
    </w:p>
    <w:bookmarkEnd w:id="132"/>
    <w:bookmarkStart w:id="133" w:name="synthesis-of-the-argument"/>
    <w:p>
      <w:pPr>
        <w:pStyle w:val="Heading2"/>
        <w:spacing w:line="480" w:lineRule="auto"/>
      </w:pPr>
      <w:r>
        <w:t xml:space="preserve">8.2 Synthesis of the Argument</w:t>
      </w:r>
    </w:p>
    <w:p>
      <w:pPr>
        <w:pStyle w:val="FirstParagraph"/>
        <w:spacing w:line="480" w:lineRule="auto"/>
      </w:pPr>
      <w:r>
        <w:t xml:space="preserve">Five steps sum up the argument the preceding chapters built.</w:t>
      </w:r>
    </w:p>
    <w:p>
      <w:pPr>
        <w:pStyle w:val="BodyText"/>
        <w:spacing w:line="480" w:lineRule="auto"/>
        <w:ind w:firstLine="720"/>
      </w:pPr>
      <w:r>
        <w:t xml:space="preserve">First, the credible-commitment read of the SSR was rebuilt from its design documents and from the wider incentive-mechanism literature it sits in [4, 7]. That rebuilding made plain that the rating is more than a disclosure regime. Its designers meant it to move behavior, and meant that movement to be legible to third parties. The dissertation took the intention at face value and handled it as a hypothesis rather than a given.</w:t>
      </w:r>
    </w:p>
    <w:p>
      <w:pPr>
        <w:pStyle w:val="BodyText"/>
        <w:spacing w:line="480" w:lineRule="auto"/>
        <w:ind w:firstLine="720"/>
      </w:pPr>
      <w:r>
        <w:t xml:space="preserve">Second, a single falsifiable test of that hypothesis got specified. The behavioral outcomes (post-mission disposal compliance and collision avoidance maneuver responsiveness) were picked because they are the main levers operators hold [5, 6], because they show up in publicly accessible catalogs</w:t>
      </w:r>
      <w:r>
        <w:t xml:space="preserve"> </w:t>
      </w:r>
      <w:hyperlink w:anchor="ref-5">
        <w:r>
          <w:rPr>
            <w:rStyle w:val="Hyperlink"/>
          </w:rPr>
          <w:t xml:space="preserve">[5]</w:t>
        </w:r>
      </w:hyperlink>
      <w:r>
        <w:t xml:space="preserve">, and because they map onto the dimensions the SSR itself scores operators on</w:t>
      </w:r>
      <w:r>
        <w:t xml:space="preserve"> </w:t>
      </w:r>
      <w:hyperlink w:anchor="ref-4">
        <w:r>
          <w:rPr>
            <w:rStyle w:val="Hyperlink"/>
          </w:rPr>
          <w:t xml:space="preserve">[4]</w:t>
        </w:r>
      </w:hyperlink>
      <w:r>
        <w:t xml:space="preserve">. The estimand was the average treatment effect on the treated of first SSR issuance on each behavioral outcome, identified off a staggered-adoption difference-in-differences design carrying operator and time fixed effects, run on a matched control group built by coarsened exact matching on pre-treatment operator size, orbital regime, and prior compliance history.</w:t>
      </w:r>
    </w:p>
    <w:p>
      <w:pPr>
        <w:pStyle w:val="BodyText"/>
        <w:spacing w:line="480" w:lineRule="auto"/>
        <w:ind w:firstLine="720"/>
      </w:pPr>
      <w:r>
        <w:t xml:space="preserve">Third, the behavioral test got paired with a structured discourse analysis of how regulators, insurers, and launch providers reach for the rating in formal communications, license conditions, and underwriting language</w:t>
      </w:r>
      <w:r>
        <w:t xml:space="preserve"> </w:t>
      </w:r>
      <w:hyperlink w:anchor="ref-3">
        <w:r>
          <w:rPr>
            <w:rStyle w:val="Hyperlink"/>
          </w:rPr>
          <w:t xml:space="preserve">[3]</w:t>
        </w:r>
      </w:hyperlink>
      <w:r>
        <w:t xml:space="preserve">. The qualitative component served as no illustrative garnish to the quantitative analysis. It carried its own inferential weight under the pre-registered joint inference rule, which holds that the credible-commitment read wants both a behavioral effect in the quantitative analysis and uptake as informative by at least one counterparty class in the qualitative analysis. That rule’s asymmetry is chosen. A behavioral effect with no counterparty uptake squares with self-improvement cut loose from the signal, and counterparty uptake with no behavioral effect squares with a reputational cascade that never reaches the underlying type.</w:t>
      </w:r>
    </w:p>
    <w:p>
      <w:pPr>
        <w:pStyle w:val="BodyText"/>
        <w:spacing w:line="480" w:lineRule="auto"/>
        <w:ind w:firstLine="720"/>
      </w:pPr>
      <w:r>
        <w:t xml:space="preserve">Fourth, the test got set inside the wider socio-technical regime for debris governance [3, 8]. That regime is one where adherence to mitigation guidelines runs heterogeneous and costly to verify from outside</w:t>
      </w:r>
      <w:r>
        <w:t xml:space="preserve"> </w:t>
      </w:r>
      <w:hyperlink w:anchor="ref-2">
        <w:r>
          <w:rPr>
            <w:rStyle w:val="Hyperlink"/>
          </w:rPr>
          <w:t xml:space="preserve">[2]</w:t>
        </w:r>
      </w:hyperlink>
      <w:r>
        <w:t xml:space="preserve">, where any single operator’s marginal contribution to systemic collision risk weighs more and more on the shell’s long-run capacity [5, 14], and where the catalog of conjunctions and fragmentations any behavioral measure has to lean on is itself shifting in sensitivity [5, 6]. The identification strategy was laid out to ride through that shift on time fixed effects and issuance-cohort fixed effects.</w:t>
      </w:r>
    </w:p>
    <w:p>
      <w:pPr>
        <w:pStyle w:val="BodyText"/>
        <w:spacing w:line="480" w:lineRule="auto"/>
        <w:ind w:firstLine="720"/>
      </w:pPr>
      <w:r>
        <w:t xml:space="preserve">Fifth, the result got reported and read under the pre-registered joint inference rule. The read is no blanket claim about the SSR’s worth. It is a claim about whether, on the behavioral outcomes specified, over the window watched, with the matched control group built, the rating cleared the credible-signal bar. That precision is the contribution.</w:t>
      </w:r>
    </w:p>
    <w:bookmarkEnd w:id="133"/>
    <w:bookmarkStart w:id="134" w:name="contribution-to-knowledge"/>
    <w:p>
      <w:pPr>
        <w:pStyle w:val="Heading2"/>
        <w:spacing w:line="480" w:lineRule="auto"/>
      </w:pPr>
      <w:r>
        <w:t xml:space="preserve">8.3 Contribution to Knowledge</w:t>
      </w:r>
    </w:p>
    <w:p>
      <w:pPr>
        <w:pStyle w:val="FirstParagraph"/>
        <w:spacing w:line="480" w:lineRule="auto"/>
      </w:pPr>
      <w:r>
        <w:t xml:space="preserve">Fourfold is what this dissertation adds to the published literature on space sustainability ratings, debris mitigation, and the governance of low Earth orbit.</w:t>
      </w:r>
    </w:p>
    <w:p>
      <w:pPr>
        <w:pStyle w:val="BodyText"/>
        <w:spacing w:line="480" w:lineRule="auto"/>
        <w:ind w:firstLine="720"/>
      </w:pPr>
      <w:r>
        <w:t xml:space="preserve">The first contribution is methodological. The dissertation carries the SSR literature from constitutive description [1, 4, 7] toward causal estimation. Its staggered-adoption difference-in-differences design, with explicit pre-trend testing and robustness checks against recent heterogeneous-treatment-effect estimators, is, so far as the candidate knows, the first try at putting the standard tools of program evaluation to a voluntary sustainability rating in the space domain. The design travels. It can be re-fit as further rating cohorts pile up, as catalog sensitivity sharpens [5, 6], and as the SSR methodology gets reworked [4, 7]. The dissertation hands over a template for that re-fitting, the coarsened-exact-matching protocol, the issuance-cohort fixed-effects specification, and the pre-trend diagnostic battery among its parts.</w:t>
      </w:r>
    </w:p>
    <w:p>
      <w:pPr>
        <w:pStyle w:val="BodyText"/>
        <w:spacing w:line="480" w:lineRule="auto"/>
        <w:ind w:firstLine="720"/>
      </w:pPr>
      <w:r>
        <w:t xml:space="preserve">The second contribution is conceptual. The dissertation recasts the SSR not as an indicator to be characterized on its own internal terms but as a signal to be weighed against the external standard signaling theory lays on any voluntary disclosure regime. That recasting yields a falsifiable hypothesis where the prior literature had yielded descriptive accounts. It also lays a discipline on the kinds of evidence that can settle the question underneath. Multi-perspective characterizations of the debris environment [11, 17] and the wider socio-technical regime</w:t>
      </w:r>
      <w:r>
        <w:t xml:space="preserve"> </w:t>
      </w:r>
      <w:hyperlink w:anchor="ref-3">
        <w:r>
          <w:rPr>
            <w:rStyle w:val="Hyperlink"/>
          </w:rPr>
          <w:t xml:space="preserve">[3]</w:t>
        </w:r>
      </w:hyperlink>
      <w:r>
        <w:t xml:space="preserve"> </w:t>
      </w:r>
      <w:r>
        <w:t xml:space="preserve">furnish context for that evidence; they do not stand in for it. So the conceptual contribution is to fix the terms the question can be answered on and to refuse framings that put the answer off.</w:t>
      </w:r>
    </w:p>
    <w:p>
      <w:pPr>
        <w:pStyle w:val="BodyText"/>
        <w:spacing w:line="480" w:lineRule="auto"/>
        <w:ind w:firstLine="720"/>
      </w:pPr>
      <w:r>
        <w:t xml:space="preserve">The third contribution is empirical. The dissertation hands over, for the first time, an operator-month behavioral panel that pairs publicly observable end-of-life events, orbital decay records, and high-probability conjunction outcomes [5, 6] with operator-resolved SSR participation status pulled from the public registry [4, 7]. The panel reproduces without proprietary data access, and its construction code and matched control group ship with the dissertation. The empirical contribution is not the particular estimate reported, which will get revised as further cohorts mature and the catalog deepens. It is the panel itself, and the proof that the question is tractable on public data.</w:t>
      </w:r>
    </w:p>
    <w:p>
      <w:pPr>
        <w:pStyle w:val="BodyText"/>
        <w:spacing w:line="480" w:lineRule="auto"/>
        <w:ind w:firstLine="720"/>
      </w:pPr>
      <w:r>
        <w:t xml:space="preserve">The fourth contribution is interpretive. The dissertation pre-registered a joint inference rule that binds the quantitative and qualitative findings into one read. By demanding both a behavioral effect and counterparty uptake before the credible-commitment read holds, that rule lifts the evidentiary bar above what either component alone could clear. The interpretive contribution is to hold that bar and to show it can be met, or missed, on evidence at hand now rather than on evidence that might arrive at some open-ended future date. The discourse analysis tradition the qualitative component draws on</w:t>
      </w:r>
      <w:r>
        <w:t xml:space="preserve"> </w:t>
      </w:r>
      <w:hyperlink w:anchor="ref-3">
        <w:r>
          <w:rPr>
            <w:rStyle w:val="Hyperlink"/>
          </w:rPr>
          <w:t xml:space="preserve">[3]</w:t>
        </w:r>
      </w:hyperlink>
      <w:r>
        <w:t xml:space="preserve"> </w:t>
      </w:r>
      <w:r>
        <w:t xml:space="preserve">gets integrated with the program-evaluation tradition the quantitative component draws on, and the integration is procedural rather than rhetorical.</w:t>
      </w:r>
    </w:p>
    <w:p>
      <w:pPr>
        <w:pStyle w:val="BodyText"/>
        <w:spacing w:line="480" w:lineRule="auto"/>
        <w:ind w:firstLine="720"/>
      </w:pPr>
      <w:r>
        <w:t xml:space="preserve">Meant to stack are these four. A reader who takes only the methodological contribution walks away with a portable design. A reader who takes the conceptual contribution too walks away with a discipline on the terms of the debate. A reader who takes the empirical contribution walks away with a reproducible panel. A reader who takes the interpretive contribution walks away with a rule under which the panel and the design can yield a conclusion. The dissertation is offered in the hope the stacked case outweighs any single layer.</w:t>
      </w:r>
    </w:p>
    <w:bookmarkEnd w:id="134"/>
    <w:bookmarkStart w:id="135" w:name="X4f1242f3bf30d6ccfaf4db6927d5caba0881d26"/>
    <w:p>
      <w:pPr>
        <w:pStyle w:val="Heading2"/>
        <w:spacing w:line="480" w:lineRule="auto"/>
      </w:pPr>
      <w:r>
        <w:t xml:space="preserve">8.4 Boundary Conditions and What This Dissertation Does Not Claim</w:t>
      </w:r>
    </w:p>
    <w:p>
      <w:pPr>
        <w:pStyle w:val="FirstParagraph"/>
        <w:spacing w:line="480" w:lineRule="auto"/>
      </w:pPr>
      <w:r>
        <w:t xml:space="preserve">Saying plainly what the dissertation does not claim matters, since the precision of the contribution rides on the precision of its boundary.</w:t>
      </w:r>
    </w:p>
    <w:p>
      <w:pPr>
        <w:pStyle w:val="BodyText"/>
        <w:spacing w:line="480" w:lineRule="auto"/>
        <w:ind w:firstLine="720"/>
      </w:pPr>
      <w:r>
        <w:t xml:space="preserve">It does not claim the SSR is, or is not, a desirable instrument of space governance. That claim would call for a welfare analysis pulling together the costs of participation, how those costs land across operator size classes, and the substitution patterns between the SSR and other regulatory and market instruments [8, 13]. The dissertation does not run that analysis.</w:t>
      </w:r>
    </w:p>
    <w:p>
      <w:pPr>
        <w:pStyle w:val="BodyText"/>
        <w:spacing w:line="480" w:lineRule="auto"/>
        <w:ind w:firstLine="720"/>
      </w:pPr>
      <w:r>
        <w:t xml:space="preserve">It does not claim the behavioral outcomes examined exhaust the dimensions the SSR might matter on. Design-for-demise practices, data-sharing conduct, and external-services participation get scored by the rating</w:t>
      </w:r>
      <w:r>
        <w:t xml:space="preserve"> </w:t>
      </w:r>
      <w:hyperlink w:anchor="ref-4">
        <w:r>
          <w:rPr>
            <w:rStyle w:val="Hyperlink"/>
          </w:rPr>
          <w:t xml:space="preserve">[4]</w:t>
        </w:r>
      </w:hyperlink>
      <w:r>
        <w:t xml:space="preserve"> </w:t>
      </w:r>
      <w:r>
        <w:t xml:space="preserve">yet stay invisible in the public catalogs used here [5, 6]. A fuller test of the credible-commitment read would stretch the outcome set as those dimensions come into view.</w:t>
      </w:r>
    </w:p>
    <w:p>
      <w:pPr>
        <w:pStyle w:val="BodyText"/>
        <w:spacing w:line="480" w:lineRule="auto"/>
        <w:ind w:firstLine="720"/>
      </w:pPr>
      <w:r>
        <w:t xml:space="preserve">It does not claim the qualitative finding carries past the counterparty classes examined. Regulators, insurers, and launch providers are the three classes whose formal communications, license conditions, and underwriting language are publicly obtainable in enough volume to hold up a structured discourse analysis</w:t>
      </w:r>
      <w:r>
        <w:t xml:space="preserve"> </w:t>
      </w:r>
      <w:hyperlink w:anchor="ref-3">
        <w:r>
          <w:rPr>
            <w:rStyle w:val="Hyperlink"/>
          </w:rPr>
          <w:t xml:space="preserve">[3]</w:t>
        </w:r>
      </w:hyperlink>
      <w:r>
        <w:t xml:space="preserve">. Other classes (customers, capital providers, civil society organizations) may weight the rating otherwise, and the dissertation says nothing to those weightings.</w:t>
      </w:r>
    </w:p>
    <w:p>
      <w:pPr>
        <w:pStyle w:val="BodyText"/>
        <w:spacing w:line="480" w:lineRule="auto"/>
        <w:ind w:firstLine="720"/>
      </w:pPr>
      <w:r>
        <w:t xml:space="preserve">It does not claim the SSR methodology, having already shifted [4, 7], will not shift further in ways that recast the signal’s properties. The issuance-cohort fixed-effects specification soaks up methodology-version effects inside the observation window and cannot forecast future revisions. The design’s portability is the answer to that limit.</w:t>
      </w:r>
    </w:p>
    <w:p>
      <w:pPr>
        <w:pStyle w:val="BodyText"/>
        <w:spacing w:line="480" w:lineRule="auto"/>
        <w:ind w:firstLine="720"/>
      </w:pPr>
      <w:r>
        <w:t xml:space="preserve">None of these boundary conditions are concessions. They are the price of a precise contribution, and the terms on which subsequent work can extend it.</w:t>
      </w:r>
    </w:p>
    <w:bookmarkEnd w:id="135"/>
    <w:bookmarkStart w:id="136" w:name="implications-for-subsequent-work"/>
    <w:p>
      <w:pPr>
        <w:pStyle w:val="Heading2"/>
        <w:spacing w:line="480" w:lineRule="auto"/>
      </w:pPr>
      <w:r>
        <w:t xml:space="preserve">8.5 Implications for Subsequent Work</w:t>
      </w:r>
    </w:p>
    <w:p>
      <w:pPr>
        <w:pStyle w:val="FirstParagraph"/>
        <w:spacing w:line="480" w:lineRule="auto"/>
      </w:pPr>
      <w:r>
        <w:t xml:space="preserve">Three lines of subsequent work come naturally off the dissertation.</w:t>
      </w:r>
    </w:p>
    <w:p>
      <w:pPr>
        <w:pStyle w:val="BodyText"/>
        <w:spacing w:line="480" w:lineRule="auto"/>
        <w:ind w:firstLine="720"/>
      </w:pPr>
      <w:r>
        <w:t xml:space="preserve">First is a re-fit of the behavioral test as further SSR-rated cohorts pile up and as catalog sensitivity for end-of-life events and conjunction outcomes deepens [5, 6]. The dissertation’s panel is built to carry that re-fit without redesign.</w:t>
      </w:r>
    </w:p>
    <w:p>
      <w:pPr>
        <w:pStyle w:val="BodyText"/>
        <w:spacing w:line="480" w:lineRule="auto"/>
        <w:ind w:firstLine="720"/>
      </w:pPr>
      <w:r>
        <w:t xml:space="preserve">Second is a stretch of the outcome set to the rating’s dimensions not yet visible in public catalogs. Advances in fragmentation cataloguing</w:t>
      </w:r>
      <w:r>
        <w:t xml:space="preserve"> </w:t>
      </w:r>
      <w:hyperlink w:anchor="ref-6">
        <w:r>
          <w:rPr>
            <w:rStyle w:val="Hyperlink"/>
          </w:rPr>
          <w:t xml:space="preserve">[6]</w:t>
        </w:r>
      </w:hyperlink>
      <w:r>
        <w:t xml:space="preserve"> </w:t>
      </w:r>
      <w:r>
        <w:t xml:space="preserve">and in reference-scenario modeling for the space environment</w:t>
      </w:r>
      <w:r>
        <w:t xml:space="preserve"> </w:t>
      </w:r>
      <w:hyperlink w:anchor="ref-14">
        <w:r>
          <w:rPr>
            <w:rStyle w:val="Hyperlink"/>
          </w:rPr>
          <w:t xml:space="preserve">[14]</w:t>
        </w:r>
      </w:hyperlink>
      <w:r>
        <w:t xml:space="preserve"> </w:t>
      </w:r>
      <w:r>
        <w:t xml:space="preserve">make it plausible to build behavioral measures for design-for-demise and for data-sharing conduct on a timescale of a few years. That stretch would test whether the credible-commitment read, if it holds on the disposal and conjunction outcomes, carries across the rating’s scored dimensions.</w:t>
      </w:r>
    </w:p>
    <w:p>
      <w:pPr>
        <w:pStyle w:val="BodyText"/>
        <w:spacing w:line="480" w:lineRule="auto"/>
        <w:ind w:firstLine="720"/>
      </w:pPr>
      <w:r>
        <w:t xml:space="preserve">Third is a parallel evaluation of complementary instruments. Active debris removal arrangements</w:t>
      </w:r>
      <w:r>
        <w:t xml:space="preserve"> </w:t>
      </w:r>
      <w:hyperlink w:anchor="ref-27">
        <w:r>
          <w:rPr>
            <w:rStyle w:val="Hyperlink"/>
          </w:rPr>
          <w:t xml:space="preserve">[27]</w:t>
        </w:r>
      </w:hyperlink>
      <w:r>
        <w:t xml:space="preserve">, national debris-mitigation statutes in jurisdictions standing such regimes up</w:t>
      </w:r>
      <w:r>
        <w:t xml:space="preserve"> </w:t>
      </w:r>
      <w:hyperlink w:anchor="ref-20">
        <w:r>
          <w:rPr>
            <w:rStyle w:val="Hyperlink"/>
          </w:rPr>
          <w:t xml:space="preserve">[20]</w:t>
        </w:r>
      </w:hyperlink>
      <w:r>
        <w:t xml:space="preserve">, and large-constellation traffic management protocols</w:t>
      </w:r>
      <w:r>
        <w:t xml:space="preserve"> </w:t>
      </w:r>
      <w:hyperlink w:anchor="ref-30">
        <w:r>
          <w:rPr>
            <w:rStyle w:val="Hyperlink"/>
          </w:rPr>
          <w:t xml:space="preserve">[30]</w:t>
        </w:r>
      </w:hyperlink>
      <w:r>
        <w:t xml:space="preserve"> </w:t>
      </w:r>
      <w:r>
        <w:t xml:space="preserve">each pose the same identification question the dissertation has posed of the SSR. The methodological contribution travels to those instruments. A program of matched evaluations across instruments would, in time, furnish the welfare-analytic footing on which the desirability of any single instrument can be judged.</w:t>
      </w:r>
    </w:p>
    <w:bookmarkEnd w:id="136"/>
    <w:bookmarkStart w:id="137" w:name="closing-statement"/>
    <w:p>
      <w:pPr>
        <w:pStyle w:val="Heading2"/>
        <w:spacing w:line="480" w:lineRule="auto"/>
      </w:pPr>
      <w:r>
        <w:t xml:space="preserve">8.6 Closing Statement</w:t>
      </w:r>
    </w:p>
    <w:p>
      <w:pPr>
        <w:pStyle w:val="FirstParagraph"/>
        <w:spacing w:line="480" w:lineRule="auto"/>
      </w:pPr>
      <w:r>
        <w:t xml:space="preserve">The Space Sustainability Rating was built to meet a verification problem the broader regime for debris governance has not cracked by other means [2, 4]. Its designers meant it to move behavior, and meant that movement to be legible to third parties. This dissertation has taken that intention as a hypothesis and put it to a falsifiable test on publicly available data, under a pre-registered joint inference rule, with a portable design.</w:t>
      </w:r>
    </w:p>
    <w:p>
      <w:pPr>
        <w:pStyle w:val="BodyText"/>
        <w:spacing w:line="480" w:lineRule="auto"/>
        <w:ind w:firstLine="720"/>
      </w:pPr>
      <w:r>
        <w:t xml:space="preserve">What comes out of the test is no verdict on the rating’s worth in the abstract. What comes out is a determination of whether, on the behavioral outcomes specified, over the window watched, with the matched control group built, and with the counterparty discourse coded, the rating clears the credible-signal bar its designers’ own framing lays on it. That determination is one piece of evidence, handed to a regime that, on the present trajectory of collision risk and conjunction-mitigation burden in low Earth orbit [5, 14], cannot afford to field instruments whose properties have gone untested. Should the SSR clear the bar, the regime gains a verified mechanism it can lean on. Should the SSR miss it, the regime gains the information it needs to rework the instrument or swap in another. Either way beats the prior state of the literature, where the question was framed and left hanging.</w:t>
      </w:r>
    </w:p>
    <w:p>
      <w:pPr>
        <w:pStyle w:val="BodyText"/>
        <w:spacing w:line="480" w:lineRule="auto"/>
        <w:ind w:firstLine="720"/>
      </w:pPr>
      <w:r>
        <w:t xml:space="preserve">In that spirit the dissertation is offered. It asserts no more than its design can carry, and it concedes no less than its design demands. The hope is that the question of credible commitment in debris mitigation, once framed as a hypothesis evidence can bear on, keeps being answered on evidence rather than on advocacy, and that the regime for governing low Earth orbit comes out the better for it.</w:t>
      </w:r>
    </w:p>
    <w:bookmarkEnd w:id="137"/>
    <w:bookmarkStart w:id="189" w:name="references"/>
    <w:p>
      <w:pPr>
        <w:pStyle w:val="Heading2"/>
        <w:spacing w:line="480" w:lineRule="auto"/>
      </w:pPr>
      <w:r>
        <w:t xml:space="preserve">References</w:t>
      </w:r>
    </w:p>
    <w:p>
      <w:pPr>
        <w:pStyle w:val="FirstParagraph"/>
        <w:spacing w:line="480" w:lineRule="auto"/>
      </w:pPr>
      <w:bookmarkStart w:id="138" w:name="ref-1"/>
      <w:bookmarkEnd w:id="138"/>
      <w:r>
        <w:t xml:space="preserve">1. F. Letizia, S. Lemmens, D. Wood, M. Rathnasabapathy, M. Lifson, R. Stiendl, M. Jah, N. Khlystov, M. Soshkin, and S. Potter,</w:t>
      </w:r>
      <w:r>
        <w:t xml:space="preserve"> </w:t>
      </w:r>
      <w:r>
        <w:t xml:space="preserve">“Contribution from SSA Data to the Definition of a Space Sustainability Rating,”</w:t>
      </w:r>
      <w:r>
        <w:t xml:space="preserve"> </w:t>
      </w:r>
      <w:r>
        <w:t xml:space="preserve">Proc. Advanced Maui Optical and Space Surveillance Technologies (AMOS) Conference, 2020. https://amostech.space/year/2020/contribution-from-ssa-data-to-the-definition-of-a-space-sustainability-rating/</w:t>
      </w:r>
    </w:p>
    <w:p>
      <w:pPr>
        <w:pStyle w:val="BodyText"/>
        <w:spacing w:line="480" w:lineRule="auto"/>
        <w:ind w:firstLine="720"/>
      </w:pPr>
      <w:bookmarkStart w:id="139" w:name="ref-2"/>
      <w:bookmarkEnd w:id="139"/>
      <w:r>
        <w:t xml:space="preserve">2. T. Harrison,</w:t>
      </w:r>
      <w:r>
        <w:t xml:space="preserve"> </w:t>
      </w:r>
      <w:r>
        <w:t xml:space="preserve">“International Perspectives on Space Weapons,”</w:t>
      </w:r>
      <w:r>
        <w:t xml:space="preserve"> </w:t>
      </w:r>
      <w:r>
        <w:t xml:space="preserve">Proc. Advanced Maui Optical and Space Surveillance Technologies (AMOS) Conference, 2020. https://amostech.space/year/2020/international-perspectives-on-space-weapons/</w:t>
      </w:r>
    </w:p>
    <w:p>
      <w:pPr>
        <w:pStyle w:val="BodyText"/>
        <w:spacing w:line="480" w:lineRule="auto"/>
        <w:ind w:firstLine="720"/>
      </w:pPr>
      <w:bookmarkStart w:id="140" w:name="ref-3"/>
      <w:bookmarkEnd w:id="140"/>
      <w:r>
        <w:t xml:space="preserve">3. X.-S. Yap, J. Heiberg, and B. Truffer,</w:t>
      </w:r>
      <w:r>
        <w:t xml:space="preserve"> </w:t>
      </w:r>
      <w:r>
        <w:t xml:space="preserve">“The emerging global socio-technical regime for tackling space debris: A discourse network analysis,”</w:t>
      </w:r>
      <w:r>
        <w:t xml:space="preserve"> </w:t>
      </w:r>
      <w:r>
        <w:t xml:space="preserve">Acta Astronautica, vol. 207, 2023. doi:</w:t>
      </w:r>
      <w:r>
        <w:t xml:space="preserve"> </w:t>
      </w:r>
      <w:hyperlink r:id="rId141">
        <w:r>
          <w:rPr>
            <w:rStyle w:val="Hyperlink"/>
          </w:rPr>
          <w:t xml:space="preserve">10.1016/j.actaastro.2023.01.016</w:t>
        </w:r>
      </w:hyperlink>
    </w:p>
    <w:p>
      <w:pPr>
        <w:pStyle w:val="BodyText"/>
        <w:spacing w:line="480" w:lineRule="auto"/>
        <w:ind w:firstLine="720"/>
      </w:pPr>
      <w:bookmarkStart w:id="142" w:name="ref-4"/>
      <w:bookmarkEnd w:id="142"/>
      <w:r>
        <w:t xml:space="preserve">4. M. Rathnasabapathy, F. Letizia, S. Lemmens, M. Jah, S. J. Potter, N. Khlystov, K. Acuff, M. Lifson, S. Dorrington, S. Es haghi, E. David, J.-P. Kneib, and D. Wood,</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143">
        <w:r>
          <w:rPr>
            <w:rStyle w:val="Hyperlink"/>
          </w:rPr>
          <w:t xml:space="preserve">10.1016/j.actaastro.2025.03.034</w:t>
        </w:r>
      </w:hyperlink>
    </w:p>
    <w:p>
      <w:pPr>
        <w:pStyle w:val="BodyText"/>
        <w:spacing w:line="480" w:lineRule="auto"/>
        <w:ind w:firstLine="720"/>
      </w:pPr>
      <w:bookmarkStart w:id="144" w:name="ref-5"/>
      <w:bookmarkEnd w:id="144"/>
      <w:r>
        <w:t xml:space="preserve">5. M. Stevenson, D. McKnight, H. Lewis, C. Kunstadter, and R. Bhatia,</w:t>
      </w:r>
      <w:r>
        <w:t xml:space="preserve"> </w:t>
      </w:r>
      <w:r>
        <w:t xml:space="preserve">“Identifying the Statistically-Most-Concerning Conjunctions in LEO,”</w:t>
      </w:r>
      <w:r>
        <w:t xml:space="preserve"> </w:t>
      </w:r>
      <w:r>
        <w:t xml:space="preserve">Proc. Advanced Maui Optical and Space Surveillance Technologies (AMOS) Conference, 2021. https://amostech.space/year/2021/identifying-the-statistically-most-concerning-conjunctions-in-leo/</w:t>
      </w:r>
    </w:p>
    <w:p>
      <w:pPr>
        <w:pStyle w:val="BodyText"/>
        <w:spacing w:line="480" w:lineRule="auto"/>
        <w:ind w:firstLine="720"/>
      </w:pPr>
      <w:bookmarkStart w:id="145" w:name="ref-6"/>
      <w:bookmarkEnd w:id="145"/>
      <w:r>
        <w:t xml:space="preserve">6. M. Pavy, V. Baral, E. Delande, Y. Gary, P. Richard, and R. Ferme,</w:t>
      </w:r>
      <w:r>
        <w:t xml:space="preserve"> </w:t>
      </w:r>
      <w:r>
        <w:t xml:space="preserve">“Rapid Tracking and Cataloguing Fragmentation in Orbit Using Three Telescopes: The Intelsat 33E Case,”</w:t>
      </w:r>
      <w:r>
        <w:t xml:space="preserve"> </w:t>
      </w:r>
      <w:r>
        <w:t xml:space="preserve">Proc. Advanced Maui Optical and Space Surveillance Technologies (AMOS) Conference, 2025. doi:</w:t>
      </w:r>
      <w:r>
        <w:t xml:space="preserve"> </w:t>
      </w:r>
      <w:hyperlink r:id="rId146">
        <w:r>
          <w:rPr>
            <w:rStyle w:val="Hyperlink"/>
          </w:rPr>
          <w:t xml:space="preserve">10.64861/PWDH6364</w:t>
        </w:r>
      </w:hyperlink>
    </w:p>
    <w:p>
      <w:pPr>
        <w:pStyle w:val="BodyText"/>
        <w:spacing w:line="480" w:lineRule="auto"/>
        <w:ind w:firstLine="720"/>
      </w:pPr>
      <w:bookmarkStart w:id="147" w:name="ref-7"/>
      <w:bookmarkEnd w:id="147"/>
      <w:r>
        <w:t xml:space="preserve">7. E. David, A. Saada, A. Nakarada Pecujlic, M. Strah, X.-S. Yap, D. Wood, and J.-P. Kneib,</w:t>
      </w:r>
      <w:r>
        <w:t xml:space="preserve"> </w:t>
      </w:r>
      <w:r>
        <w:t xml:space="preserve">“Fostering multi-stakeholder collaboration for space sustainability through an incentive-based mechanism,”</w:t>
      </w:r>
      <w:r>
        <w:t xml:space="preserve"> </w:t>
      </w:r>
      <w:r>
        <w:t xml:space="preserve">Acta Astronautica, vol. 235, 2025. doi:</w:t>
      </w:r>
      <w:r>
        <w:t xml:space="preserve"> </w:t>
      </w:r>
      <w:hyperlink r:id="rId148">
        <w:r>
          <w:rPr>
            <w:rStyle w:val="Hyperlink"/>
          </w:rPr>
          <w:t xml:space="preserve">10.1016/j.actaastro.2025.06.029</w:t>
        </w:r>
      </w:hyperlink>
    </w:p>
    <w:p>
      <w:pPr>
        <w:pStyle w:val="BodyText"/>
        <w:spacing w:line="480" w:lineRule="auto"/>
        <w:ind w:firstLine="720"/>
      </w:pPr>
      <w:bookmarkStart w:id="149" w:name="ref-8"/>
      <w:bookmarkEnd w:id="149"/>
      <w:r>
        <w:t xml:space="preserve">8.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150">
        <w:r>
          <w:rPr>
            <w:rStyle w:val="Hyperlink"/>
          </w:rPr>
          <w:t xml:space="preserve">10.1016/j.actaastro.2025.01.069</w:t>
        </w:r>
      </w:hyperlink>
    </w:p>
    <w:p>
      <w:pPr>
        <w:pStyle w:val="BodyText"/>
        <w:spacing w:line="480" w:lineRule="auto"/>
        <w:ind w:firstLine="720"/>
      </w:pPr>
      <w:bookmarkStart w:id="151" w:name="ref-9"/>
      <w:bookmarkEnd w:id="151"/>
      <w:r>
        <w:t xml:space="preserve">9. David, E., Saada, A., Nakarada Pecujlic, A., Strah, M., Yap, X.-S., Wood, D., and Kneib, J.-P. (2025). Fostering multi-stakeholder collaboration for space sustainability through an incentive-based mechanism. Acta Astronautica, Vol. 235. doi:</w:t>
      </w:r>
      <w:r>
        <w:t xml:space="preserve"> </w:t>
      </w:r>
      <w:hyperlink r:id="rId148">
        <w:r>
          <w:rPr>
            <w:rStyle w:val="Hyperlink"/>
          </w:rPr>
          <w:t xml:space="preserve">10.1016/j.actaastro.2025.06.029</w:t>
        </w:r>
      </w:hyperlink>
    </w:p>
    <w:p>
      <w:pPr>
        <w:pStyle w:val="BodyText"/>
        <w:spacing w:line="480" w:lineRule="auto"/>
        <w:ind w:firstLine="720"/>
      </w:pPr>
      <w:bookmarkStart w:id="152" w:name="ref-10"/>
      <w:bookmarkEnd w:id="152"/>
      <w:r>
        <w:t xml:space="preserve">10. Rathnasabapathy, M., Letizia, F., Lemmens, S., Jah, M., Potter, S. J., Khlystov, N., Acuff, K., Lifson, M., Dorrington, S., Es haghi, S., David, E., Kneib, J.-P., and Wood, D. (2025). Space sustainability rating: Designing a composite indicator to incentivize satellite operators to pursue long-term sustainability of the space environment. Acta Astronautica, Vol. 232. doi:</w:t>
      </w:r>
      <w:r>
        <w:t xml:space="preserve"> </w:t>
      </w:r>
      <w:hyperlink r:id="rId143">
        <w:r>
          <w:rPr>
            <w:rStyle w:val="Hyperlink"/>
          </w:rPr>
          <w:t xml:space="preserve">10.1016/j.actaastro.2025.03.034</w:t>
        </w:r>
      </w:hyperlink>
    </w:p>
    <w:p>
      <w:pPr>
        <w:pStyle w:val="BodyText"/>
        <w:spacing w:line="480" w:lineRule="auto"/>
        <w:ind w:firstLine="720"/>
      </w:pPr>
      <w:bookmarkStart w:id="153" w:name="ref-11"/>
      <w:bookmarkEnd w:id="153"/>
      <w:r>
        <w:t xml:space="preserve">11. Bottcher, L., and Silvestri, S. (2024). Multi-perspective analysis of sustainability metrics characterising the debris environment. Acta Astronautica, Vol. 219. doi:</w:t>
      </w:r>
      <w:r>
        <w:t xml:space="preserve"> </w:t>
      </w:r>
      <w:hyperlink r:id="rId154">
        <w:r>
          <w:rPr>
            <w:rStyle w:val="Hyperlink"/>
          </w:rPr>
          <w:t xml:space="preserve">10.1016/j.actaastro.2024.03.002</w:t>
        </w:r>
      </w:hyperlink>
    </w:p>
    <w:p>
      <w:pPr>
        <w:pStyle w:val="BodyText"/>
        <w:spacing w:line="480" w:lineRule="auto"/>
        <w:ind w:firstLine="720"/>
      </w:pPr>
      <w:bookmarkStart w:id="155" w:name="ref-12"/>
      <w:bookmarkEnd w:id="155"/>
      <w:r>
        <w:t xml:space="preserve">12. Wander, A., Konstantinidis, K., Forstner, R., and Voigt, P. (2019). Autonomy and operational concept for self-removal of spacecraft: Status detection, removal triggering and passivation. Acta Astronautica, Vol. 164. doi:</w:t>
      </w:r>
      <w:r>
        <w:t xml:space="preserve"> </w:t>
      </w:r>
      <w:hyperlink r:id="rId156">
        <w:r>
          <w:rPr>
            <w:rStyle w:val="Hyperlink"/>
          </w:rPr>
          <w:t xml:space="preserve">10.1016/j.actaastro.2019.07.014</w:t>
        </w:r>
      </w:hyperlink>
    </w:p>
    <w:p>
      <w:pPr>
        <w:pStyle w:val="BodyText"/>
        <w:spacing w:line="480" w:lineRule="auto"/>
        <w:ind w:firstLine="720"/>
      </w:pPr>
      <w:bookmarkStart w:id="157" w:name="ref-13"/>
      <w:bookmarkEnd w:id="157"/>
      <w:r>
        <w:t xml:space="preserve">13. Colombo, C., Martinez, P., Letizia, F., Cattani, B. M., David, E., Escobar, D. A., Kawamoto, S., Rovetto, R. J., and Sumelzo, I. (2025). Space capacity management and its interaction with space traffic management. Acta Astronautica, Vol. 233. doi:</w:t>
      </w:r>
      <w:r>
        <w:t xml:space="preserve"> </w:t>
      </w:r>
      <w:hyperlink r:id="rId150">
        <w:r>
          <w:rPr>
            <w:rStyle w:val="Hyperlink"/>
          </w:rPr>
          <w:t xml:space="preserve">10.1016/j.actaastro.2025.01.069</w:t>
        </w:r>
      </w:hyperlink>
    </w:p>
    <w:p>
      <w:pPr>
        <w:pStyle w:val="BodyText"/>
        <w:spacing w:line="480" w:lineRule="auto"/>
        <w:ind w:firstLine="720"/>
      </w:pPr>
      <w:bookmarkStart w:id="158" w:name="ref-14"/>
      <w:bookmarkEnd w:id="158"/>
      <w:r>
        <w:t xml:space="preserve">14. Lifson, M., Baset, A., Cates, G., Chen, B., Connor, A., Coursey, C., Henning, G., Miyamoto, M., Peterson, G. E., Weeden, B., Williams, G., Brownhall, I., Burgess, M., Holzinger, M., Kaffine, D., Moretto, M., and Rao, A. (2024). Development of Reference Scenarios and Supporting Inputs for Space Environment Modeling. Advanced Maui Optical and Space Surveillance Technologies (AMOS) Conference, Poster. doi:</w:t>
      </w:r>
      <w:r>
        <w:t xml:space="preserve"> </w:t>
      </w:r>
      <w:hyperlink r:id="rId159">
        <w:r>
          <w:rPr>
            <w:rStyle w:val="Hyperlink"/>
          </w:rPr>
          <w:t xml:space="preserve">10.64861/QBNC8763</w:t>
        </w:r>
      </w:hyperlink>
    </w:p>
    <w:p>
      <w:pPr>
        <w:pStyle w:val="BodyText"/>
        <w:spacing w:line="480" w:lineRule="auto"/>
        <w:ind w:firstLine="720"/>
      </w:pPr>
      <w:bookmarkStart w:id="160" w:name="ref-15"/>
      <w:bookmarkEnd w:id="160"/>
      <w:r>
        <w:t xml:space="preserve">15. Rathnasabapathy, M., Letizia, F., Lemmens, S., Jah, M., et al. Space sustainability rating: Designing a composite indicator to incentivize satellite operators to pursue long-term sustainability of the space environment. Acta Astronautica, 232, 2025. doi:</w:t>
      </w:r>
      <w:r>
        <w:t xml:space="preserve"> </w:t>
      </w:r>
      <w:hyperlink r:id="rId143">
        <w:r>
          <w:rPr>
            <w:rStyle w:val="Hyperlink"/>
          </w:rPr>
          <w:t xml:space="preserve">10.1016/j.actaastro.2025.03.034</w:t>
        </w:r>
      </w:hyperlink>
    </w:p>
    <w:p>
      <w:pPr>
        <w:pStyle w:val="BodyText"/>
        <w:spacing w:line="480" w:lineRule="auto"/>
        <w:ind w:firstLine="720"/>
      </w:pPr>
      <w:bookmarkStart w:id="161" w:name="ref-16"/>
      <w:bookmarkEnd w:id="161"/>
      <w:r>
        <w:t xml:space="preserve">16. David, E., Saada, A., Pecujlic, A. N., Strah, M., Yap, X.-S., Wood, D., Kneib, J.-P. Fostering multi-stakeholder collaboration for space sustainability through an incentive-based mechanism. Acta Astronautica, 235, 2025. doi:</w:t>
      </w:r>
      <w:r>
        <w:t xml:space="preserve"> </w:t>
      </w:r>
      <w:hyperlink r:id="rId148">
        <w:r>
          <w:rPr>
            <w:rStyle w:val="Hyperlink"/>
          </w:rPr>
          <w:t xml:space="preserve">10.1016/j.actaastro.2025.06.029</w:t>
        </w:r>
      </w:hyperlink>
    </w:p>
    <w:p>
      <w:pPr>
        <w:pStyle w:val="BodyText"/>
        <w:spacing w:line="480" w:lineRule="auto"/>
        <w:ind w:firstLine="720"/>
      </w:pPr>
      <w:bookmarkStart w:id="162" w:name="ref-17"/>
      <w:bookmarkEnd w:id="162"/>
      <w:r>
        <w:t xml:space="preserve">17. Böttcher, L., Silvestri, S. Multi-perspective analysis of sustainability metrics characterising the debris environment. Acta Astronautica, 219, 2024. doi:</w:t>
      </w:r>
      <w:r>
        <w:t xml:space="preserve"> </w:t>
      </w:r>
      <w:hyperlink r:id="rId154">
        <w:r>
          <w:rPr>
            <w:rStyle w:val="Hyperlink"/>
          </w:rPr>
          <w:t xml:space="preserve">10.1016/j.actaastro.2024.03.002</w:t>
        </w:r>
      </w:hyperlink>
    </w:p>
    <w:p>
      <w:pPr>
        <w:pStyle w:val="BodyText"/>
        <w:spacing w:line="480" w:lineRule="auto"/>
        <w:ind w:firstLine="720"/>
      </w:pPr>
      <w:bookmarkStart w:id="163" w:name="ref-18"/>
      <w:bookmarkEnd w:id="163"/>
      <w:r>
        <w:t xml:space="preserve">18. Space Sustainability Rating. Rated missions registry. spacesustainabilityrating.org/rated-missions, accessed 2026-06.</w:t>
      </w:r>
    </w:p>
    <w:p>
      <w:pPr>
        <w:pStyle w:val="BodyText"/>
        <w:spacing w:line="480" w:lineRule="auto"/>
        <w:ind w:firstLine="720"/>
      </w:pPr>
      <w:bookmarkStart w:id="164" w:name="ref-19"/>
      <w:bookmarkEnd w:id="164"/>
      <w:r>
        <w:t xml:space="preserve">19. European Space Agency. ESA Annual Space Environment Report 2023. esoc.esa.int/space_environment_report_2023.</w:t>
      </w:r>
    </w:p>
    <w:p>
      <w:pPr>
        <w:pStyle w:val="BodyText"/>
        <w:spacing w:line="480" w:lineRule="auto"/>
        <w:ind w:firstLine="720"/>
      </w:pPr>
      <w:bookmarkStart w:id="165" w:name="ref-20"/>
      <w:bookmarkEnd w:id="165"/>
      <w:r>
        <w:t xml:space="preserve">20. Malgorzata Polkowska, Lomza Academy; Arkadiusz Chimicz, General Command, Polish Armed Forces. Poland’s Evolving Space Law: Assessing Space Debris Mitigation and Remediation in the European Context (2024). doi:</w:t>
      </w:r>
      <w:r>
        <w:t xml:space="preserve"> </w:t>
      </w:r>
      <w:hyperlink r:id="rId166">
        <w:r>
          <w:rPr>
            <w:rStyle w:val="Hyperlink"/>
          </w:rPr>
          <w:t xml:space="preserve">10.64861/LFFV2455</w:t>
        </w:r>
      </w:hyperlink>
    </w:p>
    <w:p>
      <w:pPr>
        <w:pStyle w:val="BodyText"/>
        <w:spacing w:line="480" w:lineRule="auto"/>
        <w:ind w:firstLine="720"/>
      </w:pPr>
      <w:bookmarkStart w:id="167" w:name="ref-21"/>
      <w:bookmarkEnd w:id="167"/>
      <w:r>
        <w:t xml:space="preserve">21.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68" w:name="ref-22"/>
      <w:bookmarkEnd w:id="168"/>
      <w:r>
        <w:t xml:space="preserve">22. Di Wu, Massachusetts Institute of Technology; Daniel Jang, Massachusetts Institute of Technology; Guillermo D Mendoza Contreras, Massachusetts Institute of Technology; Richard Linares, Massachusetts Institute of Technology. MOCAT on Temporal Analysis and Quantification for Policies in Space Sustainability (2024). doi:</w:t>
      </w:r>
      <w:r>
        <w:t xml:space="preserve"> </w:t>
      </w:r>
      <w:hyperlink r:id="rId169">
        <w:r>
          <w:rPr>
            <w:rStyle w:val="Hyperlink"/>
          </w:rPr>
          <w:t xml:space="preserve">10.64861/COAK4355</w:t>
        </w:r>
      </w:hyperlink>
    </w:p>
    <w:p>
      <w:pPr>
        <w:pStyle w:val="BodyText"/>
        <w:spacing w:line="480" w:lineRule="auto"/>
        <w:ind w:firstLine="720"/>
      </w:pPr>
      <w:bookmarkStart w:id="170" w:name="ref-23"/>
      <w:bookmarkEnd w:id="170"/>
      <w:r>
        <w:t xml:space="preserve">23. Quentin Verspieren, The University of Tokyo. The US Air Force Compliance with the Orbital Debris Mitigation Standard Practices (2020).</w:t>
      </w:r>
    </w:p>
    <w:p>
      <w:pPr>
        <w:pStyle w:val="BodyText"/>
        <w:spacing w:line="480" w:lineRule="auto"/>
        <w:ind w:firstLine="720"/>
      </w:pPr>
      <w:bookmarkStart w:id="171" w:name="ref-24"/>
      <w:bookmarkEnd w:id="171"/>
      <w:r>
        <w:t xml:space="preserve">24.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59">
        <w:r>
          <w:rPr>
            <w:rStyle w:val="Hyperlink"/>
          </w:rPr>
          <w:t xml:space="preserve">10.64861/QBNC8763</w:t>
        </w:r>
      </w:hyperlink>
    </w:p>
    <w:p>
      <w:pPr>
        <w:pStyle w:val="BodyText"/>
        <w:spacing w:line="480" w:lineRule="auto"/>
        <w:ind w:firstLine="720"/>
      </w:pPr>
      <w:bookmarkStart w:id="172" w:name="ref-25"/>
      <w:bookmarkEnd w:id="172"/>
      <w:r>
        <w:t xml:space="preserve">25. Frederick Tarantino, SAF/SQS. Memo on Space Debris Summit and Active Debris Removal (2022).</w:t>
      </w:r>
    </w:p>
    <w:p>
      <w:pPr>
        <w:pStyle w:val="BodyText"/>
        <w:spacing w:line="480" w:lineRule="auto"/>
        <w:ind w:firstLine="720"/>
      </w:pPr>
      <w:bookmarkStart w:id="173" w:name="ref-26"/>
      <w:bookmarkEnd w:id="173"/>
      <w:r>
        <w:t xml:space="preserve">26. Todd Harrison, Center for Strategic and International Studies. International Perspectives on Space Weapons (2020).</w:t>
      </w:r>
    </w:p>
    <w:p>
      <w:pPr>
        <w:pStyle w:val="BodyText"/>
        <w:spacing w:line="480" w:lineRule="auto"/>
        <w:ind w:firstLine="720"/>
      </w:pPr>
      <w:bookmarkStart w:id="174" w:name="ref-27"/>
      <w:bookmarkEnd w:id="174"/>
      <w:r>
        <w:t xml:space="preserve">27. Chris Tuttle, Clearspace Today, Inc.; Darren McKnight, LeoLabs; Tim Maclay, ClearSpace. Refining Active Debris Removal Strategies (2023). doi:</w:t>
      </w:r>
      <w:r>
        <w:t xml:space="preserve"> </w:t>
      </w:r>
      <w:hyperlink r:id="rId175">
        <w:r>
          <w:rPr>
            <w:rStyle w:val="Hyperlink"/>
          </w:rPr>
          <w:t xml:space="preserve">10.64861/LBPZ7861</w:t>
        </w:r>
      </w:hyperlink>
    </w:p>
    <w:p>
      <w:pPr>
        <w:pStyle w:val="BodyText"/>
        <w:spacing w:line="480" w:lineRule="auto"/>
        <w:ind w:firstLine="720"/>
      </w:pPr>
      <w:bookmarkStart w:id="176" w:name="ref-28"/>
      <w:bookmarkEnd w:id="176"/>
      <w:r>
        <w:t xml:space="preserve">28. Emmanuelle David; Adrien Saada; Anja Nakarada Pecujlic; Maruška Strah; Xiao-Shan Yap; Danielle Wood; Jean‐Paul Kneib. Fostering multi-stakeholder collaboration for space sustainability through an incentive-based mechanism (2025). doi:</w:t>
      </w:r>
      <w:r>
        <w:t xml:space="preserve"> </w:t>
      </w:r>
      <w:hyperlink r:id="rId148">
        <w:r>
          <w:rPr>
            <w:rStyle w:val="Hyperlink"/>
          </w:rPr>
          <w:t xml:space="preserve">10.1016/j.actaastro.2025.06.029</w:t>
        </w:r>
      </w:hyperlink>
    </w:p>
    <w:p>
      <w:pPr>
        <w:pStyle w:val="BodyText"/>
        <w:spacing w:line="480" w:lineRule="auto"/>
        <w:ind w:firstLine="720"/>
      </w:pPr>
      <w:bookmarkStart w:id="177" w:name="ref-29"/>
      <w:bookmarkEnd w:id="177"/>
      <w:r>
        <w:t xml:space="preserve">29.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43">
        <w:r>
          <w:rPr>
            <w:rStyle w:val="Hyperlink"/>
          </w:rPr>
          <w:t xml:space="preserve">10.1016/j.actaastro.2025.03.034</w:t>
        </w:r>
      </w:hyperlink>
    </w:p>
    <w:p>
      <w:pPr>
        <w:pStyle w:val="BodyText"/>
        <w:spacing w:line="480" w:lineRule="auto"/>
        <w:ind w:firstLine="720"/>
      </w:pPr>
      <w:bookmarkStart w:id="178" w:name="ref-30"/>
      <w:bookmarkEnd w:id="178"/>
      <w:r>
        <w:t xml:space="preserve">30. Marlon E. Sorge; Didier Alary; Florent Lacomba; Helen Tung; Balbir Singh. Space traffic management: Large constellations (2025). doi:</w:t>
      </w:r>
      <w:r>
        <w:t xml:space="preserve"> </w:t>
      </w:r>
      <w:hyperlink r:id="rId179">
        <w:r>
          <w:rPr>
            <w:rStyle w:val="Hyperlink"/>
          </w:rPr>
          <w:t xml:space="preserve">10.1016/j.actaastro.2025.01.043</w:t>
        </w:r>
      </w:hyperlink>
    </w:p>
    <w:p>
      <w:pPr>
        <w:pStyle w:val="BodyText"/>
        <w:spacing w:line="480" w:lineRule="auto"/>
        <w:ind w:firstLine="720"/>
      </w:pPr>
      <w:bookmarkStart w:id="180" w:name="ref-31"/>
      <w:bookmarkEnd w:id="180"/>
      <w:r>
        <w:t xml:space="preserve">31. Ben McKeown; Andrew G. Dempster; Serkan Saydam; Jeff Coulton. How should potential space resources markets be evaluated? (2026). doi:</w:t>
      </w:r>
      <w:r>
        <w:t xml:space="preserve"> </w:t>
      </w:r>
      <w:hyperlink r:id="rId181">
        <w:r>
          <w:rPr>
            <w:rStyle w:val="Hyperlink"/>
          </w:rPr>
          <w:t xml:space="preserve">10.1016/j.actaastro.2026.03.026</w:t>
        </w:r>
      </w:hyperlink>
    </w:p>
    <w:p>
      <w:pPr>
        <w:pStyle w:val="BodyText"/>
        <w:spacing w:line="480" w:lineRule="auto"/>
        <w:ind w:firstLine="720"/>
      </w:pPr>
      <w:bookmarkStart w:id="182" w:name="ref-32"/>
      <w:bookmarkEnd w:id="182"/>
      <w:r>
        <w:t xml:space="preserve">32. Martina Rusconi; Camilla Colombo. A model-based control framework for space debris management (2025). doi:</w:t>
      </w:r>
      <w:r>
        <w:t xml:space="preserve"> </w:t>
      </w:r>
      <w:hyperlink r:id="rId183">
        <w:r>
          <w:rPr>
            <w:rStyle w:val="Hyperlink"/>
          </w:rPr>
          <w:t xml:space="preserve">10.1016/j.actaastro.2025.12.018</w:t>
        </w:r>
      </w:hyperlink>
    </w:p>
    <w:p>
      <w:pPr>
        <w:pStyle w:val="BodyText"/>
        <w:spacing w:line="480" w:lineRule="auto"/>
        <w:ind w:firstLine="720"/>
      </w:pPr>
      <w:bookmarkStart w:id="184" w:name="ref-33"/>
      <w:bookmarkEnd w:id="184"/>
      <w:r>
        <w:t xml:space="preserve">33.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85">
        <w:r>
          <w:rPr>
            <w:rStyle w:val="Hyperlink"/>
          </w:rPr>
          <w:t xml:space="preserve">10.1016/j.actaastro.2023.07.009</w:t>
        </w:r>
      </w:hyperlink>
    </w:p>
    <w:p>
      <w:pPr>
        <w:pStyle w:val="BodyText"/>
        <w:spacing w:line="480" w:lineRule="auto"/>
        <w:ind w:firstLine="720"/>
      </w:pPr>
      <w:bookmarkStart w:id="186" w:name="ref-34"/>
      <w:bookmarkEnd w:id="186"/>
      <w:r>
        <w:t xml:space="preserve">34. Anna Hurova. Gamification as a tool to identify and address ongoing challenges in space activities: the case of space debris mitigation (2024). doi:</w:t>
      </w:r>
      <w:r>
        <w:t xml:space="preserve"> </w:t>
      </w:r>
      <w:hyperlink r:id="rId187">
        <w:r>
          <w:rPr>
            <w:rStyle w:val="Hyperlink"/>
          </w:rPr>
          <w:t xml:space="preserve">10.1016/j.actaastro.2024.09.057</w:t>
        </w:r>
      </w:hyperlink>
    </w:p>
    <w:p>
      <w:pPr>
        <w:pStyle w:val="BodyText"/>
        <w:spacing w:line="480" w:lineRule="auto"/>
        <w:ind w:firstLine="720"/>
      </w:pPr>
      <w:bookmarkStart w:id="188" w:name="ref-35"/>
      <w:bookmarkEnd w:id="188"/>
      <w:r>
        <w:t xml:space="preserve">35. Xiao-Shan Yap; Jonas Heiberg; Bernhard Truffer. The emerging global socio-technical regime for tackling space debris: A discourse network analysis (2023). doi:</w:t>
      </w:r>
      <w:r>
        <w:t xml:space="preserve"> </w:t>
      </w:r>
      <w:hyperlink r:id="rId141">
        <w:r>
          <w:rPr>
            <w:rStyle w:val="Hyperlink"/>
          </w:rPr>
          <w:t xml:space="preserve">10.1016/j.actaastro.2023.01.016</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0f9bcc98762bdbbc5ccd9ba66f0183b6d54b0b6"/>
    <w:p>
      <w:pPr>
        <w:pStyle w:val="Heading2"/>
        <w:spacing w:line="480" w:lineRule="auto"/>
      </w:pPr>
      <w:r>
        <w:t xml:space="preserve">A.1 Do Sustainability Ratings Accelerate Post-Mission Disposal? A Cox Proportional-Hazards Analysis of LEO Satellite Compliance Timing</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S</m:t>
              </m:r>
              <m:r>
                <m:rPr>
                  <m:sty m:val="p"/>
                </m:rPr>
                <m:t>S</m:t>
              </m:r>
              <m:r>
                <m:rPr>
                  <m:sty m:val="p"/>
                </m:rPr>
                <m:t>R</m:t>
              </m:r>
            </m:e>
            <m:sub>
              <m:r>
                <m:t>i</m:t>
              </m:r>
            </m:sub>
          </m:sSub>
          <m:r>
            <m:rPr>
              <m:sty m:val="p"/>
            </m:rPr>
            <m:t>+</m:t>
          </m:r>
          <m:sSub>
            <m:e>
              <m:r>
                <m:t>β</m:t>
              </m:r>
            </m:e>
            <m:sub>
              <m:r>
                <m:t>2</m:t>
              </m:r>
            </m:sub>
          </m:sSub>
          <m:sSub>
            <m:e>
              <m:r>
                <m:rPr>
                  <m:sty m:val="p"/>
                </m:rPr>
                <m:t>A</m:t>
              </m:r>
              <m:r>
                <m:rPr>
                  <m:sty m:val="p"/>
                </m:rPr>
                <m:t>L</m:t>
              </m:r>
              <m:r>
                <m:rPr>
                  <m:sty m:val="p"/>
                </m:rPr>
                <m:t>T</m:t>
              </m:r>
            </m:e>
            <m:sub>
              <m:r>
                <m:t>i</m:t>
              </m:r>
            </m:sub>
          </m:sSub>
          <m:r>
            <m:rPr>
              <m:sty m:val="p"/>
            </m:rPr>
            <m:t>+</m:t>
          </m:r>
          <m:sSub>
            <m:e>
              <m:r>
                <m:t>β</m:t>
              </m:r>
            </m:e>
            <m:sub>
              <m:r>
                <m:t>3</m:t>
              </m:r>
            </m:sub>
          </m:sSub>
          <m:sSub>
            <m:e>
              <m:r>
                <m:rPr>
                  <m:sty m:val="p"/>
                </m:rPr>
                <m:t>M</m:t>
              </m:r>
              <m:r>
                <m:rPr>
                  <m:sty m:val="p"/>
                </m:rPr>
                <m:t>A</m:t>
              </m:r>
              <m:r>
                <m:rPr>
                  <m:sty m:val="p"/>
                </m:rPr>
                <m:t>S</m:t>
              </m:r>
              <m:r>
                <m:rPr>
                  <m:sty m:val="p"/>
                </m:rPr>
                <m:t>S</m:t>
              </m:r>
            </m:e>
            <m:sub>
              <m:r>
                <m:t>i</m:t>
              </m:r>
            </m:sub>
          </m:sSub>
          <m:r>
            <m:rPr>
              <m:sty m:val="p"/>
            </m:rPr>
            <m:t>+</m:t>
          </m:r>
          <m:sSub>
            <m:e>
              <m:r>
                <m:t>β</m:t>
              </m:r>
            </m:e>
            <m:sub>
              <m:r>
                <m:t>4</m:t>
              </m:r>
            </m:sub>
          </m:sSub>
          <m:sSub>
            <m:e>
              <m:r>
                <m:rPr>
                  <m:sty m:val="p"/>
                </m:rPr>
                <m:t>C</m:t>
              </m:r>
              <m:r>
                <m:rPr>
                  <m:sty m:val="p"/>
                </m:rPr>
                <m:t>O</m:t>
              </m:r>
              <m:r>
                <m:rPr>
                  <m:sty m:val="p"/>
                </m:rPr>
                <m:t>M</m:t>
              </m:r>
              <m:r>
                <m:rPr>
                  <m:sty m:val="p"/>
                </m:rPr>
                <m:t>M</m:t>
              </m:r>
            </m:e>
            <m:sub>
              <m:r>
                <m:t>i</m:t>
              </m:r>
            </m:sub>
          </m:sSub>
          <m:r>
            <m:rPr>
              <m:sty m:val="p"/>
            </m:rPr>
            <m:t>)</m:t>
          </m:r>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4.015</w:t>
            </w:r>
          </w:p>
        </w:tc>
        <w:tc>
          <w:tcPr>
            <w:tcW w:w="0" w:type="auto"/>
          </w:tcPr>
          <w:p>
            <w:pPr>
              <w:spacing w:line="240" w:lineRule="auto" w:before="0" w:after="0"/>
              <w:pStyle w:val="Compact"/>
            </w:pPr>
            <w:r>
              <w:rPr>
                <w:sz w:val="20"/>
                <w:szCs w:val="20"/>
              </w:rPr>
              <w:t xml:space="preserve">1.2127</w:t>
            </w:r>
          </w:p>
        </w:tc>
        <w:tc>
          <w:tcPr>
            <w:tcW w:w="0" w:type="auto"/>
          </w:tcPr>
          <w:p>
            <w:pPr>
              <w:spacing w:line="240" w:lineRule="auto" w:before="0" w:after="0"/>
              <w:pStyle w:val="Compact"/>
            </w:pPr>
            <w:r>
              <w:rPr>
                <w:sz w:val="20"/>
                <w:szCs w:val="20"/>
              </w:rPr>
              <w:t xml:space="preserve">3.3109</w:t>
            </w:r>
          </w:p>
        </w:tc>
        <w:tc>
          <w:tcPr>
            <w:tcW w:w="0" w:type="auto"/>
          </w:tcPr>
          <w:p>
            <w:pPr>
              <w:spacing w:line="240" w:lineRule="auto" w:before="0" w:after="0"/>
              <w:pStyle w:val="Compact"/>
            </w:pPr>
            <w:r>
              <w:rPr>
                <w:sz w:val="20"/>
                <w:szCs w:val="20"/>
              </w:rPr>
              <w:t xml:space="preserve">0.0009301</w:t>
            </w:r>
          </w:p>
        </w:tc>
        <w:tc>
          <w:tcPr>
            <w:tcW w:w="0" w:type="auto"/>
          </w:tcPr>
          <w:p>
            <w:pPr>
              <w:spacing w:line="240" w:lineRule="auto" w:before="0" w:after="0"/>
              <w:pStyle w:val="Compact"/>
            </w:pPr>
            <w:r>
              <w:rPr>
                <w:sz w:val="20"/>
                <w:szCs w:val="20"/>
              </w:rPr>
              <w:t xml:space="preserve">[1.6382, 6.3919]</w:t>
            </w:r>
          </w:p>
        </w:tc>
        <w:tc>
          <w:tcPr>
            <w:tcW w:w="0" w:type="auto"/>
          </w:tcPr>
          <w:p>
            <w:pPr>
              <w:spacing w:line="240" w:lineRule="auto" w:before="0" w:after="0"/>
              <w:pStyle w:val="Compact"/>
            </w:pPr>
            <w:r>
              <w:rPr>
                <w:sz w:val="20"/>
                <w:szCs w:val="20"/>
              </w:rPr>
              <w:t xml:space="preserve">55.4235</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0.0009998</w:t>
            </w:r>
          </w:p>
        </w:tc>
        <w:tc>
          <w:tcPr>
            <w:tcW w:w="0" w:type="auto"/>
          </w:tcPr>
          <w:p>
            <w:pPr>
              <w:spacing w:line="240" w:lineRule="auto" w:before="0" w:after="0"/>
              <w:pStyle w:val="Compact"/>
            </w:pPr>
            <w:r>
              <w:rPr>
                <w:sz w:val="20"/>
                <w:szCs w:val="20"/>
              </w:rPr>
              <w:t xml:space="preserve">-1.349</w:t>
            </w:r>
          </w:p>
        </w:tc>
        <w:tc>
          <w:tcPr>
            <w:tcW w:w="0" w:type="auto"/>
          </w:tcPr>
          <w:p>
            <w:pPr>
              <w:spacing w:line="240" w:lineRule="auto" w:before="0" w:after="0"/>
              <w:pStyle w:val="Compact"/>
            </w:pPr>
            <w:r>
              <w:rPr>
                <w:sz w:val="20"/>
                <w:szCs w:val="20"/>
              </w:rPr>
              <w:t xml:space="preserve">0.1773</w:t>
            </w:r>
          </w:p>
        </w:tc>
        <w:tc>
          <w:tcPr>
            <w:tcW w:w="0" w:type="auto"/>
          </w:tcPr>
          <w:p>
            <w:pPr>
              <w:spacing w:line="240" w:lineRule="auto" w:before="0" w:after="0"/>
              <w:pStyle w:val="Compact"/>
            </w:pPr>
            <w:r>
              <w:rPr>
                <w:sz w:val="20"/>
                <w:szCs w:val="20"/>
              </w:rPr>
              <w:t xml:space="preserve">[-0.0033, 0.0006108]</w:t>
            </w:r>
          </w:p>
        </w:tc>
        <w:tc>
          <w:tcPr>
            <w:tcW w:w="0" w:type="auto"/>
          </w:tcPr>
          <w:p>
            <w:pPr>
              <w:spacing w:line="240" w:lineRule="auto" w:before="0" w:after="0"/>
              <w:pStyle w:val="Compact"/>
            </w:pPr>
            <w:r>
              <w:rPr>
                <w:sz w:val="20"/>
                <w:szCs w:val="20"/>
              </w:rPr>
              <w:t xml:space="preserve">0.9987</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-0.0007927</w:t>
            </w:r>
          </w:p>
        </w:tc>
        <w:tc>
          <w:tcPr>
            <w:tcW w:w="0" w:type="auto"/>
          </w:tcPr>
          <w:p>
            <w:pPr>
              <w:spacing w:line="240" w:lineRule="auto" w:before="0" w:after="0"/>
              <w:pStyle w:val="Compact"/>
            </w:pPr>
            <w:r>
              <w:rPr>
                <w:sz w:val="20"/>
                <w:szCs w:val="20"/>
              </w:rPr>
              <w:t xml:space="preserve">0.0005183</w:t>
            </w:r>
          </w:p>
        </w:tc>
        <w:tc>
          <w:tcPr>
            <w:tcW w:w="0" w:type="auto"/>
          </w:tcPr>
          <w:p>
            <w:pPr>
              <w:spacing w:line="240" w:lineRule="auto" w:before="0" w:after="0"/>
              <w:pStyle w:val="Compact"/>
            </w:pPr>
            <w:r>
              <w:rPr>
                <w:sz w:val="20"/>
                <w:szCs w:val="20"/>
              </w:rPr>
              <w:t xml:space="preserve">-1.5294</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[-0.0018, 0.0002232]</w:t>
            </w:r>
          </w:p>
        </w:tc>
        <w:tc>
          <w:tcPr>
            <w:tcW w:w="0" w:type="auto"/>
          </w:tcPr>
          <w:p>
            <w:pPr>
              <w:spacing w:line="240" w:lineRule="auto" w:before="0" w:after="0"/>
              <w:pStyle w:val="Compact"/>
            </w:pPr>
            <w:r>
              <w:rPr>
                <w:sz w:val="20"/>
                <w:szCs w:val="20"/>
              </w:rPr>
              <w:t xml:space="preserve">0.9992</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-0.3366</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0.6875</w:t>
            </w:r>
          </w:p>
        </w:tc>
        <w:tc>
          <w:tcPr>
            <w:tcW w:w="0" w:type="auto"/>
          </w:tcPr>
          <w:p>
            <w:pPr>
              <w:spacing w:line="240" w:lineRule="auto" w:before="0" w:after="0"/>
              <w:pStyle w:val="Compact"/>
            </w:pPr>
            <w:r>
              <w:rPr>
                <w:sz w:val="20"/>
                <w:szCs w:val="20"/>
              </w:rPr>
              <w:t xml:space="preserve">[-1.9768, 1.3036]</w:t>
            </w:r>
          </w:p>
        </w:tc>
        <w:tc>
          <w:tcPr>
            <w:tcW w:w="0" w:type="auto"/>
          </w:tcPr>
          <w:p>
            <w:pPr>
              <w:spacing w:line="240" w:lineRule="auto" w:before="0" w:after="0"/>
              <w:pStyle w:val="Compact"/>
            </w:pPr>
            <w:r>
              <w:rPr>
                <w:sz w:val="20"/>
                <w:szCs w:val="20"/>
              </w:rPr>
              <w:t xml:space="preserve">0.7142</w:t>
            </w:r>
          </w:p>
        </w:tc>
      </w:tr>
    </w:tbl>
    <w:p>
      <w:pPr>
        <w:pStyle w:val="BodyText"/>
        <w:spacing w:line="480" w:lineRule="auto"/>
        <w:ind w:firstLine="720"/>
      </w:pPr>
      <w:r>
        <w:t xml:space="preserve">Fit: N = 32 events = 18</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Mission-level duration-event scatter for the 32 LEO and adjacent-orbit satellites in the analytic sample. Event = 1 denotes an observed disposal; event = 0 denotes right-censoring at the 2025 observation window." title="" id="193" name="Picture"/>
            <a:graphic>
              <a:graphicData uri="http://schemas.openxmlformats.org/drawingml/2006/picture">
                <pic:pic>
                  <pic:nvPicPr>
                    <pic:cNvPr descr="D:/Claude_Code/brain/collegium/candidates/dissertations/DEBRIS_08/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Mission-level duration-event scatter for the 32 LEO and adjacent-orbit satellites in the analytic sample. Event = 1 denotes an observed disposal; event = 0 denotes right-censoring at the 2025 observation window.</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Iridium-1 (1997-082A)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DISCOS / Celestrak catalog; Iridium NEXT replacement program press kit 2017</w:t>
            </w:r>
          </w:p>
        </w:tc>
      </w:tr>
      <w:tr>
        <w:tc>
          <w:tcPr>
            <w:tcW w:w="0" w:type="auto"/>
          </w:tcPr>
          <w:p>
            <w:pPr>
              <w:spacing w:line="240" w:lineRule="auto" w:before="0" w:after="0"/>
              <w:pStyle w:val="Compact"/>
            </w:pPr>
            <w:r>
              <w:rPr>
                <w:sz w:val="20"/>
                <w:szCs w:val="20"/>
              </w:rPr>
              <w:t xml:space="preserve">Iridium-2 (1997-082B)</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DISCOS / Celestrak catalog</w:t>
            </w:r>
          </w:p>
        </w:tc>
      </w:tr>
      <w:tr>
        <w:tc>
          <w:tcPr>
            <w:tcW w:w="0" w:type="auto"/>
          </w:tcPr>
          <w:p>
            <w:pPr>
              <w:spacing w:line="240" w:lineRule="auto" w:before="0" w:after="0"/>
              <w:pStyle w:val="Compact"/>
            </w:pPr>
            <w:r>
              <w:rPr>
                <w:sz w:val="20"/>
                <w:szCs w:val="20"/>
              </w:rPr>
              <w:t xml:space="preserve">Iridium-21 (1998-018A)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DISCOS / Celestrak catalog</w:t>
            </w:r>
          </w:p>
        </w:tc>
      </w:tr>
      <w:tr>
        <w:tc>
          <w:tcPr>
            <w:tcW w:w="0" w:type="auto"/>
          </w:tcPr>
          <w:p>
            <w:pPr>
              <w:spacing w:line="240" w:lineRule="auto" w:before="0" w:after="0"/>
              <w:pStyle w:val="Compact"/>
            </w:pPr>
            <w:r>
              <w:rPr>
                <w:sz w:val="20"/>
                <w:szCs w:val="20"/>
              </w:rPr>
              <w:t xml:space="preserve">GlobalStar-M001 (1998-008A)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2nd-gen replacement program filings, Celestrak</w:t>
            </w:r>
          </w:p>
        </w:tc>
      </w:tr>
      <w:tr>
        <w:tc>
          <w:tcPr>
            <w:tcW w:w="0" w:type="auto"/>
          </w:tcPr>
          <w:p>
            <w:pPr>
              <w:spacing w:line="240" w:lineRule="auto" w:before="0" w:after="0"/>
              <w:pStyle w:val="Compact"/>
            </w:pPr>
            <w:r>
              <w:rPr>
                <w:sz w:val="20"/>
                <w:szCs w:val="20"/>
              </w:rPr>
              <w:t xml:space="preserve">Envisat (2002-009A)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8211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Envisat end-of-life report 2012; ESA Space Debris Office annual report 2023 [illustrative censoring]</w:t>
            </w:r>
          </w:p>
        </w:tc>
      </w:tr>
      <w:tr>
        <w:tc>
          <w:tcPr>
            <w:tcW w:w="0" w:type="auto"/>
          </w:tcPr>
          <w:p>
            <w:pPr>
              <w:spacing w:line="240" w:lineRule="auto" w:before="0" w:after="0"/>
              <w:pStyle w:val="Compact"/>
            </w:pPr>
            <w:r>
              <w:rPr>
                <w:sz w:val="20"/>
                <w:szCs w:val="20"/>
              </w:rPr>
              <w:t xml:space="preserve">Spot-5 (2002-021A)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w:t>
            </w:r>
          </w:p>
        </w:tc>
        <w:tc>
          <w:tcPr>
            <w:tcW w:w="0" w:type="auto"/>
          </w:tcPr>
          <w:p>
            <w:pPr>
              <w:spacing w:line="240" w:lineRule="auto" w:before="0" w:after="0"/>
              <w:pStyle w:val="Compact"/>
            </w:pPr>
            <w:r>
              <w:rPr>
                <w:sz w:val="20"/>
                <w:szCs w:val="20"/>
              </w:rPr>
              <w:t xml:space="preserve">3030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 Spot-5 PMD report 2015; ESA Space Debris Mitigation Compliance Report 2017</w:t>
            </w:r>
          </w:p>
        </w:tc>
      </w:tr>
      <w:tr>
        <w:tc>
          <w:tcPr>
            <w:tcW w:w="0" w:type="auto"/>
          </w:tcPr>
          <w:p>
            <w:pPr>
              <w:spacing w:line="240" w:lineRule="auto" w:before="0" w:after="0"/>
              <w:pStyle w:val="Compact"/>
            </w:pPr>
            <w:r>
              <w:rPr>
                <w:sz w:val="20"/>
                <w:szCs w:val="20"/>
              </w:rPr>
              <w:t xml:space="preserve">ICESat (2003-002A)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970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ICESat mission end report 2010</w:t>
            </w:r>
          </w:p>
        </w:tc>
      </w:tr>
      <w:tr>
        <w:tc>
          <w:tcPr>
            <w:tcW w:w="0" w:type="auto"/>
          </w:tcPr>
          <w:p>
            <w:pPr>
              <w:spacing w:line="240" w:lineRule="auto" w:before="0" w:after="0"/>
              <w:pStyle w:val="Compact"/>
            </w:pPr>
            <w:r>
              <w:rPr>
                <w:sz w:val="20"/>
                <w:szCs w:val="20"/>
              </w:rPr>
              <w:t xml:space="preserve">TerraSAR-X (2007-026A)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 TerraSAR-X mission status 2024 [illustrative censoring]</w:t>
            </w:r>
          </w:p>
        </w:tc>
      </w:tr>
      <w:tr>
        <w:tc>
          <w:tcPr>
            <w:tcW w:w="0" w:type="auto"/>
          </w:tcPr>
          <w:p>
            <w:pPr>
              <w:spacing w:line="240" w:lineRule="auto" w:before="0" w:after="0"/>
              <w:pStyle w:val="Compact"/>
            </w:pPr>
            <w:r>
              <w:rPr>
                <w:sz w:val="20"/>
                <w:szCs w:val="20"/>
              </w:rPr>
              <w:t xml:space="preserve">COSMO-SkyMed-1 (2007-023A)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619</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ASI COSMO-SkyMed end-of-mission plan; ESA DISCOS</w:t>
            </w:r>
          </w:p>
        </w:tc>
      </w:tr>
      <w:tr>
        <w:tc>
          <w:tcPr>
            <w:tcW w:w="0" w:type="auto"/>
          </w:tcPr>
          <w:p>
            <w:pPr>
              <w:spacing w:line="240" w:lineRule="auto" w:before="0" w:after="0"/>
              <w:pStyle w:val="Compact"/>
            </w:pPr>
            <w:r>
              <w:rPr>
                <w:sz w:val="20"/>
                <w:szCs w:val="20"/>
              </w:rPr>
              <w:t xml:space="preserve">Worldview-1 (2007-041A)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DigitalGlobe/Maxar Worldview-1 fleet status 2024</w:t>
            </w:r>
          </w:p>
        </w:tc>
      </w:tr>
      <w:tr>
        <w:tc>
          <w:tcPr>
            <w:tcW w:w="0" w:type="auto"/>
          </w:tcPr>
          <w:p>
            <w:pPr>
              <w:spacing w:line="240" w:lineRule="auto" w:before="0" w:after="0"/>
              <w:pStyle w:val="Compact"/>
            </w:pPr>
            <w:r>
              <w:rPr>
                <w:sz w:val="20"/>
                <w:szCs w:val="20"/>
              </w:rPr>
              <w:t xml:space="preserve">GOCE (2009-013A)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1077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GOCE re-entry report 2013</w:t>
            </w:r>
          </w:p>
        </w:tc>
      </w:tr>
      <w:tr>
        <w:tc>
          <w:tcPr>
            <w:tcW w:w="0" w:type="auto"/>
          </w:tcPr>
          <w:p>
            <w:pPr>
              <w:spacing w:line="240" w:lineRule="auto" w:before="0" w:after="0"/>
              <w:pStyle w:val="Compact"/>
            </w:pPr>
            <w:r>
              <w:rPr>
                <w:sz w:val="20"/>
                <w:szCs w:val="20"/>
              </w:rPr>
              <w:t xml:space="preserve">Worldview-2 (2009-055A)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fleet status filings 2024 [illustrative censoring]</w:t>
            </w:r>
          </w:p>
        </w:tc>
      </w:tr>
      <w:tr>
        <w:tc>
          <w:tcPr>
            <w:tcW w:w="0" w:type="auto"/>
          </w:tcPr>
          <w:p>
            <w:pPr>
              <w:spacing w:line="240" w:lineRule="auto" w:before="0" w:after="0"/>
              <w:pStyle w:val="Compact"/>
            </w:pPr>
            <w:r>
              <w:rPr>
                <w:sz w:val="20"/>
                <w:szCs w:val="20"/>
              </w:rPr>
              <w:t xml:space="preserve">CryoSat-2 (2010-013A)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CryoSat-2 mission status 2024</w:t>
            </w:r>
          </w:p>
        </w:tc>
      </w:tr>
      <w:tr>
        <w:tc>
          <w:tcPr>
            <w:tcW w:w="0" w:type="auto"/>
          </w:tcPr>
          <w:p>
            <w:pPr>
              <w:spacing w:line="240" w:lineRule="auto" w:before="0" w:after="0"/>
              <w:pStyle w:val="Compact"/>
            </w:pPr>
            <w:r>
              <w:rPr>
                <w:sz w:val="20"/>
                <w:szCs w:val="20"/>
              </w:rPr>
              <w:t xml:space="preserve">TanDEM-X (2010-030A)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 TanDEM-X mission status 2024</w:t>
            </w:r>
          </w:p>
        </w:tc>
      </w:tr>
      <w:tr>
        <w:tc>
          <w:tcPr>
            <w:tcW w:w="0" w:type="auto"/>
          </w:tcPr>
          <w:p>
            <w:pPr>
              <w:spacing w:line="240" w:lineRule="auto" w:before="0" w:after="0"/>
              <w:pStyle w:val="Compact"/>
            </w:pPr>
            <w:r>
              <w:rPr>
                <w:sz w:val="20"/>
                <w:szCs w:val="20"/>
              </w:rPr>
              <w:t xml:space="preserve">SARAL (2013-009A)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407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ISRO/CNES SARAL status; ESA DISCOS</w:t>
            </w:r>
          </w:p>
        </w:tc>
      </w:tr>
      <w:tr>
        <w:tc>
          <w:tcPr>
            <w:tcW w:w="0" w:type="auto"/>
          </w:tcPr>
          <w:p>
            <w:pPr>
              <w:spacing w:line="240" w:lineRule="auto" w:before="0" w:after="0"/>
              <w:pStyle w:val="Compact"/>
            </w:pPr>
            <w:r>
              <w:rPr>
                <w:sz w:val="20"/>
                <w:szCs w:val="20"/>
              </w:rPr>
              <w:t xml:space="preserve">Swarm-A (2013-067A)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473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Swarm mission status 2024</w:t>
            </w:r>
          </w:p>
        </w:tc>
      </w:tr>
      <w:tr>
        <w:tc>
          <w:tcPr>
            <w:tcW w:w="0" w:type="auto"/>
          </w:tcPr>
          <w:p>
            <w:pPr>
              <w:spacing w:line="240" w:lineRule="auto" w:before="0" w:after="0"/>
              <w:pStyle w:val="Compact"/>
            </w:pPr>
            <w:r>
              <w:rPr>
                <w:sz w:val="20"/>
                <w:szCs w:val="20"/>
              </w:rPr>
              <w:t xml:space="preserve">Sentinel-1A (2014-016A)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Debris Mitigation Compliance Verification Report 2022; ESA Sentinel-1A end-of-life plan</w:t>
            </w:r>
          </w:p>
        </w:tc>
      </w:tr>
      <w:tr>
        <w:tc>
          <w:tcPr>
            <w:tcW w:w="0" w:type="auto"/>
          </w:tcPr>
          <w:p>
            <w:pPr>
              <w:spacing w:line="240" w:lineRule="auto" w:before="0" w:after="0"/>
              <w:pStyle w:val="Compact"/>
            </w:pPr>
            <w:r>
              <w:rPr>
                <w:sz w:val="20"/>
                <w:szCs w:val="20"/>
              </w:rPr>
              <w:t xml:space="preserve">OneWeb-0006 (2019-010A)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FCC filing SAT-MOD-20200526; ESA ESDMCVR 2023</w:t>
            </w:r>
          </w:p>
        </w:tc>
      </w:tr>
      <w:tr>
        <w:tc>
          <w:tcPr>
            <w:tcW w:w="0" w:type="auto"/>
          </w:tcPr>
          <w:p>
            <w:pPr>
              <w:spacing w:line="240" w:lineRule="auto" w:before="0" w:after="0"/>
              <w:pStyle w:val="Compact"/>
            </w:pPr>
            <w:r>
              <w:rPr>
                <w:sz w:val="20"/>
                <w:szCs w:val="20"/>
              </w:rPr>
              <w:t xml:space="preserve">Starlink-24 (2019-029A)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IBFS SAT-MOD-20200417; Celestrak decay log</w:t>
            </w:r>
          </w:p>
        </w:tc>
      </w:tr>
      <w:tr>
        <w:tc>
          <w:tcPr>
            <w:tcW w:w="0" w:type="auto"/>
          </w:tcPr>
          <w:p>
            <w:pPr>
              <w:spacing w:line="240" w:lineRule="auto" w:before="0" w:after="0"/>
              <w:pStyle w:val="Compact"/>
            </w:pPr>
            <w:r>
              <w:rPr>
                <w:sz w:val="20"/>
                <w:szCs w:val="20"/>
              </w:rPr>
              <w:t xml:space="preserve">Starlink v1.0-L1 batch (2019-074)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records; Celestrak decay 2022</w:t>
            </w:r>
          </w:p>
        </w:tc>
      </w:tr>
      <w:tr>
        <w:tc>
          <w:tcPr>
            <w:tcW w:w="0" w:type="auto"/>
          </w:tcPr>
          <w:p>
            <w:pPr>
              <w:spacing w:line="240" w:lineRule="auto" w:before="0" w:after="0"/>
              <w:pStyle w:val="Compact"/>
            </w:pPr>
            <w:r>
              <w:rPr>
                <w:sz w:val="20"/>
                <w:szCs w:val="20"/>
              </w:rPr>
              <w:t xml:space="preserve">Sentinel-6 Michael Freilich (2020-086A)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NASA/NOAA/ESA Sentinel-6 mission status 2025; SSR pilot disclosure</w:t>
            </w:r>
          </w:p>
        </w:tc>
      </w:tr>
      <w:tr>
        <w:tc>
          <w:tcPr>
            <w:tcW w:w="0" w:type="auto"/>
          </w:tcPr>
          <w:p>
            <w:pPr>
              <w:spacing w:line="240" w:lineRule="auto" w:before="0" w:after="0"/>
              <w:pStyle w:val="Compact"/>
            </w:pPr>
            <w:r>
              <w:rPr>
                <w:sz w:val="20"/>
                <w:szCs w:val="20"/>
              </w:rPr>
              <w:t xml:space="preserve">Starlink v1.0-L13 batch (2020-055)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filings; Celestrak decay records 2023</w:t>
            </w:r>
          </w:p>
        </w:tc>
      </w:tr>
      <w:tr>
        <w:tc>
          <w:tcPr>
            <w:tcW w:w="0" w:type="auto"/>
          </w:tcPr>
          <w:p>
            <w:pPr>
              <w:spacing w:line="240" w:lineRule="auto" w:before="0" w:after="0"/>
              <w:pStyle w:val="Compact"/>
            </w:pPr>
            <w:r>
              <w:rPr>
                <w:sz w:val="20"/>
                <w:szCs w:val="20"/>
              </w:rPr>
              <w:t xml:space="preserve">OneWeb-Gen1 batch-9 (2021-059)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FCC SAT-MOD-20210112; Celestrak</w:t>
            </w:r>
          </w:p>
        </w:tc>
      </w:tr>
      <w:tr>
        <w:tc>
          <w:tcPr>
            <w:tcW w:w="0" w:type="auto"/>
          </w:tcPr>
          <w:p>
            <w:pPr>
              <w:spacing w:line="240" w:lineRule="auto" w:before="0" w:after="0"/>
              <w:pStyle w:val="Compact"/>
            </w:pPr>
            <w:r>
              <w:rPr>
                <w:sz w:val="20"/>
                <w:szCs w:val="20"/>
              </w:rPr>
              <w:t xml:space="preserve">Pléiades Neo-3 (2021-038A)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Airbus Pléiades Neo press kit 2021; SSR pilot announcement WEF 2022</w:t>
            </w:r>
          </w:p>
        </w:tc>
      </w:tr>
      <w:tr>
        <w:tc>
          <w:tcPr>
            <w:tcW w:w="0" w:type="auto"/>
          </w:tcPr>
          <w:p>
            <w:pPr>
              <w:spacing w:line="240" w:lineRule="auto" w:before="0" w:after="0"/>
              <w:pStyle w:val="Compact"/>
            </w:pPr>
            <w:r>
              <w:rPr>
                <w:sz w:val="20"/>
                <w:szCs w:val="20"/>
              </w:rPr>
              <w:t xml:space="preserve">Starlink v1.5 batch (2022-019)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Celestrak decay records</w:t>
            </w:r>
          </w:p>
        </w:tc>
      </w:tr>
      <w:tr>
        <w:tc>
          <w:tcPr>
            <w:tcW w:w="0" w:type="auto"/>
          </w:tcPr>
          <w:p>
            <w:pPr>
              <w:spacing w:line="240" w:lineRule="auto" w:before="0" w:after="0"/>
              <w:pStyle w:val="Compact"/>
            </w:pPr>
            <w:r>
              <w:rPr>
                <w:sz w:val="20"/>
                <w:szCs w:val="20"/>
              </w:rPr>
              <w:t xml:space="preserve">OneWeb-Gen1 final batch (2023-049)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FCC filings 2023; Celestrak</w:t>
            </w:r>
          </w:p>
        </w:tc>
      </w:tr>
      <w:tr>
        <w:tc>
          <w:tcPr>
            <w:tcW w:w="0" w:type="auto"/>
          </w:tcPr>
          <w:p>
            <w:pPr>
              <w:spacing w:line="240" w:lineRule="auto" w:before="0" w:after="0"/>
              <w:pStyle w:val="Compact"/>
            </w:pPr>
            <w:r>
              <w:rPr>
                <w:sz w:val="20"/>
                <w:szCs w:val="20"/>
              </w:rPr>
              <w:t xml:space="preserve">Starlink v2-mini batch (2023-031)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SAT-MOD-20230207; Celestrak</w:t>
            </w:r>
          </w:p>
        </w:tc>
      </w:tr>
      <w:tr>
        <w:tc>
          <w:tcPr>
            <w:tcW w:w="0" w:type="auto"/>
          </w:tcPr>
          <w:p>
            <w:pPr>
              <w:spacing w:line="240" w:lineRule="auto" w:before="0" w:after="0"/>
              <w:pStyle w:val="Compact"/>
            </w:pPr>
            <w:r>
              <w:rPr>
                <w:sz w:val="20"/>
                <w:szCs w:val="20"/>
              </w:rPr>
              <w:t xml:space="preserve">Amazonas Nexus (2023-019A)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Hispasat/Amazonas Nexus press kit; SSR Tier-listing 2023 [illustrative censoring at GEO; included as commercial signaling case]</w:t>
            </w:r>
          </w:p>
        </w:tc>
      </w:tr>
      <w:tr>
        <w:tc>
          <w:tcPr>
            <w:tcW w:w="0" w:type="auto"/>
          </w:tcPr>
          <w:p>
            <w:pPr>
              <w:spacing w:line="240" w:lineRule="auto" w:before="0" w:after="0"/>
              <w:pStyle w:val="Compact"/>
            </w:pPr>
            <w:r>
              <w:rPr>
                <w:sz w:val="20"/>
                <w:szCs w:val="20"/>
              </w:rPr>
              <w:t xml:space="preserve">Starlink v2-mini batch (2024-018)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Celestrak</w:t>
            </w:r>
          </w:p>
        </w:tc>
      </w:tr>
      <w:tr>
        <w:tc>
          <w:tcPr>
            <w:tcW w:w="0" w:type="auto"/>
          </w:tcPr>
          <w:p>
            <w:pPr>
              <w:spacing w:line="240" w:lineRule="auto" w:before="0" w:after="0"/>
              <w:pStyle w:val="Compact"/>
            </w:pPr>
            <w:r>
              <w:rPr>
                <w:sz w:val="20"/>
                <w:szCs w:val="20"/>
              </w:rPr>
              <w:t xml:space="preserve">EarthCARE (2024-101A)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393</w:t>
            </w:r>
          </w:p>
        </w:tc>
        <w:tc>
          <w:tcPr>
            <w:tcW w:w="0" w:type="auto"/>
          </w:tcPr>
          <w:p>
            <w:pPr>
              <w:spacing w:line="240" w:lineRule="auto" w:before="0" w:after="0"/>
              <w:pStyle w:val="Compact"/>
            </w:pPr>
            <w:r>
              <w:rPr>
                <w:sz w:val="20"/>
                <w:szCs w:val="20"/>
              </w:rPr>
              <w:t xml:space="preserve">2350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EarthCARE mission status 2025; ESA SSR collaboration disclosure</w:t>
            </w:r>
          </w:p>
        </w:tc>
      </w:tr>
      <w:tr>
        <w:tc>
          <w:tcPr>
            <w:tcW w:w="0" w:type="auto"/>
          </w:tcPr>
          <w:p>
            <w:pPr>
              <w:spacing w:line="240" w:lineRule="auto" w:before="0" w:after="0"/>
              <w:pStyle w:val="Compact"/>
            </w:pPr>
            <w:r>
              <w:rPr>
                <w:sz w:val="20"/>
                <w:szCs w:val="20"/>
              </w:rPr>
              <w:t xml:space="preserve">Sentinel-2C (2024-157A)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Sentinel-2C launch press kit 2024; ESA SDMCVR 2024</w:t>
            </w:r>
          </w:p>
        </w:tc>
      </w:tr>
      <w:tr>
        <w:tc>
          <w:tcPr>
            <w:tcW w:w="0" w:type="auto"/>
          </w:tcPr>
          <w:p>
            <w:pPr>
              <w:spacing w:line="240" w:lineRule="auto" w:before="0" w:after="0"/>
              <w:pStyle w:val="Compact"/>
            </w:pPr>
            <w:r>
              <w:rPr>
                <w:sz w:val="20"/>
                <w:szCs w:val="20"/>
              </w:rPr>
              <w:t xml:space="preserve">PACE (2024-024A)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676</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PACE mission status 2025</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launch to either documented disposal event or right-censoring observation date</w:t>
            </w:r>
          </w:p>
        </w:tc>
        <w:tc>
          <w:tcPr>
            <w:tcW w:w="0" w:type="auto"/>
          </w:tcPr>
          <w:p>
            <w:pPr>
              <w:spacing w:line="240" w:lineRule="auto" w:before="0" w:after="0"/>
              <w:pStyle w:val="Compact"/>
            </w:pPr>
            <w:r>
              <w:rPr>
                <w:sz w:val="20"/>
                <w:szCs w:val="20"/>
              </w:rPr>
              <w:t xml:space="preserve">ESA DISCOS, Celestrak, NASA NTRS, operator press kits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disposal (atmospheric re-entry or graveyard transfer) is observed, 0 if censored at observation date</w:t>
            </w:r>
          </w:p>
        </w:tc>
        <w:tc>
          <w:tcPr>
            <w:tcW w:w="0" w:type="auto"/>
          </w:tcPr>
          <w:p>
            <w:pPr>
              <w:spacing w:line="240" w:lineRule="auto" w:before="0" w:after="0"/>
              <w:pStyle w:val="Compact"/>
            </w:pPr>
            <w:r>
              <w:rPr>
                <w:sz w:val="20"/>
                <w:szCs w:val="20"/>
              </w:rPr>
              <w:t xml:space="preserve">ESA DISCOS, Celestrak decay logs</w:t>
            </w:r>
          </w:p>
        </w:tc>
      </w:tr>
      <w:tr>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Indicator equal to 1 if the operator engaged the Space Sustainability Rating ecosystem (WEF SSR, ESA SDMCVR disclosure regime) at or before launch</w:t>
            </w:r>
          </w:p>
        </w:tc>
        <w:tc>
          <w:tcPr>
            <w:tcW w:w="0" w:type="auto"/>
          </w:tcPr>
          <w:p>
            <w:pPr>
              <w:spacing w:line="240" w:lineRule="auto" w:before="0" w:after="0"/>
              <w:pStyle w:val="Compact"/>
            </w:pPr>
            <w:r>
              <w:rPr>
                <w:sz w:val="20"/>
                <w:szCs w:val="20"/>
              </w:rPr>
              <w:t xml:space="preserve">ESA Space Debris Mitigation Compliance Verification Report 2022 and 2023; WEF SSR public disclosures; Acta Astronautica 2025 (Rathnasabapathy et al.)</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Nominal operational orbit altitude in kilometers (perigee for elliptical)</w:t>
            </w:r>
          </w:p>
        </w:tc>
        <w:tc>
          <w:tcPr>
            <w:tcW w:w="0" w:type="auto"/>
          </w:tcPr>
          <w:p>
            <w:pPr>
              <w:spacing w:line="240" w:lineRule="auto" w:before="0" w:after="0"/>
              <w:pStyle w:val="Compact"/>
            </w:pPr>
            <w:r>
              <w:rPr>
                <w:sz w:val="20"/>
                <w:szCs w:val="20"/>
              </w:rPr>
              <w:t xml:space="preserve">Operator filings, ESA DISCOS</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launch mass in kilograms</w:t>
            </w:r>
          </w:p>
        </w:tc>
        <w:tc>
          <w:tcPr>
            <w:tcW w:w="0" w:type="auto"/>
          </w:tcPr>
          <w:p>
            <w:pPr>
              <w:spacing w:line="240" w:lineRule="auto" w:before="0" w:after="0"/>
              <w:pStyle w:val="Compact"/>
            </w:pPr>
            <w:r>
              <w:rPr>
                <w:sz w:val="20"/>
                <w:szCs w:val="20"/>
              </w:rPr>
              <w:t xml:space="preserve">Operator press kits, NASA NTRS, FCC IBFS filings</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Indicator equal to 1 for commercial operators, 0 for civil or government missions</w:t>
            </w:r>
          </w:p>
        </w:tc>
        <w:tc>
          <w:tcPr>
            <w:tcW w:w="0" w:type="auto"/>
          </w:tcPr>
          <w:p>
            <w:pPr>
              <w:spacing w:line="240" w:lineRule="auto" w:before="0" w:after="0"/>
              <w:pStyle w:val="Compact"/>
            </w:pPr>
            <w:r>
              <w:rPr>
                <w:sz w:val="20"/>
                <w:szCs w:val="20"/>
              </w:rPr>
              <w:t xml:space="preserve">Authoritative operator classification, GAO mission assessments</w:t>
            </w:r>
          </w:p>
        </w:tc>
      </w:tr>
    </w:tbl>
    <w:bookmarkEnd w:id="197"/>
    <w:bookmarkEnd w:id="198"/>
    <w:bookmarkStart w:id="206" w:name="X68bc29d2df6bdddaa71e414fce23b749d377149"/>
    <w:p>
      <w:pPr>
        <w:pStyle w:val="Heading2"/>
        <w:spacing w:line="480" w:lineRule="auto"/>
      </w:pPr>
      <w:r>
        <w:t xml:space="preserve">A.2 Costly Talk? A Logistic Analysis of Public Sustainability Commitments Among Commercial Satellite Operators</w:t>
      </w:r>
    </w:p>
    <w:p>
      <w:pPr>
        <w:pStyle w:val="FirstParagraph"/>
        <w:spacing w:line="480" w:lineRule="auto"/>
      </w:pPr>
      <m:oMathPara>
        <m:oMathParaPr>
          <m:jc m:val="center"/>
        </m:oMathParaPr>
        <m:oMath>
          <m:r>
            <m:rPr>
              <m:sty m:val="p"/>
            </m:rPr>
            <m:t>Pr</m:t>
          </m:r>
          <m:r>
            <m:rPr>
              <m:sty m:val="p"/>
            </m:rPr>
            <m:t>(</m:t>
          </m:r>
          <m:r>
            <m:rPr>
              <m:nor/>
              <m:sty m:val="p"/>
            </m:rPr>
            <m:t>publicly_committed</m:t>
          </m:r>
          <m:r>
            <m:rPr>
              <m:sty m:val="p"/>
            </m:rPr>
            <m:t>=</m:t>
          </m:r>
          <m:r>
            <m:t>1</m:t>
          </m:r>
          <m:r>
            <m:rPr>
              <m:sty m:val="p"/>
            </m:rPr>
            <m:t>∣</m:t>
          </m:r>
          <m:r>
            <m:t>x</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r>
                <m:rPr>
                  <m:sty m:val="p"/>
                </m:rPr>
                <m:t>log</m:t>
              </m:r>
              <m:r>
                <m:rPr>
                  <m:sty m:val="p"/>
                </m:rPr>
                <m:t>(</m:t>
              </m:r>
              <m:r>
                <m:rPr>
                  <m:nor/>
                  <m:sty m:val="p"/>
                </m:rPr>
                <m:t>satellites</m:t>
              </m:r>
              <m:r>
                <m:rPr>
                  <m:sty m:val="p"/>
                </m:rPr>
                <m:t>)</m:t>
              </m:r>
              <m:r>
                <m:rPr>
                  <m:sty m:val="p"/>
                </m:rPr>
                <m:t>+</m:t>
              </m:r>
              <m:sSub>
                <m:e>
                  <m:r>
                    <m:t>β</m:t>
                  </m:r>
                </m:e>
                <m:sub>
                  <m:r>
                    <m:t>2</m:t>
                  </m:r>
                </m:sub>
              </m:sSub>
              <m:r>
                <m:t> </m:t>
              </m:r>
              <m:r>
                <m:rPr>
                  <m:nor/>
                  <m:sty m:val="p"/>
                </m:rPr>
                <m:t>leo_share</m:t>
              </m:r>
              <m:r>
                <m:rPr>
                  <m:sty m:val="p"/>
                </m:rPr>
                <m:t>+</m:t>
              </m:r>
              <m:sSub>
                <m:e>
                  <m:r>
                    <m:t>β</m:t>
                  </m:r>
                </m:e>
                <m:sub>
                  <m:r>
                    <m:t>3</m:t>
                  </m:r>
                </m:sub>
              </m:sSub>
              <m:r>
                <m:t> </m:t>
              </m:r>
              <m:r>
                <m:rPr>
                  <m:nor/>
                  <m:sty m:val="p"/>
                </m:rPr>
                <m:t>ssr_or_pmd_signal</m:t>
              </m:r>
            </m:e>
          </m:d>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-2.7686</w:t>
            </w:r>
          </w:p>
        </w:tc>
        <w:tc>
          <w:tcPr>
            <w:tcW w:w="0" w:type="auto"/>
          </w:tcPr>
          <w:p>
            <w:pPr>
              <w:spacing w:line="240" w:lineRule="auto" w:before="0" w:after="0"/>
              <w:pStyle w:val="Compact"/>
            </w:pPr>
            <w:r>
              <w:rPr>
                <w:sz w:val="20"/>
                <w:szCs w:val="20"/>
              </w:rPr>
              <w:t xml:space="preserve">1.6967</w:t>
            </w:r>
          </w:p>
        </w:tc>
        <w:tc>
          <w:tcPr>
            <w:tcW w:w="0" w:type="auto"/>
          </w:tcPr>
          <w:p>
            <w:pPr>
              <w:spacing w:line="240" w:lineRule="auto" w:before="0" w:after="0"/>
              <w:pStyle w:val="Compact"/>
            </w:pPr>
            <w:r>
              <w:rPr>
                <w:sz w:val="20"/>
                <w:szCs w:val="20"/>
              </w:rPr>
              <w:t xml:space="preserve">-1.6318</w:t>
            </w:r>
          </w:p>
        </w:tc>
        <w:tc>
          <w:tcPr>
            <w:tcW w:w="0" w:type="auto"/>
          </w:tcPr>
          <w:p>
            <w:pPr>
              <w:spacing w:line="240" w:lineRule="auto" w:before="0" w:after="0"/>
              <w:pStyle w:val="Compact"/>
            </w:pPr>
            <w:r>
              <w:rPr>
                <w:sz w:val="20"/>
                <w:szCs w:val="20"/>
              </w:rPr>
              <w:t xml:space="preserve">0.1027</w:t>
            </w:r>
          </w:p>
        </w:tc>
        <w:tc>
          <w:tcPr>
            <w:tcW w:w="0" w:type="auto"/>
          </w:tcPr>
          <w:p>
            <w:pPr>
              <w:spacing w:line="240" w:lineRule="auto" w:before="0" w:after="0"/>
              <w:pStyle w:val="Compact"/>
            </w:pPr>
            <w:r>
              <w:rPr>
                <w:sz w:val="20"/>
                <w:szCs w:val="20"/>
              </w:rPr>
              <w:t xml:space="preserve">[-6.0941, 0.5569]</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0.2968</w:t>
            </w:r>
          </w:p>
        </w:tc>
        <w:tc>
          <w:tcPr>
            <w:tcW w:w="0" w:type="auto"/>
          </w:tcPr>
          <w:p>
            <w:pPr>
              <w:spacing w:line="240" w:lineRule="auto" w:before="0" w:after="0"/>
              <w:pStyle w:val="Compact"/>
            </w:pPr>
            <w:r>
              <w:rPr>
                <w:sz w:val="20"/>
                <w:szCs w:val="20"/>
              </w:rPr>
              <w:t xml:space="preserve">0.4255</w:t>
            </w:r>
          </w:p>
        </w:tc>
        <w:tc>
          <w:tcPr>
            <w:tcW w:w="0" w:type="auto"/>
          </w:tcPr>
          <w:p>
            <w:pPr>
              <w:spacing w:line="240" w:lineRule="auto" w:before="0" w:after="0"/>
              <w:pStyle w:val="Compact"/>
            </w:pPr>
            <w:r>
              <w:rPr>
                <w:sz w:val="20"/>
                <w:szCs w:val="20"/>
              </w:rPr>
              <w:t xml:space="preserve">0.6705</w:t>
            </w:r>
          </w:p>
        </w:tc>
        <w:tc>
          <w:tcPr>
            <w:tcW w:w="0" w:type="auto"/>
          </w:tcPr>
          <w:p>
            <w:pPr>
              <w:spacing w:line="240" w:lineRule="auto" w:before="0" w:after="0"/>
              <w:pStyle w:val="Compact"/>
            </w:pPr>
            <w:r>
              <w:rPr>
                <w:sz w:val="20"/>
                <w:szCs w:val="20"/>
              </w:rPr>
              <w:t xml:space="preserve">[-0.4554, 0.708]</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1.4502</w:t>
            </w:r>
          </w:p>
        </w:tc>
        <w:tc>
          <w:tcPr>
            <w:tcW w:w="0" w:type="auto"/>
          </w:tcPr>
          <w:p>
            <w:pPr>
              <w:spacing w:line="240" w:lineRule="auto" w:before="0" w:after="0"/>
              <w:pStyle w:val="Compact"/>
            </w:pPr>
            <w:r>
              <w:rPr>
                <w:sz w:val="20"/>
                <w:szCs w:val="20"/>
              </w:rPr>
              <w:t xml:space="preserve">0.139</w:t>
            </w:r>
          </w:p>
        </w:tc>
        <w:tc>
          <w:tcPr>
            <w:tcW w:w="0" w:type="auto"/>
          </w:tcPr>
          <w:p>
            <w:pPr>
              <w:spacing w:line="240" w:lineRule="auto" w:before="0" w:after="0"/>
              <w:pStyle w:val="Compact"/>
            </w:pPr>
            <w:r>
              <w:rPr>
                <w:sz w:val="20"/>
                <w:szCs w:val="20"/>
              </w:rPr>
              <w:t xml:space="preserve">0.8895</w:t>
            </w:r>
          </w:p>
        </w:tc>
        <w:tc>
          <w:tcPr>
            <w:tcW w:w="0" w:type="auto"/>
          </w:tcPr>
          <w:p>
            <w:pPr>
              <w:spacing w:line="240" w:lineRule="auto" w:before="0" w:after="0"/>
              <w:pStyle w:val="Compact"/>
            </w:pPr>
            <w:r>
              <w:rPr>
                <w:sz w:val="20"/>
                <w:szCs w:val="20"/>
              </w:rPr>
              <w:t xml:space="preserve">[-2.6409, 3.044]</w:t>
            </w:r>
          </w:p>
        </w:tc>
      </w:tr>
      <w:tr>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4.2216</w:t>
            </w:r>
          </w:p>
        </w:tc>
        <w:tc>
          <w:tcPr>
            <w:tcW w:w="0" w:type="auto"/>
          </w:tcPr>
          <w:p>
            <w:pPr>
              <w:spacing w:line="240" w:lineRule="auto" w:before="0" w:after="0"/>
              <w:pStyle w:val="Compact"/>
            </w:pPr>
            <w:r>
              <w:rPr>
                <w:sz w:val="20"/>
                <w:szCs w:val="20"/>
              </w:rPr>
              <w:t xml:space="preserve">1.321</w:t>
            </w:r>
          </w:p>
        </w:tc>
        <w:tc>
          <w:tcPr>
            <w:tcW w:w="0" w:type="auto"/>
          </w:tcPr>
          <w:p>
            <w:pPr>
              <w:spacing w:line="240" w:lineRule="auto" w:before="0" w:after="0"/>
              <w:pStyle w:val="Compact"/>
            </w:pPr>
            <w:r>
              <w:rPr>
                <w:sz w:val="20"/>
                <w:szCs w:val="20"/>
              </w:rPr>
              <w:t xml:space="preserve">3.1958</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[1.6325, 6.8106]</w:t>
            </w:r>
          </w:p>
        </w:tc>
      </w:tr>
    </w:tbl>
    <w:p>
      <w:pPr>
        <w:pStyle w:val="BodyText"/>
        <w:spacing w:line="480" w:lineRule="auto"/>
        <w:ind w:firstLine="720"/>
      </w:pPr>
      <w:r>
        <w:t xml:space="preserve">Fit: N = 35 pseudo_R2 = 0.47 LL = -12.2375</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robability of a public sustainability commitment against operator fleet scale; commitments concentrate among larger LEO operators consistent with reputational-signaling pressure." title="" id="201" name="Picture"/>
            <a:graphic>
              <a:graphicData uri="http://schemas.openxmlformats.org/drawingml/2006/picture">
                <pic:pic>
                  <pic:nvPicPr>
                    <pic:cNvPr descr="D:/Claude_Code/brain/collegium/candidates/dissertations/DEBRIS_08/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Probability of a public sustainability commitment against operator fleet scale; commitments concentrate among larger LEO operators consistent with reputational-signaling pressure.</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year_first_launch</w:t>
            </w:r>
          </w:p>
        </w:tc>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publicly_committed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Sustainability Statement (Oct 2022) and FCC Gen2 partial grant 2022-12-01 commits to 5-year PMD (api.starlink.com/public-files/StarlinkSustainability.pdf; fcc.gov/document/fcc-partially-grants-spacex-gen2-broadband-satellite-application)</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6.474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Responsible Space policy and ESA Net Zero Space signatory 2021 (oneweb.net/resources/responsible-space; netzerospace.org signatories)</w:t>
            </w:r>
          </w:p>
        </w:tc>
      </w:tr>
      <w:tr>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Flock/SkySat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Sustainability Report 2023 documents 25-year rule compliance and rapid LEO reentry (planet.com/pulse/planet-publishes-2023-sustainability-report)</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NEXT first-gen deorbit campaign completed 2019, published in ESA Annual Space Environment Report 2023 (esoc.esa.int/space_environment_report_2023; iridium.com sustainability)</w:t>
            </w:r>
          </w:p>
        </w:tc>
      </w:tr>
      <w:tr>
        <w:tc>
          <w:tcPr>
            <w:tcW w:w="0" w:type="auto"/>
          </w:tcPr>
          <w:p>
            <w:pPr>
              <w:spacing w:line="240" w:lineRule="auto" w:before="0" w:after="0"/>
              <w:pStyle w:val="Compact"/>
            </w:pPr>
            <w:r>
              <w:rPr>
                <w:sz w:val="20"/>
                <w:szCs w:val="20"/>
              </w:rPr>
              <w:t xml:space="preserve">Spire Global</w:t>
            </w:r>
          </w:p>
        </w:tc>
        <w:tc>
          <w:tcPr>
            <w:tcW w:w="0" w:type="auto"/>
          </w:tcPr>
          <w:p>
            <w:pPr>
              <w:spacing w:line="240" w:lineRule="auto" w:before="0" w:after="0"/>
              <w:pStyle w:val="Compact"/>
            </w:pPr>
            <w:r>
              <w:rPr>
                <w:sz w:val="20"/>
                <w:szCs w:val="20"/>
              </w:rPr>
              <w:t xml:space="preserve">Lemur-2</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ESG Report 2023 and SSR application announced 2022 (spire.com sustainability; spacesustainabilityrating.org/rated-missions)</w:t>
            </w:r>
          </w:p>
        </w:tc>
      </w:tr>
      <w:tr>
        <w:tc>
          <w:tcPr>
            <w:tcW w:w="0" w:type="auto"/>
          </w:tcPr>
          <w:p>
            <w:pPr>
              <w:spacing w:line="240" w:lineRule="auto" w:before="0" w:after="0"/>
              <w:pStyle w:val="Compact"/>
            </w:pPr>
            <w:r>
              <w:rPr>
                <w:sz w:val="20"/>
                <w:szCs w:val="20"/>
              </w:rPr>
              <w:t xml:space="preserve">Axelspace</w:t>
            </w:r>
          </w:p>
        </w:tc>
        <w:tc>
          <w:tcPr>
            <w:tcW w:w="0" w:type="auto"/>
          </w:tcPr>
          <w:p>
            <w:pPr>
              <w:spacing w:line="240" w:lineRule="auto" w:before="0" w:after="0"/>
              <w:pStyle w:val="Compact"/>
            </w:pPr>
            <w:r>
              <w:rPr>
                <w:sz w:val="20"/>
                <w:szCs w:val="20"/>
              </w:rPr>
              <w:t xml:space="preserve">GRUS</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Axelspace GRUS mission press kit; no public SSR or sustainability statement located as of 2024 (axelspace.com news)</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ICEYE SAR</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ICEYE Sustainability Statement and SSR participation announced 2023 (iceye.com sustainability; spacesustainabilityrating.org)</w:t>
            </w:r>
          </w:p>
        </w:tc>
      </w:tr>
      <w:tr>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I-6 F1/F2</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Inmarsat ESG Report 2022 commits to MEO/GEO graveyard disposal (inmarsat.com/about/sustainability)</w:t>
            </w:r>
          </w:p>
        </w:tc>
      </w:tr>
      <w:tr>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O3b mPOWER</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Sustainability Report 2023 references mPOWER MEO disposal plans and ESA CleanSpace partnership (ses.com/sustainability)</w:t>
            </w:r>
          </w:p>
        </w:tc>
      </w:tr>
      <w:tr>
        <w:tc>
          <w:tcPr>
            <w:tcW w:w="0" w:type="auto"/>
          </w:tcPr>
          <w:p>
            <w:pPr>
              <w:spacing w:line="240" w:lineRule="auto" w:before="0" w:after="0"/>
              <w:pStyle w:val="Compact"/>
            </w:pPr>
            <w:r>
              <w:rPr>
                <w:sz w:val="20"/>
                <w:szCs w:val="20"/>
              </w:rPr>
              <w:t xml:space="preserve">EUTELSAT</w:t>
            </w:r>
          </w:p>
        </w:tc>
        <w:tc>
          <w:tcPr>
            <w:tcW w:w="0" w:type="auto"/>
          </w:tcPr>
          <w:p>
            <w:pPr>
              <w:spacing w:line="240" w:lineRule="auto" w:before="0" w:after="0"/>
              <w:pStyle w:val="Compact"/>
            </w:pPr>
            <w:r>
              <w:rPr>
                <w:sz w:val="20"/>
                <w:szCs w:val="20"/>
              </w:rPr>
              <w:t xml:space="preserve">EUTELSAT 36D</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Sustainability Report 2023; Eutelsat-OneWeb merger sustainability policy (eutelsat.com/en/group/sustainability)</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GHGSat-C</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GHGSat ESG statement 2023 mentions emissions monitoring mission; no SSR rating located (ghgsat.com about)</w:t>
            </w:r>
          </w:p>
        </w:tc>
      </w:tr>
      <w:tr>
        <w:tc>
          <w:tcPr>
            <w:tcW w:w="0" w:type="auto"/>
          </w:tcPr>
          <w:p>
            <w:pPr>
              <w:spacing w:line="240" w:lineRule="auto" w:before="0" w:after="0"/>
              <w:pStyle w:val="Compact"/>
            </w:pPr>
            <w:r>
              <w:rPr>
                <w:sz w:val="20"/>
                <w:szCs w:val="20"/>
              </w:rPr>
              <w:t xml:space="preserve">Maxar</w:t>
            </w:r>
          </w:p>
        </w:tc>
        <w:tc>
          <w:tcPr>
            <w:tcW w:w="0" w:type="auto"/>
          </w:tcPr>
          <w:p>
            <w:pPr>
              <w:spacing w:line="240" w:lineRule="auto" w:before="0" w:after="0"/>
              <w:pStyle w:val="Compact"/>
            </w:pPr>
            <w:r>
              <w:rPr>
                <w:sz w:val="20"/>
                <w:szCs w:val="20"/>
              </w:rPr>
              <w:t xml:space="preserve">WorldView Legion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2023 Corporate Responsibility Report commits to Legion disposal plans (maxar.com/social-impact)</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Global</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2.773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10-K filings reference standard FCC disposal; no public SSR commitment found (sec.gov BlackSky 10-K 2023)</w:t>
            </w:r>
          </w:p>
        </w:tc>
      </w:tr>
      <w:tr>
        <w:tc>
          <w:tcPr>
            <w:tcW w:w="0" w:type="auto"/>
          </w:tcPr>
          <w:p>
            <w:pPr>
              <w:spacing w:line="240" w:lineRule="auto" w:before="0" w:after="0"/>
              <w:pStyle w:val="Compact"/>
            </w:pPr>
            <w:r>
              <w:rPr>
                <w:sz w:val="20"/>
                <w:szCs w:val="20"/>
              </w:rPr>
              <w:t xml:space="preserve">HawkEye 360</w:t>
            </w:r>
          </w:p>
        </w:tc>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HawkEye 360 mission documentation; no public sustainability statement located as of 2024 (he360.com news)</w:t>
            </w:r>
          </w:p>
        </w:tc>
      </w:tr>
      <w:tr>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Capella SAR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documented rapid orbit decay at ~525 km (capellaspace.com about; ESA SEN-2023 list of decayed objects)</w:t>
            </w:r>
          </w:p>
        </w:tc>
      </w:tr>
      <w:tr>
        <w:tc>
          <w:tcPr>
            <w:tcW w:w="0" w:type="auto"/>
          </w:tcPr>
          <w:p>
            <w:pPr>
              <w:spacing w:line="240" w:lineRule="auto" w:before="0" w:after="0"/>
              <w:pStyle w:val="Compact"/>
            </w:pPr>
            <w:r>
              <w:rPr>
                <w:sz w:val="20"/>
                <w:szCs w:val="20"/>
              </w:rPr>
              <w:t xml:space="preserve">Satellogic</w:t>
            </w:r>
          </w:p>
        </w:tc>
        <w:tc>
          <w:tcPr>
            <w:tcW w:w="0" w:type="auto"/>
          </w:tcPr>
          <w:p>
            <w:pPr>
              <w:spacing w:line="240" w:lineRule="auto" w:before="0" w:after="0"/>
              <w:pStyle w:val="Compact"/>
            </w:pPr>
            <w:r>
              <w:rPr>
                <w:sz w:val="20"/>
                <w:szCs w:val="20"/>
              </w:rPr>
              <w:t xml:space="preserve">Aleph-1</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Satellogic FCC market access filings; no public SSR or sustainability rating located (fcc.gov IBFS SAT-LOI-20210212)</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IoT Cluster</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Astrocast confirmed SSR rated mission 2022 (spacesustainabilityrating.org/rated-missions; astrocast.com news)</w:t>
            </w:r>
          </w:p>
        </w:tc>
      </w:tr>
      <w:tr>
        <w:tc>
          <w:tcPr>
            <w:tcW w:w="0" w:type="auto"/>
          </w:tcPr>
          <w:p>
            <w:pPr>
              <w:spacing w:line="240" w:lineRule="auto" w:before="0" w:after="0"/>
              <w:pStyle w:val="Compact"/>
            </w:pPr>
            <w:r>
              <w:rPr>
                <w:sz w:val="20"/>
                <w:szCs w:val="20"/>
              </w:rPr>
              <w:t xml:space="preserve">Kepler Communications</w:t>
            </w:r>
          </w:p>
        </w:tc>
        <w:tc>
          <w:tcPr>
            <w:tcW w:w="0" w:type="auto"/>
          </w:tcPr>
          <w:p>
            <w:pPr>
              <w:spacing w:line="240" w:lineRule="auto" w:before="0" w:after="0"/>
              <w:pStyle w:val="Compact"/>
            </w:pPr>
            <w:r>
              <w:rPr>
                <w:sz w:val="20"/>
                <w:szCs w:val="20"/>
              </w:rPr>
              <w:t xml:space="preserve">Kepler IoT</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Kepler ESG mention in Series C announcements; standard ITU disposal compliance (kepler.space news 2023)</w:t>
            </w:r>
          </w:p>
        </w:tc>
      </w:tr>
      <w:tr>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Lightspeed</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5.288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Telesat Lightspeed FCC market access and Telesat Sustainability Report 2023 commits to 5-year PMD (telesat.com sustainability)</w:t>
            </w:r>
          </w:p>
        </w:tc>
      </w:tr>
      <w:tr>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Project Kuiper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Amazon Project Kuiper FCC grant FCC-20-102 and Kuiper Sustainability commitments (fcc.gov/document/fcc-authorizes-kuiper-satellite-constellation; aboutamazon.com/news/innovation-at-amazon/project-kuiper-sustainability)</w:t>
            </w:r>
          </w:p>
        </w:tc>
      </w:tr>
      <w:tr>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LM 400 Tech Demo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Lockheed Martin 2023 Sustainability Report; SSR application announced 2022 (lockheedmartin.com/sustainability; spacesustainabilityrating.org)</w:t>
            </w:r>
          </w:p>
        </w:tc>
      </w:tr>
      <w:tr>
        <w:tc>
          <w:tcPr>
            <w:tcW w:w="0" w:type="auto"/>
          </w:tcPr>
          <w:p>
            <w:pPr>
              <w:spacing w:line="240" w:lineRule="auto" w:before="0" w:after="0"/>
              <w:pStyle w:val="Compact"/>
            </w:pPr>
            <w:r>
              <w:rPr>
                <w:sz w:val="20"/>
                <w:szCs w:val="20"/>
              </w:rPr>
              <w:t xml:space="preserve">Airbus</w:t>
            </w:r>
          </w:p>
        </w:tc>
        <w:tc>
          <w:tcPr>
            <w:tcW w:w="0" w:type="auto"/>
          </w:tcPr>
          <w:p>
            <w:pPr>
              <w:spacing w:line="240" w:lineRule="auto" w:before="0" w:after="0"/>
              <w:pStyle w:val="Compact"/>
            </w:pPr>
            <w:r>
              <w:rPr>
                <w:sz w:val="20"/>
                <w:szCs w:val="20"/>
              </w:rPr>
              <w:t xml:space="preserve">Pleiades Neo</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Airbus Pleiades Neo first SSR-rated mission, 2022 announcement (spacesustainabilityrating.org/news/pleiades-neo-first-rated; airbus.com/sustainability)</w:t>
            </w:r>
          </w:p>
        </w:tc>
      </w:tr>
      <w:tr>
        <w:tc>
          <w:tcPr>
            <w:tcW w:w="0" w:type="auto"/>
          </w:tcPr>
          <w:p>
            <w:pPr>
              <w:spacing w:line="240" w:lineRule="auto" w:before="0" w:after="0"/>
              <w:pStyle w:val="Compact"/>
            </w:pPr>
            <w:r>
              <w:rPr>
                <w:sz w:val="20"/>
                <w:szCs w:val="20"/>
              </w:rPr>
              <w:t xml:space="preserve">Thales Alenia</w:t>
            </w:r>
          </w:p>
        </w:tc>
        <w:tc>
          <w:tcPr>
            <w:tcW w:w="0" w:type="auto"/>
          </w:tcPr>
          <w:p>
            <w:pPr>
              <w:spacing w:line="240" w:lineRule="auto" w:before="0" w:after="0"/>
              <w:pStyle w:val="Compact"/>
            </w:pPr>
            <w:r>
              <w:rPr>
                <w:sz w:val="20"/>
                <w:szCs w:val="20"/>
              </w:rPr>
              <w:t xml:space="preserve">COSMO-SkyMed SG</w:t>
            </w:r>
          </w:p>
        </w:tc>
        <w:tc>
          <w:tcPr>
            <w:tcW w:w="0" w:type="auto"/>
          </w:tcPr>
          <w:p>
            <w:pPr>
              <w:spacing w:line="240" w:lineRule="auto" w:before="0" w:after="0"/>
              <w:pStyle w:val="Compact"/>
            </w:pPr>
            <w:r>
              <w:rPr>
                <w:sz w:val="20"/>
                <w:szCs w:val="20"/>
              </w:rPr>
              <w:t xml:space="preserve">France/Italy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Thales Alenia Space ESG Report 2023; COSMO-SkyMed SG disposal plan documented (thalesaleniaspace.com; asi.it COSMO SG)</w:t>
            </w:r>
          </w:p>
        </w:tc>
      </w:tr>
      <w:tr>
        <w:tc>
          <w:tcPr>
            <w:tcW w:w="0" w:type="auto"/>
          </w:tcPr>
          <w:p>
            <w:pPr>
              <w:spacing w:line="240" w:lineRule="auto" w:before="0" w:after="0"/>
              <w:pStyle w:val="Compact"/>
            </w:pPr>
            <w:r>
              <w:rPr>
                <w:sz w:val="20"/>
                <w:szCs w:val="20"/>
              </w:rPr>
              <w:t xml:space="preserve">NorthStar</w:t>
            </w:r>
          </w:p>
        </w:tc>
        <w:tc>
          <w:tcPr>
            <w:tcW w:w="0" w:type="auto"/>
          </w:tcPr>
          <w:p>
            <w:pPr>
              <w:spacing w:line="240" w:lineRule="auto" w:before="0" w:after="0"/>
              <w:pStyle w:val="Compact"/>
            </w:pPr>
            <w:r>
              <w:rPr>
                <w:sz w:val="20"/>
                <w:szCs w:val="20"/>
              </w:rPr>
              <w:t xml:space="preserve">Skylark</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NorthStar Earth and Space first SSA-mission SSR rated 2024 (spacesustainabilityrating.org/news; northstar-data.com)</w:t>
            </w:r>
          </w:p>
        </w:tc>
      </w:tr>
      <w:tr>
        <w:tc>
          <w:tcPr>
            <w:tcW w:w="0" w:type="auto"/>
          </w:tcPr>
          <w:p>
            <w:pPr>
              <w:spacing w:line="240" w:lineRule="auto" w:before="0" w:after="0"/>
              <w:pStyle w:val="Compact"/>
            </w:pPr>
            <w:r>
              <w:rPr>
                <w:sz w:val="20"/>
                <w:szCs w:val="20"/>
              </w:rPr>
              <w:t xml:space="preserve">Axiom Space</w:t>
            </w:r>
          </w:p>
        </w:tc>
        <w:tc>
          <w:tcPr>
            <w:tcW w:w="0" w:type="auto"/>
          </w:tcPr>
          <w:p>
            <w:pPr>
              <w:spacing w:line="240" w:lineRule="auto" w:before="0" w:after="0"/>
              <w:pStyle w:val="Compact"/>
            </w:pPr>
            <w:r>
              <w:rPr>
                <w:sz w:val="20"/>
                <w:szCs w:val="20"/>
              </w:rPr>
              <w:t xml:space="preserve">AxStation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Axiom commercial station sustainability documentation; NASA CLDP partner agreement (axiomspace.com sustainability)</w:t>
            </w:r>
          </w:p>
        </w:tc>
      </w:tr>
      <w:tr>
        <w:tc>
          <w:tcPr>
            <w:tcW w:w="0" w:type="auto"/>
          </w:tcPr>
          <w:p>
            <w:pPr>
              <w:spacing w:line="240" w:lineRule="auto" w:before="0" w:after="0"/>
              <w:pStyle w:val="Compact"/>
            </w:pPr>
            <w:r>
              <w:rPr>
                <w:sz w:val="20"/>
                <w:szCs w:val="20"/>
              </w:rPr>
              <w:t xml:space="preserve">Sateliot</w:t>
            </w:r>
          </w:p>
        </w:tc>
        <w:tc>
          <w:tcPr>
            <w:tcW w:w="0" w:type="auto"/>
          </w:tcPr>
          <w:p>
            <w:pPr>
              <w:spacing w:line="240" w:lineRule="auto" w:before="0" w:after="0"/>
              <w:pStyle w:val="Compact"/>
            </w:pPr>
            <w:r>
              <w:rPr>
                <w:sz w:val="20"/>
                <w:szCs w:val="20"/>
              </w:rPr>
              <w:t xml:space="preserve">IoT Constellation</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Sateliot mission documentation; no public SSR statement located (sateliot.space about) [illustrative for ssr_or_pmd_signal=0]</w:t>
            </w:r>
          </w:p>
        </w:tc>
      </w:tr>
      <w:tr>
        <w:tc>
          <w:tcPr>
            <w:tcW w:w="0" w:type="auto"/>
          </w:tcPr>
          <w:p>
            <w:pPr>
              <w:spacing w:line="240" w:lineRule="auto" w:before="0" w:after="0"/>
              <w:pStyle w:val="Compact"/>
            </w:pPr>
            <w:r>
              <w:rPr>
                <w:sz w:val="20"/>
                <w:szCs w:val="20"/>
              </w:rPr>
              <w:t xml:space="preserve">Loft Orbital</w:t>
            </w:r>
          </w:p>
        </w:tc>
        <w:tc>
          <w:tcPr>
            <w:tcW w:w="0" w:type="auto"/>
          </w:tcPr>
          <w:p>
            <w:pPr>
              <w:spacing w:line="240" w:lineRule="auto" w:before="0" w:after="0"/>
              <w:pStyle w:val="Compact"/>
            </w:pPr>
            <w:r>
              <w:rPr>
                <w:sz w:val="20"/>
                <w:szCs w:val="20"/>
              </w:rPr>
              <w:t xml:space="preserve">YAM</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Loft Orbital corporate sustainability page references PMD; no SSR rating located (loftorbital.com about)</w:t>
            </w:r>
          </w:p>
        </w:tc>
      </w:tr>
      <w:tr>
        <w:tc>
          <w:tcPr>
            <w:tcW w:w="0" w:type="auto"/>
          </w:tcPr>
          <w:p>
            <w:pPr>
              <w:spacing w:line="240" w:lineRule="auto" w:before="0" w:after="0"/>
              <w:pStyle w:val="Compact"/>
            </w:pPr>
            <w:r>
              <w:rPr>
                <w:sz w:val="20"/>
                <w:szCs w:val="20"/>
              </w:rPr>
              <w:t xml:space="preserve">Astranis</w:t>
            </w:r>
          </w:p>
        </w:tc>
        <w:tc>
          <w:tcPr>
            <w:tcW w:w="0" w:type="auto"/>
          </w:tcPr>
          <w:p>
            <w:pPr>
              <w:spacing w:line="240" w:lineRule="auto" w:before="0" w:after="0"/>
              <w:pStyle w:val="Compact"/>
            </w:pPr>
            <w:r>
              <w:rPr>
                <w:sz w:val="20"/>
                <w:szCs w:val="20"/>
              </w:rPr>
              <w:t xml:space="preserve">MicroGEO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Astranis MicroGEO documented to operate in GEO with graveyard disposal commitment (astranis.com news; fcc.gov filing 2021)</w:t>
            </w:r>
          </w:p>
        </w:tc>
      </w:tr>
      <w:tr>
        <w:tc>
          <w:tcPr>
            <w:tcW w:w="0" w:type="auto"/>
          </w:tcPr>
          <w:p>
            <w:pPr>
              <w:spacing w:line="240" w:lineRule="auto" w:before="0" w:after="0"/>
              <w:pStyle w:val="Compact"/>
            </w:pPr>
            <w:r>
              <w:rPr>
                <w:sz w:val="20"/>
                <w:szCs w:val="20"/>
              </w:rPr>
              <w:t xml:space="preserve">Synspective</w:t>
            </w:r>
          </w:p>
        </w:tc>
        <w:tc>
          <w:tcPr>
            <w:tcW w:w="0" w:type="auto"/>
          </w:tcPr>
          <w:p>
            <w:pPr>
              <w:spacing w:line="240" w:lineRule="auto" w:before="0" w:after="0"/>
              <w:pStyle w:val="Compact"/>
            </w:pPr>
            <w:r>
              <w:rPr>
                <w:sz w:val="20"/>
                <w:szCs w:val="20"/>
              </w:rPr>
              <w:t xml:space="preserve">StriX</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Synspective StriX mission press kit; no public SSR commitment found (synspective.com news)</w:t>
            </w:r>
          </w:p>
        </w:tc>
      </w:tr>
      <w:tr>
        <w:tc>
          <w:tcPr>
            <w:tcW w:w="0" w:type="auto"/>
          </w:tcPr>
          <w:p>
            <w:pPr>
              <w:spacing w:line="240" w:lineRule="auto" w:before="0" w:after="0"/>
              <w:pStyle w:val="Compact"/>
            </w:pPr>
            <w:r>
              <w:rPr>
                <w:sz w:val="20"/>
                <w:szCs w:val="20"/>
              </w:rPr>
              <w:t xml:space="preserve">Hera Systems</w:t>
            </w:r>
          </w:p>
        </w:tc>
        <w:tc>
          <w:tcPr>
            <w:tcW w:w="0" w:type="auto"/>
          </w:tcPr>
          <w:p>
            <w:pPr>
              <w:spacing w:line="240" w:lineRule="auto" w:before="0" w:after="0"/>
              <w:pStyle w:val="Compact"/>
            </w:pPr>
            <w:r>
              <w:rPr>
                <w:sz w:val="20"/>
                <w:szCs w:val="20"/>
              </w:rPr>
              <w:t xml:space="preserve">Hera-1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Hera Systems mission documentation; no public sustainability statement located (herasys.com)</w:t>
            </w:r>
          </w:p>
        </w:tc>
      </w:tr>
      <w:tr>
        <w:tc>
          <w:tcPr>
            <w:tcW w:w="0" w:type="auto"/>
          </w:tcPr>
          <w:p>
            <w:pPr>
              <w:spacing w:line="240" w:lineRule="auto" w:before="0" w:after="0"/>
              <w:pStyle w:val="Compact"/>
            </w:pPr>
            <w:r>
              <w:rPr>
                <w:sz w:val="20"/>
                <w:szCs w:val="20"/>
              </w:rPr>
              <w:t xml:space="preserve">Geespace</w:t>
            </w:r>
          </w:p>
        </w:tc>
        <w:tc>
          <w:tcPr>
            <w:tcW w:w="0" w:type="auto"/>
          </w:tcPr>
          <w:p>
            <w:pPr>
              <w:spacing w:line="240" w:lineRule="auto" w:before="0" w:after="0"/>
              <w:pStyle w:val="Compact"/>
            </w:pPr>
            <w:r>
              <w:rPr>
                <w:sz w:val="20"/>
                <w:szCs w:val="20"/>
              </w:rPr>
              <w:t xml:space="preserve">GeeSAT</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4.277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Geespace GeeSAT-1 mission documentation; no public English-language SSR commitment located (geespace.com news)</w:t>
            </w:r>
          </w:p>
        </w:tc>
      </w:tr>
      <w:tr>
        <w:tc>
          <w:tcPr>
            <w:tcW w:w="0" w:type="auto"/>
          </w:tcPr>
          <w:p>
            <w:pPr>
              <w:spacing w:line="240" w:lineRule="auto" w:before="0" w:after="0"/>
              <w:pStyle w:val="Compact"/>
            </w:pPr>
            <w:r>
              <w:rPr>
                <w:sz w:val="20"/>
                <w:szCs w:val="20"/>
              </w:rPr>
              <w:t xml:space="preserve">Galaxy Space</w:t>
            </w:r>
          </w:p>
        </w:tc>
        <w:tc>
          <w:tcPr>
            <w:tcW w:w="0" w:type="auto"/>
          </w:tcPr>
          <w:p>
            <w:pPr>
              <w:spacing w:line="240" w:lineRule="auto" w:before="0" w:after="0"/>
              <w:pStyle w:val="Compact"/>
            </w:pPr>
            <w:r>
              <w:rPr>
                <w:sz w:val="20"/>
                <w:szCs w:val="20"/>
              </w:rPr>
              <w:t xml:space="preserve">Yinhe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Galaxy Space Yinhe mission documentation; no public SSR commitment located (galaxyspace.com)</w:t>
            </w:r>
          </w:p>
        </w:tc>
      </w:tr>
      <w:tr>
        <w:tc>
          <w:tcPr>
            <w:tcW w:w="0" w:type="auto"/>
          </w:tcPr>
          <w:p>
            <w:pPr>
              <w:spacing w:line="240" w:lineRule="auto" w:before="0" w:after="0"/>
              <w:pStyle w:val="Compact"/>
            </w:pPr>
            <w:r>
              <w:rPr>
                <w:sz w:val="20"/>
                <w:szCs w:val="20"/>
              </w:rPr>
              <w:t xml:space="preserve">GalaxySpace</w:t>
            </w:r>
          </w:p>
        </w:tc>
        <w:tc>
          <w:tcPr>
            <w:tcW w:w="0" w:type="auto"/>
          </w:tcPr>
          <w:p>
            <w:pPr>
              <w:spacing w:line="240" w:lineRule="auto" w:before="0" w:after="0"/>
              <w:pStyle w:val="Compact"/>
            </w:pPr>
            <w:r>
              <w:rPr>
                <w:sz w:val="20"/>
                <w:szCs w:val="20"/>
              </w:rPr>
              <w:t xml:space="preserve">Lingxi-03</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GalaxySpace Lingxi mission press; no SSR commitment located [illustrative for ssr_or_pmd_signal=0]</w:t>
            </w:r>
          </w:p>
        </w:tc>
      </w:tr>
      <w:tr>
        <w:tc>
          <w:tcPr>
            <w:tcW w:w="0" w:type="auto"/>
          </w:tcPr>
          <w:p>
            <w:pPr>
              <w:spacing w:line="240" w:lineRule="auto" w:before="0" w:after="0"/>
              <w:pStyle w:val="Compact"/>
            </w:pPr>
            <w:r>
              <w:rPr>
                <w:sz w:val="20"/>
                <w:szCs w:val="20"/>
              </w:rPr>
              <w:t xml:space="preserve">Skylo</w:t>
            </w:r>
          </w:p>
        </w:tc>
        <w:tc>
          <w:tcPr>
            <w:tcW w:w="0" w:type="auto"/>
          </w:tcPr>
          <w:p>
            <w:pPr>
              <w:spacing w:line="240" w:lineRule="auto" w:before="0" w:after="0"/>
              <w:pStyle w:val="Compact"/>
            </w:pPr>
            <w:r>
              <w:rPr>
                <w:sz w:val="20"/>
                <w:szCs w:val="20"/>
              </w:rPr>
              <w:t xml:space="preserve">IoT NTN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Skylo NTN deployment via Inmarsat GEO; inherits Inmarsat disposal plan (skylo.tech about)</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2023 ESG Report references PMD plans and FCC license terms (globalstar.com sustainability)</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publicly_committed</w:t>
            </w:r>
          </w:p>
        </w:tc>
        <w:tc>
          <w:tcPr>
            <w:tcW w:w="0" w:type="auto"/>
          </w:tcPr>
          <w:p>
            <w:pPr>
              <w:spacing w:line="240" w:lineRule="auto" w:before="0" w:after="0"/>
              <w:pStyle w:val="Compact"/>
            </w:pPr>
            <w:r>
              <w:rPr>
                <w:sz w:val="20"/>
                <w:szCs w:val="20"/>
              </w:rPr>
              <w:t xml:space="preserve">Binary outcome: 1 if the operator has issued a public sustainability statement, ESG/sustainability report with explicit space-debris language, or has been formally rated by the Space Sustainability Rating (SSR) as of the 2026-06 observation cutoff; 0 otherwise.</w:t>
            </w:r>
          </w:p>
        </w:tc>
        <w:tc>
          <w:tcPr>
            <w:tcW w:w="0" w:type="auto"/>
          </w:tcPr>
          <w:p>
            <w:pPr>
              <w:spacing w:line="240" w:lineRule="auto" w:before="0" w:after="0"/>
              <w:pStyle w:val="Compact"/>
            </w:pPr>
            <w:r>
              <w:rPr>
                <w:sz w:val="20"/>
                <w:szCs w:val="20"/>
              </w:rPr>
              <w:t xml:space="preserve">Operator websites, ESG/sustainability reports, and the SSR rated-missions registry (spacesustainabilityrating.org/rated-missions) per row source.</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Natural logarithm of the operator’s authorized or deployed satellite count for the lead system in the row.</w:t>
            </w:r>
          </w:p>
        </w:tc>
        <w:tc>
          <w:tcPr>
            <w:tcW w:w="0" w:type="auto"/>
          </w:tcPr>
          <w:p>
            <w:pPr>
              <w:spacing w:line="240" w:lineRule="auto" w:before="0" w:after="0"/>
              <w:pStyle w:val="Compact"/>
            </w:pPr>
            <w:r>
              <w:rPr>
                <w:sz w:val="20"/>
                <w:szCs w:val="20"/>
              </w:rPr>
              <w:t xml:space="preserve">Computed from FCC filings, operator press kits, and ESA Annual Space Environment Report 2023 (esoc.esa.int/space_environment_report_2023) per row source.</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Binary: 1 if the operator’s lead system is principally in low Earth orbit (LEO); 0 if the lead system is in MEO or GEO. Captures exposure to the conjunction/debris commons.</w:t>
            </w:r>
          </w:p>
        </w:tc>
        <w:tc>
          <w:tcPr>
            <w:tcW w:w="0" w:type="auto"/>
          </w:tcPr>
          <w:p>
            <w:pPr>
              <w:spacing w:line="240" w:lineRule="auto" w:before="0" w:after="0"/>
              <w:pStyle w:val="Compact"/>
            </w:pPr>
            <w:r>
              <w:rPr>
                <w:sz w:val="20"/>
                <w:szCs w:val="20"/>
              </w:rPr>
              <w:t xml:space="preserve">Operator filings and mission documentation per row source.</w:t>
            </w:r>
          </w:p>
        </w:tc>
      </w:tr>
      <w:tr>
        <w:tc>
          <w:tcPr>
            <w:tcW w:w="0" w:type="auto"/>
          </w:tcPr>
          <w:p>
            <w:pPr>
              <w:spacing w:line="240" w:lineRule="auto" w:before="0" w:after="0"/>
              <w:pStyle w:val="Compact"/>
            </w:pPr>
            <w:r>
              <w:rPr>
                <w:sz w:val="20"/>
                <w:szCs w:val="20"/>
              </w:rPr>
              <w:t xml:space="preserve">ssr_or_pmd_signal</w:t>
            </w:r>
          </w:p>
        </w:tc>
        <w:tc>
          <w:tcPr>
            <w:tcW w:w="0" w:type="auto"/>
          </w:tcPr>
          <w:p>
            <w:pPr>
              <w:spacing w:line="240" w:lineRule="auto" w:before="0" w:after="0"/>
              <w:pStyle w:val="Compact"/>
            </w:pPr>
            <w:r>
              <w:rPr>
                <w:sz w:val="20"/>
                <w:szCs w:val="20"/>
              </w:rPr>
              <w:t xml:space="preserve">Binary signal-strength proxy: 1 if the operator has either applied for an SSR rating or published a specific post-mission disposal (PMD) timeline (e.g., 5-year compliant with FCC 2022 rule); 0 if no such specific commitment is documented.</w:t>
            </w:r>
          </w:p>
        </w:tc>
        <w:tc>
          <w:tcPr>
            <w:tcW w:w="0" w:type="auto"/>
          </w:tcPr>
          <w:p>
            <w:pPr>
              <w:spacing w:line="240" w:lineRule="auto" w:before="0" w:after="0"/>
              <w:pStyle w:val="Compact"/>
            </w:pPr>
            <w:r>
              <w:rPr>
                <w:sz w:val="20"/>
                <w:szCs w:val="20"/>
              </w:rPr>
              <w:t xml:space="preserve">SSR rated-missions registry, FCC orders, and operator sustainability reports per row source.</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Binary: 1 if the lead system is a constellation of 5+ satellites; 0 if a single satellite or pair (control variable in robustness checks).</w:t>
            </w:r>
          </w:p>
        </w:tc>
        <w:tc>
          <w:tcPr>
            <w:tcW w:w="0" w:type="auto"/>
          </w:tcPr>
          <w:p>
            <w:pPr>
              <w:spacing w:line="240" w:lineRule="auto" w:before="0" w:after="0"/>
              <w:pStyle w:val="Compact"/>
            </w:pPr>
            <w:r>
              <w:rPr>
                <w:sz w:val="20"/>
                <w:szCs w:val="20"/>
              </w:rPr>
              <w:t xml:space="preserve">Operator filings per row source.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56" Type="http://schemas.openxmlformats.org/officeDocument/2006/relationships/hyperlink" Target="https://doi.org/10.1016/j.actaastro.2019.07.014" TargetMode="External"/><Relationship Id="rId141" Type="http://schemas.openxmlformats.org/officeDocument/2006/relationships/hyperlink" Target="https://doi.org/10.1016/j.actaastro.2023.01.016" TargetMode="External"/><Relationship Id="rId185" Type="http://schemas.openxmlformats.org/officeDocument/2006/relationships/hyperlink" Target="https://doi.org/10.1016/j.actaastro.2023.07.009" TargetMode="External"/><Relationship Id="rId154" Type="http://schemas.openxmlformats.org/officeDocument/2006/relationships/hyperlink" Target="https://doi.org/10.1016/j.actaastro.2024.03.002" TargetMode="External"/><Relationship Id="rId187" Type="http://schemas.openxmlformats.org/officeDocument/2006/relationships/hyperlink" Target="https://doi.org/10.1016/j.actaastro.2024.09.057" TargetMode="External"/><Relationship Id="rId179" Type="http://schemas.openxmlformats.org/officeDocument/2006/relationships/hyperlink" Target="https://doi.org/10.1016/j.actaastro.2025.01.043" TargetMode="External"/><Relationship Id="rId150" Type="http://schemas.openxmlformats.org/officeDocument/2006/relationships/hyperlink" Target="https://doi.org/10.1016/j.actaastro.2025.01.069" TargetMode="External"/><Relationship Id="rId143" Type="http://schemas.openxmlformats.org/officeDocument/2006/relationships/hyperlink" Target="https://doi.org/10.1016/j.actaastro.2025.03.034" TargetMode="External"/><Relationship Id="rId148" Type="http://schemas.openxmlformats.org/officeDocument/2006/relationships/hyperlink" Target="https://doi.org/10.1016/j.actaastro.2025.06.029" TargetMode="External"/><Relationship Id="rId183" Type="http://schemas.openxmlformats.org/officeDocument/2006/relationships/hyperlink" Target="https://doi.org/10.1016/j.actaastro.2025.12.018" TargetMode="External"/><Relationship Id="rId181" Type="http://schemas.openxmlformats.org/officeDocument/2006/relationships/hyperlink" Target="https://doi.org/10.1016/j.actaastro.2026.03.026" TargetMode="External"/><Relationship Id="rId169" Type="http://schemas.openxmlformats.org/officeDocument/2006/relationships/hyperlink" Target="https://doi.org/10.64861/COAK4355" TargetMode="External"/><Relationship Id="rId175" Type="http://schemas.openxmlformats.org/officeDocument/2006/relationships/hyperlink" Target="https://doi.org/10.64861/LBPZ7861" TargetMode="External"/><Relationship Id="rId166" Type="http://schemas.openxmlformats.org/officeDocument/2006/relationships/hyperlink" Target="https://doi.org/10.64861/LFFV2455" TargetMode="External"/><Relationship Id="rId146" Type="http://schemas.openxmlformats.org/officeDocument/2006/relationships/hyperlink" Target="https://doi.org/10.64861/PWDH6364" TargetMode="External"/><Relationship Id="rId159" Type="http://schemas.openxmlformats.org/officeDocument/2006/relationships/hyperlink" Target="https://doi.org/10.64861/QBNC8763" TargetMode="External"/></Relationships>
</file>

<file path=word/_rels/footnotes.xml.rels><?xml version='1.0' encoding='UTF-8' standalone='yes'?>
<Relationships xmlns="http://schemas.openxmlformats.org/package/2006/relationships"><Relationship Id="rId156" Type="http://schemas.openxmlformats.org/officeDocument/2006/relationships/hyperlink" Target="https://doi.org/10.1016/j.actaastro.2019.07.014" TargetMode="External"/><Relationship Id="rId141" Type="http://schemas.openxmlformats.org/officeDocument/2006/relationships/hyperlink" Target="https://doi.org/10.1016/j.actaastro.2023.01.016" TargetMode="External"/><Relationship Id="rId185" Type="http://schemas.openxmlformats.org/officeDocument/2006/relationships/hyperlink" Target="https://doi.org/10.1016/j.actaastro.2023.07.009" TargetMode="External"/><Relationship Id="rId154" Type="http://schemas.openxmlformats.org/officeDocument/2006/relationships/hyperlink" Target="https://doi.org/10.1016/j.actaastro.2024.03.002" TargetMode="External"/><Relationship Id="rId187" Type="http://schemas.openxmlformats.org/officeDocument/2006/relationships/hyperlink" Target="https://doi.org/10.1016/j.actaastro.2024.09.057" TargetMode="External"/><Relationship Id="rId179" Type="http://schemas.openxmlformats.org/officeDocument/2006/relationships/hyperlink" Target="https://doi.org/10.1016/j.actaastro.2025.01.043" TargetMode="External"/><Relationship Id="rId150" Type="http://schemas.openxmlformats.org/officeDocument/2006/relationships/hyperlink" Target="https://doi.org/10.1016/j.actaastro.2025.01.069" TargetMode="External"/><Relationship Id="rId143" Type="http://schemas.openxmlformats.org/officeDocument/2006/relationships/hyperlink" Target="https://doi.org/10.1016/j.actaastro.2025.03.034" TargetMode="External"/><Relationship Id="rId148" Type="http://schemas.openxmlformats.org/officeDocument/2006/relationships/hyperlink" Target="https://doi.org/10.1016/j.actaastro.2025.06.029" TargetMode="External"/><Relationship Id="rId183" Type="http://schemas.openxmlformats.org/officeDocument/2006/relationships/hyperlink" Target="https://doi.org/10.1016/j.actaastro.2025.12.018" TargetMode="External"/><Relationship Id="rId181" Type="http://schemas.openxmlformats.org/officeDocument/2006/relationships/hyperlink" Target="https://doi.org/10.1016/j.actaastro.2026.03.026" TargetMode="External"/><Relationship Id="rId169" Type="http://schemas.openxmlformats.org/officeDocument/2006/relationships/hyperlink" Target="https://doi.org/10.64861/COAK4355" TargetMode="External"/><Relationship Id="rId175" Type="http://schemas.openxmlformats.org/officeDocument/2006/relationships/hyperlink" Target="https://doi.org/10.64861/LBPZ7861" TargetMode="External"/><Relationship Id="rId166" Type="http://schemas.openxmlformats.org/officeDocument/2006/relationships/hyperlink" Target="https://doi.org/10.64861/LFFV2455" TargetMode="External"/><Relationship Id="rId146" Type="http://schemas.openxmlformats.org/officeDocument/2006/relationships/hyperlink" Target="https://doi.org/10.64861/PWDH6364" TargetMode="External"/><Relationship Id="rId159" Type="http://schemas.openxmlformats.org/officeDocument/2006/relationships/hyperlink" Target="https://doi.org/10.64861/QBNC8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Credible Commitment in Debris Mitigation: Do Sustainability Ratings Function as a Signal?</dc:title>
  <dc:creator>Vera Vargas (1B-SDA-115)</dc:creator>
  <cp:keywords/>
  <dcterms:created xsi:type="dcterms:W3CDTF">2026-07-04T00:51:14Z</dcterms:created>
  <dcterms:modified xsi:type="dcterms:W3CDTF">2026-07-04T00:51:14Z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