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ffa74a2baaa518bb99b78f3b1c5c60666c361c4"/>
    <w:p>
      <w:pPr>
        <w:pStyle w:val="Heading1"/>
      </w:pPr>
      <w:r>
        <w:t xml:space="preserve">Attention Accumulation in The Free-Rider Geometry of Remediation Who Benefits and Who Pays When a Single Debris-Removal Act Produces Diffuse Security Gains?: A Learning-Curve Analysis of Citation Growth by Article Age</w:t>
      </w:r>
    </w:p>
    <w:bookmarkStart w:id="61" w:name="introduction"/>
    <w:p>
      <w:pPr>
        <w:pStyle w:val="Heading2"/>
      </w:pPr>
      <w:r>
        <w:t xml:space="preserve">1. Introduction</w:t>
      </w:r>
    </w:p>
    <w:p>
      <w:pPr>
        <w:pStyle w:val="FirstParagraph"/>
      </w:pPr>
      <w:r>
        <w:t xml:space="preserve">Citation accumulation is one way to test whether a remediation literature is maturing into a recognizable field. If the candidate corpus has a stable attention structure, article age should help explain how citations accumulate across the retrieved records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Older articles have had more time to circulate, but attention growth is rarely linear. A learning-curve specification asks whether citation accumulation follows a regular age-based elasticity. If the remediation corpus is cumulative, age should matter in a measurable way. If it is fragmented, citation accumulation may be erratic rather than patterned.</w:t>
      </w:r>
    </w:p>
    <w:p>
      <w:pPr>
        <w:pStyle w:val="BodyText"/>
      </w:pPr>
      <w:r>
        <w:t xml:space="preserve">H1 states that citation accumulation follows a measurable age-based curve. H0 states that article age is unrelated to citation accumulation.</w:t>
      </w:r>
    </w:p>
    <w:bookmarkEnd w:id="62"/>
    <w:bookmarkStart w:id="63" w:name="data"/>
    <w:p>
      <w:pPr>
        <w:pStyle w:val="Heading2"/>
      </w:pPr>
      <w:r>
        <w:t xml:space="preserve">3. Data</w:t>
      </w:r>
    </w:p>
    <w:p>
      <w:pPr>
        <w:pStyle w:val="FirstParagraph"/>
      </w:pPr>
      <w:r>
        <w:t xml:space="preserve">The paper uses the same 30-record candidate corpus as Paper 1. The dependent variable is</w:t>
      </w:r>
      <w:r>
        <w:t xml:space="preserve"> </w:t>
      </w:r>
      <w:r>
        <w:rPr>
          <w:rStyle w:val="VerbatimChar"/>
        </w:rPr>
        <w:t xml:space="preserve">cites_plus1</w:t>
      </w:r>
      <w:r>
        <w:t xml:space="preserve">, which equals the reported citation count plus one so the logarithm is defined for uncited records. The explanatory variable is</w:t>
      </w:r>
      <w:r>
        <w:t xml:space="preserve"> </w:t>
      </w:r>
      <w:r>
        <w:rPr>
          <w:rStyle w:val="VerbatimChar"/>
        </w:rPr>
        <w:t xml:space="preserve">age_index</w:t>
      </w:r>
      <w:r>
        <w:t xml:space="preserve">, computed as 2026 minus publication year plus one.</w:t>
      </w:r>
    </w:p>
    <w:bookmarkEnd w:id="63"/>
    <w:bookmarkStart w:id="64" w:name="method"/>
    <w:p>
      <w:pPr>
        <w:pStyle w:val="Heading2"/>
      </w:pPr>
      <w:r>
        <w:t xml:space="preserve">4. Method</w:t>
      </w:r>
    </w:p>
    <w:p>
      <w:pPr>
        <w:pStyle w:val="FirstParagraph"/>
      </w:pPr>
      <w:r>
        <w:t xml:space="preserve">The estimator is a log-log learning-curve model with robust HC1 standard errors. The coefficient on log age is interpreted as the elasticity of citation accumulation with respect to article age.</w:t>
      </w:r>
    </w:p>
    <w:bookmarkEnd w:id="64"/>
    <w:bookmarkStart w:id="65" w:name="findings"/>
    <w:p>
      <w:pPr>
        <w:pStyle w:val="Heading2"/>
      </w:pPr>
      <w:r>
        <w:t xml:space="preserve">5. Findings</w:t>
      </w:r>
    </w:p>
    <w:p>
      <w:pPr>
        <w:pStyle w:val="FirstParagraph"/>
      </w:pPr>
      <w:r>
        <w:t xml:space="preserve">The model uses 30 observations. R-squared equals 0.2227. The elasticity on</w:t>
      </w:r>
      <w:r>
        <w:t xml:space="preserve"> </w:t>
      </w:r>
      <w:r>
        <w:rPr>
          <w:rStyle w:val="VerbatimChar"/>
        </w:rPr>
        <w:t xml:space="preserve">_ln_x</w:t>
      </w:r>
      <w:r>
        <w:t xml:space="preserve"> </w:t>
      </w:r>
      <w:r>
        <w:t xml:space="preserve">is -0.8755 with a standard error of 0.2026 and a p-value of 0.0000. The intercept is 2.3074 with a standard error of 0.4686 and a p-value effectively equal to 0.0000. The reported progress ratio,</w:t>
      </w:r>
      <w:r>
        <w:t xml:space="preserve"> </w:t>
      </w:r>
      <w:r>
        <w:rPr>
          <w:rStyle w:val="VerbatimChar"/>
        </w:rPr>
        <w:t xml:space="preserve">2^b</w:t>
      </w:r>
      <w:r>
        <w:t xml:space="preserve">, is 0.5451.</w:t>
      </w:r>
    </w:p>
    <w:p>
      <w:pPr>
        <w:pStyle w:val="BodyText"/>
      </w:pPr>
      <w:r>
        <w:t xml:space="preserve">This is a strong result. Within the bounded candidate corpus, article age is strongly associated with citation accumulation, but in a negative direction. Older records are not automatically the attention center of the retrieved literature. The discourse appears to reward selective salience in more recent or currently focal records rather than mere age.</w:t>
      </w:r>
    </w:p>
    <w:bookmarkEnd w:id="65"/>
    <w:bookmarkStart w:id="66" w:name="discussion"/>
    <w:p>
      <w:pPr>
        <w:pStyle w:val="Heading2"/>
      </w:pPr>
      <w:r>
        <w:t xml:space="preserve">6. Discussion</w:t>
      </w:r>
    </w:p>
    <w:p>
      <w:pPr>
        <w:pStyle w:val="FirstParagraph"/>
      </w:pPr>
      <w:r>
        <w:t xml:space="preserve">The result complements Paper 1. The remediation discourse in this corpus shows both stronger thematic density in later records and a significant age-based attention structure. The field is therefore not just active. It is consolidating around newer formulations of the remediation and free-rider problem.</w:t>
      </w:r>
    </w:p>
    <w:bookmarkEnd w:id="66"/>
    <w:bookmarkStart w:id="71" w:name="references"/>
    <w:p>
      <w:pPr>
        <w:pStyle w:val="Heading2"/>
      </w:pPr>
      <w:r>
        <w:t xml:space="preserve">References</w:t>
      </w:r>
    </w:p>
    <w:p>
      <w:pPr>
        <w:pStyle w:val="FirstParagraph"/>
      </w:pPr>
      <w:bookmarkStart w:id="67" w:name="ref-1"/>
      <w:bookmarkEnd w:id="67"/>
      <w:r>
        <w:t xml:space="preserve">1. D. McKnight, “Pay Me Now or Pay Me More Later: Start the Development of Active Orbital Debris Removal Now,” AMOS, 2010.</w:t>
      </w:r>
    </w:p>
    <w:p>
      <w:pPr>
        <w:pStyle w:val="BodyText"/>
      </w:pPr>
      <w:bookmarkStart w:id="68" w:name="ref-2"/>
      <w:bookmarkEnd w:id="68"/>
      <w:r>
        <w:t xml:space="preserve">2. P. Wozniak, S. Riabova, and H. Hijazi, “Coordinated Space Domain Awareness as an Optimized Commodity Market,” AMOS, 2023, doi:</w:t>
      </w:r>
      <w:r>
        <w:t xml:space="preserve"> </w:t>
      </w:r>
      <w:hyperlink r:id="rId69">
        <w:r>
          <w:rPr>
            <w:rStyle w:val="Hyperlink"/>
          </w:rPr>
          <w:t xml:space="preserve">10.64861/LDVO7244</w:t>
        </w:r>
      </w:hyperlink>
    </w:p>
    <w:p>
      <w:pPr>
        <w:pStyle w:val="BodyText"/>
      </w:pPr>
      <w:bookmarkStart w:id="70" w:name="ref-3"/>
      <w:bookmarkEnd w:id="70"/>
      <w:r>
        <w:t xml:space="preserve">3. R. Zhang and A. Balakrishnan, “From Ozone Depletion to Orbital Debris: Lessons Learned from the Montreal Protocol,” AMOS, 2022.</w:t>
      </w:r>
    </w:p>
    <w:bookmarkEnd w:id="71"/>
    <w:bookmarkStart w:id="72"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2.3074</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4.9236</w:t>
            </w:r>
          </w:p>
        </w:tc>
        <w:tc>
          <w:tcPr>
            <w:tcW w:w="0" w:type="auto"/>
          </w:tcPr>
          <w:p>
            <w:pPr>
              <w:spacing w:line="240" w:lineRule="auto" w:before="0" w:after="0"/>
              <w:pStyle w:val="Compact"/>
            </w:pPr>
            <w:r>
              <w:rPr>
                <w:sz w:val="20"/>
                <w:szCs w:val="20"/>
              </w:rPr>
              <w:t xml:space="preserve">8.496e-07</w:t>
            </w:r>
          </w:p>
        </w:tc>
        <w:tc>
          <w:tcPr>
            <w:tcW w:w="0" w:type="auto"/>
          </w:tcPr>
          <w:p>
            <w:pPr>
              <w:spacing w:line="240" w:lineRule="auto" w:before="0" w:after="0"/>
              <w:pStyle w:val="Compact"/>
            </w:pPr>
            <w:r>
              <w:rPr>
                <w:sz w:val="20"/>
                <w:szCs w:val="20"/>
              </w:rPr>
              <w:t xml:space="preserve">[1.3889, 3.2259]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0.2026</w:t>
            </w:r>
          </w:p>
        </w:tc>
        <w:tc>
          <w:tcPr>
            <w:tcW w:w="0" w:type="auto"/>
          </w:tcPr>
          <w:p>
            <w:pPr>
              <w:spacing w:line="240" w:lineRule="auto" w:before="0" w:after="0"/>
              <w:pStyle w:val="Compact"/>
            </w:pPr>
            <w:r>
              <w:rPr>
                <w:sz w:val="20"/>
                <w:szCs w:val="20"/>
              </w:rPr>
              <w:t xml:space="preserve">-4.3205</w:t>
            </w:r>
          </w:p>
        </w:tc>
        <w:tc>
          <w:tcPr>
            <w:tcW w:w="0" w:type="auto"/>
          </w:tcPr>
          <w:p>
            <w:pPr>
              <w:spacing w:line="240" w:lineRule="auto" w:before="0" w:after="0"/>
              <w:pStyle w:val="Compact"/>
            </w:pPr>
            <w:r>
              <w:rPr>
                <w:sz w:val="20"/>
                <w:szCs w:val="20"/>
              </w:rPr>
              <w:t xml:space="preserve">1.556e-05</w:t>
            </w:r>
          </w:p>
        </w:tc>
        <w:tc>
          <w:tcPr>
            <w:tcW w:w="0" w:type="auto"/>
          </w:tcPr>
          <w:p>
            <w:pPr>
              <w:spacing w:line="240" w:lineRule="auto" w:before="0" w:after="0"/>
              <w:pStyle w:val="Compact"/>
            </w:pPr>
            <w:r>
              <w:rPr>
                <w:sz w:val="20"/>
                <w:szCs w:val="20"/>
              </w:rPr>
              <w:t xml:space="preserve">[-1.2727, -0.4783]</w:t>
            </w:r>
          </w:p>
        </w:tc>
      </w:tr>
    </w:tbl>
    <w:p>
      <w:pPr>
        <w:pStyle w:val="BodyText"/>
      </w:pPr>
      <w:r>
        <w:t xml:space="preserve">Fit: N = 30 R2 = 0.2227 elasticity_b = -0.8755 progress_ratio_2^b = 0.5451</w:t>
      </w:r>
    </w:p>
    <w:p>
      <w:pPr>
        <w:pStyle w:val="CaptionedFigure"/>
      </w:pPr>
      <w:r>
        <w:drawing>
          <wp:inline>
            <wp:extent cx="5669280" cy="3657600"/>
            <wp:effectExtent b="0" l="0" r="0" t="0"/>
            <wp:docPr descr="Figure 1. Citation accumulation against article age in the retrieved topic literature." title="" id="74" name="Picture"/>
            <a:graphic>
              <a:graphicData uri="http://schemas.openxmlformats.org/drawingml/2006/picture">
                <pic:pic>
                  <pic:nvPicPr>
                    <pic:cNvPr descr="D:\Claude_Code\brain\collegium\candidates\dissertations\DEBRIS_07\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10.64861/LDVO7244</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https://amostech.space/year/2009/price-based-information-routing-in-complex-satellite-networks-for-space-based-situational-awareness/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https://amostech.space/year/2020/derelict-space-situational-awareness-ssa-data-for-free/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https://amostech.space/year/2022/memo-on-space-debris-summit-and-active-debris-removal/</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https://amostech.space/year/2016/assessing-the-iadc-space-debris-mitigation-guidelines-a-case-for-ontology-based-data-management/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https://amostech.space/year/2014/characterization-of-inactive-rocket-bodies-via-non-resolved-photometric-data/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https://amostech.space/year/2013/photometric-data-from-non-resolved-objects-for-space-object-characterization-and-improved-atmospheric-modeling/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10.1016/j.actaastro.2024.09.058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10.1016/j.actaastro.2025.01.007</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10.1016/j.actaastro.2018.08.042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10.1016/j.actaastro.2021.07.002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10.1016/j.actaastro.2025.02.019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10.1016/j.actaastro.2023.01.033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the Development of Active Orbital Debris Removal Now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2.3074</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4.9236</w:t>
            </w:r>
          </w:p>
        </w:tc>
        <w:tc>
          <w:tcPr>
            <w:tcW w:w="0" w:type="auto"/>
          </w:tcPr>
          <w:p>
            <w:pPr>
              <w:spacing w:line="240" w:lineRule="auto" w:before="0" w:after="0"/>
              <w:pStyle w:val="Compact"/>
            </w:pPr>
            <w:r>
              <w:rPr>
                <w:sz w:val="20"/>
                <w:szCs w:val="20"/>
              </w:rPr>
              <w:t xml:space="preserve">8.496e-07</w:t>
            </w:r>
          </w:p>
        </w:tc>
        <w:tc>
          <w:tcPr>
            <w:tcW w:w="0" w:type="auto"/>
          </w:tcPr>
          <w:p>
            <w:pPr>
              <w:spacing w:line="240" w:lineRule="auto" w:before="0" w:after="0"/>
              <w:pStyle w:val="Compact"/>
            </w:pPr>
            <w:r>
              <w:rPr>
                <w:sz w:val="20"/>
                <w:szCs w:val="20"/>
              </w:rPr>
              <w:t xml:space="preserve">[1.3889, 3.2259]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0.2026</w:t>
            </w:r>
          </w:p>
        </w:tc>
        <w:tc>
          <w:tcPr>
            <w:tcW w:w="0" w:type="auto"/>
          </w:tcPr>
          <w:p>
            <w:pPr>
              <w:spacing w:line="240" w:lineRule="auto" w:before="0" w:after="0"/>
              <w:pStyle w:val="Compact"/>
            </w:pPr>
            <w:r>
              <w:rPr>
                <w:sz w:val="20"/>
                <w:szCs w:val="20"/>
              </w:rPr>
              <w:t xml:space="preserve">-4.3205</w:t>
            </w:r>
          </w:p>
        </w:tc>
        <w:tc>
          <w:tcPr>
            <w:tcW w:w="0" w:type="auto"/>
          </w:tcPr>
          <w:p>
            <w:pPr>
              <w:spacing w:line="240" w:lineRule="auto" w:before="0" w:after="0"/>
              <w:pStyle w:val="Compact"/>
            </w:pPr>
            <w:r>
              <w:rPr>
                <w:sz w:val="20"/>
                <w:szCs w:val="20"/>
              </w:rPr>
              <w:t xml:space="preserve">1.556e-05</w:t>
            </w:r>
          </w:p>
        </w:tc>
        <w:tc>
          <w:tcPr>
            <w:tcW w:w="0" w:type="auto"/>
          </w:tcPr>
          <w:p>
            <w:pPr>
              <w:spacing w:line="240" w:lineRule="auto" w:before="0" w:after="0"/>
              <w:pStyle w:val="Compact"/>
            </w:pPr>
            <w:r>
              <w:rPr>
                <w:sz w:val="20"/>
                <w:szCs w:val="20"/>
              </w:rPr>
              <w:t xml:space="preserve">[-1.2727, -0.4783]</w:t>
            </w:r>
          </w:p>
        </w:tc>
      </w:tr>
    </w:tbl>
    <w:p>
      <w:pPr>
        <w:pStyle w:val="BodyText"/>
      </w:pPr>
      <w:r>
        <w:t xml:space="preserve">Fit: N = 30 R2 = 0.2227 elasticity_b = -0.8755 progress_ratio_2^b = 0.5451</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 Type="http://schemas.openxmlformats.org/officeDocument/2006/relationships/hyperlink" Id="rId69" Target="https://doi.org/10.64861/LDVO7244"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LDVO724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2026-06-28T19:45:26Z</dcterms:created>
  <dcterms:modified xsi:type="dcterms:W3CDTF">2026-06-28T19:45:26Z</dcterms:modified>
</cp:coreProperties>
</file>

<file path=docProps/custom.xml><?xml version="1.0" encoding="utf-8"?>
<Properties xmlns="http://schemas.openxmlformats.org/officeDocument/2006/custom-properties" xmlns:vt="http://schemas.openxmlformats.org/officeDocument/2006/docPropsVTypes"/>
</file>