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74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2" w:name="X4c19e5a7b7e0ab97744e31e11e84533d2634612"/>
    <w:p>
      <w:pPr>
        <w:pStyle w:val="Heading1"/>
      </w:pPr>
      <w:r>
        <w:t xml:space="preserve">Signal Intensity in The Free-Rider Geometry of Remediation Who Benefits and Who Pays When a Single Debris-Removal Act Produces Diffuse Security Gains?: An Ordinary Least Squares Test of Recency, Citation Attention, and Venue</w:t>
      </w:r>
    </w:p>
    <w:bookmarkStart w:id="61" w:name="introduction"/>
    <w:p>
      <w:pPr>
        <w:pStyle w:val="Heading2"/>
      </w:pPr>
      <w:r>
        <w:t xml:space="preserve">1. Introduction</w:t>
      </w:r>
    </w:p>
    <w:p>
      <w:pPr>
        <w:pStyle w:val="FirstParagraph"/>
      </w:pPr>
      <w:r>
        <w:t xml:space="preserve">This paper treats the retrieved remediation corpus as an empirical object. The candidate topic draws on a bounded set of AMOS and Acta records on orbital-debris removal, SSA coordination, sustainability governance, and collective-action framing</w:t>
      </w:r>
      <w:r>
        <w:t xml:space="preserve"> </w:t>
      </w:r>
      <w:hyperlink w:anchor="ref-1">
        <m:oMathPara>
          <m:oMathParaPr>
            <m:jc m:val="center"/>
          </m:oMathParaPr>
          <m:oMath>
            <m:r>
              <m:t>1</m:t>
            </m:r>
          </m:oMath>
        </m:oMathPara>
      </w:hyperlink>
      <w:r>
        <w:t xml:space="preserve">,</w:t>
      </w:r>
      <w:r>
        <w:t xml:space="preserve"> </w:t>
      </w:r>
      <w:hyperlink w:anchor="ref-2">
        <m:oMathPara>
          <m:oMathParaPr>
            <m:jc m:val="center"/>
          </m:oMathParaPr>
          <m:oMath>
            <m:r>
              <m:t>2</m:t>
            </m:r>
          </m:oMath>
        </m:oMathPara>
      </w:hyperlink>
      <w:r>
        <w:t xml:space="preserve">,</w:t>
      </w:r>
      <w:r>
        <w:t xml:space="preserve"> </w:t>
      </w:r>
      <w:hyperlink w:anchor="ref-3">
        <m:oMathPara>
          <m:oMathParaPr>
            <m:jc m:val="center"/>
          </m:oMathParaPr>
          <m:oMath>
            <m:r>
              <m:t>3</m:t>
            </m:r>
          </m:oMath>
        </m:oMathPara>
      </w:hyperlink>
      <w:r>
        <w:t xml:space="preserve">,</w:t>
      </w:r>
      <w:r>
        <w:t xml:space="preserve"> </w:t>
      </w:r>
      <w:hyperlink w:anchor="ref-4">
        <m:oMathPara>
          <m:oMathParaPr>
            <m:jc m:val="center"/>
          </m:oMathParaPr>
          <m:oMath>
            <m:r>
              <m:t>4</m:t>
            </m:r>
          </m:oMath>
        </m:oMathPara>
      </w:hyperlink>
      <w:r>
        <w:t xml:space="preserve">. The question is whether that corpus shows a structured thematic signal or remains a looser set of adjacent conversations.</w:t>
      </w:r>
    </w:p>
    <w:bookmarkEnd w:id="61"/>
    <w:bookmarkStart w:id="62" w:name="theory-and-hypotheses"/>
    <w:p>
      <w:pPr>
        <w:pStyle w:val="Heading2"/>
      </w:pPr>
      <w:r>
        <w:t xml:space="preserve">2. Theory and Hypotheses</w:t>
      </w:r>
    </w:p>
    <w:p>
      <w:pPr>
        <w:pStyle w:val="FirstParagraph"/>
      </w:pPr>
      <w:r>
        <w:t xml:space="preserve">If the remediation literature around this candidate is consolidating, later records should often display denser topic signal because authors inherit a more stable vocabulary about cleanup, free-riding, and diffuse benefit. Venue may matter, but recency should matter as well if the topic has sharpened over time. Citation attention may track thematic centrality without guaranteeing it.</w:t>
      </w:r>
    </w:p>
    <w:p>
      <w:pPr>
        <w:pStyle w:val="BodyText"/>
      </w:pPr>
      <w:r>
        <w:t xml:space="preserve">H1 states that topic-signal intensity increases with recency and citation attention. H0 states that the signal is unrelated to recency, citations, and venue family.</w:t>
      </w:r>
    </w:p>
    <w:bookmarkEnd w:id="62"/>
    <w:bookmarkStart w:id="63" w:name="data"/>
    <w:p>
      <w:pPr>
        <w:pStyle w:val="Heading2"/>
      </w:pPr>
      <w:r>
        <w:t xml:space="preserve">3. Data</w:t>
      </w:r>
    </w:p>
    <w:p>
      <w:pPr>
        <w:pStyle w:val="FirstParagraph"/>
      </w:pPr>
      <w:r>
        <w:t xml:space="preserve">The paper uses a 30-record panel built from the local source retrieval for this candidate. The dependent variable,</w:t>
      </w:r>
      <w:r>
        <w:t xml:space="preserve"> </w:t>
      </w:r>
      <w:r>
        <w:rPr>
          <w:rStyle w:val="VerbatimChar"/>
        </w:rPr>
        <w:t xml:space="preserve">signal_score</w:t>
      </w:r>
      <w:r>
        <w:t xml:space="preserve">, is a deterministic composite count of candidate-theme term hits in title, snippet, keyword field, and author metadata. Covariates are</w:t>
      </w:r>
      <w:r>
        <w:t xml:space="preserve"> </w:t>
      </w:r>
      <w:r>
        <w:rPr>
          <w:rStyle w:val="VerbatimChar"/>
        </w:rPr>
        <w:t xml:space="preserve">recency_index</w:t>
      </w:r>
      <w:r>
        <w:t xml:space="preserve">,</w:t>
      </w:r>
      <w:r>
        <w:t xml:space="preserve"> </w:t>
      </w:r>
      <w:r>
        <w:rPr>
          <w:rStyle w:val="VerbatimChar"/>
        </w:rPr>
        <w:t xml:space="preserve">cites_num</w:t>
      </w:r>
      <w:r>
        <w:t xml:space="preserve">, and</w:t>
      </w:r>
      <w:r>
        <w:t xml:space="preserve"> </w:t>
      </w:r>
      <w:r>
        <w:rPr>
          <w:rStyle w:val="VerbatimChar"/>
        </w:rPr>
        <w:t xml:space="preserve">venue_score</w:t>
      </w:r>
      <w:r>
        <w:t xml:space="preserve">. Each row preserves its local source trail.</w:t>
      </w:r>
    </w:p>
    <w:bookmarkEnd w:id="63"/>
    <w:bookmarkStart w:id="64" w:name="method"/>
    <w:p>
      <w:pPr>
        <w:pStyle w:val="Heading2"/>
      </w:pPr>
      <w:r>
        <w:t xml:space="preserve">4. Method</w:t>
      </w:r>
    </w:p>
    <w:p>
      <w:pPr>
        <w:pStyle w:val="FirstParagraph"/>
      </w:pPr>
      <w:r>
        <w:t xml:space="preserve">The estimator is OLS with robust HC1 standard errors. The specification regresses topic-signal score on publication recency, reported citation count, and venue-family score.</w:t>
      </w:r>
    </w:p>
    <w:bookmarkEnd w:id="64"/>
    <w:bookmarkStart w:id="65" w:name="findings"/>
    <w:p>
      <w:pPr>
        <w:pStyle w:val="Heading2"/>
      </w:pPr>
      <w:r>
        <w:t xml:space="preserve">5. Findings</w:t>
      </w:r>
    </w:p>
    <w:p>
      <w:pPr>
        <w:pStyle w:val="FirstParagraph"/>
      </w:pPr>
      <w:r>
        <w:t xml:space="preserve">The model uses 30 observations. Fit is meaningful: R-squared equals 0.2454, adjusted R-squared equals 0.1583, the F statistic is 4.5415, and the model p-value is 0.0109. The coefficient on</w:t>
      </w:r>
      <w:r>
        <w:t xml:space="preserve"> </w:t>
      </w:r>
      <w:r>
        <w:rPr>
          <w:rStyle w:val="VerbatimChar"/>
        </w:rPr>
        <w:t xml:space="preserve">recency_index</w:t>
      </w:r>
      <w:r>
        <w:t xml:space="preserve"> </w:t>
      </w:r>
      <w:r>
        <w:t xml:space="preserve">is 0.1794 with a standard error of 0.0680 and a p-value of 0.0083. The coefficient on</w:t>
      </w:r>
      <w:r>
        <w:t xml:space="preserve"> </w:t>
      </w:r>
      <w:r>
        <w:rPr>
          <w:rStyle w:val="VerbatimChar"/>
        </w:rPr>
        <w:t xml:space="preserve">cites_num</w:t>
      </w:r>
      <w:r>
        <w:t xml:space="preserve"> </w:t>
      </w:r>
      <w:r>
        <w:t xml:space="preserve">is 0.0613 with a standard error of 0.0440 and a p-value of 0.1635. The coefficient on</w:t>
      </w:r>
      <w:r>
        <w:t xml:space="preserve"> </w:t>
      </w:r>
      <w:r>
        <w:rPr>
          <w:rStyle w:val="VerbatimChar"/>
        </w:rPr>
        <w:t xml:space="preserve">venue_score</w:t>
      </w:r>
      <w:r>
        <w:t xml:space="preserve"> </w:t>
      </w:r>
      <w:r>
        <w:t xml:space="preserve">is -0.4192 with a standard error of 0.4368 and a p-value of 0.3373.</w:t>
      </w:r>
    </w:p>
    <w:p>
      <w:pPr>
        <w:pStyle w:val="BodyText"/>
      </w:pPr>
      <w:r>
        <w:t xml:space="preserve">The main structured result is recency. Within this bounded corpus, newer records carry significantly stronger candidate-theme signal than older ones. Citation attention is positive but not conventionally significant, and venue family is not a strong organizer of thematic density in this sample.</w:t>
      </w:r>
    </w:p>
    <w:bookmarkEnd w:id="65"/>
    <w:bookmarkStart w:id="66" w:name="discussion"/>
    <w:p>
      <w:pPr>
        <w:pStyle w:val="Heading2"/>
      </w:pPr>
      <w:r>
        <w:t xml:space="preserve">6. Discussion</w:t>
      </w:r>
    </w:p>
    <w:p>
      <w:pPr>
        <w:pStyle w:val="FirstParagraph"/>
      </w:pPr>
      <w:r>
        <w:t xml:space="preserve">This result suggests that the remediation discourse is sharpening over time. The candidate theme is more concentrated in later records, which is consistent with a field that is becoming more explicit about free-riding, sustainability, and cleanup governance even if citation hierarchy and venue effects remain weaker than expected.</w:t>
      </w:r>
    </w:p>
    <w:bookmarkEnd w:id="66"/>
    <w:bookmarkStart w:id="72" w:name="references"/>
    <w:p>
      <w:pPr>
        <w:pStyle w:val="Heading2"/>
      </w:pPr>
      <w:r>
        <w:t xml:space="preserve">References</w:t>
      </w:r>
    </w:p>
    <w:p>
      <w:pPr>
        <w:pStyle w:val="FirstParagraph"/>
      </w:pPr>
      <w:bookmarkStart w:id="67" w:name="ref-1"/>
      <w:bookmarkEnd w:id="67"/>
      <w:r>
        <w:t xml:space="preserve">1. D. McKnight, “Pay Me Now or Pay Me More Later: Start the Development of Active Orbital Debris Removal Now,” AMOS, 2010.</w:t>
      </w:r>
    </w:p>
    <w:p>
      <w:pPr>
        <w:pStyle w:val="BodyText"/>
      </w:pPr>
      <w:bookmarkStart w:id="68" w:name="ref-2"/>
      <w:bookmarkEnd w:id="68"/>
      <w:r>
        <w:t xml:space="preserve">2. P. Wozniak, S. Riabova, and H. Hijazi, “Coordinated Space Domain Awareness as an Optimized Commodity Market,” AMOS, 2023, doi:</w:t>
      </w:r>
      <w:r>
        <w:t xml:space="preserve"> </w:t>
      </w:r>
      <w:hyperlink r:id="rId69">
        <w:r>
          <w:rPr>
            <w:rStyle w:val="Hyperlink"/>
          </w:rPr>
          <w:t xml:space="preserve">10.64861/LDVO7244</w:t>
        </w:r>
      </w:hyperlink>
    </w:p>
    <w:p>
      <w:pPr>
        <w:pStyle w:val="BodyText"/>
      </w:pPr>
      <w:bookmarkStart w:id="70" w:name="ref-3"/>
      <w:bookmarkEnd w:id="70"/>
      <w:r>
        <w:t xml:space="preserve">3. R. Zhang and A. Balakrishnan, “From Ozone Depletion to Orbital Debris: Lessons Learned from the Montreal Protocol,” AMOS, 2022.</w:t>
      </w:r>
    </w:p>
    <w:p>
      <w:pPr>
        <w:pStyle w:val="BodyText"/>
      </w:pPr>
      <w:bookmarkStart w:id="71" w:name="ref-4"/>
      <w:bookmarkEnd w:id="71"/>
      <w:r>
        <w:t xml:space="preserve">4. B. Lal and S. A. Carioscia, “Evaluating Options for Civil Space Situational Awareness (SSA),” AMOS, 2017.</w:t>
      </w:r>
    </w:p>
    <w:bookmarkEnd w:id="72"/>
    <w:bookmarkStart w:id="73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rPr>
                  <m:nor/>
                  <m:sty m:val="p"/>
                </m:rPr>
                <m:t>SignalScore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rPr>
                  <m:nor/>
                  <m:sty m:val="p"/>
                </m:rPr>
                <m:t>RecencyIndex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rPr>
                  <m:nor/>
                  <m:sty m:val="p"/>
                </m:rPr>
                <m:t>Cites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sSub>
            <m:e>
              <m:r>
                <m:rPr>
                  <m:nor/>
                  <m:sty m:val="p"/>
                </m:rPr>
                <m:t>VenueScore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</m:sub>
          </m:sSub>
        </m:oMath>
      </m:oMathPara>
    </w:p>
    <w:bookmarkEnd w:id="73"/>
    <w:bookmarkStart w:id="77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1.3595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0.7971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1.7056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0.0881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[-0.2027, 2.9216]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0.1794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2.6378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[0.0461, 0.3127]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0.0613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1.3933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0.1635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[-0.0249, 0.1474]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-0.4192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0.4368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-0.9596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0.3373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[-1.2753, 0.437]</w:t>
            </w:r>
          </w:p>
        </w:tc>
      </w:tr>
    </w:tbl>
    <w:p>
      <w:pPr>
        <w:pStyle w:val="BodyText"/>
      </w:pPr>
      <w:r>
        <w:t xml:space="preserve">Fit: N = 30 R2 = 0.2454 R2_adj = 0.1583 F = 4.5415 F_p = 0.0109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Topic-signal score by publication recency, conditioning on citation attention and venue family." title="" id="75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DEBRIS_07\research_papers\p1\paper_fig1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Topic-signal score by publication recency, conditioning on citation attention and venue family.</w:t>
      </w:r>
    </w:p>
    <w:bookmarkEnd w:id="77"/>
    <w:bookmarkStart w:id="81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78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doc_id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title_words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snippet_words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keyword_count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theme_hits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signal_score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https://amostech.space/year/2022/from-ozone-depletion-to-orbital-debris-lessons-learned-from-the-montreal-protocol/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10.64861/LDVO7244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https://amostech.space/year/2010/pay-me-now-or-pay-me-more-later-start-the-development-of-active-orbital-debris-removal-now/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https://amostech.space/year/2017/evaluating-options-for-civil-space-situational-awareness-ssa/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https://amostech.space/year/2009/price-based-information-routing-in-complex-satellite-networks-for-space-based-situational-awareness/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https://amostech.space/year/2020/derelict-space-situational-awareness-ssa-data-for-free/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https://amostech.space/year/2022/memo-on-space-debris-summit-and-active-debris-removal/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https://amostech.space/year/2016/assessing-the-iadc-space-debris-mitigation-guidelines-a-case-for-ontology-based-data-management/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https://amostech.space/year/2014/characterization-of-inactive-rocket-bodies-via-non-resolved-photometric-data/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https://amostech.space/year/2013/photometric-data-from-non-resolved-objects-for-space-object-characterization-and-improved-atmospheric-modeling/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10.64861/LBPZ7861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https://amostech.space/year/2021/trends-in-global-space-situational-awareness/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10.1016/j.actaastro.2024.09.058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10.1016/j.actaastro.2025.01.007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10.1016/j.actaastro.2018.08.042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10.1016/j.actaastro.2024.12.056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10.1016/j.actaastro.2025.03.034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10.1016/j.actaastro.2024.12.060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10.1016/j.actaastro.2021.07.002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10.1016/j.actaastro.2023.06.047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10.1016/j.actaastro.2025.02.019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10.1016/j.actaastro.2023.01.033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10.1016/j.actaastro.2023.01.003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10.1016/j.actaastro.2024.04.041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Pay Me Now or Pay Me More Later: Start the Development of Active Orbital Debris Removal Now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Pay Me Now or Pay Me More Later: Start ADR Now (AMOS)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Leveraging Circular Economy for Space Sustainability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 2021 Johns Hopkins SAIS doctoral thesis by Nathaniel Dailey proposing an International Space Reference Architecture (ISRA) as a socio-technological transformative mechanism to resolve contemporary space governance failures – orbital debris, policy fragmentation, and space traffic management – by coupling enterprise architecture methodology with international relations constructivist theory, blockchain-enabled information sharing, and norms entrepreneurship.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The Space Imperative (Whole-of-Nation)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Weinzierl (2018) provides a three-part economic framework for managing the development of the space economy, analyzing market establishment through decentralization, market failures (including space debris as a negative externality), and social objective regulation. Published in the Journal of Economic Perspectives, it frames orbital crowding and space debris as a classic tragedy-of-the-commons problem requiring governance mechanisms that currently lack effective traction in the space domain.</w:t>
            </w:r>
          </w:p>
        </w:tc>
      </w:tr>
    </w:tbl>
    <w:bookmarkEnd w:id="78"/>
    <w:bookmarkStart w:id="79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signal_score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Composite topic-signal score for each retrieved source record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Deterministic count built from candidate-theme term hits in the source title, snippet, keyword field, and author metadata; each row cites the retrieved source in the source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Publication recency 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Computed as publication year minus the minimum publication year in the paper sample plus one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Reported citation count in the local brain 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Parsed from the local brain search cites field; zero when the index reported no citation count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Ordinal venue-family 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AMOS = 1, Acta Astronautica = 2, Space Economy = 3</w:t>
            </w:r>
          </w:p>
        </w:tc>
      </w:tr>
    </w:tbl>
    <w:bookmarkEnd w:id="79"/>
    <w:bookmarkStart w:id="80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1.3595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0.7971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1.7056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0.0881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[-0.2027, 2.9216]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0.1794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2.6378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[0.0461, 0.3127]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0.0613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1.3933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0.1635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[-0.0249, 0.1474]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-0.4192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0.4368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-0.9596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0.3373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[-1.2753, 0.437]</w:t>
            </w:r>
          </w:p>
        </w:tc>
      </w:tr>
    </w:tbl>
    <w:p>
      <w:pPr>
        <w:pStyle w:val="BodyText"/>
      </w:pPr>
      <w:r>
        <w:t xml:space="preserve">Fit: N = 30 R2 = 0.2454 R2_adj = 0.1583 F = 4.5415 F_p = 0.0109</w:t>
      </w:r>
    </w:p>
    <w:bookmarkEnd w:id="80"/>
    <w:bookmarkEnd w:id="81"/>
    <w:bookmarkEnd w:id="82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74" Target="media/rId74.png" /><Relationship Type="http://schemas.openxmlformats.org/officeDocument/2006/relationships/hyperlink" Id="rId69" Target="https://doi.org/10.64861/LDVO7244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9" Target="https://doi.org/10.64861/LDVO7244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2026-06-28T19:45:25Z</dcterms:created>
  <dcterms:modified xsi:type="dcterms:W3CDTF">2026-06-28T19:45:25Z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