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FREE-RIDER GEOMETRY OF REMEDIATION: WHO BENEFITS AND WHO PAYS WHEN A SINGLE</w:t>
      </w:r>
    </w:p>
    <w:p>
      <w:pPr>
        <w:jc w:val="center"/>
      </w:pPr>
    </w:p>
    <w:p>
      <w:pPr>
        <w:jc w:val="center"/>
      </w:pPr>
      <w:r>
        <w:rPr>
          <w:rFonts w:ascii="Times New Roman" w:hAnsi="Times New Roman"/>
          <w:sz w:val="24"/>
        </w:rPr>
        <w:t>by</w:t>
      </w:r>
    </w:p>
    <w:p>
      <w:pPr>
        <w:jc w:val="center"/>
      </w:pPr>
      <w:r>
        <w:rPr>
          <w:rFonts w:ascii="Times New Roman" w:hAnsi="Times New Roman"/>
          <w:b/>
          <w:sz w:val="28"/>
        </w:rPr>
        <w:t>Devin Donnelly</w:t>
      </w:r>
    </w:p>
    <w:p>
      <w:pPr>
        <w:jc w:val="center"/>
      </w:pPr>
      <w:r>
        <w:rPr>
          <w:rFonts w:ascii="Times New Roman" w:hAnsi="Times New Roman"/>
          <w:sz w:val="24"/>
        </w:rPr>
        <w:t>1B-SDA-167</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1" w:name="chapter-1.-introduction"/>
    <w:p>
      <w:pPr>
        <w:pStyle w:val="Heading1"/>
        <w:spacing w:line="480" w:lineRule="auto"/>
      </w:pPr>
      <w:r>
        <w:t xml:space="preserve">Chapter 1. Introduction</w:t>
      </w:r>
    </w:p>
    <w:p>
      <w:pPr>
        <w:pStyle w:val="FirstParagraph"/>
        <w:spacing w:line="480" w:lineRule="auto"/>
      </w:pPr>
      <w:r>
        <w:t xml:space="preserve">Grapple a derelict rocket body, drag it into a disposal orbit, and the operator who footed the bill walks away with almost nothing to show for it. The benefit goes elsewhere. It spreads across every constellation sharing the band, every insurer pricing the risk, every future launch that will thread a slightly emptier shell. Concentrated cost, diffuse gain: that mismatch is the oldest puzzle in the study of collective action, and it sits at the dead center of the debris-remediation debate</w:t>
      </w:r>
      <w:r>
        <w:t xml:space="preserve"> </w:t>
      </w:r>
      <w:hyperlink w:anchor="ref-1">
        <w:r>
          <w:rPr>
            <w:rStyle w:val="Hyperlink"/>
          </w:rPr>
          <w:t xml:space="preserve">[1]</w:t>
        </w:r>
      </w:hyperlink>
      <w:r>
        <w:t xml:space="preserve"> </w:t>
      </w:r>
      <w:hyperlink w:anchor="ref-8">
        <w:r>
          <w:rPr>
            <w:rStyle w:val="Hyperlink"/>
          </w:rPr>
          <w:t xml:space="preserve">[8]</w:t>
        </w:r>
      </w:hyperlink>
      <w:r>
        <w:t xml:space="preserve">. Someone still has to move first.</w:t>
      </w:r>
    </w:p>
    <w:p>
      <w:pPr>
        <w:pStyle w:val="BodyText"/>
        <w:spacing w:line="480" w:lineRule="auto"/>
        <w:ind w:firstLine="720"/>
      </w:pPr>
      <w:r>
        <w:t xml:space="preserve">Pricing a single removal is not the task here. The question this dissertation takes up comes earlier and is more tractable. Has the scholarly conversation about remediation and free-riding actually hardened into a coherent field? Or does it stay a loose cluster of adjacent arguments that happen to share a vocabulary? Advocates lean on the free-rider frame as if it were settled science, treating the work behind it as cumulative</w:t>
      </w:r>
      <w:r>
        <w:t xml:space="preserve"> </w:t>
      </w:r>
      <w:hyperlink w:anchor="ref-1">
        <w:r>
          <w:rPr>
            <w:rStyle w:val="Hyperlink"/>
          </w:rPr>
          <w:t xml:space="preserve">[1]</w:t>
        </w:r>
      </w:hyperlink>
      <w:r>
        <w:t xml:space="preserve"> </w:t>
      </w:r>
      <w:hyperlink w:anchor="ref-3">
        <w:r>
          <w:rPr>
            <w:rStyle w:val="Hyperlink"/>
          </w:rPr>
          <w:t xml:space="preserve">[3]</w:t>
        </w:r>
      </w:hyperlink>
      <w:r>
        <w:t xml:space="preserve">. Before a governance recommendation rests any weight on that frame, one wants to know whether the literature underneath behaves like a maturing discourse or like a set of parallel monologues.</w:t>
      </w:r>
    </w:p>
    <w:bookmarkStart w:id="61" w:name="the-problem-and-why-it-is-hard"/>
    <w:p>
      <w:pPr>
        <w:pStyle w:val="Heading2"/>
        <w:spacing w:line="480" w:lineRule="auto"/>
      </w:pPr>
      <w:r>
        <w:t xml:space="preserve">1.1 The problem and why it is hard</w:t>
      </w:r>
    </w:p>
    <w:p>
      <w:pPr>
        <w:pStyle w:val="FirstParagraph"/>
        <w:spacing w:line="480" w:lineRule="auto"/>
      </w:pPr>
      <w:r>
        <w:t xml:space="preserve">Removing a defunct object is expensive, technically demanding, and legally fraught. Whoever does the removing rarely owns the thing, rarely launched it, and has no way to bill the many actors whose assets are now a little safer. McKnight put the choice starkly more than a decade back: pay now for removal, or pay far more later, after the debris population tips past a cascade threshold</w:t>
      </w:r>
      <w:r>
        <w:t xml:space="preserve"> </w:t>
      </w:r>
      <w:hyperlink w:anchor="ref-8">
        <w:r>
          <w:rPr>
            <w:rStyle w:val="Hyperlink"/>
          </w:rPr>
          <w:t xml:space="preserve">[8]</w:t>
        </w:r>
      </w:hyperlink>
      <w:r>
        <w:t xml:space="preserve">. That framing has been echoed and reworked ever since. It runs from Montreal Protocol comparisons</w:t>
      </w:r>
      <w:r>
        <w:t xml:space="preserve"> </w:t>
      </w:r>
      <w:hyperlink w:anchor="ref-6">
        <w:r>
          <w:rPr>
            <w:rStyle w:val="Hyperlink"/>
          </w:rPr>
          <w:t xml:space="preserve">[6]</w:t>
        </w:r>
      </w:hyperlink>
      <w:r>
        <w:t xml:space="preserve"> </w:t>
      </w:r>
      <w:r>
        <w:t xml:space="preserve">through commodity-market treatments of shared observability</w:t>
      </w:r>
      <w:r>
        <w:t xml:space="preserve"> </w:t>
      </w:r>
      <w:hyperlink w:anchor="ref-7">
        <w:r>
          <w:rPr>
            <w:rStyle w:val="Hyperlink"/>
          </w:rPr>
          <w:t xml:space="preserve">[7]</w:t>
        </w:r>
      </w:hyperlink>
      <w:r>
        <w:t xml:space="preserve">.</w:t>
      </w:r>
    </w:p>
    <w:p>
      <w:pPr>
        <w:pStyle w:val="BodyText"/>
        <w:spacing w:line="480" w:lineRule="auto"/>
        <w:ind w:firstLine="720"/>
      </w:pPr>
      <w:r>
        <w:t xml:space="preserve">Echoing is not the same as building. A field consolidates when its later work inherits a stable set of terms, extends prior findings, and gathers around a recognizable core. It stays scattered when every contribution coins its own metaphor, cites sideways instead of forward, and never fixes a shared object of study. Remediation could go either way. Conference papers on sensor tasking, journal work on sustainability ratings</w:t>
      </w:r>
      <w:r>
        <w:t xml:space="preserve"> </w:t>
      </w:r>
      <w:hyperlink w:anchor="ref-4">
        <w:r>
          <w:rPr>
            <w:rStyle w:val="Hyperlink"/>
          </w:rPr>
          <w:t xml:space="preserve">[4]</w:t>
        </w:r>
      </w:hyperlink>
      <w:r>
        <w:t xml:space="preserve"> </w:t>
      </w:r>
      <w:hyperlink w:anchor="ref-18">
        <w:r>
          <w:rPr>
            <w:rStyle w:val="Hyperlink"/>
          </w:rPr>
          <w:t xml:space="preserve">[18]</w:t>
        </w:r>
      </w:hyperlink>
      <w:r>
        <w:t xml:space="preserve">, feasibility studies for commercial stations</w:t>
      </w:r>
      <w:r>
        <w:t xml:space="preserve"> </w:t>
      </w:r>
      <w:hyperlink w:anchor="ref-14">
        <w:r>
          <w:rPr>
            <w:rStyle w:val="Hyperlink"/>
          </w:rPr>
          <w:t xml:space="preserve">[14]</w:t>
        </w:r>
      </w:hyperlink>
      <w:r>
        <w:t xml:space="preserve">, economic accounts of orbital externalities, all of them graze the free-rider problem while stressing different mechanisms and different beneficiaries.</w:t>
      </w:r>
    </w:p>
    <w:p>
      <w:pPr>
        <w:pStyle w:val="BodyText"/>
        <w:spacing w:line="480" w:lineRule="auto"/>
        <w:ind w:firstLine="720"/>
      </w:pPr>
      <w:r>
        <w:t xml:space="preserve">Underneath sits a harder difficulty. Debris ignores the question of who made it, so the physical externality really is shared. The intellectual response to it arrived through a dozen disciplinary doors at once, and each door carried its own convictions about what counts as evidence and what counts as a solution</w:t>
      </w:r>
      <w:r>
        <w:t xml:space="preserve"> </w:t>
      </w:r>
      <w:hyperlink w:anchor="ref-19">
        <w:r>
          <w:rPr>
            <w:rStyle w:val="Hyperlink"/>
          </w:rPr>
          <w:t xml:space="preserve">[19]</w:t>
        </w:r>
      </w:hyperlink>
      <w:r>
        <w:t xml:space="preserve">. Collision probability is the engineer’s model. A commons is the economist’s. Coordination failure is the policy analyst’s. The same orbital shell, described in three languages that do not translate on contact.</w:t>
      </w:r>
    </w:p>
    <w:p>
      <w:pPr>
        <w:pStyle w:val="BodyText"/>
        <w:spacing w:line="480" w:lineRule="auto"/>
        <w:ind w:firstLine="720"/>
      </w:pPr>
      <w:r>
        <w:t xml:space="preserve">Whether a field has consolidated sounds like a matter of taste. This study tries to make it a matter of measurement. It takes a bounded, candidate-specific retrieval of thirty source records and treats that set as an empirical object, then asks whether the object shows patterned structure along two axes: thematic density and attention accumulation. Trading atmosphere for data is the whole wager. A claim about field maturity that cannot be checked against a row in a table is a claim that lives entirely on assertion.</w:t>
      </w:r>
    </w:p>
    <w:bookmarkEnd w:id="61"/>
    <w:bookmarkStart w:id="62" w:name="the-single-falsifiable-contribution"/>
    <w:p>
      <w:pPr>
        <w:pStyle w:val="Heading2"/>
        <w:spacing w:line="480" w:lineRule="auto"/>
      </w:pPr>
      <w:r>
        <w:t xml:space="preserve">1.2 The single falsifiable contribution</w:t>
      </w:r>
    </w:p>
    <w:p>
      <w:pPr>
        <w:pStyle w:val="FirstParagraph"/>
        <w:spacing w:line="480" w:lineRule="auto"/>
      </w:pPr>
      <w:r>
        <w:t xml:space="preserve">By design the contribution is narrow, and it is phrased so that it can fail. Suppose the remediation and free-rider discourse is consolidating. Then two things should show up together in the retrieved corpus. Thematic signal should sort with publication timing rather than scatter across the panel, and citation attention should trace an interpretable age structure rather than pile up erratically.</w:t>
      </w:r>
    </w:p>
    <w:p>
      <w:pPr>
        <w:pStyle w:val="BodyText"/>
        <w:spacing w:line="480" w:lineRule="auto"/>
        <w:ind w:firstLine="720"/>
      </w:pPr>
      <w:r>
        <w:t xml:space="preserve">The null names the honest alternative. Under it, topic-signal intensity and citation accumulation have nothing to do with when a record appeared or where it was published. What you would have then is a corpus that is active but heterogeneous, a set of writers circling one policy anxiety without ever settling on a shared analytic center</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Two linked papers carry the test. Paper 1 regresses a deterministic topic-signal score on publication recency, citation count, and venue family by ordinary least squares. Paper 2 fits a log-log learning curve of citation accumulation against article age. Read together, they let the corpus report whether it is sorting and maturing or simply persisting. Spareness here is deliberate. Thirty records cannot honestly bear a baroque specification, and a lean model has a second virtue besides honesty: a reader can see at a glance whether the predicted structure is there or not.</w:t>
      </w:r>
    </w:p>
    <w:bookmarkEnd w:id="62"/>
    <w:bookmarkStart w:id="63" w:name="what-this-study-is-and-is-not"/>
    <w:p>
      <w:pPr>
        <w:pStyle w:val="Heading2"/>
        <w:spacing w:line="480" w:lineRule="auto"/>
      </w:pPr>
      <w:r>
        <w:t xml:space="preserve">1.3 What this study is and is not</w:t>
      </w:r>
    </w:p>
    <w:p>
      <w:pPr>
        <w:pStyle w:val="FirstParagraph"/>
        <w:spacing w:line="480" w:lineRule="auto"/>
      </w:pPr>
      <w:r>
        <w:t xml:space="preserve">The subject is literature formation, not the cost and benefit of orbital cleanup, and that line is the design rather than a hedge. The source set is a bounded retrieval of AMOS and Acta Astronautica records with a small tail of economic and thesis material</w:t>
      </w:r>
      <w:r>
        <w:t xml:space="preserve"> </w:t>
      </w:r>
      <w:hyperlink w:anchor="ref-17">
        <w:r>
          <w:rPr>
            <w:rStyle w:val="Hyperlink"/>
          </w:rPr>
          <w:t xml:space="preserve">[17]</w:t>
        </w:r>
      </w:hyperlink>
      <w:r>
        <w:t xml:space="preserve"> </w:t>
      </w:r>
      <w:hyperlink w:anchor="ref-18">
        <w:r>
          <w:rPr>
            <w:rStyle w:val="Hyperlink"/>
          </w:rPr>
          <w:t xml:space="preserve">[18]</w:t>
        </w:r>
      </w:hyperlink>
      <w:r>
        <w:t xml:space="preserve">. It is not the whole universe of debris scholarship, and no page here claims otherwise. Measuring the structure of a retrieved corpus is a genuine empirical act, and it happens to be the act the available data will bear without invention.</w:t>
      </w:r>
    </w:p>
    <w:p>
      <w:pPr>
        <w:pStyle w:val="BodyText"/>
        <w:spacing w:line="480" w:lineRule="auto"/>
        <w:ind w:firstLine="720"/>
      </w:pPr>
      <w:r>
        <w:t xml:space="preserve">Two consequences trail from that choice. The topic-signal score proxies for substantive remediation argument through metadata, so a record thick with indexed terms is not thereby the better scholarship. And citation counts swing across venues and years for reasons unrelated to intellectual centrality, so a thin count can mark a slow-indexing venue rather than genuine neglect. Chapter 7 works both limits over at length instead of burying them, on the rule that a finding earns only the objections it can answer.</w:t>
      </w:r>
    </w:p>
    <w:bookmarkEnd w:id="63"/>
    <w:bookmarkStart w:id="64" w:name="why-the-answer-matters-beyond-the-corpus"/>
    <w:p>
      <w:pPr>
        <w:pStyle w:val="Heading2"/>
        <w:spacing w:line="480" w:lineRule="auto"/>
      </w:pPr>
      <w:r>
        <w:t xml:space="preserve">1.4 Why the answer matters beyond the corpus</w:t>
      </w:r>
    </w:p>
    <w:p>
      <w:pPr>
        <w:pStyle w:val="FirstParagraph"/>
        <w:spacing w:line="480" w:lineRule="auto"/>
      </w:pPr>
      <w:r>
        <w:t xml:space="preserve">Say the corpus is consolidating. Governance advocates would then have a defensible reason to treat the free-rider frame as a stabilizing conversation instead of a rhetorical convenience, and a pointer toward which recent formulations are drawing the eye. Say instead it is fragmented. Now the result reads as a warning: the policy community may be stacking remediation arguments on a literature that has not yet cohered, its consensus language running out ahead of any scholarly convergence</w:t>
      </w:r>
      <w:r>
        <w:t xml:space="preserve"> </w:t>
      </w:r>
      <w:hyperlink w:anchor="ref-3">
        <w:r>
          <w:rPr>
            <w:rStyle w:val="Hyperlink"/>
          </w:rPr>
          <w:t xml:space="preserve">[3]</w:t>
        </w:r>
      </w:hyperlink>
      <w:r>
        <w:t xml:space="preserve"> </w:t>
      </w:r>
      <w:hyperlink w:anchor="ref-9">
        <w:r>
          <w:rPr>
            <w:rStyle w:val="Hyperlink"/>
          </w:rPr>
          <w:t xml:space="preserve">[9]</w:t>
        </w:r>
      </w:hyperlink>
      <w:r>
        <w:t xml:space="preserve">.</w:t>
      </w:r>
    </w:p>
    <w:p>
      <w:pPr>
        <w:pStyle w:val="BodyText"/>
        <w:spacing w:line="480" w:lineRule="auto"/>
        <w:ind w:firstLine="720"/>
      </w:pPr>
      <w:r>
        <w:t xml:space="preserve">Either verdict hands the reader something to act on. Synthesis and shared benchmarks are what a consolidating literature invites; a fragmented one invites the slower prior labor of pinning down the object of study before any policy case gets built. None of this is merely academic. The instruments now on the table for the free-rider problem, sustainability ratings that reward good orbital citizenship, burden-sharing schemes for cleanup, every one of them assumes the community already agrees on what the problem is</w:t>
      </w:r>
      <w:r>
        <w:t xml:space="preserve"> </w:t>
      </w:r>
      <w:hyperlink w:anchor="ref-4">
        <w:r>
          <w:rPr>
            <w:rStyle w:val="Hyperlink"/>
          </w:rPr>
          <w:t xml:space="preserve">[4]</w:t>
        </w:r>
      </w:hyperlink>
      <w:r>
        <w:t xml:space="preserve"> </w:t>
      </w:r>
      <w:hyperlink w:anchor="ref-12">
        <w:r>
          <w:rPr>
            <w:rStyle w:val="Hyperlink"/>
          </w:rPr>
          <w:t xml:space="preserve">[12]</w:t>
        </w:r>
      </w:hyperlink>
      <w:r>
        <w:t xml:space="preserve">. Let the underlying literature diverge on that premise and the instruments are being drafted on sand.</w:t>
      </w:r>
    </w:p>
    <w:p>
      <w:pPr>
        <w:pStyle w:val="BodyText"/>
        <w:spacing w:line="480" w:lineRule="auto"/>
        <w:ind w:firstLine="720"/>
      </w:pPr>
      <w:r>
        <w:t xml:space="preserve">The two papers are built to tell these outcomes apart cleanly, with signs and magnitudes that Chapter 6 reports exactly as estimated.</w:t>
      </w:r>
    </w:p>
    <w:bookmarkEnd w:id="64"/>
    <w:bookmarkStart w:id="65" w:name="roadmap"/>
    <w:p>
      <w:pPr>
        <w:pStyle w:val="Heading2"/>
        <w:spacing w:line="480" w:lineRule="auto"/>
      </w:pPr>
      <w:r>
        <w:t xml:space="preserve">1.5 Roadmap</w:t>
      </w:r>
    </w:p>
    <w:p>
      <w:pPr>
        <w:pStyle w:val="FirstParagraph"/>
        <w:spacing w:line="480" w:lineRule="auto"/>
      </w:pPr>
      <w:r>
        <w:t xml:space="preserve">Chapters follow the order a skeptic would demand. Chapter 2 sets the study against prior work on remediation urgency, collective-action framing, and the market logic of shared observability, drawing straight from the reference pool</w:t>
      </w:r>
      <w:r>
        <w:t xml:space="preserve"> </w:t>
      </w:r>
      <w:hyperlink w:anchor="ref-1">
        <w:r>
          <w:rPr>
            <w:rStyle w:val="Hyperlink"/>
          </w:rPr>
          <w:t xml:space="preserve">[1]</w:t>
        </w:r>
      </w:hyperlink>
      <w:r>
        <w:t xml:space="preserve"> </w:t>
      </w:r>
      <w:hyperlink w:anchor="ref-7">
        <w:r>
          <w:rPr>
            <w:rStyle w:val="Hyperlink"/>
          </w:rPr>
          <w:t xml:space="preserve">[7]</w:t>
        </w:r>
      </w:hyperlink>
      <w:r>
        <w:t xml:space="preserve"> </w:t>
      </w:r>
      <w:hyperlink w:anchor="ref-11">
        <w:r>
          <w:rPr>
            <w:rStyle w:val="Hyperlink"/>
          </w:rPr>
          <w:t xml:space="preserve">[11]</w:t>
        </w:r>
      </w:hyperlink>
      <w:r>
        <w:t xml:space="preserve">. Chapter 3 lays the mechanism bare, arguing why a consolidating field should carry recency-linked thematic density and an interpretable age-based attention curve, and it puts the hypotheses in testable form.</w:t>
      </w:r>
    </w:p>
    <w:p>
      <w:pPr>
        <w:pStyle w:val="BodyText"/>
        <w:spacing w:line="480" w:lineRule="auto"/>
        <w:ind w:firstLine="720"/>
      </w:pPr>
      <w:r>
        <w:t xml:space="preserve">Chapter 4 walks through the two estimators and why each one identifies what it claims. Chapter 5 lays out the dataset whole: how the thirty records were retrieved, how each variable was built, where the numbers originate. Chapter 6 reports the results as the two papers estimated them, one coefficient at a time, and reads the signs and magnitudes. Chapter 7 takes up discussion and the validity threats a metadata design cannot escape. Chapter 8 states the contribution, its bearing on debris governance and program planning, and the future work that would push it past one bounded corpus.</w:t>
      </w:r>
    </w:p>
    <w:bookmarkEnd w:id="65"/>
    <w:bookmarkStart w:id="66" w:name="a-word-on-scope-and-honesty"/>
    <w:p>
      <w:pPr>
        <w:pStyle w:val="Heading2"/>
        <w:spacing w:line="480" w:lineRule="auto"/>
      </w:pPr>
      <w:r>
        <w:t xml:space="preserve">1.6 A word on scope and honesty</w:t>
      </w:r>
    </w:p>
    <w:p>
      <w:pPr>
        <w:pStyle w:val="FirstParagraph"/>
        <w:spacing w:line="480" w:lineRule="auto"/>
      </w:pPr>
      <w:r>
        <w:t xml:space="preserve">More could have been promised. A dissertation on debris remediation might have modeled the risk retired by a hypothetical removal campaign, gauged operators’ willingness to pay into a cleanup fund, or projected the debris population under rival policies. Each is a worthy study. Each is also a study the data on hand cannot honestly carry, because the candidate corpus is a retrieval of thirty records about remediation, not a dataset of orbital objects or operator behavior</w:t>
      </w:r>
      <w:r>
        <w:t xml:space="preserve"> </w:t>
      </w:r>
      <w:hyperlink w:anchor="ref-8">
        <w:r>
          <w:rPr>
            <w:rStyle w:val="Hyperlink"/>
          </w:rPr>
          <w:t xml:space="preserve">[8]</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Preferring the answerable question to the impressive one is itself a commitment. Policy-adjacent research is forever tempted to grab the biggest claim the topic allows and then hedge it back to safety. This study grabs the biggest claim the data permit and defends it flat, no hedge, because a bounded claim held firmly serves a decision-maker better than a grand claim held loosely</w:t>
      </w:r>
      <w:r>
        <w:t xml:space="preserve"> </w:t>
      </w:r>
      <w:hyperlink w:anchor="ref-19">
        <w:r>
          <w:rPr>
            <w:rStyle w:val="Hyperlink"/>
          </w:rPr>
          <w:t xml:space="preserve">[19]</w:t>
        </w:r>
      </w:hyperlink>
      <w:r>
        <w:t xml:space="preserve">. No orbital cost curves appear in these pages. What appears is a careful measurement of whether one body of remediation scholarship has started to cohere.</w:t>
      </w:r>
    </w:p>
    <w:bookmarkEnd w:id="66"/>
    <w:bookmarkStart w:id="67" w:name="a-the-intuition-in-one-orbital-example"/>
    <w:p>
      <w:pPr>
        <w:pStyle w:val="Heading2"/>
        <w:spacing w:line="480" w:lineRule="auto"/>
      </w:pPr>
      <w:r>
        <w:t xml:space="preserve">1.6a The intuition in one orbital example</w:t>
      </w:r>
    </w:p>
    <w:p>
      <w:pPr>
        <w:pStyle w:val="FirstParagraph"/>
        <w:spacing w:line="480" w:lineRule="auto"/>
      </w:pPr>
      <w:r>
        <w:t xml:space="preserve">Two satellites share a congested band. One operator buys a deorbit kit and commits to removing its own spent stage at end of life; the other does nothing at all. Both reap the marginally cleaner shell that the first operator’s diligence buys, and only the first has paid a cent</w:t>
      </w:r>
      <w:r>
        <w:t xml:space="preserve"> </w:t>
      </w:r>
      <w:hyperlink w:anchor="ref-8">
        <w:r>
          <w:rPr>
            <w:rStyle w:val="Hyperlink"/>
          </w:rPr>
          <w:t xml:space="preserve">[8]</w:t>
        </w:r>
      </w:hyperlink>
      <w:r>
        <w:t xml:space="preserve">. Scale that pair up across hundreds of operators and defection stops being a temptation and becomes a structure, since each would rather someone else absorb the cost of a removal whose benefit arrives regardless</w:t>
      </w:r>
      <w:r>
        <w:t xml:space="preserve"> </w:t>
      </w:r>
      <w:hyperlink w:anchor="ref-1">
        <w:r>
          <w:rPr>
            <w:rStyle w:val="Hyperlink"/>
          </w:rPr>
          <w:t xml:space="preserve">[1]</w:t>
        </w:r>
      </w:hyperlink>
      <w:r>
        <w:t xml:space="preserve">.</w:t>
      </w:r>
    </w:p>
    <w:p>
      <w:pPr>
        <w:pStyle w:val="BodyText"/>
        <w:spacing w:line="480" w:lineRule="auto"/>
        <w:ind w:firstLine="720"/>
      </w:pPr>
      <w:r>
        <w:t xml:space="preserve">What this dissertation examines is the collective effort to reason about that pair. The effort gathers engineers who estimate how much risk a removal actually retires, economists who model orbit as an unpriced commons, and policy analysts who design ratings and norms to reward the diligent operator</w:t>
      </w:r>
      <w:r>
        <w:t xml:space="preserve"> </w:t>
      </w:r>
      <w:hyperlink w:anchor="ref-4">
        <w:r>
          <w:rPr>
            <w:rStyle w:val="Hyperlink"/>
          </w:rPr>
          <w:t xml:space="preserve">[4]</w:t>
        </w:r>
      </w:hyperlink>
      <w:r>
        <w:t xml:space="preserve"> </w:t>
      </w:r>
      <w:hyperlink w:anchor="ref-19">
        <w:r>
          <w:rPr>
            <w:rStyle w:val="Hyperlink"/>
          </w:rPr>
          <w:t xml:space="preserve">[19]</w:t>
        </w:r>
      </w:hyperlink>
      <w:r>
        <w:t xml:space="preserve">. Have those contributions fused into a shared understanding of the pair, or do they stay scattered attempts to describe it? That is the empirical question. The example fixes the stakes; the two papers fix the answer.</w:t>
      </w:r>
    </w:p>
    <w:bookmarkEnd w:id="67"/>
    <w:bookmarkStart w:id="68" w:name="X9b1188942ddc15a61ad078ae25ba6f762a4ee8c"/>
    <w:p>
      <w:pPr>
        <w:pStyle w:val="Heading2"/>
        <w:spacing w:line="480" w:lineRule="auto"/>
      </w:pPr>
      <w:r>
        <w:t xml:space="preserve">1.7 The reader this dissertation is written for</w:t>
      </w:r>
    </w:p>
    <w:p>
      <w:pPr>
        <w:pStyle w:val="FirstParagraph"/>
        <w:spacing w:line="480" w:lineRule="auto"/>
      </w:pPr>
      <w:r>
        <w:t xml:space="preserve">Two readers stand behind the pages. First the methodologist, who wants the claim earned: appropriate estimators, data that support the inference, limits stated in the open. For that reader the chapters move deliberately through construction and identification, since a result no one can check is a result no one can trust</w:t>
      </w:r>
      <w:r>
        <w:t xml:space="preserve"> </w:t>
      </w:r>
      <w:hyperlink w:anchor="ref-4">
        <w:r>
          <w:rPr>
            <w:rStyle w:val="Hyperlink"/>
          </w:rPr>
          <w:t xml:space="preserve">[4]</w:t>
        </w:r>
      </w:hyperlink>
      <w:r>
        <w:t xml:space="preserve">. Second the practitioner, the program officer or policy analyst or sponsor who has to decide how much weight the free-rider frame carries in a live decision</w:t>
      </w:r>
      <w:r>
        <w:t xml:space="preserve"> </w:t>
      </w:r>
      <w:hyperlink w:anchor="ref-12">
        <w:r>
          <w:rPr>
            <w:rStyle w:val="Hyperlink"/>
          </w:rPr>
          <w:t xml:space="preserve">[12]</w:t>
        </w:r>
      </w:hyperlink>
      <w:r>
        <w:t xml:space="preserve">.</w:t>
      </w:r>
    </w:p>
    <w:p>
      <w:pPr>
        <w:pStyle w:val="BodyText"/>
        <w:spacing w:line="480" w:lineRule="auto"/>
        <w:ind w:firstLine="720"/>
      </w:pPr>
      <w:r>
        <w:t xml:space="preserve">The same evidence has to serve both without collapsing toward either. Machinery goes to the methodologist. To the practitioner goes the calibrated bottom line: a bounded corpus that is genuinely cohering, the strength of the finding quoted at its true size</w:t>
      </w:r>
      <w:r>
        <w:t xml:space="preserve"> </w:t>
      </w:r>
      <w:hyperlink w:anchor="ref-1">
        <w:r>
          <w:rPr>
            <w:rStyle w:val="Hyperlink"/>
          </w:rPr>
          <w:t xml:space="preserve">[1]</w:t>
        </w:r>
      </w:hyperlink>
      <w:r>
        <w:t xml:space="preserve">. Faith is asked of neither, because the source column on every row lets either one chase a number back to the record that produced it</w:t>
      </w:r>
      <w:r>
        <w:t xml:space="preserve"> </w:t>
      </w:r>
      <w:hyperlink w:anchor="ref-8">
        <w:r>
          <w:rPr>
            <w:rStyle w:val="Hyperlink"/>
          </w:rPr>
          <w:t xml:space="preserve">[8]</w:t>
        </w:r>
      </w:hyperlink>
      <w:r>
        <w:t xml:space="preserve">.</w:t>
      </w:r>
    </w:p>
    <w:p>
      <w:pPr>
        <w:pStyle w:val="BodyText"/>
        <w:spacing w:line="480" w:lineRule="auto"/>
        <w:ind w:firstLine="720"/>
      </w:pPr>
      <w:r>
        <w:t xml:space="preserve">The register throughout stays deliberately unheroic. Grand rhetoric clings to debris remediation, and disciplining that rhetoric is part of the point. A measured account of what a small corpus can and cannot show is a corrective to a debate that too often runs on assertion</w:t>
      </w:r>
      <w:r>
        <w:t xml:space="preserve"> </w:t>
      </w:r>
      <w:hyperlink w:anchor="ref-19">
        <w:r>
          <w:rPr>
            <w:rStyle w:val="Hyperlink"/>
          </w:rPr>
          <w:t xml:space="preserve">[19]</w:t>
        </w:r>
      </w:hyperlink>
      <w:r>
        <w:t xml:space="preserve">. That correction is the whole ambition, modest and pursued with care. The argument stays small on purpose. A narrow, falsifiable claim tested against real retrieved data is worth more to the remediation debate than a sweeping cost-benefit figure the data cannot honestly yield</w:t>
      </w:r>
      <w:r>
        <w:t xml:space="preserve"> </w:t>
      </w:r>
      <w:hyperlink w:anchor="ref-1">
        <w:r>
          <w:rPr>
            <w:rStyle w:val="Hyperlink"/>
          </w:rPr>
          <w:t xml:space="preserve">[1]</w:t>
        </w:r>
      </w:hyperlink>
      <w:r>
        <w:t xml:space="preserve"> </w:t>
      </w:r>
      <w:hyperlink w:anchor="ref-8">
        <w:r>
          <w:rPr>
            <w:rStyle w:val="Hyperlink"/>
          </w:rPr>
          <w:t xml:space="preserve">[8]</w:t>
        </w:r>
      </w:hyperlink>
      <w:r>
        <w:t xml:space="preserve">. What follows tries to earn the small claim rather than announce a large one.</w:t>
      </w:r>
    </w:p>
    <w:bookmarkEnd w:id="68"/>
    <w:bookmarkStart w:id="69" w:name="Xdde82ff6d5d9d768d2e520c393a37d7f66dc043"/>
    <w:p>
      <w:pPr>
        <w:pStyle w:val="Heading2"/>
        <w:spacing w:line="480" w:lineRule="auto"/>
      </w:pPr>
      <w:r>
        <w:t xml:space="preserve">1.8 Why bibliometric structure is the right instrument</w:t>
      </w:r>
    </w:p>
    <w:p>
      <w:pPr>
        <w:pStyle w:val="FirstParagraph"/>
        <w:spacing w:line="480" w:lineRule="auto"/>
      </w:pPr>
      <w:r>
        <w:t xml:space="preserve">A reader new to the design may ask why the study reads metadata at all instead of reading the arguments. Argument quality and field maturity are simply different questions, and only the second answers at scale without smuggling the reader’s own judgment in as a hidden variable. Grade each record for the depth of its free-rider reasoning and every score picks up the coder’s disposition, at which point a skeptic can fairly wonder whether the finding just mirrors who did the coding</w:t>
      </w:r>
      <w:r>
        <w:t xml:space="preserve"> </w:t>
      </w:r>
      <w:hyperlink w:anchor="ref-4">
        <w:r>
          <w:rPr>
            <w:rStyle w:val="Hyperlink"/>
          </w:rPr>
          <w:t xml:space="preserve">[4]</w:t>
        </w:r>
      </w:hyperlink>
      <w:r>
        <w:t xml:space="preserve">. Metadata structure dodges that. A term-hit count and a citation tally are what they are no matter who counts them, and their pattern across a panel is a fact about the corpus, not an opinion about it.</w:t>
      </w:r>
    </w:p>
    <w:p>
      <w:pPr>
        <w:pStyle w:val="BodyText"/>
        <w:spacing w:line="480" w:lineRule="auto"/>
        <w:ind w:firstLine="720"/>
      </w:pPr>
      <w:r>
        <w:t xml:space="preserve">None of this says metadata is the better window on ideas. It says metadata is an honest window on one property of a literature: whether that literature has begun to talk in a shared voice and point at a shared core</w:t>
      </w:r>
      <w:r>
        <w:t xml:space="preserve"> </w:t>
      </w:r>
      <w:hyperlink w:anchor="ref-3">
        <w:r>
          <w:rPr>
            <w:rStyle w:val="Hyperlink"/>
          </w:rPr>
          <w:t xml:space="preserve">[3]</w:t>
        </w:r>
      </w:hyperlink>
      <w:r>
        <w:t xml:space="preserve">. Consolidation is exactly the aggregate property that close reading tends to miss, because a scholar deep in one excellent paper cannot see whether the surrounding hundred converge or diverge. The aggregate view catches precisely that, and pays for it by seeing nothing of any single paper’s merit</w:t>
      </w:r>
      <w:r>
        <w:t xml:space="preserve"> </w:t>
      </w:r>
      <w:hyperlink w:anchor="ref-19">
        <w:r>
          <w:rPr>
            <w:rStyle w:val="Hyperlink"/>
          </w:rPr>
          <w:t xml:space="preserve">[19]</w:t>
        </w:r>
      </w:hyperlink>
      <w:r>
        <w:t xml:space="preserve">. The two views complement each other, and this study takes the aggregate one on purpose, since its question is an aggregate question.</w:t>
      </w:r>
    </w:p>
    <w:p>
      <w:pPr>
        <w:pStyle w:val="BodyText"/>
        <w:spacing w:line="480" w:lineRule="auto"/>
        <w:ind w:firstLine="720"/>
      </w:pPr>
      <w:r>
        <w:t xml:space="preserve">Reading a literature as an object rather than a bundle of claims is not new, so the move has precedent. Work on shared observability treats sensing capacity as a good with measurable structure, not as a heap of individual observations</w:t>
      </w:r>
      <w:r>
        <w:t xml:space="preserve"> </w:t>
      </w:r>
      <w:hyperlink w:anchor="ref-7">
        <w:r>
          <w:rPr>
            <w:rStyle w:val="Hyperlink"/>
          </w:rPr>
          <w:t xml:space="preserve">[7]</w:t>
        </w:r>
      </w:hyperlink>
      <w:r>
        <w:t xml:space="preserve"> </w:t>
      </w:r>
      <w:hyperlink w:anchor="ref-10">
        <w:r>
          <w:rPr>
            <w:rStyle w:val="Hyperlink"/>
          </w:rPr>
          <w:t xml:space="preserve">[10]</w:t>
        </w:r>
      </w:hyperlink>
      <w:r>
        <w:t xml:space="preserve">, and governance research treats compliance as something measured against a common standard rather than judged case by case</w:t>
      </w:r>
      <w:r>
        <w:t xml:space="preserve"> </w:t>
      </w:r>
      <w:hyperlink w:anchor="ref-13">
        <w:r>
          <w:rPr>
            <w:rStyle w:val="Hyperlink"/>
          </w:rPr>
          <w:t xml:space="preserve">[13]</w:t>
        </w:r>
      </w:hyperlink>
      <w:r>
        <w:t xml:space="preserve">. This dissertation joins that family. It handles the remediation discourse as a structured object whose consolidation can be estimated, not as a debate to be settled on the merits.</w:t>
      </w:r>
    </w:p>
    <w:bookmarkEnd w:id="69"/>
    <w:bookmarkStart w:id="70" w:name="the-shape-of-the-evidence-to-come"/>
    <w:p>
      <w:pPr>
        <w:pStyle w:val="Heading2"/>
        <w:spacing w:line="480" w:lineRule="auto"/>
      </w:pPr>
      <w:r>
        <w:t xml:space="preserve">1.9 The shape of the evidence to come</w:t>
      </w:r>
    </w:p>
    <w:p>
      <w:pPr>
        <w:pStyle w:val="FirstParagraph"/>
        <w:spacing w:line="480" w:lineRule="auto"/>
      </w:pPr>
      <w:r>
        <w:t xml:space="preserve">A short preview of what the two papers do and do not deliver keeps the reader’s expectations honest through the technical chapters. Paper 1 yields one slope. That slope says whether newer records carry denser remediation vocabulary once venue and citation attention are pinned down</w:t>
      </w:r>
      <w:r>
        <w:t xml:space="preserve"> </w:t>
      </w:r>
      <w:hyperlink w:anchor="ref-3">
        <w:r>
          <w:rPr>
            <w:rStyle w:val="Hyperlink"/>
          </w:rPr>
          <w:t xml:space="preserve">[3]</w:t>
        </w:r>
      </w:hyperlink>
      <w:r>
        <w:t xml:space="preserve">. It comes back positive and significant, in which case the density arm of consolidation holds, or it does not, in which case the corpus reads as stylistically random. No third outcome waits to shelter a disappointed hypothesis, and that closure is the discipline a falsifiable design lays on its author.</w:t>
      </w:r>
    </w:p>
    <w:p>
      <w:pPr>
        <w:pStyle w:val="BodyText"/>
        <w:spacing w:line="480" w:lineRule="auto"/>
        <w:ind w:firstLine="720"/>
      </w:pPr>
      <w:r>
        <w:t xml:space="preserve">Paper 2 yields one elasticity, and the elasticity says whether attention tracks accumulated exposure time or current salience</w:t>
      </w:r>
      <w:r>
        <w:t xml:space="preserve"> </w:t>
      </w:r>
      <w:hyperlink w:anchor="ref-1">
        <w:r>
          <w:rPr>
            <w:rStyle w:val="Hyperlink"/>
          </w:rPr>
          <w:t xml:space="preserve">[1]</w:t>
        </w:r>
      </w:hyperlink>
      <w:r>
        <w:t xml:space="preserve"> </w:t>
      </w:r>
      <w:hyperlink w:anchor="ref-11">
        <w:r>
          <w:rPr>
            <w:rStyle w:val="Hyperlink"/>
          </w:rPr>
          <w:t xml:space="preserve">[11]</w:t>
        </w:r>
      </w:hyperlink>
      <w:r>
        <w:t xml:space="preserve">. Positive would mean older records draw more citations for the sole reason of having sat around longer, the dull default. Negative would mean attention is being tugged toward recent formulations, the shape a consolidating field throws off. Once again the diagnostic content is binary, and once again the author has nowhere ambiguous to retreat if the number lands against the hypothesis.</w:t>
      </w:r>
    </w:p>
    <w:p>
      <w:pPr>
        <w:pStyle w:val="BodyText"/>
        <w:spacing w:line="480" w:lineRule="auto"/>
        <w:ind w:firstLine="720"/>
      </w:pPr>
      <w:r>
        <w:t xml:space="preserve">Two numbers hold the weight, and that concentration is chosen, not conceded. A study standing on two clean, checkable coefficients is easier to trust and easier to refute than one that buries its claim under a heap of secondary results, and being refutable is the entire ambition</w:t>
      </w:r>
      <w:r>
        <w:t xml:space="preserve"> </w:t>
      </w:r>
      <w:hyperlink w:anchor="ref-2">
        <w:r>
          <w:rPr>
            <w:rStyle w:val="Hyperlink"/>
          </w:rPr>
          <w:t xml:space="preserve">[2]</w:t>
        </w:r>
      </w:hyperlink>
      <w:r>
        <w:t xml:space="preserve">. Chapter 6 reports both numbers as the estimators produced them. The chapters between here and there make the case that those two numbers mean what the theory says they mean.</w:t>
      </w:r>
    </w:p>
    <w:bookmarkEnd w:id="70"/>
    <w:bookmarkEnd w:id="71"/>
    <w:bookmarkStart w:id="82" w:name="chapter-2.-literature-review"/>
    <w:p>
      <w:pPr>
        <w:pStyle w:val="Heading1"/>
        <w:spacing w:line="480" w:lineRule="auto"/>
      </w:pPr>
      <w:r>
        <w:t xml:space="preserve">Chapter 2. Literature Review</w:t>
      </w:r>
    </w:p>
    <w:p>
      <w:pPr>
        <w:pStyle w:val="FirstParagraph"/>
        <w:spacing w:line="480" w:lineRule="auto"/>
      </w:pPr>
      <w:r>
        <w:t xml:space="preserve">Alarm came before accounting in the debris-remediation literature. Its founding texts sounded a warning: low Earth orbit was gaining mass faster than natural decay could shed it, and past some threshold collisions would seed further collisions in a runaway chain. Step back and the whole literature resolves into three strands. One runs on urgency and collective action, one on shared observability, one on governance and incentives. This chapter takes each in turn, because the empirical question ahead depends on knowing what a consolidating remediation field would even look like once it surfaced on the page.</w:t>
      </w:r>
    </w:p>
    <w:bookmarkStart w:id="72" w:name="urgency-and-the-collective-action-frame"/>
    <w:p>
      <w:pPr>
        <w:pStyle w:val="Heading2"/>
        <w:spacing w:line="480" w:lineRule="auto"/>
      </w:pPr>
      <w:r>
        <w:t xml:space="preserve">2.1 Urgency and the collective-action frame</w:t>
      </w:r>
    </w:p>
    <w:p>
      <w:pPr>
        <w:pStyle w:val="FirstParagraph"/>
        <w:spacing w:line="480" w:lineRule="auto"/>
      </w:pPr>
      <w:r>
        <w:t xml:space="preserve">McKnight anchors the urgency strand, and the title carries the argument entire: pay now or pay more later</w:t>
      </w:r>
      <w:r>
        <w:t xml:space="preserve"> </w:t>
      </w:r>
      <w:hyperlink w:anchor="ref-8">
        <w:r>
          <w:rPr>
            <w:rStyle w:val="Hyperlink"/>
          </w:rPr>
          <w:t xml:space="preserve">[8]</w:t>
        </w:r>
      </w:hyperlink>
      <w:r>
        <w:t xml:space="preserve">. The claim is at once temporal and economic. Deferral lets the debris population compound, so a removal program costs more the longer it waits, and the increase is not linear, since each fresh collision spawns fragments that menace still further objects. Read that way, remediation stops being a discretionary environmental nicety. It becomes a hedge against a nonlinear future liability</w:t>
      </w:r>
      <w:r>
        <w:t xml:space="preserve"> </w:t>
      </w:r>
      <w:hyperlink w:anchor="ref-1">
        <w:r>
          <w:rPr>
            <w:rStyle w:val="Hyperlink"/>
          </w:rPr>
          <w:t xml:space="preserve">[1]</w:t>
        </w:r>
      </w:hyperlink>
      <w:r>
        <w:t xml:space="preserve">.</w:t>
      </w:r>
    </w:p>
    <w:p>
      <w:pPr>
        <w:pStyle w:val="BodyText"/>
        <w:spacing w:line="480" w:lineRule="auto"/>
        <w:ind w:firstLine="720"/>
      </w:pPr>
      <w:r>
        <w:t xml:space="preserve">Who should pay is the part McKnight leaves half-open. A removal act produces a public good. Every operator gains from a cleaner shell, none can be compelled to fund the cleanup, and each keeps a standing reason to wait for someone else to go first. That is the free-rider geometry the dissertation title names. Describing the problem is where the strand excels; closing it is where the strand stalls. Which is exactly why later work keeps circling back to burden allocation instead of booking it as settled.</w:t>
      </w:r>
    </w:p>
    <w:p>
      <w:pPr>
        <w:pStyle w:val="BodyText"/>
        <w:spacing w:line="480" w:lineRule="auto"/>
        <w:ind w:firstLine="720"/>
      </w:pPr>
      <w:r>
        <w:t xml:space="preserve">Zhang and Balakrishnan tighten the framing through a historical analogy</w:t>
      </w:r>
      <w:r>
        <w:t xml:space="preserve"> </w:t>
      </w:r>
      <w:hyperlink w:anchor="ref-6">
        <w:r>
          <w:rPr>
            <w:rStyle w:val="Hyperlink"/>
          </w:rPr>
          <w:t xml:space="preserve">[6]</w:t>
        </w:r>
      </w:hyperlink>
      <w:r>
        <w:t xml:space="preserve">. The Montreal Protocol drew states around a shared atmospheric commons by aligning incentives and phasing obligations across time. Carried over to orbit, the lesson runs like this: a diffuse-benefit problem becomes governable once the institutional design makes cooperation cheaper than defection</w:t>
      </w:r>
      <w:r>
        <w:t xml:space="preserve"> </w:t>
      </w:r>
      <w:hyperlink w:anchor="ref-3">
        <w:r>
          <w:rPr>
            <w:rStyle w:val="Hyperlink"/>
          </w:rPr>
          <w:t xml:space="preserve">[3]</w:t>
        </w:r>
      </w:hyperlink>
      <w:r>
        <w:t xml:space="preserve">. The analogy teaches precisely by failing in part. Ozone-depleting substances had known producers and ready substitutes; orbital debris has many uncoordinated originators and no clean substitute for restraint. That gap between the two cases is where the governance questions worth asking actually live.</w:t>
      </w:r>
    </w:p>
    <w:p>
      <w:pPr>
        <w:pStyle w:val="BodyText"/>
        <w:spacing w:line="480" w:lineRule="auto"/>
        <w:ind w:firstLine="720"/>
      </w:pPr>
      <w:r>
        <w:t xml:space="preserve">Weigh what the analogy asks a policymaker to swallow. That a coalition of self-interested actors, staring at a slow, statistically abstract hazard, will take on concentrated near-term costs to buy a diffuse and deferred benefit, and will do so on the strength of an institutional design with no enforcement teeth in orbit. Montreal held partly because the science was stark and the substitutes were commercial. Orbit grants neither luxury. So the urgency strand is left arguing its case rather than assuming it.</w:t>
      </w:r>
    </w:p>
    <w:bookmarkEnd w:id="72"/>
    <w:bookmarkStart w:id="73" w:name="shared-observability-as-a-market"/>
    <w:p>
      <w:pPr>
        <w:pStyle w:val="Heading2"/>
        <w:spacing w:line="480" w:lineRule="auto"/>
      </w:pPr>
      <w:r>
        <w:t xml:space="preserve">2.2 Shared observability as a market</w:t>
      </w:r>
    </w:p>
    <w:p>
      <w:pPr>
        <w:pStyle w:val="FirstParagraph"/>
        <w:spacing w:line="480" w:lineRule="auto"/>
      </w:pPr>
      <w:r>
        <w:t xml:space="preserve">The second strand works the information layer instead of the debris. Space situational awareness, the sensing and cataloging that tells operators where hazards sit, is itself a shared good with a free-rider structure of its own. Lal and Carioscia survey the civil options for supplying SSA and face the funding question head on: who pays for a capability everyone enjoys</w:t>
      </w:r>
      <w:r>
        <w:t xml:space="preserve"> </w:t>
      </w:r>
      <w:hyperlink w:anchor="ref-9">
        <w:r>
          <w:rPr>
            <w:rStyle w:val="Hyperlink"/>
          </w:rPr>
          <w:t xml:space="preserve">[9]</w:t>
        </w:r>
      </w:hyperlink>
      <w:r>
        <w:t xml:space="preserve">. Their frame is institutional. Observation delivers value only when shared, yet sharing bleeds off any provider’s private return, so the good stays chronically underprovided against its social worth.</w:t>
      </w:r>
    </w:p>
    <w:p>
      <w:pPr>
        <w:pStyle w:val="BodyText"/>
        <w:spacing w:line="480" w:lineRule="auto"/>
        <w:ind w:firstLine="720"/>
      </w:pPr>
      <w:r>
        <w:t xml:space="preserve">Wozniak, Riabova, and Hijazi run the logic further, modeling coordinated SSA as an optimized commodity market</w:t>
      </w:r>
      <w:r>
        <w:t xml:space="preserve"> </w:t>
      </w:r>
      <w:hyperlink w:anchor="ref-7">
        <w:r>
          <w:rPr>
            <w:rStyle w:val="Hyperlink"/>
          </w:rPr>
          <w:t xml:space="preserve">[7]</w:t>
        </w:r>
      </w:hyperlink>
      <w:r>
        <w:t xml:space="preserve">. Observation turns into a priced good, and the allocation problem turns into routing sensing capacity to where its marginal value peaks rather than watching every cataloged object with equal care. Wang and colleagues had earlier floated price-based information routing across satellite networks, treating observability as a flow to be steered by incentives instead of a monolith to be planned from a center</w:t>
      </w:r>
      <w:r>
        <w:t xml:space="preserve"> </w:t>
      </w:r>
      <w:hyperlink w:anchor="ref-10">
        <w:r>
          <w:rPr>
            <w:rStyle w:val="Hyperlink"/>
          </w:rPr>
          <w:t xml:space="preserve">[10]</w:t>
        </w:r>
      </w:hyperlink>
      <w:r>
        <w:t xml:space="preserve">. Taken together, these papers hold that the diffuse-benefit problem yields to market design once the good can be metered and priced.</w:t>
      </w:r>
    </w:p>
    <w:p>
      <w:pPr>
        <w:pStyle w:val="BodyText"/>
        <w:spacing w:line="480" w:lineRule="auto"/>
        <w:ind w:firstLine="720"/>
      </w:pPr>
      <w:r>
        <w:t xml:space="preserve">A free-data counterpoint sits against that pricing story. McKnight, Arora, and Shay show that derelict SSA data can be had at effectively zero cost, which unsettles any pure market account</w:t>
      </w:r>
      <w:r>
        <w:t xml:space="preserve"> </w:t>
      </w:r>
      <w:hyperlink w:anchor="ref-11">
        <w:r>
          <w:rPr>
            <w:rStyle w:val="Hyperlink"/>
          </w:rPr>
          <w:t xml:space="preserve">[11]</w:t>
        </w:r>
      </w:hyperlink>
      <w:r>
        <w:t xml:space="preserve">. If observation sometimes falls out for free from sensors already up there for other reasons, then the pricing logic runs into an abundance logic, and the two do not settle comfortably side by side. That tension inside one author’s own body of work is a useful tell for the dissertation. A consolidating field can carry competing mechanisms, provided it argues over one object rather than talking past itself.</w:t>
      </w:r>
    </w:p>
    <w:p>
      <w:pPr>
        <w:pStyle w:val="BodyText"/>
        <w:spacing w:line="480" w:lineRule="auto"/>
        <w:ind w:firstLine="720"/>
      </w:pPr>
      <w:r>
        <w:t xml:space="preserve">Credit the observability strand with a subtle turn. It reframes the free-rider problem, shifting it from who pays for a physical removal to who pays for the information that makes any removal rational to begin with. You cannot remove what you cannot reliably track, and you cannot rank removal targets without a shared, trusted catalog of what is up there and where it is headed</w:t>
      </w:r>
      <w:r>
        <w:t xml:space="preserve"> </w:t>
      </w:r>
      <w:hyperlink w:anchor="ref-13">
        <w:r>
          <w:rPr>
            <w:rStyle w:val="Hyperlink"/>
          </w:rPr>
          <w:t xml:space="preserve">[13]</w:t>
        </w:r>
      </w:hyperlink>
      <w:r>
        <w:t xml:space="preserve">. Observability sits upstream of remediation, so the free-rider dynamics of the two are coupled, not separate.</w:t>
      </w:r>
    </w:p>
    <w:bookmarkEnd w:id="73"/>
    <w:bookmarkStart w:id="74" w:name="X332fa742df33a6d02d6303b0d2f0c3e62919cc7"/>
    <w:p>
      <w:pPr>
        <w:pStyle w:val="Heading2"/>
        <w:spacing w:line="480" w:lineRule="auto"/>
      </w:pPr>
      <w:r>
        <w:t xml:space="preserve">2.3 Governance, incentives, and sustainability ratings</w:t>
      </w:r>
    </w:p>
    <w:p>
      <w:pPr>
        <w:pStyle w:val="FirstParagraph"/>
        <w:spacing w:line="480" w:lineRule="auto"/>
      </w:pPr>
      <w:r>
        <w:t xml:space="preserve">The third strand reaches for instruments that bend operator behavior. Rathnasabapathy and colleagues build a space sustainability rating, a composite indicator meant to reward operators who work to preserve the orbital environment</w:t>
      </w:r>
      <w:r>
        <w:t xml:space="preserve"> </w:t>
      </w:r>
      <w:hyperlink w:anchor="ref-4">
        <w:r>
          <w:rPr>
            <w:rStyle w:val="Hyperlink"/>
          </w:rPr>
          <w:t xml:space="preserve">[4]</w:t>
        </w:r>
      </w:hyperlink>
      <w:r>
        <w:t xml:space="preserve"> </w:t>
      </w:r>
      <w:hyperlink w:anchor="ref-18">
        <w:r>
          <w:rPr>
            <w:rStyle w:val="Hyperlink"/>
          </w:rPr>
          <w:t xml:space="preserve">[18]</w:t>
        </w:r>
      </w:hyperlink>
      <w:r>
        <w:t xml:space="preserve">. Its mechanism is reputational and market-facing: render sustainable behavior legible and let competitive pressure supply the enforcement formal law cannot. That answers the free-rider problem directly, pinning a private return, reputation and market access, onto a public-good contribution.</w:t>
      </w:r>
    </w:p>
    <w:p>
      <w:pPr>
        <w:pStyle w:val="BodyText"/>
        <w:spacing w:line="480" w:lineRule="auto"/>
        <w:ind w:firstLine="720"/>
      </w:pPr>
      <w:r>
        <w:t xml:space="preserve">Data infrastructure counts here too. Walls and colleagues argue that assessing debris-mitigation guidelines demands ontology-based data management, so compliance can be scored against a shared semantic standard instead of inconsistent, self-reported figures</w:t>
      </w:r>
      <w:r>
        <w:t xml:space="preserve"> </w:t>
      </w:r>
      <w:hyperlink w:anchor="ref-13">
        <w:r>
          <w:rPr>
            <w:rStyle w:val="Hyperlink"/>
          </w:rPr>
          <w:t xml:space="preserve">[13]</w:t>
        </w:r>
      </w:hyperlink>
      <w:r>
        <w:t xml:space="preserve">. Governance without commensurable data is just exhortation. And the IADC guidelines they assess are voluntary, which is right where the free-rider incentive bites deepest, since nothing penalizes the operator who nods along and then does nothing.</w:t>
      </w:r>
    </w:p>
    <w:p>
      <w:pPr>
        <w:pStyle w:val="BodyText"/>
        <w:spacing w:line="480" w:lineRule="auto"/>
        <w:ind w:firstLine="720"/>
      </w:pPr>
      <w:r>
        <w:t xml:space="preserve">Policy attention has climbed alongside the scholarship. A defense memorandum on the space debris summit and active removal marks remediation’s move from the seminar room toward the acquisition and policy apparatus</w:t>
      </w:r>
      <w:r>
        <w:t xml:space="preserve"> </w:t>
      </w:r>
      <w:hyperlink w:anchor="ref-12">
        <w:r>
          <w:rPr>
            <w:rStyle w:val="Hyperlink"/>
          </w:rPr>
          <w:t xml:space="preserve">[12]</w:t>
        </w:r>
      </w:hyperlink>
      <w:r>
        <w:t xml:space="preserve">, and the shift carries weight. Once a defense organization drafts a memorandum, the subject has quit being a purely academic concern and become a budget line and a program consideration. Cislunar traffic-management frameworks push the coordination problem outward, sketching how sensing, norms, and responsibility might scale as human activity moves past the crowded near-Earth shell into lunar and cislunar space</w:t>
      </w:r>
      <w:r>
        <w:t xml:space="preserve"> </w:t>
      </w:r>
      <w:hyperlink w:anchor="ref-17">
        <w:r>
          <w:rPr>
            <w:rStyle w:val="Hyperlink"/>
          </w:rPr>
          <w:t xml:space="preserve">[17]</w:t>
        </w:r>
      </w:hyperlink>
      <w:r>
        <w:t xml:space="preserve">.</w:t>
      </w:r>
    </w:p>
    <w:bookmarkEnd w:id="74"/>
    <w:bookmarkStart w:id="75" w:name="economic-externalities-and-the-commons"/>
    <w:p>
      <w:pPr>
        <w:pStyle w:val="Heading2"/>
        <w:spacing w:line="480" w:lineRule="auto"/>
      </w:pPr>
      <w:r>
        <w:t xml:space="preserve">2.4 Economic externalities and the commons</w:t>
      </w:r>
    </w:p>
    <w:p>
      <w:pPr>
        <w:pStyle w:val="FirstParagraph"/>
        <w:spacing w:line="480" w:lineRule="auto"/>
      </w:pPr>
      <w:r>
        <w:t xml:space="preserve">Below all three strands runs an economic vocabulary the corpus keeps borrowing more of. Debris is a negative externality. Orbit is a commons. Unpriced access breeds overuse</w:t>
      </w:r>
      <w:r>
        <w:t xml:space="preserve"> </w:t>
      </w:r>
      <w:hyperlink w:anchor="ref-8">
        <w:r>
          <w:rPr>
            <w:rStyle w:val="Hyperlink"/>
          </w:rPr>
          <w:t xml:space="preserve">[8]</w:t>
        </w:r>
      </w:hyperlink>
      <w:r>
        <w:t xml:space="preserve">. The thesis and economic material in the candidate set spell this out, casting orbital crowding as a tragedy-of-the-commons problem that today’s governance has failed to price into launch and operations decisions</w:t>
      </w:r>
      <w:r>
        <w:t xml:space="preserve"> </w:t>
      </w:r>
      <w:hyperlink w:anchor="ref-19">
        <w:r>
          <w:rPr>
            <w:rStyle w:val="Hyperlink"/>
          </w:rPr>
          <w:t xml:space="preserve">[19]</w:t>
        </w:r>
      </w:hyperlink>
      <w:r>
        <w:t xml:space="preserve">. That shared diagnosis is a candidate marker of consolidation, since authors from distinct disciplines are landing on one economic frame for what is at root a physical problem.</w:t>
      </w:r>
    </w:p>
    <w:p>
      <w:pPr>
        <w:pStyle w:val="BodyText"/>
        <w:spacing w:line="480" w:lineRule="auto"/>
        <w:ind w:firstLine="720"/>
      </w:pPr>
      <w:r>
        <w:t xml:space="preserve">Adjacent Acta work furnishes the built environment that makes the externality concrete instead of abstract. Feasibility studies for commercial stations describe permanent crewed infrastructure a cascade would imperil</w:t>
      </w:r>
      <w:r>
        <w:t xml:space="preserve"> </w:t>
      </w:r>
      <w:hyperlink w:anchor="ref-14">
        <w:r>
          <w:rPr>
            <w:rStyle w:val="Hyperlink"/>
          </w:rPr>
          <w:t xml:space="preserve">[14]</w:t>
        </w:r>
      </w:hyperlink>
      <w:r>
        <w:t xml:space="preserve">. In-space manufacturing reviews describe an emerging orbital industrial base with capital on the line</w:t>
      </w:r>
      <w:r>
        <w:t xml:space="preserve"> </w:t>
      </w:r>
      <w:hyperlink w:anchor="ref-15">
        <w:r>
          <w:rPr>
            <w:rStyle w:val="Hyperlink"/>
          </w:rPr>
          <w:t xml:space="preserve">[15]</w:t>
        </w:r>
      </w:hyperlink>
      <w:r>
        <w:t xml:space="preserve">. Constellation-coverage design describes the dense, valuable networks that make the neighborhood worth defending</w:t>
      </w:r>
      <w:r>
        <w:t xml:space="preserve"> </w:t>
      </w:r>
      <w:hyperlink w:anchor="ref-20">
        <w:r>
          <w:rPr>
            <w:rStyle w:val="Hyperlink"/>
          </w:rPr>
          <w:t xml:space="preserve">[20]</w:t>
        </w:r>
      </w:hyperlink>
      <w:r>
        <w:t xml:space="preserve">. The more the orbital neighborhood is worth, the harder the free-rider dilemma bites, because restraint costs one actor while a preserved commons pays out to all of them at once.</w:t>
      </w:r>
    </w:p>
    <w:p>
      <w:pPr>
        <w:pStyle w:val="BodyText"/>
        <w:spacing w:line="480" w:lineRule="auto"/>
        <w:ind w:firstLine="720"/>
      </w:pPr>
      <w:r>
        <w:t xml:space="preserve">A quiet irony sits here. The very commercial success the Acta corpus records is what converts debris from a distant statistical worry into an immediate economic threat, since a crowded, profitable orbit is a brittle one. Growth in the space economy thus raises the stakes of the free-rider problem and swells the community with reason to solve it in the same motion, one more reason the remediation conversation may be consolidating rather than fading.</w:t>
      </w:r>
    </w:p>
    <w:bookmarkEnd w:id="75"/>
    <w:bookmarkStart w:id="76" w:name="the-gap-this-dissertation-addresses"/>
    <w:p>
      <w:pPr>
        <w:pStyle w:val="Heading2"/>
        <w:spacing w:line="480" w:lineRule="auto"/>
      </w:pPr>
      <w:r>
        <w:t xml:space="preserve">2.5 The gap this dissertation addresses</w:t>
      </w:r>
    </w:p>
    <w:p>
      <w:pPr>
        <w:pStyle w:val="FirstParagraph"/>
        <w:spacing w:line="480" w:lineRule="auto"/>
      </w:pPr>
      <w:r>
        <w:t xml:space="preserve">Each strand is real, and each brushes free-riding, yet none asks whether the retrieved literature is itself consolidating. Prior work argues about remediation. What it does not do is turn the candidate retrieval into an empirical object and test whether recency, venue, and citation attention organize the discourse. Cumulation is what the urgency strand assumes, a shared good what the market strand assumes, measurable behavior what the governance strand assumes, and in every case the coherence of the underlying literature is asserted rather than estimated</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That is the gap. The dissertation does not toss another mechanism onto the pile. It measures the pile. Fitting a signal-intensity model and a citation learning curve to the thirty-record corpus, it tests whether the conversation these strands belong to has actually converged, or whether it stays an energetic but unconsolidated set of adjacent claims that share a topic without sharing a center</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76"/>
    <w:bookmarkStart w:id="77" w:name="Xcf52ae2eaf8fb1802dccd8e05ad8f7a0fc648e9"/>
    <w:p>
      <w:pPr>
        <w:pStyle w:val="Heading2"/>
        <w:spacing w:line="480" w:lineRule="auto"/>
      </w:pPr>
      <w:r>
        <w:t xml:space="preserve">2.6 How the strands talk past one another, and where they meet</w:t>
      </w:r>
    </w:p>
    <w:p>
      <w:pPr>
        <w:pStyle w:val="FirstParagraph"/>
        <w:spacing w:line="480" w:lineRule="auto"/>
      </w:pPr>
      <w:r>
        <w:t xml:space="preserve">Set the three strands side by side and both friction and convergence come into view, and both instruct. The friction is genuine. The market strand prices observability as a good; the free-data counterpoint exploits it as an abundance; the two do not reconcile easily</w:t>
      </w:r>
      <w:r>
        <w:t xml:space="preserve"> </w:t>
      </w:r>
      <w:hyperlink w:anchor="ref-7">
        <w:r>
          <w:rPr>
            <w:rStyle w:val="Hyperlink"/>
          </w:rPr>
          <w:t xml:space="preserve">[7]</w:t>
        </w:r>
      </w:hyperlink>
      <w:r>
        <w:t xml:space="preserve"> </w:t>
      </w:r>
      <w:hyperlink w:anchor="ref-11">
        <w:r>
          <w:rPr>
            <w:rStyle w:val="Hyperlink"/>
          </w:rPr>
          <w:t xml:space="preserve">[11]</w:t>
        </w:r>
      </w:hyperlink>
      <w:r>
        <w:t xml:space="preserve">. The governance strand leans on voluntary ratings and shared ontologies; the urgency strand implies voluntarism is exactly what buckles under free-rider pressure</w:t>
      </w:r>
      <w:r>
        <w:t xml:space="preserve"> </w:t>
      </w:r>
      <w:hyperlink w:anchor="ref-4">
        <w:r>
          <w:rPr>
            <w:rStyle w:val="Hyperlink"/>
          </w:rPr>
          <w:t xml:space="preserve">[4]</w:t>
        </w:r>
      </w:hyperlink>
      <w:r>
        <w:t xml:space="preserve"> </w:t>
      </w:r>
      <w:hyperlink w:anchor="ref-8">
        <w:r>
          <w:rPr>
            <w:rStyle w:val="Hyperlink"/>
          </w:rPr>
          <w:t xml:space="preserve">[8]</w:t>
        </w:r>
      </w:hyperlink>
      <w:r>
        <w:t xml:space="preserve">. A field can carry such tensions, but a consolidating one ought at least to argue them out on common ground rather than let them lie.</w:t>
      </w:r>
    </w:p>
    <w:p>
      <w:pPr>
        <w:pStyle w:val="BodyText"/>
        <w:spacing w:line="480" w:lineRule="auto"/>
        <w:ind w:firstLine="720"/>
      </w:pPr>
      <w:r>
        <w:t xml:space="preserve">The convergence is just as genuine, and it is where the consolidation hypothesis earns its plausibility. Whatever their quarrels, all three strands increasingly cast their subject in the vocabulary of collective action, of shared benefit, concentrated cost, and the mismatch between them</w:t>
      </w:r>
      <w:r>
        <w:t xml:space="preserve"> </w:t>
      </w:r>
      <w:hyperlink w:anchor="ref-6">
        <w:r>
          <w:rPr>
            <w:rStyle w:val="Hyperlink"/>
          </w:rPr>
          <w:t xml:space="preserve">[6]</w:t>
        </w:r>
      </w:hyperlink>
      <w:r>
        <w:t xml:space="preserve"> </w:t>
      </w:r>
      <w:hyperlink w:anchor="ref-19">
        <w:r>
          <w:rPr>
            <w:rStyle w:val="Hyperlink"/>
          </w:rPr>
          <w:t xml:space="preserve">[19]</w:t>
        </w:r>
      </w:hyperlink>
      <w:r>
        <w:t xml:space="preserve">. Cost of delay is what the urgency strand names. Underprovision of a shared good is what the market strand names. The instruments that might realign private and public incentives are what the governance strand names. Three mechanisms, one diagnosis. That diagnosis is precisely the stabilizing vocabulary the density hypothesis expects a maturing field to lay down.</w:t>
      </w:r>
    </w:p>
    <w:p>
      <w:pPr>
        <w:pStyle w:val="BodyText"/>
        <w:spacing w:line="480" w:lineRule="auto"/>
        <w:ind w:firstLine="720"/>
      </w:pPr>
      <w:r>
        <w:t xml:space="preserve">A temporal pattern shows in the reference pool itself. The founding urgency statements are the old ones</w:t>
      </w:r>
      <w:r>
        <w:t xml:space="preserve"> </w:t>
      </w:r>
      <w:hyperlink w:anchor="ref-8">
        <w:r>
          <w:rPr>
            <w:rStyle w:val="Hyperlink"/>
          </w:rPr>
          <w:t xml:space="preserve">[8]</w:t>
        </w:r>
      </w:hyperlink>
      <w:r>
        <w:t xml:space="preserve">, the observability and governance elaborations the middle-aged</w:t>
      </w:r>
      <w:r>
        <w:t xml:space="preserve"> </w:t>
      </w:r>
      <w:hyperlink w:anchor="ref-9">
        <w:r>
          <w:rPr>
            <w:rStyle w:val="Hyperlink"/>
          </w:rPr>
          <w:t xml:space="preserve">[9]</w:t>
        </w:r>
      </w:hyperlink>
      <w:r>
        <w:t xml:space="preserve"> </w:t>
      </w:r>
      <w:hyperlink w:anchor="ref-13">
        <w:r>
          <w:rPr>
            <w:rStyle w:val="Hyperlink"/>
          </w:rPr>
          <w:t xml:space="preserve">[13]</w:t>
        </w:r>
      </w:hyperlink>
      <w:r>
        <w:t xml:space="preserve">, and the sustainability-rating and cislunar-scaling work the recent</w:t>
      </w:r>
      <w:r>
        <w:t xml:space="preserve"> </w:t>
      </w:r>
      <w:hyperlink w:anchor="ref-17">
        <w:r>
          <w:rPr>
            <w:rStyle w:val="Hyperlink"/>
          </w:rPr>
          <w:t xml:space="preserve">[17]</w:t>
        </w:r>
      </w:hyperlink>
      <w:r>
        <w:t xml:space="preserve"> </w:t>
      </w:r>
      <w:hyperlink w:anchor="ref-18">
        <w:r>
          <w:rPr>
            <w:rStyle w:val="Hyperlink"/>
          </w:rPr>
          <w:t xml:space="preserve">[18]</w:t>
        </w:r>
      </w:hyperlink>
      <w:r>
        <w:t xml:space="preserve">. That rough march, from naming a problem to designing instruments for it, is what a consolidating field looks like from outside. Whether the metadata bear it out is the empirical question the later chapters resolve.</w:t>
      </w:r>
    </w:p>
    <w:bookmarkEnd w:id="77"/>
    <w:bookmarkStart w:id="78" w:name="what-a-review-cannot-settle"/>
    <w:p>
      <w:pPr>
        <w:pStyle w:val="Heading2"/>
        <w:spacing w:line="480" w:lineRule="auto"/>
      </w:pPr>
      <w:r>
        <w:t xml:space="preserve">2.7 What a review cannot settle</w:t>
      </w:r>
    </w:p>
    <w:p>
      <w:pPr>
        <w:pStyle w:val="FirstParagraph"/>
        <w:spacing w:line="480" w:lineRule="auto"/>
      </w:pPr>
      <w:r>
        <w:t xml:space="preserve">A literature review can map strands and flag their convergence. What it cannot do is measure whether that convergence is real or merely apparent to a sympathetic eye, and that is the honest ceiling of this chapter. A reviewer set on seeing consolidation can build a narrative that shows it; a reviewer set on fragmentation can build one that shows the reverse</w:t>
      </w:r>
      <w:r>
        <w:t xml:space="preserve"> </w:t>
      </w:r>
      <w:hyperlink w:anchor="ref-2">
        <w:r>
          <w:rPr>
            <w:rStyle w:val="Hyperlink"/>
          </w:rPr>
          <w:t xml:space="preserve">[2]</w:t>
        </w:r>
      </w:hyperlink>
      <w:r>
        <w:t xml:space="preserve">. Narrative bends too easily to settle the question alone.</w:t>
      </w:r>
    </w:p>
    <w:p>
      <w:pPr>
        <w:pStyle w:val="BodyText"/>
        <w:spacing w:line="480" w:lineRule="auto"/>
        <w:ind w:firstLine="720"/>
      </w:pPr>
      <w:r>
        <w:t xml:space="preserve">The three strands here are raw material. Whether they have become a field is the open question. Chapter 3 builds the mechanism that turns consolidation into two falsifiable predictions, and Chapter 6 reports whether the corpus meets them, so the answer rests on coefficients instead of the reviewer’s mood</w:t>
      </w:r>
      <w:r>
        <w:t xml:space="preserve"> </w:t>
      </w:r>
      <w:hyperlink w:anchor="ref-5">
        <w:r>
          <w:rPr>
            <w:rStyle w:val="Hyperlink"/>
          </w:rPr>
          <w:t xml:space="preserve">[5]</w:t>
        </w:r>
      </w:hyperlink>
      <w:r>
        <w:t xml:space="preserve">.</w:t>
      </w:r>
    </w:p>
    <w:bookmarkEnd w:id="78"/>
    <w:bookmarkStart w:id="79" w:name="Xe8be83bde70157ab4696da6eb3f5645c936d088"/>
    <w:p>
      <w:pPr>
        <w:pStyle w:val="Heading2"/>
        <w:spacing w:line="480" w:lineRule="auto"/>
      </w:pPr>
      <w:r>
        <w:t xml:space="preserve">2.8 The infrastructure strand and why it belongs here</w:t>
      </w:r>
    </w:p>
    <w:p>
      <w:pPr>
        <w:pStyle w:val="FirstParagraph"/>
        <w:spacing w:line="480" w:lineRule="auto"/>
      </w:pPr>
      <w:r>
        <w:t xml:space="preserve">A fourth body of work sits in the candidate set that a narrower review might wave off as off-topic. Waving it off would be an error. The Acta records on commercial stations, in-space manufacturing, and constellation design are not debris papers in the usual sense</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20">
        <w:r>
          <w:rPr>
            <w:rStyle w:val="Hyperlink"/>
          </w:rPr>
          <w:t xml:space="preserve">[20]</w:t>
        </w:r>
      </w:hyperlink>
      <w:r>
        <w:t xml:space="preserve">. They describe the assets debris threatens, not the debris. They earn their place in a review of remediation free-riding precisely because they set the stakes that make the free-rider problem worth solving in the first place. A commons is worth governing only when it holds something valuable, and these records are the inventory of that value.</w:t>
      </w:r>
    </w:p>
    <w:p>
      <w:pPr>
        <w:pStyle w:val="BodyText"/>
        <w:spacing w:line="480" w:lineRule="auto"/>
        <w:ind w:firstLine="720"/>
      </w:pPr>
      <w:r>
        <w:t xml:space="preserve">The commercial-station feasibility study describes permanent crewed infrastructure whose loss to a cascade would be catastrophic and whose insurers hold a direct financial stake in a cleaner shell</w:t>
      </w:r>
      <w:r>
        <w:t xml:space="preserve"> </w:t>
      </w:r>
      <w:hyperlink w:anchor="ref-14">
        <w:r>
          <w:rPr>
            <w:rStyle w:val="Hyperlink"/>
          </w:rPr>
          <w:t xml:space="preserve">[14]</w:t>
        </w:r>
      </w:hyperlink>
      <w:r>
        <w:t xml:space="preserve">. The manufacturing review describes an orbital industrial base with capital equipment exposed</w:t>
      </w:r>
      <w:r>
        <w:t xml:space="preserve"> </w:t>
      </w:r>
      <w:hyperlink w:anchor="ref-15">
        <w:r>
          <w:rPr>
            <w:rStyle w:val="Hyperlink"/>
          </w:rPr>
          <w:t xml:space="preserve">[15]</w:t>
        </w:r>
      </w:hyperlink>
      <w:r>
        <w:t xml:space="preserve">. The constellation-coverage work describes dense, revenue-generating networks whose economics hinge on an uncrowded operating environment</w:t>
      </w:r>
      <w:r>
        <w:t xml:space="preserve"> </w:t>
      </w:r>
      <w:hyperlink w:anchor="ref-20">
        <w:r>
          <w:rPr>
            <w:rStyle w:val="Hyperlink"/>
          </w:rPr>
          <w:t xml:space="preserve">[20]</w:t>
        </w:r>
      </w:hyperlink>
      <w:r>
        <w:t xml:space="preserve">. Each names a beneficiary of remediation who pays nothing toward it, the free-rider geometry stated from the beneficiary’s side rather than the remover’s. Read next to the removal and governance strands, they reveal the problem’s two faces: the actor who might pay and declines, and the actor who benefits and is never billed.</w:t>
      </w:r>
    </w:p>
    <w:p>
      <w:pPr>
        <w:pStyle w:val="BodyText"/>
        <w:spacing w:line="480" w:lineRule="auto"/>
        <w:ind w:firstLine="720"/>
      </w:pPr>
      <w:r>
        <w:t xml:space="preserve">Which is why the panel in Chapter 5 keeps the infrastructure records instead of pruning to a tidy set of removal papers. Cut them and the review understates how far the free-rider structure reaches, and misrepresents the corpus the candidate retrieval actually returned</w:t>
      </w:r>
      <w:r>
        <w:t xml:space="preserve"> </w:t>
      </w:r>
      <w:hyperlink w:anchor="ref-17">
        <w:r>
          <w:rPr>
            <w:rStyle w:val="Hyperlink"/>
          </w:rPr>
          <w:t xml:space="preserve">[17]</w:t>
        </w:r>
      </w:hyperlink>
      <w:r>
        <w:t xml:space="preserve">. The stakes strand belongs to the conversation, and a consolidating field should draw it toward the same shared vocabulary as the rest.</w:t>
      </w:r>
    </w:p>
    <w:bookmarkEnd w:id="79"/>
    <w:bookmarkStart w:id="80" w:name="Xd9da533b152e18687742e9897980edddfb7765e"/>
    <w:p>
      <w:pPr>
        <w:pStyle w:val="Heading2"/>
        <w:spacing w:line="480" w:lineRule="auto"/>
      </w:pPr>
      <w:r>
        <w:t xml:space="preserve">2.9 Reading the strands as a citation ecology</w:t>
      </w:r>
    </w:p>
    <w:p>
      <w:pPr>
        <w:pStyle w:val="FirstParagraph"/>
        <w:spacing w:line="480" w:lineRule="auto"/>
      </w:pPr>
      <w:r>
        <w:t xml:space="preserve">Beyond their arguments, the strands differ in how attention gathers around them, and that difference previews the empirical work. The founding urgency statements are old and, in this corpus, uncited in the local index, a data point worth sitting with</w:t>
      </w:r>
      <w:r>
        <w:t xml:space="preserve"> </w:t>
      </w:r>
      <w:hyperlink w:anchor="ref-8">
        <w:r>
          <w:rPr>
            <w:rStyle w:val="Hyperlink"/>
          </w:rPr>
          <w:t xml:space="preserve">[8]</w:t>
        </w:r>
      </w:hyperlink>
      <w:r>
        <w:t xml:space="preserve">. A foundational paper that shaped a field’s framing can still carry no recorded citations in a bounded retrieval, because the attention has migrated to restatements of its argument in newer venues. The recent Acta records, by contrast, hold the bulk of the corpus’s recorded citations despite only a few years of existence</w:t>
      </w:r>
      <w:r>
        <w:t xml:space="preserve"> </w:t>
      </w:r>
      <w:hyperlink w:anchor="ref-15">
        <w:r>
          <w:rPr>
            <w:rStyle w:val="Hyperlink"/>
          </w:rPr>
          <w:t xml:space="preserve">[15]</w:t>
        </w:r>
      </w:hyperlink>
      <w:r>
        <w:t xml:space="preserve"> </w:t>
      </w:r>
      <w:hyperlink w:anchor="ref-19">
        <w:r>
          <w:rPr>
            <w:rStyle w:val="Hyperlink"/>
          </w:rPr>
          <w:t xml:space="preserve">[19]</w:t>
        </w:r>
      </w:hyperlink>
      <w:r>
        <w:t xml:space="preserve">.</w:t>
      </w:r>
    </w:p>
    <w:p>
      <w:pPr>
        <w:pStyle w:val="BodyText"/>
        <w:spacing w:line="480" w:lineRule="auto"/>
        <w:ind w:firstLine="720"/>
      </w:pPr>
      <w:r>
        <w:t xml:space="preserve">Old foundational work at zero while recent work accrues counts: that inversion is exactly the citation ecology a consolidating field throws off when it concentrates on current formulations. A review can register the pattern impressionistically. The learning-curve model in Paper 2 measures it. Naming it here shows that the predicted negative age elasticity is no arbitrary hypothesis dropped onto the data. It formalizes a pattern already plain to anyone who reads the reference pool with an eye to which records the index actually logs as cited</w:t>
      </w:r>
      <w:r>
        <w:t xml:space="preserve"> </w:t>
      </w:r>
      <w:hyperlink w:anchor="ref-11">
        <w:r>
          <w:rPr>
            <w:rStyle w:val="Hyperlink"/>
          </w:rPr>
          <w:t xml:space="preserve">[11]</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strands, then, are more than a taxonomy of arguments. They form a structured attention economy where recency and salience seem to count for more than seniority, and that seeming is what the later chapters test rather than assume. A narrative review can gesture toward it. Only the estimators can say whether the gesture survives contact with the numbers</w:t>
      </w:r>
      <w:r>
        <w:t xml:space="preserve"> </w:t>
      </w:r>
      <w:hyperlink w:anchor="ref-5">
        <w:r>
          <w:rPr>
            <w:rStyle w:val="Hyperlink"/>
          </w:rPr>
          <w:t xml:space="preserve">[5]</w:t>
        </w:r>
      </w:hyperlink>
      <w:r>
        <w:t xml:space="preserve"> </w:t>
      </w:r>
      <w:hyperlink w:anchor="ref-2">
        <w:r>
          <w:rPr>
            <w:rStyle w:val="Hyperlink"/>
          </w:rPr>
          <w:t xml:space="preserve">[2]</w:t>
        </w:r>
      </w:hyperlink>
      <w:r>
        <w:t xml:space="preserve">.</w:t>
      </w:r>
    </w:p>
    <w:p>
      <w:pPr>
        <w:pStyle w:val="BodyText"/>
        <w:spacing w:line="480" w:lineRule="auto"/>
        <w:ind w:firstLine="720"/>
      </w:pPr>
      <w:r>
        <w:t xml:space="preserve">Read the three strands as one conversation instead of three literatures and the consolidation hypothesis looks plausible enough to warrant a formal test. The urgency strand supplies the temporal argument, that delay compounds cost and the problem is therefore real and pressing</w:t>
      </w:r>
      <w:r>
        <w:t xml:space="preserve"> </w:t>
      </w:r>
      <w:hyperlink w:anchor="ref-8">
        <w:r>
          <w:rPr>
            <w:rStyle w:val="Hyperlink"/>
          </w:rPr>
          <w:t xml:space="preserve">[8]</w:t>
        </w:r>
      </w:hyperlink>
      <w:r>
        <w:t xml:space="preserve">. The observability strand supplies the informational argument, that no removal can be prioritized without a shared catalog, which couples the free-rider dynamics of sensing to those of cleanup</w:t>
      </w:r>
      <w:r>
        <w:t xml:space="preserve"> </w:t>
      </w:r>
      <w:hyperlink w:anchor="ref-7">
        <w:r>
          <w:rPr>
            <w:rStyle w:val="Hyperlink"/>
          </w:rPr>
          <w:t xml:space="preserve">[7]</w:t>
        </w:r>
      </w:hyperlink>
      <w:r>
        <w:t xml:space="preserve"> </w:t>
      </w:r>
      <w:hyperlink w:anchor="ref-11">
        <w:r>
          <w:rPr>
            <w:rStyle w:val="Hyperlink"/>
          </w:rPr>
          <w:t xml:space="preserve">[11]</w:t>
        </w:r>
      </w:hyperlink>
      <w:r>
        <w:t xml:space="preserve">. The governance strand supplies the institutional argument, that voluntary instruments can realign private and public incentives if the behavior they target is measured against a common standard</w:t>
      </w:r>
      <w:r>
        <w:t xml:space="preserve"> </w:t>
      </w:r>
      <w:hyperlink w:anchor="ref-4">
        <w:r>
          <w:rPr>
            <w:rStyle w:val="Hyperlink"/>
          </w:rPr>
          <w:t xml:space="preserve">[4]</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And the economic vocabulary threading all three supplies the unifying frame of orbit as an unpriced commons whose overuse is a negative externality</w:t>
      </w:r>
      <w:r>
        <w:t xml:space="preserve"> </w:t>
      </w:r>
      <w:hyperlink w:anchor="ref-19">
        <w:r>
          <w:rPr>
            <w:rStyle w:val="Hyperlink"/>
          </w:rPr>
          <w:t xml:space="preserve">[19]</w:t>
        </w:r>
      </w:hyperlink>
      <w:r>
        <w:t xml:space="preserve">. Each strand entered by a different disciplinary door, yet they keep meeting in the same room and speaking an ever more common language. That convergence, impressionistic in the review and measurable in the metadata, is what the density and attention models are built to confirm or deny</w:t>
      </w:r>
      <w:r>
        <w:t xml:space="preserve"> </w:t>
      </w:r>
      <w:hyperlink w:anchor="ref-6">
        <w:r>
          <w:rPr>
            <w:rStyle w:val="Hyperlink"/>
          </w:rPr>
          <w:t xml:space="preserve">[6]</w:t>
        </w:r>
      </w:hyperlink>
      <w:r>
        <w:t xml:space="preserve"> </w:t>
      </w:r>
      <w:hyperlink w:anchor="ref-18">
        <w:r>
          <w:rPr>
            <w:rStyle w:val="Hyperlink"/>
          </w:rPr>
          <w:t xml:space="preserve">[18]</w:t>
        </w:r>
      </w:hyperlink>
      <w:r>
        <w:t xml:space="preserve">.</w:t>
      </w:r>
    </w:p>
    <w:bookmarkEnd w:id="80"/>
    <w:bookmarkStart w:id="81" w:name="X2d7639c37b872d542d856c35a50c47fc02d6ee8"/>
    <w:p>
      <w:pPr>
        <w:pStyle w:val="Heading2"/>
        <w:spacing w:line="480" w:lineRule="auto"/>
      </w:pPr>
      <w:r>
        <w:t xml:space="preserve">2.10 Where the strands leave the free-rider question unresolved</w:t>
      </w:r>
    </w:p>
    <w:p>
      <w:pPr>
        <w:pStyle w:val="FirstParagraph"/>
        <w:spacing w:line="480" w:lineRule="auto"/>
      </w:pPr>
      <w:r>
        <w:t xml:space="preserve">For all their convergence on a shared vocabulary, the strands leave the central free-rider question genuinely open, and naming that openness is part of placing the dissertation. Delay is costly, the urgency strand establishes, without resolving who bears the removal cost</w:t>
      </w:r>
      <w:r>
        <w:t xml:space="preserve"> </w:t>
      </w:r>
      <w:hyperlink w:anchor="ref-8">
        <w:r>
          <w:rPr>
            <w:rStyle w:val="Hyperlink"/>
          </w:rPr>
          <w:t xml:space="preserve">[8]</w:t>
        </w:r>
      </w:hyperlink>
      <w:r>
        <w:t xml:space="preserve">. Shared sensing can be priced or provided free, the observability strand shows, without settling who funds the catalog that makes remediation rational</w:t>
      </w:r>
      <w:r>
        <w:t xml:space="preserve"> </w:t>
      </w:r>
      <w:hyperlink w:anchor="ref-7">
        <w:r>
          <w:rPr>
            <w:rStyle w:val="Hyperlink"/>
          </w:rPr>
          <w:t xml:space="preserve">[7]</w:t>
        </w:r>
      </w:hyperlink>
      <w:r>
        <w:t xml:space="preserve"> </w:t>
      </w:r>
      <w:hyperlink w:anchor="ref-11">
        <w:r>
          <w:rPr>
            <w:rStyle w:val="Hyperlink"/>
          </w:rPr>
          <w:t xml:space="preserve">[11]</w:t>
        </w:r>
      </w:hyperlink>
      <w:r>
        <w:t xml:space="preserve">. Instruments can reward good behavior, the governance strand designs, without compelling the operator who declines to take part</w:t>
      </w:r>
      <w:r>
        <w:t xml:space="preserve"> </w:t>
      </w:r>
      <w:hyperlink w:anchor="ref-4">
        <w:r>
          <w:rPr>
            <w:rStyle w:val="Hyperlink"/>
          </w:rPr>
          <w:t xml:space="preserve">[4]</w:t>
        </w:r>
      </w:hyperlink>
      <w:r>
        <w:t xml:space="preserve"> </w:t>
      </w:r>
      <w:hyperlink w:anchor="ref-13">
        <w:r>
          <w:rPr>
            <w:rStyle w:val="Hyperlink"/>
          </w:rPr>
          <w:t xml:space="preserve">[13]</w:t>
        </w:r>
      </w:hyperlink>
      <w:r>
        <w:t xml:space="preserve">. Each strand advances the conversation and each stops short of closing it, the exact profile of a field still working out its central problem. The core stays open, and that is the honest state of play.</w:t>
      </w:r>
    </w:p>
    <w:p>
      <w:pPr>
        <w:pStyle w:val="BodyText"/>
        <w:spacing w:line="480" w:lineRule="auto"/>
        <w:ind w:firstLine="720"/>
      </w:pPr>
      <w:r>
        <w:t xml:space="preserve">That unresolved core is what makes the consolidation question live rather than idle. A field can converge on how to name a problem long before it converges on how to solve one, and the two convergences come apart</w:t>
      </w:r>
      <w:r>
        <w:t xml:space="preserve"> </w:t>
      </w:r>
      <w:hyperlink w:anchor="ref-6">
        <w:r>
          <w:rPr>
            <w:rStyle w:val="Hyperlink"/>
          </w:rPr>
          <w:t xml:space="preserve">[6]</w:t>
        </w:r>
      </w:hyperlink>
      <w:r>
        <w:t xml:space="preserve">. This dissertation tests the first, not the second. It asks whether the naming has stabilized, not whether the solving has succeeded, and the distinction matters because a stabilized naming is a real intellectual achievement even while the solution stays contested</w:t>
      </w:r>
      <w:r>
        <w:t xml:space="preserve"> </w:t>
      </w:r>
      <w:hyperlink w:anchor="ref-19">
        <w:r>
          <w:rPr>
            <w:rStyle w:val="Hyperlink"/>
          </w:rPr>
          <w:t xml:space="preserve">[19]</w:t>
        </w:r>
      </w:hyperlink>
      <w:r>
        <w:t xml:space="preserve">. Taken together, the strands show a field that has built a common language for a problem it has not yet solved. Whether that common language is truly diffusing is the empirical question the later chapters settle.</w:t>
      </w:r>
    </w:p>
    <w:bookmarkEnd w:id="81"/>
    <w:bookmarkEnd w:id="82"/>
    <w:bookmarkStart w:id="95" w:name="chapter-3.-theory-and-hypotheses"/>
    <w:p>
      <w:pPr>
        <w:pStyle w:val="Heading1"/>
        <w:spacing w:line="480" w:lineRule="auto"/>
      </w:pPr>
      <w:r>
        <w:t xml:space="preserve">Chapter 3. Theory and Hypotheses</w:t>
      </w:r>
    </w:p>
    <w:p>
      <w:pPr>
        <w:pStyle w:val="FirstParagraph"/>
        <w:spacing w:line="480" w:lineRule="auto"/>
      </w:pPr>
      <w:r>
        <w:t xml:space="preserve">A discourse leaves fingerprints. Let a research community converge on a shared problem and its later texts start to sound alike in a specific, detectable way. They reuse a settled vocabulary. They gather attention on a recognizable core of contributions. They quit reinventing the framing from scratch with each new paper. This chapter builds the mechanism tying those fingerprints to two measurable predictions, then states the hypotheses the empirical papers test. The point is to take consolidation, which can pass for a matter of taste, and turn it into something a coefficient will confirm or deny.</w:t>
      </w:r>
    </w:p>
    <w:bookmarkStart w:id="83" w:name="the-mechanism-of-consolidation"/>
    <w:p>
      <w:pPr>
        <w:pStyle w:val="Heading2"/>
        <w:spacing w:line="480" w:lineRule="auto"/>
      </w:pPr>
      <w:r>
        <w:t xml:space="preserve">3.1 The mechanism of consolidation</w:t>
      </w:r>
    </w:p>
    <w:p>
      <w:pPr>
        <w:pStyle w:val="FirstParagraph"/>
        <w:spacing w:line="480" w:lineRule="auto"/>
      </w:pPr>
      <w:r>
        <w:t xml:space="preserve">Consolidation is a diffusion process. Early on, authors come at a problem from scattered starting points, each importing terms from a home discipline. Debris is an externality to the economist, a collision-probability estimate to the engineer, a coordination failure to the policy analyst</w:t>
      </w:r>
      <w:r>
        <w:t xml:space="preserve"> </w:t>
      </w:r>
      <w:hyperlink w:anchor="ref-8">
        <w:r>
          <w:rPr>
            <w:rStyle w:val="Hyperlink"/>
          </w:rPr>
          <w:t xml:space="preserve">[8]</w:t>
        </w:r>
      </w:hyperlink>
      <w:r>
        <w:t xml:space="preserve"> </w:t>
      </w:r>
      <w:hyperlink w:anchor="ref-19">
        <w:r>
          <w:rPr>
            <w:rStyle w:val="Hyperlink"/>
          </w:rPr>
          <w:t xml:space="preserve">[19]</w:t>
        </w:r>
      </w:hyperlink>
      <w:r>
        <w:t xml:space="preserve">. The vocabulary stays heterogeneous because the community has not yet agreed what the object of study even is, and until that agreement forms, every paper burns part of its energy defining terms a mature field would take as given.</w:t>
      </w:r>
    </w:p>
    <w:p>
      <w:pPr>
        <w:pStyle w:val="BodyText"/>
        <w:spacing w:line="480" w:lineRule="auto"/>
        <w:ind w:firstLine="720"/>
      </w:pPr>
      <w:r>
        <w:t xml:space="preserve">Maturity brings three things at once. Shared terms diffuse, so later authors inherit a common lexicon of cleanup, diffuse benefit, and burden allocation rather than coining their own. Anchor texts surface, so a handful of contributions become the reference points later work orients around</w:t>
      </w:r>
      <w:r>
        <w:t xml:space="preserve"> </w:t>
      </w:r>
      <w:hyperlink w:anchor="ref-1">
        <w:r>
          <w:rPr>
            <w:rStyle w:val="Hyperlink"/>
          </w:rPr>
          <w:t xml:space="preserve">[1]</w:t>
        </w:r>
      </w:hyperlink>
      <w:r>
        <w:t xml:space="preserve"> </w:t>
      </w:r>
      <w:hyperlink w:anchor="ref-4">
        <w:r>
          <w:rPr>
            <w:rStyle w:val="Hyperlink"/>
          </w:rPr>
          <w:t xml:space="preserve">[4]</w:t>
        </w:r>
      </w:hyperlink>
      <w:r>
        <w:t xml:space="preserve">. Attention concentrates, so citation flows stop being uniform and start rewarding whatever the community currently treats as central. A field has consolidated when these three processes have run far enough to mark the metadata.</w:t>
      </w:r>
    </w:p>
    <w:p>
      <w:pPr>
        <w:pStyle w:val="BodyText"/>
        <w:spacing w:line="480" w:lineRule="auto"/>
        <w:ind w:firstLine="720"/>
      </w:pPr>
      <w:r>
        <w:t xml:space="preserve">Direct observation of vocabulary diffusion across full texts is beyond this study. Two proxies the mechanism predicts are within reach. The first is thematic density. If shared terms are diffusing, later records should carry more candidate-theme hits than earlier ones, because their authors write inside an established framing instead of improvising one from nothing. The second is attention structure. If attention is concentrating, citation accumulation should track article age in a regular, estimable way rather than scatter without pattern</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These are proxies, not the thing itself. A proxy earns its keep only when the mechanism gives a clear reason to expect it to move with the underlying quantity. What follows supplies that reason for each of the two, and on terms that keep the predictions falsifiable rather than merely plausible.</w:t>
      </w:r>
    </w:p>
    <w:bookmarkEnd w:id="83"/>
    <w:bookmarkStart w:id="84" w:name="why-recency-should-raise-thematic-signal"/>
    <w:p>
      <w:pPr>
        <w:pStyle w:val="Heading2"/>
        <w:spacing w:line="480" w:lineRule="auto"/>
      </w:pPr>
      <w:r>
        <w:t xml:space="preserve">3.2 Why recency should raise thematic signal</w:t>
      </w:r>
    </w:p>
    <w:p>
      <w:pPr>
        <w:pStyle w:val="FirstParagraph"/>
        <w:spacing w:line="480" w:lineRule="auto"/>
      </w:pPr>
      <w:r>
        <w:t xml:space="preserve">Take the topic-signal score, a count of candidate-theme term hits in a record’s visible metadata. Under fragmentation, the score should show no correlation with publication year. Each author picks idiosyncratic terms, so how much shared vocabulary any record carries is a matter of authorial style, and style does not trend with the calendar.</w:t>
      </w:r>
    </w:p>
    <w:p>
      <w:pPr>
        <w:pStyle w:val="BodyText"/>
        <w:spacing w:line="480" w:lineRule="auto"/>
        <w:ind w:firstLine="720"/>
      </w:pPr>
      <w:r>
        <w:t xml:space="preserve">Under consolidation the prediction flips. A stabilized vocabulary means later authors reach for the same cluster of terms about remediation, free-riding, and shared security gain, so their records register more theme hits almost by reflex. Recency becomes a stand-in for how much accumulated framing an author could inherit at the moment of writing. So the mechanism predicts a positive tie between recency and topic-signal intensity, with venue and citation attention held fixed</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Venue enters as a control, not a driver. Different venue families keep different house styles, and a journal article may pack more indexed terms than a conference paper for no reason beyond length conventions and abstract structure. A venue-family score pulls any pure venue effect apart from the recency effect the mechanism actually predicts. Skip that control and a recency trend could be an illusion, spun by newer records happening to cluster in verbose journals.</w:t>
      </w:r>
    </w:p>
    <w:bookmarkEnd w:id="84"/>
    <w:bookmarkStart w:id="85" w:name="X23a70097a1f14ac3acc1e9e8cdb93584d70f138"/>
    <w:p>
      <w:pPr>
        <w:pStyle w:val="Heading2"/>
        <w:spacing w:line="480" w:lineRule="auto"/>
      </w:pPr>
      <w:r>
        <w:t xml:space="preserve">3.3 Why age should structure citation accumulation</w:t>
      </w:r>
    </w:p>
    <w:p>
      <w:pPr>
        <w:pStyle w:val="FirstParagraph"/>
        <w:spacing w:line="480" w:lineRule="auto"/>
      </w:pPr>
      <w:r>
        <w:t xml:space="preserve">Attention drives the second prediction, and the naive expectation is easy: older articles hold more citations because they have had more time to gather them. That yields a positive age elasticity, and it says nothing about consolidation, since clock time alone produces it and clock time is no mark of intellectual convergence.</w:t>
      </w:r>
    </w:p>
    <w:p>
      <w:pPr>
        <w:pStyle w:val="BodyText"/>
        <w:spacing w:line="480" w:lineRule="auto"/>
        <w:ind w:firstLine="720"/>
      </w:pPr>
      <w:r>
        <w:t xml:space="preserve">The consolidation mechanism predicts something different and more interesting. Where a field concentrates attention on a currently focal core, recent formulations can pull citations fast while older records, foundational ones included, may sit at low counts once the community has moved to newer statements of the problem. That gives a flat or negative relationship between age and citation accumulation, because attention is allocated by current salience rather than accumulated exposure time</w:t>
      </w:r>
      <w:r>
        <w:t xml:space="preserve"> </w:t>
      </w:r>
      <w:hyperlink w:anchor="ref-9">
        <w:r>
          <w:rPr>
            <w:rStyle w:val="Hyperlink"/>
          </w:rPr>
          <w:t xml:space="preserve">[9]</w:t>
        </w:r>
      </w:hyperlink>
      <w:r>
        <w:t xml:space="preserve"> </w:t>
      </w:r>
      <w:hyperlink w:anchor="ref-11">
        <w:r>
          <w:rPr>
            <w:rStyle w:val="Hyperlink"/>
          </w:rPr>
          <w:t xml:space="preserve">[11]</w:t>
        </w:r>
      </w:hyperlink>
      <w:r>
        <w:t xml:space="preserve">. A learning-curve specification makes it precise. The elasticity of citations with respect to age boils down to a single number the question of whether the corpus rewards age or salience.</w:t>
      </w:r>
    </w:p>
    <w:p>
      <w:pPr>
        <w:pStyle w:val="BodyText"/>
        <w:spacing w:line="480" w:lineRule="auto"/>
        <w:ind w:firstLine="720"/>
      </w:pPr>
      <w:r>
        <w:t xml:space="preserve">Here is the whole point of the second paper. A positive elasticity says time drives attention, the mark of a slow, exposure-driven literature that has not found a focal center. A negative elasticity says something is actively pulling attention toward newer records, the mark of a field consolidating around fresh formulations of the remediation problem</w:t>
      </w:r>
      <w:r>
        <w:t xml:space="preserve"> </w:t>
      </w:r>
      <w:hyperlink w:anchor="ref-4">
        <w:r>
          <w:rPr>
            <w:rStyle w:val="Hyperlink"/>
          </w:rPr>
          <w:t xml:space="preserve">[4]</w:t>
        </w:r>
      </w:hyperlink>
      <w:r>
        <w:t xml:space="preserve"> </w:t>
      </w:r>
      <w:hyperlink w:anchor="ref-7">
        <w:r>
          <w:rPr>
            <w:rStyle w:val="Hyperlink"/>
          </w:rPr>
          <w:t xml:space="preserve">[7]</w:t>
        </w:r>
      </w:hyperlink>
      <w:r>
        <w:t xml:space="preserve">. The sign of the coefficient is no technical detail. It is the test.</w:t>
      </w:r>
    </w:p>
    <w:bookmarkEnd w:id="85"/>
    <w:bookmarkStart w:id="86" w:name="hypotheses"/>
    <w:p>
      <w:pPr>
        <w:pStyle w:val="Heading2"/>
        <w:spacing w:line="480" w:lineRule="auto"/>
      </w:pPr>
      <w:r>
        <w:t xml:space="preserve">3.4 Hypotheses</w:t>
      </w:r>
    </w:p>
    <w:p>
      <w:pPr>
        <w:pStyle w:val="FirstParagraph"/>
        <w:spacing w:line="480" w:lineRule="auto"/>
      </w:pPr>
      <w:r>
        <w:t xml:space="preserve">The two predictions map onto the two papers directly.</w:t>
      </w:r>
    </w:p>
    <w:p>
      <w:pPr>
        <w:pStyle w:val="BodyText"/>
        <w:spacing w:line="480" w:lineRule="auto"/>
        <w:ind w:firstLine="720"/>
      </w:pPr>
      <w:r>
        <w:t xml:space="preserve">Paper 1 tests thematic density. The null H0 holds that the topic-signal score is unrelated to publication recency, citation attention, and venue family. The alternative H1 holds that the score rises with recency and citation attention. A positive, significant recency coefficient is the primary evidence for the density arm of consolidation, and its magnitude indicates how firmly the shared vocabulary has taken hold across the observed span of years.</w:t>
      </w:r>
    </w:p>
    <w:p>
      <w:pPr>
        <w:pStyle w:val="BodyText"/>
        <w:spacing w:line="480" w:lineRule="auto"/>
        <w:ind w:firstLine="720"/>
      </w:pPr>
      <w:r>
        <w:t xml:space="preserve">Paper 2 tests attention structure. The null H0 holds that citation accumulation is unrelated to article age. The alternative H1 holds that citation accumulation follows a measurable age-based curve. Under the consolidation mechanism the estimated age elasticity should be significant, and the diagnostic weight rides on its sign, since a negative elasticity marks salience-driven attention rather than exposure-driven attention.</w:t>
      </w:r>
    </w:p>
    <w:bookmarkEnd w:id="86"/>
    <w:bookmarkStart w:id="87" w:name="what-would-falsify-the-account"/>
    <w:p>
      <w:pPr>
        <w:pStyle w:val="Heading2"/>
        <w:spacing w:line="480" w:lineRule="auto"/>
      </w:pPr>
      <w:r>
        <w:t xml:space="preserve">3.5 What would falsify the account</w:t>
      </w:r>
    </w:p>
    <w:p>
      <w:pPr>
        <w:pStyle w:val="FirstParagraph"/>
        <w:spacing w:line="480" w:lineRule="auto"/>
      </w:pPr>
      <w:r>
        <w:t xml:space="preserve">The account is falsifiable at two clean points. Let Paper 1 return a recency coefficient near zero or insignificant and the density prediction fails, leaving the corpus stylistically random rather than vocabulary-consolidating. Let Paper 2 return an insignificant age elasticity and the attention prediction fails, leaving citation flows erratic rather than structured</w:t>
      </w:r>
      <w:r>
        <w:t xml:space="preserve"> </w:t>
      </w:r>
      <w:hyperlink w:anchor="ref-2">
        <w:r>
          <w:rPr>
            <w:rStyle w:val="Hyperlink"/>
          </w:rPr>
          <w:t xml:space="preserve">[2]</w:t>
        </w:r>
      </w:hyperlink>
      <w:r>
        <w:t xml:space="preserve"> </w:t>
      </w:r>
      <w:hyperlink w:anchor="ref-5">
        <w:r>
          <w:rPr>
            <w:rStyle w:val="Hyperlink"/>
          </w:rPr>
          <w:t xml:space="preserve">[5]</w:t>
        </w:r>
      </w:hyperlink>
      <w:r>
        <w:t xml:space="preserve">. Neither failure kills the topic. It would simply mean the corpus is active rather than consolidated, itself a finding worth reporting honestly.</w:t>
      </w:r>
    </w:p>
    <w:p>
      <w:pPr>
        <w:pStyle w:val="BodyText"/>
        <w:spacing w:line="480" w:lineRule="auto"/>
        <w:ind w:firstLine="720"/>
      </w:pPr>
      <w:r>
        <w:t xml:space="preserve">A partial result also informs, and the design expects it. Density without attention structure, or attention structure without density, would flag a field consolidating along one axis but not the other, a more nuanced verdict than a bare yes or no. Both hypotheses point one way only if the corpus is genuinely maturing on both dimensions at once. That joint condition is demanding, and a fragmented literature would be unlikely to meet it by chance.</w:t>
      </w:r>
    </w:p>
    <w:p>
      <w:pPr>
        <w:pStyle w:val="BodyText"/>
        <w:spacing w:line="480" w:lineRule="auto"/>
        <w:ind w:firstLine="720"/>
      </w:pPr>
      <w:r>
        <w:t xml:space="preserve">One further guardrail is wired into the theory. The recency effect has to survive the venue control, and the age effect has to survive the plus-one transformation that handles uncited records, before either can be read as evidence of consolidation rather than an artifact of how the data were assembled</w:t>
      </w:r>
      <w:r>
        <w:t xml:space="preserve"> </w:t>
      </w:r>
      <w:hyperlink w:anchor="ref-11">
        <w:r>
          <w:rPr>
            <w:rStyle w:val="Hyperlink"/>
          </w:rPr>
          <w:t xml:space="preserve">[11]</w:t>
        </w:r>
      </w:hyperlink>
      <w:r>
        <w:t xml:space="preserve"> </w:t>
      </w:r>
      <w:hyperlink w:anchor="ref-18">
        <w:r>
          <w:rPr>
            <w:rStyle w:val="Hyperlink"/>
          </w:rPr>
          <w:t xml:space="preserve">[18]</w:t>
        </w:r>
      </w:hyperlink>
      <w:r>
        <w:t xml:space="preserve">.</w:t>
      </w:r>
    </w:p>
    <w:bookmarkEnd w:id="87"/>
    <w:bookmarkStart w:id="88" w:name="X1b5815309bbaffcd2a5298d137bad9992fc463d"/>
    <w:p>
      <w:pPr>
        <w:pStyle w:val="Heading2"/>
        <w:spacing w:line="480" w:lineRule="auto"/>
      </w:pPr>
      <w:r>
        <w:t xml:space="preserve">3.6 Situating the mechanism against collective-action theory</w:t>
      </w:r>
    </w:p>
    <w:p>
      <w:pPr>
        <w:pStyle w:val="FirstParagraph"/>
        <w:spacing w:line="480" w:lineRule="auto"/>
      </w:pPr>
      <w:r>
        <w:t xml:space="preserve">The mechanism is bibliometric, yet it rests on a substantive intuition drawn from the collective-action literature the corpus itself discusses. A free-rider problem is easier to name than to solve, and a field that keeps returning to one will sharpen its vocabulary for the problem long before it settles on a solution</w:t>
      </w:r>
      <w:r>
        <w:t xml:space="preserve"> </w:t>
      </w:r>
      <w:hyperlink w:anchor="ref-8">
        <w:r>
          <w:rPr>
            <w:rStyle w:val="Hyperlink"/>
          </w:rPr>
          <w:t xml:space="preserve">[8]</w:t>
        </w:r>
      </w:hyperlink>
      <w:r>
        <w:t xml:space="preserve">. That is what makes remediation a good test case. The physical difficulty of active removal holds steady across the years, so any trend in how densely the literature talks about it reflects the conversation maturing rather than the engineering changing</w:t>
      </w:r>
      <w:r>
        <w:t xml:space="preserve"> </w:t>
      </w:r>
      <w:hyperlink w:anchor="ref-1">
        <w:r>
          <w:rPr>
            <w:rStyle w:val="Hyperlink"/>
          </w:rPr>
          <w:t xml:space="preserve">[1]</w:t>
        </w:r>
      </w:hyperlink>
      <w:r>
        <w:t xml:space="preserve">.</w:t>
      </w:r>
    </w:p>
    <w:p>
      <w:pPr>
        <w:pStyle w:val="BodyText"/>
        <w:spacing w:line="480" w:lineRule="auto"/>
        <w:ind w:firstLine="720"/>
      </w:pPr>
      <w:r>
        <w:t xml:space="preserve">Collective-action theory also predicts where consolidation should surface first. It should surface in the framing of who benefits and who pays, since that is the axis on which the free-rider problem is defined</w:t>
      </w:r>
      <w:r>
        <w:t xml:space="preserve"> </w:t>
      </w:r>
      <w:hyperlink w:anchor="ref-6">
        <w:r>
          <w:rPr>
            <w:rStyle w:val="Hyperlink"/>
          </w:rPr>
          <w:t xml:space="preserve">[6]</w:t>
        </w:r>
      </w:hyperlink>
      <w:r>
        <w:t xml:space="preserve">. A field consolidating around remediation should therefore stack up terms about diffuse benefit, shared security gain, and burden allocation faster than terms about, say, propulsion or rendezvous mechanics. The topic-signal score is built to catch exactly that cluster, which is why a recency trend in the score tests the collective-action reading and not merely general keyword inflation</w:t>
      </w:r>
      <w:r>
        <w:t xml:space="preserve"> </w:t>
      </w:r>
      <w:hyperlink w:anchor="ref-4">
        <w:r>
          <w:rPr>
            <w:rStyle w:val="Hyperlink"/>
          </w:rPr>
          <w:t xml:space="preserve">[4]</w:t>
        </w:r>
      </w:hyperlink>
      <w:r>
        <w:t xml:space="preserve">.</w:t>
      </w:r>
    </w:p>
    <w:bookmarkEnd w:id="88"/>
    <w:bookmarkStart w:id="89" w:name="the-joint-prediction-as-a-single-object"/>
    <w:p>
      <w:pPr>
        <w:pStyle w:val="Heading2"/>
        <w:spacing w:line="480" w:lineRule="auto"/>
      </w:pPr>
      <w:r>
        <w:t xml:space="preserve">3.7 The joint prediction as a single object</w:t>
      </w:r>
    </w:p>
    <w:p>
      <w:pPr>
        <w:pStyle w:val="FirstParagraph"/>
        <w:spacing w:line="480" w:lineRule="auto"/>
      </w:pPr>
      <w:r>
        <w:t xml:space="preserve">State the two hypotheses as one compound prediction, because that is how the design means them to be judged. Consolidation, on this account, is the conjunction of stabilizing vocabulary and concentrating attention. A corpus showing only the first has agreed on terms without agreeing on a focal core. A corpus showing only the second has a fashionable center but no shared language. Only the conjunction, density and salience together, matches the picture of a field that has genuinely cohered</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compound framing raises the bar the corpus must clear. Two independent tests, each significant and each correctly signed, are far harder to produce by chance than one, which is exactly why the design pairs them rather than trusting either alone</w:t>
      </w:r>
      <w:r>
        <w:t xml:space="preserve"> </w:t>
      </w:r>
      <w:hyperlink w:anchor="ref-7">
        <w:r>
          <w:rPr>
            <w:rStyle w:val="Hyperlink"/>
          </w:rPr>
          <w:t xml:space="preserve">[7]</w:t>
        </w:r>
      </w:hyperlink>
      <w:r>
        <w:t xml:space="preserve">.</w:t>
      </w:r>
    </w:p>
    <w:bookmarkEnd w:id="89"/>
    <w:bookmarkStart w:id="90" w:name="X2d82a9b39e7910aa6bc52a8d84a12179b2f5e64"/>
    <w:p>
      <w:pPr>
        <w:pStyle w:val="Heading2"/>
        <w:spacing w:line="480" w:lineRule="auto"/>
      </w:pPr>
      <w:r>
        <w:t xml:space="preserve">3.8 Rival mechanisms and why they are addressed downstream</w:t>
      </w:r>
    </w:p>
    <w:p>
      <w:pPr>
        <w:pStyle w:val="FirstParagraph"/>
        <w:spacing w:line="480" w:lineRule="auto"/>
      </w:pPr>
      <w:r>
        <w:t xml:space="preserve">Honesty means naming the mechanisms that could mimic consolidation without being it, even before the results land, and two stand out. First, indexing drift: if databases simply tag recent records more thoroughly, both predicted patterns could appear as cataloging artifacts rather than facts about ideas</w:t>
      </w:r>
      <w:r>
        <w:t xml:space="preserve"> </w:t>
      </w:r>
      <w:hyperlink w:anchor="ref-4">
        <w:r>
          <w:rPr>
            <w:rStyle w:val="Hyperlink"/>
          </w:rPr>
          <w:t xml:space="preserve">[4]</w:t>
        </w:r>
      </w:hyperlink>
      <w:r>
        <w:t xml:space="preserve">. Second, topical fashion: if one hot subtopic happened to bloom lately, it could inflate both theme density and citation attention in newer records while the broader field stays incoherent</w:t>
      </w:r>
      <w:r>
        <w:t xml:space="preserve"> </w:t>
      </w:r>
      <w:hyperlink w:anchor="ref-17">
        <w:r>
          <w:rPr>
            <w:rStyle w:val="Hyperlink"/>
          </w:rPr>
          <w:t xml:space="preserve">[17]</w:t>
        </w:r>
      </w:hyperlink>
      <w:r>
        <w:t xml:space="preserve">.</w:t>
      </w:r>
    </w:p>
    <w:p>
      <w:pPr>
        <w:pStyle w:val="BodyText"/>
        <w:spacing w:line="480" w:lineRule="auto"/>
        <w:ind w:firstLine="720"/>
      </w:pPr>
      <w:r>
        <w:t xml:space="preserve">Neither rival gets dismissed here by assumption. Each is confronted in the design and revisited in the discussion. The venue control in Paper 1 goes at part of the indexing-drift story by soaking up systematic differences between conference and journal cataloging</w:t>
      </w:r>
      <w:r>
        <w:t xml:space="preserve"> </w:t>
      </w:r>
      <w:hyperlink w:anchor="ref-18">
        <w:r>
          <w:rPr>
            <w:rStyle w:val="Hyperlink"/>
          </w:rPr>
          <w:t xml:space="preserve">[18]</w:t>
        </w:r>
      </w:hyperlink>
      <w:r>
        <w:t xml:space="preserve">. The thematic mix of the panel, documented in Chapter 5, cuts against the single-fashion story by spreading records across removal, observability, governance, and infrastructure rather than crowding them into one bloom</w:t>
      </w:r>
      <w:r>
        <w:t xml:space="preserve"> </w:t>
      </w:r>
      <w:hyperlink w:anchor="ref-14">
        <w:r>
          <w:rPr>
            <w:rStyle w:val="Hyperlink"/>
          </w:rPr>
          <w:t xml:space="preserve">[14]</w:t>
        </w:r>
      </w:hyperlink>
      <w:r>
        <w:t xml:space="preserve">. These are partial defenses, and Chapter 7 stays candid about what they leave uncovered.</w:t>
      </w:r>
    </w:p>
    <w:p>
      <w:pPr>
        <w:pStyle w:val="BodyText"/>
        <w:spacing w:line="480" w:lineRule="auto"/>
        <w:ind w:firstLine="720"/>
      </w:pPr>
      <w:r>
        <w:t xml:space="preserve">Naming the rivals now sets expectations right. A significant, correctly signed pair of results is consistent with consolidation, but consistency is not proof, and the theory is strongest when it says in advance what else could produce its predicted pattern</w:t>
      </w:r>
      <w:r>
        <w:t xml:space="preserve"> </w:t>
      </w:r>
      <w:hyperlink w:anchor="ref-2">
        <w:r>
          <w:rPr>
            <w:rStyle w:val="Hyperlink"/>
          </w:rPr>
          <w:t xml:space="preserve">[2]</w:t>
        </w:r>
      </w:hyperlink>
      <w:r>
        <w:t xml:space="preserve">. A hypothesis that cannot imagine its own rivals is not a hypothesis. It is a hope.</w:t>
      </w:r>
    </w:p>
    <w:bookmarkEnd w:id="90"/>
    <w:bookmarkStart w:id="91" w:name="from-mechanism-to-estimation"/>
    <w:p>
      <w:pPr>
        <w:pStyle w:val="Heading2"/>
        <w:spacing w:line="480" w:lineRule="auto"/>
      </w:pPr>
      <w:r>
        <w:t xml:space="preserve">3.9 From mechanism to estimation</w:t>
      </w:r>
    </w:p>
    <w:p>
      <w:pPr>
        <w:pStyle w:val="FirstParagraph"/>
        <w:spacing w:line="480" w:lineRule="auto"/>
      </w:pPr>
      <w:r>
        <w:t xml:space="preserve">Mechanism, proxies, hypotheses, and rivals together fix what the empirical chapters must do. They must estimate a recency-density slope net of venue and citation controls. They must estimate an age-citation elasticity that handles the many uncited records without discarding them. And they must report both at a resolution that lets a reader weigh them against the rivals rather than take them on trust</w:t>
      </w:r>
      <w:r>
        <w:t xml:space="preserve"> </w:t>
      </w:r>
      <w:hyperlink w:anchor="ref-5">
        <w:r>
          <w:rPr>
            <w:rStyle w:val="Hyperlink"/>
          </w:rPr>
          <w:t xml:space="preserve">[5]</w:t>
        </w:r>
      </w:hyperlink>
      <w:r>
        <w:t xml:space="preserve"> </w:t>
      </w:r>
      <w:hyperlink w:anchor="ref-11">
        <w:r>
          <w:rPr>
            <w:rStyle w:val="Hyperlink"/>
          </w:rPr>
          <w:t xml:space="preserve">[11]</w:t>
        </w:r>
      </w:hyperlink>
      <w:r>
        <w:t xml:space="preserve">. Chapter 4 specifies the estimators that produce these tests and explains, term by term, why each identifies the quantity its hypothesis names rather than some nuisance that happens to correlate with it.</w:t>
      </w:r>
    </w:p>
    <w:bookmarkEnd w:id="91"/>
    <w:bookmarkStart w:id="92" w:name="Xa82de73cb5051e45811456560d08f78ceca71c8"/>
    <w:p>
      <w:pPr>
        <w:pStyle w:val="Heading2"/>
        <w:spacing w:line="480" w:lineRule="auto"/>
      </w:pPr>
      <w:r>
        <w:t xml:space="preserve">3.10 The collective-action microfoundation of the density prediction</w:t>
      </w:r>
    </w:p>
    <w:p>
      <w:pPr>
        <w:pStyle w:val="FirstParagraph"/>
        <w:spacing w:line="480" w:lineRule="auto"/>
      </w:pPr>
      <w:r>
        <w:t xml:space="preserve">The density prediction deserves a firmer microfoundation than analogy alone, since a reader could grant that fields develop shared vocabularies without granting that this particular field should. The specific reason to expect vocabulary consolidation in remediation is that the free-rider problem holds a stable analytic core authors keep rediscovering. One actor bears a concentrated cost. Many actors capture a diffuse benefit. The mismatch discourages voluntary provision</w:t>
      </w:r>
      <w:r>
        <w:t xml:space="preserve"> </w:t>
      </w:r>
      <w:hyperlink w:anchor="ref-8">
        <w:r>
          <w:rPr>
            <w:rStyle w:val="Hyperlink"/>
          </w:rPr>
          <w:t xml:space="preserve">[8]</w:t>
        </w:r>
      </w:hyperlink>
      <w:r>
        <w:t xml:space="preserve"> </w:t>
      </w:r>
      <w:hyperlink w:anchor="ref-1">
        <w:r>
          <w:rPr>
            <w:rStyle w:val="Hyperlink"/>
          </w:rPr>
          <w:t xml:space="preserve">[1]</w:t>
        </w:r>
      </w:hyperlink>
      <w:r>
        <w:t xml:space="preserve">. None of that shifts with the engineering. It stays the same whether the removal comes by net, harpoon, or drag sail, because the incentive geometry lives in the ownership and benefit relations, not in the mechanism of capture.</w:t>
      </w:r>
    </w:p>
    <w:p>
      <w:pPr>
        <w:pStyle w:val="BodyText"/>
        <w:spacing w:line="480" w:lineRule="auto"/>
        <w:ind w:firstLine="720"/>
      </w:pPr>
      <w:r>
        <w:t xml:space="preserve">A stable core invites a stable vocabulary. Confront the same incentive structure across successive authors and they converge on the same terms for its parts: the diffuse beneficiary, the reluctant provider, the shared shell, the deferred liability</w:t>
      </w:r>
      <w:r>
        <w:t xml:space="preserve"> </w:t>
      </w:r>
      <w:hyperlink w:anchor="ref-6">
        <w:r>
          <w:rPr>
            <w:rStyle w:val="Hyperlink"/>
          </w:rPr>
          <w:t xml:space="preserve">[6]</w:t>
        </w:r>
      </w:hyperlink>
      <w:r>
        <w:t xml:space="preserve">. No central authority forces this convergence. It emerges because the vocabulary that best fits the recurring structure outcompetes the idiosyncratic terms each author might otherwise coin. So the density prediction is a prediction about a well-fitted lexicon diffusing through a community that keeps meeting the same problem, and the recency coefficient is the empirical trace of that diffusion.</w:t>
      </w:r>
    </w:p>
    <w:p>
      <w:pPr>
        <w:pStyle w:val="BodyText"/>
        <w:spacing w:line="480" w:lineRule="auto"/>
        <w:ind w:firstLine="720"/>
      </w:pPr>
      <w:r>
        <w:t xml:space="preserve">The governance strand supplies a parallel reason, since institutions fix vocabulary too. As instruments like sustainability ratings and shared ontologies mature, they define standard terms later authors adopt because the instruments themselves become reference points</w:t>
      </w:r>
      <w:r>
        <w:t xml:space="preserve"> </w:t>
      </w:r>
      <w:hyperlink w:anchor="ref-18">
        <w:r>
          <w:rPr>
            <w:rStyle w:val="Hyperlink"/>
          </w:rPr>
          <w:t xml:space="preserve">[18]</w:t>
        </w:r>
      </w:hyperlink>
      <w:r>
        <w:t xml:space="preserve"> </w:t>
      </w:r>
      <w:hyperlink w:anchor="ref-13">
        <w:r>
          <w:rPr>
            <w:rStyle w:val="Hyperlink"/>
          </w:rPr>
          <w:t xml:space="preserve">[13]</w:t>
        </w:r>
      </w:hyperlink>
      <w:r>
        <w:t xml:space="preserve">. A rating that scores operators on debris behavior fixes a vocabulary for that behavior, and papers written after the rating exists inherit its terms. On this reading, the density trend partly tracks the institutionalization of remediation vocabulary through the very instruments the governance strand designs.</w:t>
      </w:r>
    </w:p>
    <w:bookmarkEnd w:id="92"/>
    <w:bookmarkStart w:id="93" w:name="why-the-two-proxies-are-not-redundant"/>
    <w:p>
      <w:pPr>
        <w:pStyle w:val="Heading2"/>
        <w:spacing w:line="480" w:lineRule="auto"/>
      </w:pPr>
      <w:r>
        <w:t xml:space="preserve">3.11 Why the two proxies are not redundant</w:t>
      </w:r>
    </w:p>
    <w:p>
      <w:pPr>
        <w:pStyle w:val="FirstParagraph"/>
        <w:spacing w:line="480" w:lineRule="auto"/>
      </w:pPr>
      <w:r>
        <w:t xml:space="preserve">A careful reader might suspect that thematic density and citation attention measure the same underlying thing, so that testing both tests one twice. The mechanism says otherwise, and the distinction is worth spelling out because the empirical design leans on it. Density is a property of a record’s own text, of how much shared vocabulary its metadata carries</w:t>
      </w:r>
      <w:r>
        <w:t xml:space="preserve"> </w:t>
      </w:r>
      <w:hyperlink w:anchor="ref-4">
        <w:r>
          <w:rPr>
            <w:rStyle w:val="Hyperlink"/>
          </w:rPr>
          <w:t xml:space="preserve">[4]</w:t>
        </w:r>
      </w:hyperlink>
      <w:r>
        <w:t xml:space="preserve">. Attention is a property of the field’s response to a record, of how many other works cite it</w:t>
      </w:r>
      <w:r>
        <w:t xml:space="preserve"> </w:t>
      </w:r>
      <w:hyperlink w:anchor="ref-11">
        <w:r>
          <w:rPr>
            <w:rStyle w:val="Hyperlink"/>
          </w:rPr>
          <w:t xml:space="preserve">[11]</w:t>
        </w:r>
      </w:hyperlink>
      <w:r>
        <w:t xml:space="preserve">. A paper can be dense in shared terms and go uncited. A paper can be cited heavily and stay sparse in indexed vocabulary. The two are logically independent, and in this corpus they turn out weakly related, which the results confirm.</w:t>
      </w:r>
    </w:p>
    <w:p>
      <w:pPr>
        <w:pStyle w:val="BodyText"/>
        <w:spacing w:line="480" w:lineRule="auto"/>
        <w:ind w:firstLine="720"/>
      </w:pPr>
      <w:r>
        <w:t xml:space="preserve">Their independence is what makes the compound hypothesis demanding. Were density and attention the same signal, showing both would be trivial, and satisfying the compound prediction would prove little</w:t>
      </w:r>
      <w:r>
        <w:t xml:space="preserve"> </w:t>
      </w:r>
      <w:hyperlink w:anchor="ref-2">
        <w:r>
          <w:rPr>
            <w:rStyle w:val="Hyperlink"/>
          </w:rPr>
          <w:t xml:space="preserve">[2]</w:t>
        </w:r>
      </w:hyperlink>
      <w:r>
        <w:t xml:space="preserve">. Because they are distinct, a corpus that shows a recency-density trend and a salience-driven attention structure has cleared two separate bars, each measuring a different face of consolidation. Vocabulary stabilization and attention concentration are conceptually different achievements for a field, and requiring both lifts the evidentiary standard the corpus must meet</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93"/>
    <w:bookmarkStart w:id="94" w:name="the-mechanism-stated-as-a-testable-chain"/>
    <w:p>
      <w:pPr>
        <w:pStyle w:val="Heading2"/>
        <w:spacing w:line="480" w:lineRule="auto"/>
      </w:pPr>
      <w:r>
        <w:t xml:space="preserve">3.12 The mechanism stated as a testable chain</w:t>
      </w:r>
    </w:p>
    <w:p>
      <w:pPr>
        <w:pStyle w:val="FirstParagraph"/>
        <w:spacing w:line="480" w:lineRule="auto"/>
      </w:pPr>
      <w:r>
        <w:t xml:space="preserve">Lay the mechanism out as an explicit causal chain and every link a critic could attack comes into the open. A field confronts a recurring problem with a stable analytic core</w:t>
      </w:r>
      <w:r>
        <w:t xml:space="preserve"> </w:t>
      </w:r>
      <w:hyperlink w:anchor="ref-8">
        <w:r>
          <w:rPr>
            <w:rStyle w:val="Hyperlink"/>
          </w:rPr>
          <w:t xml:space="preserve">[8]</w:t>
        </w:r>
      </w:hyperlink>
      <w:r>
        <w:t xml:space="preserve">. Confronting that core over and over, authors converge on a well-fitted vocabulary for its parts</w:t>
      </w:r>
      <w:r>
        <w:t xml:space="preserve"> </w:t>
      </w:r>
      <w:hyperlink w:anchor="ref-6">
        <w:r>
          <w:rPr>
            <w:rStyle w:val="Hyperlink"/>
          </w:rPr>
          <w:t xml:space="preserve">[6]</w:t>
        </w:r>
      </w:hyperlink>
      <w:r>
        <w:t xml:space="preserve">. The vocabulary diffuses forward in time, so later records carry it more densely than earlier ones, which is the recency-density prediction</w:t>
      </w:r>
      <w:r>
        <w:t xml:space="preserve"> </w:t>
      </w:r>
      <w:hyperlink w:anchor="ref-3">
        <w:r>
          <w:rPr>
            <w:rStyle w:val="Hyperlink"/>
          </w:rPr>
          <w:t xml:space="preserve">[3]</w:t>
        </w:r>
      </w:hyperlink>
      <w:r>
        <w:t xml:space="preserve">. Meanwhile attention concentrates on the records stating the current version of the problem most sharply, so citations flow toward recent work rather than toward foundational-but-superseded texts, which is the salience-driven attention prediction</w:t>
      </w:r>
      <w:r>
        <w:t xml:space="preserve"> </w:t>
      </w:r>
      <w:hyperlink w:anchor="ref-11">
        <w:r>
          <w:rPr>
            <w:rStyle w:val="Hyperlink"/>
          </w:rPr>
          <w:t xml:space="preserve">[11]</w:t>
        </w:r>
      </w:hyperlink>
      <w:r>
        <w:t xml:space="preserve">. Four links, and every one of them breakable, which is the discipline the chain imposes.</w:t>
      </w:r>
    </w:p>
    <w:p>
      <w:pPr>
        <w:pStyle w:val="BodyText"/>
        <w:spacing w:line="480" w:lineRule="auto"/>
        <w:ind w:firstLine="720"/>
      </w:pPr>
      <w:r>
        <w:t xml:space="preserve">Each link is a place the account could snap, and stating them separately keeps the theory falsifiable rather than circular. If vocabulary does not diffuse forward, the recency coefficient comes back flat</w:t>
      </w:r>
      <w:r>
        <w:t xml:space="preserve"> </w:t>
      </w:r>
      <w:hyperlink w:anchor="ref-4">
        <w:r>
          <w:rPr>
            <w:rStyle w:val="Hyperlink"/>
          </w:rPr>
          <w:t xml:space="preserve">[4]</w:t>
        </w:r>
      </w:hyperlink>
      <w:r>
        <w:t xml:space="preserve">. If attention tracks exposure time rather than salience, the age elasticity comes back positive</w:t>
      </w:r>
      <w:r>
        <w:t xml:space="preserve"> </w:t>
      </w:r>
      <w:hyperlink w:anchor="ref-9">
        <w:r>
          <w:rPr>
            <w:rStyle w:val="Hyperlink"/>
          </w:rPr>
          <w:t xml:space="preserve">[9]</w:t>
        </w:r>
      </w:hyperlink>
      <w:r>
        <w:t xml:space="preserve">. The mechanism does not merely predict that something interesting will happen. It predicts two specific signs on two specific coefficients, and it names the conditions under which each would fail. A theory that specifies its own failure modes this precisely is one a reader can trust to have earned its conclusions rather than assumed them</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94"/>
    <w:bookmarkEnd w:id="95"/>
    <w:bookmarkStart w:id="108" w:name="X940caaf6d3ac92c12a69529db0381ad3e868d7e"/>
    <w:p>
      <w:pPr>
        <w:pStyle w:val="Heading1"/>
        <w:spacing w:line="480" w:lineRule="auto"/>
      </w:pPr>
      <w:r>
        <w:t xml:space="preserve">Chapter 4. Methodology and Identification</w:t>
      </w:r>
    </w:p>
    <w:p>
      <w:pPr>
        <w:pStyle w:val="FirstParagraph"/>
        <w:spacing w:line="480" w:lineRule="auto"/>
      </w:pPr>
      <w:r>
        <w:t xml:space="preserve">Two estimators carry the work here, and neither is elaborate. The plainness is chosen. A bounded thirty-record panel is what the corpus offers, and a heavy model would claim a precision the data cannot honor. This chapter sets out each estimator, states its assumptions, and explains why it identifies the quantity its hypothesis names rather than some correlated nuisance. A model earns trust by showing its identifying logic, not by hiding it behind machinery.</w:t>
      </w:r>
    </w:p>
    <w:bookmarkStart w:id="96" w:name="Xd1a01bf0b1294cced98db6518e2437cf66a1615"/>
    <w:p>
      <w:pPr>
        <w:pStyle w:val="Heading2"/>
        <w:spacing w:line="480" w:lineRule="auto"/>
      </w:pPr>
      <w:r>
        <w:t xml:space="preserve">4.1 Paper 1: ordinary least squares for thematic density</w:t>
      </w:r>
    </w:p>
    <w:p>
      <w:pPr>
        <w:pStyle w:val="FirstParagraph"/>
        <w:spacing w:line="480" w:lineRule="auto"/>
      </w:pPr>
      <w:r>
        <w:t xml:space="preserve">Paper 1 estimates a linear model of topic-signal intensity. The specification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Topic-signal score, built deterministically, is the dependent variable. The regressors are the recency index, the reported citation count, and the ordinal venue-family score. Estimation runs ordinary least squares with heteroskedasticity-consistent HC1 standard errors, since nothing warrants assuming the error variance holds constant across records that differ sharply in length, venue, and vintage</w:t>
      </w:r>
      <w:r>
        <w:t xml:space="preserve"> </w:t>
      </w:r>
      <w:hyperlink w:anchor="ref-4">
        <w:r>
          <w:rPr>
            <w:rStyle w:val="Hyperlink"/>
          </w:rPr>
          <w:t xml:space="preserve">[4]</w:t>
        </w:r>
      </w:hyperlink>
      <w:r>
        <w:t xml:space="preserve">. A conference abstract from 2009 and a full journal article from 2025 do not scatter around the regression line with the same spread, and the robust correction owns that.</w:t>
      </w:r>
    </w:p>
    <w:p>
      <w:pPr>
        <w:pStyle w:val="BodyText"/>
        <w:spacing w:line="480" w:lineRule="auto"/>
        <w:ind w:firstLine="720"/>
      </w:pPr>
      <w:r>
        <w:t xml:space="preserve">Beta_1 is the coefficient of interest. Under the consolidation mechanism of Chapter 3, a positive and significant beta_1 means later records carry denser candidate-theme signal once citation attention and venue family are held fixed. The other two coefficients are controls with readings of their own. A positive beta_2 would say more-cited records also register more theme hits, mild corroboration for consolidation, and beta_3 captures whether venue family drives density on its own, apart from timing</w:t>
      </w:r>
      <w:r>
        <w:t xml:space="preserve"> </w:t>
      </w:r>
      <w:hyperlink w:anchor="ref-7">
        <w:r>
          <w:rPr>
            <w:rStyle w:val="Hyperlink"/>
          </w:rPr>
          <w:t xml:space="preserve">[7]</w:t>
        </w:r>
      </w:hyperlink>
      <w:r>
        <w:t xml:space="preserve">.</w:t>
      </w:r>
    </w:p>
    <w:p>
      <w:pPr>
        <w:pStyle w:val="BodyText"/>
        <w:spacing w:line="480" w:lineRule="auto"/>
        <w:ind w:firstLine="720"/>
      </w:pPr>
      <w:r>
        <w:t xml:space="preserve">Why linear rather than something fancier? Because the sample is small and the dependent variable is a bounded count with modest range, so a linear conditional mean asks the least of the data. It buys interpretability in exchange. Each coefficient is a partial slope in the score’s own units, and a reader who chooses to can check it against the panel by hand.</w:t>
      </w:r>
    </w:p>
    <w:bookmarkEnd w:id="96"/>
    <w:bookmarkStart w:id="97" w:name="X3f7334c05fb812c5497479bdd67bc15458ee74a"/>
    <w:p>
      <w:pPr>
        <w:pStyle w:val="Heading2"/>
        <w:spacing w:line="480" w:lineRule="auto"/>
      </w:pPr>
      <w:r>
        <w:t xml:space="preserve">4.2 Why OLS identifies the density effect here</w:t>
      </w:r>
    </w:p>
    <w:p>
      <w:pPr>
        <w:pStyle w:val="FirstParagraph"/>
        <w:spacing w:line="480" w:lineRule="auto"/>
      </w:pPr>
      <w:r>
        <w:t xml:space="preserve">Identification in Paper 1 is descriptive and conditional, not causal in the interventionist sense, and the dissertation is explicit that it never claims recency causes better scholarship. What OLS identifies is the partial association between recency and topic-signal intensity net of the two controls. That partial association is exactly what the density hypothesis predicts, since the mechanism says a maturing vocabulary should make later records denser holding venue and attention constant</w:t>
      </w:r>
      <w:r>
        <w:t xml:space="preserve"> </w:t>
      </w:r>
      <w:hyperlink w:anchor="ref-3">
        <w:r>
          <w:rPr>
            <w:rStyle w:val="Hyperlink"/>
          </w:rPr>
          <w:t xml:space="preserve">[3]</w:t>
        </w:r>
      </w:hyperlink>
      <w:r>
        <w:t xml:space="preserve">.</w:t>
      </w:r>
    </w:p>
    <w:p>
      <w:pPr>
        <w:pStyle w:val="BodyText"/>
        <w:spacing w:line="480" w:lineRule="auto"/>
        <w:ind w:firstLine="720"/>
      </w:pPr>
      <w:r>
        <w:t xml:space="preserve">Three assumptions carry the interpretation. The topic-signal score has to be measured consistently across records, which the deterministic construction guarantees by applying one term-hit rule to every row with no human discretion. The regressors must not be collinear to the point of instability, and in this panel recency, citations, and venue vary enough across records to steer clear of that trap. And the HC1 correction has to be adequate for a small sample, which is why the model reports robust rather than classical standard errors and why Chapter 6 leans on the robust p-values instead of the tighter classical ones.</w:t>
      </w:r>
    </w:p>
    <w:p>
      <w:pPr>
        <w:pStyle w:val="BodyText"/>
        <w:spacing w:line="480" w:lineRule="auto"/>
        <w:ind w:firstLine="720"/>
      </w:pPr>
      <w:r>
        <w:t xml:space="preserve">Because beta_1 is a conditional partial slope, the venue-family control does real work rather than sitting in the specification for show. Drop it and a recency effect could be an artifact of newer records concentrating in journals that index more terms per article. Hold venue fixed and any surviving recency effect traces to the vocabulary-diffusion channel the theory specifies, not to a compositional shift in where recent work happens to land</w:t>
      </w:r>
      <w:r>
        <w:t xml:space="preserve"> </w:t>
      </w:r>
      <w:hyperlink w:anchor="ref-18">
        <w:r>
          <w:rPr>
            <w:rStyle w:val="Hyperlink"/>
          </w:rPr>
          <w:t xml:space="preserve">[18]</w:t>
        </w:r>
      </w:hyperlink>
      <w:r>
        <w:t xml:space="preserve">. That control is where a finding and a coincidence part ways.</w:t>
      </w:r>
    </w:p>
    <w:bookmarkEnd w:id="97"/>
    <w:bookmarkStart w:id="98" w:name="Xf801e4782b612d4306dafafddb6821967c076bb"/>
    <w:p>
      <w:pPr>
        <w:pStyle w:val="Heading2"/>
        <w:spacing w:line="480" w:lineRule="auto"/>
      </w:pPr>
      <w:r>
        <w:t xml:space="preserve">4.3 Paper 2: the log-log learning curve for attention</w:t>
      </w:r>
    </w:p>
    <w:p>
      <w:pPr>
        <w:pStyle w:val="FirstParagraph"/>
        <w:spacing w:line="480" w:lineRule="auto"/>
      </w:pPr>
      <w:r>
        <w:t xml:space="preserve">Paper 2 estimates a learning-curve model of citation accumulation. The specification is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The natural log of citation count plus one is the dependent variable, and the natural log of the age index is the single regressor. Adding one to the citation count before the log is no cosmetic move. It is what keeps the transformation defined for the many uncited records in the corpus, and it is stated in the paper configuration so the choice stays auditable rather than silent</w:t>
      </w:r>
      <w:r>
        <w:t xml:space="preserve"> </w:t>
      </w:r>
      <w:hyperlink w:anchor="ref-11">
        <w:r>
          <w:rPr>
            <w:rStyle w:val="Hyperlink"/>
          </w:rPr>
          <w:t xml:space="preserve">[11]</w:t>
        </w:r>
      </w:hyperlink>
      <w:r>
        <w:t xml:space="preserve">. Estimation is again log-log with robust HC1 standard errors.</w:t>
      </w:r>
    </w:p>
    <w:p>
      <w:pPr>
        <w:pStyle w:val="BodyText"/>
        <w:spacing w:line="480" w:lineRule="auto"/>
        <w:ind w:firstLine="720"/>
      </w:pPr>
      <w:r>
        <w:t xml:space="preserve">The log-log form is what turns the estimator into a learning curve. Log both sides and the slope beta_1 becomes an elasticity, the percentage change in citations-plus-one that goes with a one-percent change in article age. The configuration also reports a progress ratio, computed as two raised to the power of the slope, which restates the elasticity in the doubling metric learning-curve analysis conventionally uses</w:t>
      </w:r>
      <w:r>
        <w:t xml:space="preserve"> </w:t>
      </w:r>
      <w:hyperlink w:anchor="ref-1">
        <w:r>
          <w:rPr>
            <w:rStyle w:val="Hyperlink"/>
          </w:rPr>
          <w:t xml:space="preserve">[1]</w:t>
        </w:r>
      </w:hyperlink>
      <w:r>
        <w:t xml:space="preserve">. A progress ratio below one means each doubling of age goes with fewer citations, not more.</w:t>
      </w:r>
    </w:p>
    <w:bookmarkEnd w:id="98"/>
    <w:bookmarkStart w:id="99" w:name="Xdbb002854637860fc9f6c57cef4db95fcb9c7b4"/>
    <w:p>
      <w:pPr>
        <w:pStyle w:val="Heading2"/>
        <w:spacing w:line="480" w:lineRule="auto"/>
      </w:pPr>
      <w:r>
        <w:t xml:space="preserve">4.4 Why the elasticity identifies the attention structure</w:t>
      </w:r>
    </w:p>
    <w:p>
      <w:pPr>
        <w:pStyle w:val="FirstParagraph"/>
        <w:spacing w:line="480" w:lineRule="auto"/>
      </w:pPr>
      <w:r>
        <w:t xml:space="preserve">The learning-curve slope identifies whether the corpus allocates attention by exposure time or by current salience. This is the crux of the whole design, so the reasoning warrants patience.</w:t>
      </w:r>
    </w:p>
    <w:p>
      <w:pPr>
        <w:pStyle w:val="BodyText"/>
        <w:spacing w:line="480" w:lineRule="auto"/>
        <w:ind w:firstLine="720"/>
      </w:pPr>
      <w:r>
        <w:t xml:space="preserve">Were citation accumulation purely exposure-driven, older records would carry more citations for the simple reason of longer availability, and the age elasticity would land positive. The consolidation mechanism predicts the reverse. A field concentrating on recent formulations pulls citations toward newer records, so age and citations move opposite directions and the elasticity turns negative</w:t>
      </w:r>
      <w:r>
        <w:t xml:space="preserve"> </w:t>
      </w:r>
      <w:hyperlink w:anchor="ref-9">
        <w:r>
          <w:rPr>
            <w:rStyle w:val="Hyperlink"/>
          </w:rPr>
          <w:t xml:space="preserve">[9]</w:t>
        </w:r>
      </w:hyperlink>
      <w:r>
        <w:t xml:space="preserve">. The sign of beta_1 is thus no nuisance parameter to be signed away. It is the test itself, and a significant negative elasticity is direct evidence that salience, not clock time, organizes attention in the corpus.</w:t>
      </w:r>
    </w:p>
    <w:p>
      <w:pPr>
        <w:pStyle w:val="BodyText"/>
        <w:spacing w:line="480" w:lineRule="auto"/>
        <w:ind w:firstLine="720"/>
      </w:pPr>
      <w:r>
        <w:t xml:space="preserve">The estimator earns that reading under two assumptions. The age index has to sit on a common clock, which the 2026-minus-year-plus-one construction ensures by anchoring every record to one reference year. And the log-linear functional form has to summarize the age-citation relationship adequately across the observed range, which the reported fit statistic lets the reader judge rather than accept on faith</w:t>
      </w:r>
      <w:r>
        <w:t xml:space="preserve"> </w:t>
      </w:r>
      <w:hyperlink w:anchor="ref-5">
        <w:r>
          <w:rPr>
            <w:rStyle w:val="Hyperlink"/>
          </w:rPr>
          <w:t xml:space="preserve">[5]</w:t>
        </w:r>
      </w:hyperlink>
      <w:r>
        <w:t xml:space="preserve">. Were the relationship sharply nonlinear, the reported R-squared would flag it.</w:t>
      </w:r>
    </w:p>
    <w:p>
      <w:pPr>
        <w:pStyle w:val="BodyText"/>
        <w:spacing w:line="480" w:lineRule="auto"/>
        <w:ind w:firstLine="720"/>
      </w:pPr>
      <w:r>
        <w:t xml:space="preserve">One caution belongs in the text, not a footnote. The plus-one floor compresses the many zero-citation records into a value of one, and the log then treats those ones as a near-uniform baseline, so the elasticity is identified partly by the contrast between that baseline mass and a smaller set of well-cited recent records. The sign holds up under this. The precise magnitude should be read with the compression in mind, a point Chapter 7 develops.</w:t>
      </w:r>
    </w:p>
    <w:bookmarkEnd w:id="99"/>
    <w:bookmarkStart w:id="100" w:name="why-two-estimators-rather-than-one"/>
    <w:p>
      <w:pPr>
        <w:pStyle w:val="Heading2"/>
        <w:spacing w:line="480" w:lineRule="auto"/>
      </w:pPr>
      <w:r>
        <w:t xml:space="preserve">4.5 Why two estimators rather than one</w:t>
      </w:r>
    </w:p>
    <w:p>
      <w:pPr>
        <w:pStyle w:val="FirstParagraph"/>
        <w:spacing w:line="480" w:lineRule="auto"/>
      </w:pPr>
      <w:r>
        <w:t xml:space="preserve">The papers are linked by design, not stacked by convenience. Density and attention are distinct arms of the consolidation mechanism, and a field could plausibly show one without the other. Paper 1 asks whether the vocabulary has stabilized. Paper 2 asks whether attention has concentrated. Only when both point one way does the corpus look genuinely consolidating rather than merely active on a single dimension</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Running them on the same thirty-record panel keeps the tests commensurable. Every observation that informs the density model also informs the attention model, so the two results describe one corpus from two angles rather than two different samples that happen to share a topic. A discrepancy between them would inform rather than embarrass, since it would locate exactly which arm of consolidation the corpus satisfies and which it does not</w:t>
      </w:r>
      <w:r>
        <w:t xml:space="preserve"> </w:t>
      </w:r>
      <w:hyperlink w:anchor="ref-7">
        <w:r>
          <w:rPr>
            <w:rStyle w:val="Hyperlink"/>
          </w:rPr>
          <w:t xml:space="preserve">[7]</w:t>
        </w:r>
      </w:hyperlink>
      <w:r>
        <w:t xml:space="preserve">.</w:t>
      </w:r>
    </w:p>
    <w:bookmarkEnd w:id="100"/>
    <w:bookmarkStart w:id="101" w:name="inference-on-a-small-sample"/>
    <w:p>
      <w:pPr>
        <w:pStyle w:val="Heading2"/>
        <w:spacing w:line="480" w:lineRule="auto"/>
      </w:pPr>
      <w:r>
        <w:t xml:space="preserve">4.6 Inference on a small sample</w:t>
      </w:r>
    </w:p>
    <w:p>
      <w:pPr>
        <w:pStyle w:val="FirstParagraph"/>
        <w:spacing w:line="480" w:lineRule="auto"/>
      </w:pPr>
      <w:r>
        <w:t xml:space="preserve">Thirty observations is a real constraint, and it shapes how the results should be read. So few degrees of freedom mean wide standard errors and tests underpowered against small effects, and that cuts one specific way. A coefficient that reaches significance on thirty observations has cleared a high bar, because the sample hands the null every advantage</w:t>
      </w:r>
      <w:r>
        <w:t xml:space="preserve"> </w:t>
      </w:r>
      <w:hyperlink w:anchor="ref-4">
        <w:r>
          <w:rPr>
            <w:rStyle w:val="Hyperlink"/>
          </w:rPr>
          <w:t xml:space="preserve">[4]</w:t>
        </w:r>
      </w:hyperlink>
      <w:r>
        <w:t xml:space="preserve">. The recency coefficient in Paper 1 and the age elasticity in Paper 2 are significant despite the small sample, which makes their signal more credible, not less, than a comparable p-value on a large panel.</w:t>
      </w:r>
    </w:p>
    <w:p>
      <w:pPr>
        <w:pStyle w:val="BodyText"/>
        <w:spacing w:line="480" w:lineRule="auto"/>
        <w:ind w:firstLine="720"/>
      </w:pPr>
      <w:r>
        <w:t xml:space="preserve">The flip side is that insignificant coefficients here are genuinely uninformative rather than evidence of a null. The citation coefficient in Paper 1 fails to reach significance, but with thirty records the model may simply lack the power to detect a modest citation effect</w:t>
      </w:r>
      <w:r>
        <w:t xml:space="preserve"> </w:t>
      </w:r>
      <w:hyperlink w:anchor="ref-7">
        <w:r>
          <w:rPr>
            <w:rStyle w:val="Hyperlink"/>
          </w:rPr>
          <w:t xml:space="preserve">[7]</w:t>
        </w:r>
      </w:hyperlink>
      <w:r>
        <w:t xml:space="preserve">. The honest reading treats that coefficient as inconclusive, not as proof of no relationship. Small samples give confident rejections and cautious non-rejections, and Chapter 6 reads the two accordingly.</w:t>
      </w:r>
    </w:p>
    <w:p>
      <w:pPr>
        <w:pStyle w:val="BodyText"/>
        <w:spacing w:line="480" w:lineRule="auto"/>
        <w:ind w:firstLine="720"/>
      </w:pPr>
      <w:r>
        <w:t xml:space="preserve">HC1 robust standard errors matter more on a small panel than on a large one. Heteroskedasticity a large sample would average out can badly distort inference when there are only thirty points, and a handful of high-leverage records, the well-cited recent journal articles, could otherwise dominate the classical standard errors</w:t>
      </w:r>
      <w:r>
        <w:t xml:space="preserve"> </w:t>
      </w:r>
      <w:hyperlink w:anchor="ref-11">
        <w:r>
          <w:rPr>
            <w:rStyle w:val="Hyperlink"/>
          </w:rPr>
          <w:t xml:space="preserve">[11]</w:t>
        </w:r>
      </w:hyperlink>
      <w:r>
        <w:t xml:space="preserve">. The robust correction guards against that specific fragility, which is why both papers report it instead of the tidier classical alternative.</w:t>
      </w:r>
    </w:p>
    <w:bookmarkEnd w:id="101"/>
    <w:bookmarkStart w:id="102" w:name="what-identification-does-not-deliver"/>
    <w:p>
      <w:pPr>
        <w:pStyle w:val="Heading2"/>
        <w:spacing w:line="480" w:lineRule="auto"/>
      </w:pPr>
      <w:r>
        <w:t xml:space="preserve">4.7 What identification does not deliver</w:t>
      </w:r>
    </w:p>
    <w:p>
      <w:pPr>
        <w:pStyle w:val="FirstParagraph"/>
        <w:spacing w:line="480" w:lineRule="auto"/>
      </w:pPr>
      <w:r>
        <w:t xml:space="preserve">A closing caution keeps the chapter honest. Neither estimator delivers a causal effect in the sense an experiment would. There is no intervention, no counterfactual, no attempt to hold the world fixed while moving one cause</w:t>
      </w:r>
      <w:r>
        <w:t xml:space="preserve"> </w:t>
      </w:r>
      <w:hyperlink w:anchor="ref-3">
        <w:r>
          <w:rPr>
            <w:rStyle w:val="Hyperlink"/>
          </w:rPr>
          <w:t xml:space="preserve">[3]</w:t>
        </w:r>
      </w:hyperlink>
      <w:r>
        <w:t xml:space="preserve">. Paper 1 identifies a conditional association. Paper 2 identifies a descriptive elasticity. Both are exactly what the consolidation hypotheses call for, because those hypotheses are about the structure of a corpus rather than a treatment applied to it</w:t>
      </w:r>
      <w:r>
        <w:t xml:space="preserve"> </w:t>
      </w:r>
      <w:hyperlink w:anchor="ref-2">
        <w:r>
          <w:rPr>
            <w:rStyle w:val="Hyperlink"/>
          </w:rPr>
          <w:t xml:space="preserve">[2]</w:t>
        </w:r>
      </w:hyperlink>
      <w:r>
        <w:t xml:space="preserve">.</w:t>
      </w:r>
    </w:p>
    <w:p>
      <w:pPr>
        <w:pStyle w:val="BodyText"/>
        <w:spacing w:line="480" w:lineRule="auto"/>
        <w:ind w:firstLine="720"/>
      </w:pPr>
      <w:r>
        <w:t xml:space="preserve">This is not a weakness dressed as a feature. It is the right match between question and method. Whether a literature has cohered is answered by describing the literature’s structure, not by intervening on it, and the estimators are chosen to describe that structure transparently</w:t>
      </w:r>
      <w:r>
        <w:t xml:space="preserve"> </w:t>
      </w:r>
      <w:hyperlink w:anchor="ref-5">
        <w:r>
          <w:rPr>
            <w:rStyle w:val="Hyperlink"/>
          </w:rPr>
          <w:t xml:space="preserve">[5]</w:t>
        </w:r>
      </w:hyperlink>
      <w:r>
        <w:t xml:space="preserve">.</w:t>
      </w:r>
    </w:p>
    <w:bookmarkEnd w:id="102"/>
    <w:bookmarkStart w:id="103" w:name="why-not-a-more-sophisticated-model"/>
    <w:p>
      <w:pPr>
        <w:pStyle w:val="Heading2"/>
        <w:spacing w:line="480" w:lineRule="auto"/>
      </w:pPr>
      <w:r>
        <w:t xml:space="preserve">4.8 Why not a more sophisticated model</w:t>
      </w:r>
    </w:p>
    <w:p>
      <w:pPr>
        <w:pStyle w:val="FirstParagraph"/>
        <w:spacing w:line="480" w:lineRule="auto"/>
      </w:pPr>
      <w:r>
        <w:t xml:space="preserve">A reviewer might fairly ask why the study does not reach for topic models, network centrality measures, or a hierarchical specification that pools information across venue families. Each would be defensible on a larger corpus. On thirty records, each would overfit, returning coefficients that describe the sample’s noise rather than any structure that would replicate</w:t>
      </w:r>
      <w:r>
        <w:t xml:space="preserve"> </w:t>
      </w:r>
      <w:hyperlink w:anchor="ref-7">
        <w:r>
          <w:rPr>
            <w:rStyle w:val="Hyperlink"/>
          </w:rPr>
          <w:t xml:space="preserve">[7]</w:t>
        </w:r>
      </w:hyperlink>
      <w:r>
        <w:t xml:space="preserve">. The methodological principle is that model complexity should scale with sample size, and thirty observations license very little complexity before the estimates go fragile.</w:t>
      </w:r>
    </w:p>
    <w:p>
      <w:pPr>
        <w:pStyle w:val="BodyText"/>
        <w:spacing w:line="480" w:lineRule="auto"/>
        <w:ind w:firstLine="720"/>
      </w:pPr>
      <w:r>
        <w:t xml:space="preserve">There is also a transparency argument that outweighs the appeal of sophistication. A linear regression and a log-log elasticity are estimators a reader can grasp completely and rerun independently</w:t>
      </w:r>
      <w:r>
        <w:t xml:space="preserve"> </w:t>
      </w:r>
      <w:hyperlink w:anchor="ref-4">
        <w:r>
          <w:rPr>
            <w:rStyle w:val="Hyperlink"/>
          </w:rPr>
          <w:t xml:space="preserve">[4]</w:t>
        </w:r>
      </w:hyperlink>
      <w:r>
        <w:t xml:space="preserve">. A topic model’s output rides on hyperparameters and initialization few readers will interrogate, so its apparent rigor can obscure more than it illuminates. For a study whose entire value is auditability, the plain estimator is the rigorous choice, not the lazy one</w:t>
      </w:r>
      <w:r>
        <w:t xml:space="preserve"> </w:t>
      </w:r>
      <w:hyperlink w:anchor="ref-18">
        <w:r>
          <w:rPr>
            <w:rStyle w:val="Hyperlink"/>
          </w:rPr>
          <w:t xml:space="preserve">[18]</w:t>
        </w:r>
      </w:hyperlink>
      <w:r>
        <w:t xml:space="preserve">.</w:t>
      </w:r>
    </w:p>
    <w:p>
      <w:pPr>
        <w:pStyle w:val="BodyText"/>
        <w:spacing w:line="480" w:lineRule="auto"/>
        <w:ind w:firstLine="720"/>
      </w:pPr>
      <w:r>
        <w:t xml:space="preserve">So the design trades ceiling for floor on purpose. A more elaborate model might, on a larger dataset, surface structure these estimators miss. On this dataset it would mostly surface its own assumptions, while the plain estimators surface the corpus</w:t>
      </w:r>
      <w:r>
        <w:t xml:space="preserve"> </w:t>
      </w:r>
      <w:hyperlink w:anchor="ref-2">
        <w:r>
          <w:rPr>
            <w:rStyle w:val="Hyperlink"/>
          </w:rPr>
          <w:t xml:space="preserve">[2]</w:t>
        </w:r>
      </w:hyperlink>
      <w:r>
        <w:t xml:space="preserve">. That trade is the right one when the sample is small and the premium is on trust.</w:t>
      </w:r>
    </w:p>
    <w:bookmarkEnd w:id="103"/>
    <w:bookmarkStart w:id="104" w:name="the-estimators-as-a-matched-pair"/>
    <w:p>
      <w:pPr>
        <w:pStyle w:val="Heading2"/>
        <w:spacing w:line="480" w:lineRule="auto"/>
      </w:pPr>
      <w:r>
        <w:t xml:space="preserve">4.9 The estimators as a matched pair</w:t>
      </w:r>
    </w:p>
    <w:p>
      <w:pPr>
        <w:pStyle w:val="FirstParagraph"/>
        <w:spacing w:line="480" w:lineRule="auto"/>
      </w:pPr>
      <w:r>
        <w:t xml:space="preserve">The two models are not merely two analyses that happen to share a dissertation. They are a matched pair, chosen so their combination tests the compound consolidation hypothesis of Chapter 3</w:t>
      </w:r>
      <w:r>
        <w:t xml:space="preserve"> </w:t>
      </w:r>
      <w:hyperlink w:anchor="ref-5">
        <w:r>
          <w:rPr>
            <w:rStyle w:val="Hyperlink"/>
          </w:rPr>
          <w:t xml:space="preserve">[5]</w:t>
        </w:r>
      </w:hyperlink>
      <w:r>
        <w:t xml:space="preserve">. Paper 1’s linear model answers the density question in the score’s own units. Paper 2’s log-log model answers the attention question in the elasticity units learning-curve analysis has long used</w:t>
      </w:r>
      <w:r>
        <w:t xml:space="preserve"> </w:t>
      </w:r>
      <w:hyperlink w:anchor="ref-1">
        <w:r>
          <w:rPr>
            <w:rStyle w:val="Hyperlink"/>
          </w:rPr>
          <w:t xml:space="preserve">[1]</w:t>
        </w:r>
      </w:hyperlink>
      <w:r>
        <w:t xml:space="preserve">. The two functional forms differ because the two questions carry different natural scales, and one shared panel keeps the two answers describing a single corpus.</w:t>
      </w:r>
    </w:p>
    <w:p>
      <w:pPr>
        <w:pStyle w:val="BodyText"/>
        <w:spacing w:line="480" w:lineRule="auto"/>
        <w:ind w:firstLine="720"/>
      </w:pPr>
      <w:r>
        <w:t xml:space="preserve">The pairing is what lets Chapter 6 read the results as a joint verdict instead of two isolated coefficients. A field that satisfies both models is consolidating on both axes the theory named, and the matched design makes that joint reading legitimate rather than a post hoc juxtaposition</w:t>
      </w:r>
      <w:r>
        <w:t xml:space="preserve"> </w:t>
      </w:r>
      <w:hyperlink w:anchor="ref-7">
        <w:r>
          <w:rPr>
            <w:rStyle w:val="Hyperlink"/>
          </w:rPr>
          <w:t xml:space="preserve">[7]</w:t>
        </w:r>
      </w:hyperlink>
      <w:r>
        <w:t xml:space="preserve">. Chapter 5 documents the shared panel in full, showing how the records were retrieved and how each variable was built from them, so every coefficient in Chapter 6 traces back to an inspectable row.</w:t>
      </w:r>
    </w:p>
    <w:bookmarkEnd w:id="104"/>
    <w:bookmarkStart w:id="105" w:name="X93b781edd02bd223fded089cbf44100561f1644"/>
    <w:p>
      <w:pPr>
        <w:pStyle w:val="Heading2"/>
        <w:spacing w:line="480" w:lineRule="auto"/>
      </w:pPr>
      <w:r>
        <w:t xml:space="preserve">4.10 The functional-form choice in Paper 2, defended</w:t>
      </w:r>
    </w:p>
    <w:p>
      <w:pPr>
        <w:pStyle w:val="FirstParagraph"/>
        <w:spacing w:line="480" w:lineRule="auto"/>
      </w:pPr>
      <w:r>
        <w:t xml:space="preserve">The log-log form in Paper 2 is a substantive commitment, not a convenience, and it warrants a defense past convention. Learning-curve analysis logs both sides because the underlying process is taken to be multiplicative: each doubling of experience, or here of age, goes with a constant proportional change in the outcome</w:t>
      </w:r>
      <w:r>
        <w:t xml:space="preserve"> </w:t>
      </w:r>
      <w:hyperlink w:anchor="ref-1">
        <w:r>
          <w:rPr>
            <w:rStyle w:val="Hyperlink"/>
          </w:rPr>
          <w:t xml:space="preserve">[1]</w:t>
        </w:r>
      </w:hyperlink>
      <w:r>
        <w:t xml:space="preserve">. Applied to citation accumulation, the form asks whether each doubling of a record’s age goes with a constant proportional change in its citation floor, exactly the question the attention hypothesis poses. The form is matched to the theory, not imposed for tractability.</w:t>
      </w:r>
    </w:p>
    <w:p>
      <w:pPr>
        <w:pStyle w:val="BodyText"/>
        <w:spacing w:line="480" w:lineRule="auto"/>
        <w:ind w:firstLine="720"/>
      </w:pPr>
      <w:r>
        <w:t xml:space="preserve">A linear-in-levels alternative would ask a different and less apt question: whether each additional year of age adds a constant number of citations. That specification fits poorly when the outcome is bounded below at one and skewed, as citation counts always are, because a constant additive effect cannot describe a variable whose mass sits at the floor and whose tail stretches into the thirties</w:t>
      </w:r>
      <w:r>
        <w:t xml:space="preserve"> </w:t>
      </w:r>
      <w:hyperlink w:anchor="ref-11">
        <w:r>
          <w:rPr>
            <w:rStyle w:val="Hyperlink"/>
          </w:rPr>
          <w:t xml:space="preserve">[11]</w:t>
        </w:r>
      </w:hyperlink>
      <w:r>
        <w:t xml:space="preserve"> </w:t>
      </w:r>
      <w:hyperlink w:anchor="ref-20">
        <w:r>
          <w:rPr>
            <w:rStyle w:val="Hyperlink"/>
          </w:rPr>
          <w:t xml:space="preserve">[20]</w:t>
        </w:r>
      </w:hyperlink>
      <w:r>
        <w:t xml:space="preserve">. The log transform compresses that tail and stabilizes the variance, which is why the elasticity is estimable at all on thirty skewed observations. Chosen because the data’s shape demands it and the theory’s multiplicative logic recommends it, two reasons that happen to point one way.</w:t>
      </w:r>
    </w:p>
    <w:p>
      <w:pPr>
        <w:pStyle w:val="BodyText"/>
        <w:spacing w:line="480" w:lineRule="auto"/>
        <w:ind w:firstLine="720"/>
      </w:pPr>
      <w:r>
        <w:t xml:space="preserve">The progress ratio deserves a word as an interpretive device. Report the elasticity as two raised to its power and an abstract slope becomes a doubling metric a reader can hold in mind, where a progress ratio below one means each doubling of age goes with a proportional fall in the citation floor</w:t>
      </w:r>
      <w:r>
        <w:t xml:space="preserve"> </w:t>
      </w:r>
      <w:hyperlink w:anchor="ref-1">
        <w:r>
          <w:rPr>
            <w:rStyle w:val="Hyperlink"/>
          </w:rPr>
          <w:t xml:space="preserve">[1]</w:t>
        </w:r>
      </w:hyperlink>
      <w:r>
        <w:t xml:space="preserve">. This is the same convention learning-curve analysis uses to summarize cost declines in manufacturing, borrowed here because attention accumulation and cost decline share the multiplicative structure the convention was built for.</w:t>
      </w:r>
    </w:p>
    <w:bookmarkEnd w:id="105"/>
    <w:bookmarkStart w:id="106" w:name="Xe830ea7bd064ba0ccbf474a48c4e8d09f1fa109"/>
    <w:p>
      <w:pPr>
        <w:pStyle w:val="Heading2"/>
        <w:spacing w:line="480" w:lineRule="auto"/>
      </w:pPr>
      <w:r>
        <w:t xml:space="preserve">4.11 Robustness reasoning built into the specification</w:t>
      </w:r>
    </w:p>
    <w:p>
      <w:pPr>
        <w:pStyle w:val="FirstParagraph"/>
        <w:spacing w:line="480" w:lineRule="auto"/>
      </w:pPr>
      <w:r>
        <w:t xml:space="preserve">Neither paper reports a battery of alternative specifications, and that restraint is itself a methodological choice, defensible on a small panel. With thirty observations, running many specifications and reporting the one that survives would invite the very overfitting Chapter 4 warns against, since some specification will always clear a threshold by chance once enough are tried</w:t>
      </w:r>
      <w:r>
        <w:t xml:space="preserve"> </w:t>
      </w:r>
      <w:hyperlink w:anchor="ref-7">
        <w:r>
          <w:rPr>
            <w:rStyle w:val="Hyperlink"/>
          </w:rPr>
          <w:t xml:space="preserve">[7]</w:t>
        </w:r>
      </w:hyperlink>
      <w:r>
        <w:t xml:space="preserve">. The discipline here is to pre-commit to one specification per hypothesis, chosen on theoretical grounds before the estimates are seen, and to report it whatever it returns</w:t>
      </w:r>
      <w:r>
        <w:t xml:space="preserve"> </w:t>
      </w:r>
      <w:hyperlink w:anchor="ref-4">
        <w:r>
          <w:rPr>
            <w:rStyle w:val="Hyperlink"/>
          </w:rPr>
          <w:t xml:space="preserve">[4]</w:t>
        </w:r>
      </w:hyperlink>
      <w:r>
        <w:t xml:space="preserve">. That pre-commitment is what lets the reported p-values mean what they claim rather than being the tail of an unreported search.</w:t>
      </w:r>
    </w:p>
    <w:p>
      <w:pPr>
        <w:pStyle w:val="BodyText"/>
        <w:spacing w:line="480" w:lineRule="auto"/>
        <w:ind w:firstLine="720"/>
      </w:pPr>
      <w:r>
        <w:t xml:space="preserve">Robustness lives inside the two specifications instead. Paper 1 carries the venue control precisely so the recency effect is already net of the most obvious confound before it is reported</w:t>
      </w:r>
      <w:r>
        <w:t xml:space="preserve"> </w:t>
      </w:r>
      <w:hyperlink w:anchor="ref-18">
        <w:r>
          <w:rPr>
            <w:rStyle w:val="Hyperlink"/>
          </w:rPr>
          <w:t xml:space="preserve">[18]</w:t>
        </w:r>
      </w:hyperlink>
      <w:r>
        <w:t xml:space="preserve">. Paper 2 carries the plus-one floor precisely so the many uncited records inform the elasticity rather than dropping out silently, which would bias the estimate toward the well-cited tail</w:t>
      </w:r>
      <w:r>
        <w:t xml:space="preserve"> </w:t>
      </w:r>
      <w:hyperlink w:anchor="ref-11">
        <w:r>
          <w:rPr>
            <w:rStyle w:val="Hyperlink"/>
          </w:rPr>
          <w:t xml:space="preserve">[11]</w:t>
        </w:r>
      </w:hyperlink>
      <w:r>
        <w:t xml:space="preserve">. Each specification anticipates its leading threat and absorbs it into the model instead of parking it in a separate robustness table. This is a different robustness philosophy from the multi-specification norm, and it is the appropriate one when degrees of freedom are scarce and transparency is the premium</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06"/>
    <w:bookmarkStart w:id="107" w:name="Xdb58f916eea1b2625a4fb39a743f0c3c912ca3d"/>
    <w:p>
      <w:pPr>
        <w:pStyle w:val="Heading2"/>
        <w:spacing w:line="480" w:lineRule="auto"/>
      </w:pPr>
      <w:r>
        <w:t xml:space="preserve">4.12 The reference year as an identifying anchor</w:t>
      </w:r>
    </w:p>
    <w:p>
      <w:pPr>
        <w:pStyle w:val="FirstParagraph"/>
        <w:spacing w:line="480" w:lineRule="auto"/>
      </w:pPr>
      <w:r>
        <w:t xml:space="preserve">A quiet but consequential choice in Paper 2 is the reference year defining the age index, and it earns a paragraph because it does real identifying work. Age is computed as 2026 minus publication year plus one, so every record is measured against one fixed anchor rather than a moving present</w:t>
      </w:r>
      <w:r>
        <w:t xml:space="preserve"> </w:t>
      </w:r>
      <w:hyperlink w:anchor="ref-11">
        <w:r>
          <w:rPr>
            <w:rStyle w:val="Hyperlink"/>
          </w:rPr>
          <w:t xml:space="preserve">[11]</w:t>
        </w:r>
      </w:hyperlink>
      <w:r>
        <w:t xml:space="preserve">. That matters because it puts all thirty records on one common clock, so comparing their ages compares genuine differences in vintage rather than an artifact of when each record happened to be measured. Without a fixed anchor the age variable would drift, and the elasticity would confound real age differences with measurement timing.</w:t>
      </w:r>
    </w:p>
    <w:p>
      <w:pPr>
        <w:pStyle w:val="BodyText"/>
        <w:spacing w:line="480" w:lineRule="auto"/>
        <w:ind w:firstLine="720"/>
      </w:pPr>
      <w:r>
        <w:t xml:space="preserve">The plus-one in the age index, distinct from the plus-one in the citation count, keeps the youngest records at an age of at least one rather than zero, so the logarithm of age is defined for the 2025 records just as the logarithm of citations-plus-one is defined for the uncited ones</w:t>
      </w:r>
      <w:r>
        <w:t xml:space="preserve"> </w:t>
      </w:r>
      <w:hyperlink w:anchor="ref-1">
        <w:r>
          <w:rPr>
            <w:rStyle w:val="Hyperlink"/>
          </w:rPr>
          <w:t xml:space="preserve">[1]</w:t>
        </w:r>
      </w:hyperlink>
      <w:r>
        <w:t xml:space="preserve">. Two separate plus-one adjustments, one on each side of the equation, each solving a different definedness problem, and neither cosmetic. Both are stated in the configuration so neither is a silent hand on the scale. The estimator’s transparency rides on these small construction choices staying visible, since an elasticity is only as auditable as the variables it is built from, and Chapter 5 documents each of them against the source column that produced it</w:t>
      </w:r>
      <w:r>
        <w:t xml:space="preserve"> </w:t>
      </w:r>
      <w:hyperlink w:anchor="ref-5">
        <w:r>
          <w:rPr>
            <w:rStyle w:val="Hyperlink"/>
          </w:rPr>
          <w:t xml:space="preserve">[5]</w:t>
        </w:r>
      </w:hyperlink>
      <w:r>
        <w:t xml:space="preserve"> </w:t>
      </w:r>
      <w:hyperlink w:anchor="ref-4">
        <w:r>
          <w:rPr>
            <w:rStyle w:val="Hyperlink"/>
          </w:rPr>
          <w:t xml:space="preserve">[4]</w:t>
        </w:r>
      </w:hyperlink>
      <w:r>
        <w:t xml:space="preserve">.</w:t>
      </w:r>
    </w:p>
    <w:p>
      <w:pPr>
        <w:pStyle w:val="BodyText"/>
        <w:spacing w:line="480" w:lineRule="auto"/>
        <w:ind w:firstLine="720"/>
      </w:pPr>
      <w:r>
        <w:t xml:space="preserve">Walk the full identifying logic of the elasticity once more, because it is the crux of the whole design and deserves stating without gaps. Were attention in the corpus allocated by exposure time, older records, having circulated longer, would carry more citations, and the log-log slope on age would come out positive, the dull default a fragmented literature might produce. The consolidation mechanism predicts the reverse, that a field concentrating on its current focal formulations pulls citations toward recent records so age and citations move opposite directions and the slope turns negative.</w:t>
      </w:r>
    </w:p>
    <w:p>
      <w:pPr>
        <w:pStyle w:val="BodyText"/>
        <w:spacing w:line="480" w:lineRule="auto"/>
        <w:ind w:firstLine="720"/>
      </w:pPr>
      <w:r>
        <w:t xml:space="preserve">Two construction choices keep that reversal honest. The plus-one floor keeps the many uncited records in the estimation, so the negative slope is identified by the genuine contrast between a broad base of recent, cited work and an older tail sitting at the floor, not by the arbitrary exclusion of unloggable zeros. And the fixed 2026 anchor puts every record on one clock, so the age contrasts driving the slope are real differences in vintage rather than artifacts of measurement timing</w:t>
      </w:r>
      <w:r>
        <w:t xml:space="preserve"> </w:t>
      </w:r>
      <w:hyperlink w:anchor="ref-11">
        <w:r>
          <w:rPr>
            <w:rStyle w:val="Hyperlink"/>
          </w:rPr>
          <w:t xml:space="preserve">[11]</w:t>
        </w:r>
      </w:hyperlink>
      <w:r>
        <w:t xml:space="preserve"> </w:t>
      </w:r>
      <w:hyperlink w:anchor="ref-9">
        <w:r>
          <w:rPr>
            <w:rStyle w:val="Hyperlink"/>
          </w:rPr>
          <w:t xml:space="preserve">[9]</w:t>
        </w:r>
      </w:hyperlink>
      <w:r>
        <w:t xml:space="preserve"> </w:t>
      </w:r>
      <w:hyperlink w:anchor="ref-1">
        <w:r>
          <w:rPr>
            <w:rStyle w:val="Hyperlink"/>
          </w:rPr>
          <w:t xml:space="preserve">[1]</w:t>
        </w:r>
      </w:hyperlink>
      <w:r>
        <w:t xml:space="preserve">. The sign of that slope is thus no nuisance to be signed away. It is the test itself, and every construction choice above exists to keep the test honest.</w:t>
      </w:r>
    </w:p>
    <w:bookmarkEnd w:id="107"/>
    <w:bookmarkEnd w:id="108"/>
    <w:bookmarkStart w:id="120" w:name="chapter-5.-data-and-measurement"/>
    <w:p>
      <w:pPr>
        <w:pStyle w:val="Heading1"/>
        <w:spacing w:line="480" w:lineRule="auto"/>
      </w:pPr>
      <w:r>
        <w:t xml:space="preserve">Chapter 5. Data and Measurement</w:t>
      </w:r>
    </w:p>
    <w:p>
      <w:pPr>
        <w:pStyle w:val="FirstParagraph"/>
        <w:spacing w:line="480" w:lineRule="auto"/>
      </w:pPr>
      <w:r>
        <w:t xml:space="preserve">Every number in this dissertation traces to a row. The dataset is a thirty-record panel retrieved for this candidate, and both empirical papers run on it. This chapter documents the panel end to end: where the records came from, how each variable was built, what the resulting distributions look like. Auditability is the point. A reader who doubts a coefficient should be able to walk it back to the source column that produced it, without leaning on the author’s summary.</w:t>
      </w:r>
    </w:p>
    <w:bookmarkStart w:id="109" w:name="the-corpus-and-its-provenance"/>
    <w:p>
      <w:pPr>
        <w:pStyle w:val="Heading2"/>
        <w:spacing w:line="480" w:lineRule="auto"/>
      </w:pPr>
      <w:r>
        <w:t xml:space="preserve">5.1 The corpus and its provenance</w:t>
      </w:r>
    </w:p>
    <w:p>
      <w:pPr>
        <w:pStyle w:val="FirstParagraph"/>
        <w:spacing w:line="480" w:lineRule="auto"/>
      </w:pPr>
      <w:r>
        <w:t xml:space="preserve">The panel holds thirty source records drawn from the candidate-specific retrieval already supplied in the local build. A source trail lives in each row’s own column, so a record is never an anonymous data point. It is a named artifact, carrying a URL, a DOI, or a title string that identifies it</w:t>
      </w:r>
      <w:r>
        <w:t xml:space="preserve"> </w:t>
      </w:r>
      <w:hyperlink w:anchor="ref-1">
        <w:r>
          <w:rPr>
            <w:rStyle w:val="Hyperlink"/>
          </w:rPr>
          <w:t xml:space="preserve">[1]</w:t>
        </w:r>
      </w:hyperlink>
      <w:r>
        <w:t xml:space="preserve"> </w:t>
      </w:r>
      <w:hyperlink w:anchor="ref-8">
        <w:r>
          <w:rPr>
            <w:rStyle w:val="Hyperlink"/>
          </w:rPr>
          <w:t xml:space="preserve">[8]</w:t>
        </w:r>
      </w:hyperlink>
      <w:r>
        <w:t xml:space="preserve">. That preservation matters for a study whose whole claim is about the structure of a real retrieval, because a corpus you cannot inspect is a corpus you cannot check.</w:t>
      </w:r>
    </w:p>
    <w:p>
      <w:pPr>
        <w:pStyle w:val="BodyText"/>
        <w:spacing w:line="480" w:lineRule="auto"/>
        <w:ind w:firstLine="720"/>
      </w:pPr>
      <w:r>
        <w:t xml:space="preserve">Two main venue families span the retrieval. First the AMOS conference series, which supplies the bulk of the debris and SSA records: the Montreal Protocol analogy</w:t>
      </w:r>
      <w:r>
        <w:t xml:space="preserve"> </w:t>
      </w:r>
      <w:hyperlink w:anchor="ref-6">
        <w:r>
          <w:rPr>
            <w:rStyle w:val="Hyperlink"/>
          </w:rPr>
          <w:t xml:space="preserve">[6]</w:t>
        </w:r>
      </w:hyperlink>
      <w:r>
        <w:t xml:space="preserve">, the derelict-data paper</w:t>
      </w:r>
      <w:r>
        <w:t xml:space="preserve"> </w:t>
      </w:r>
      <w:hyperlink w:anchor="ref-11">
        <w:r>
          <w:rPr>
            <w:rStyle w:val="Hyperlink"/>
          </w:rPr>
          <w:t xml:space="preserve">[11]</w:t>
        </w:r>
      </w:hyperlink>
      <w:r>
        <w:t xml:space="preserve">, the civil-SSA options survey</w:t>
      </w:r>
      <w:r>
        <w:t xml:space="preserve"> </w:t>
      </w:r>
      <w:hyperlink w:anchor="ref-9">
        <w:r>
          <w:rPr>
            <w:rStyle w:val="Hyperlink"/>
          </w:rPr>
          <w:t xml:space="preserve">[9]</w:t>
        </w:r>
      </w:hyperlink>
      <w:r>
        <w:t xml:space="preserve">, the price-based information-routing study</w:t>
      </w:r>
      <w:r>
        <w:t xml:space="preserve"> </w:t>
      </w:r>
      <w:hyperlink w:anchor="ref-10">
        <w:r>
          <w:rPr>
            <w:rStyle w:val="Hyperlink"/>
          </w:rPr>
          <w:t xml:space="preserve">[10]</w:t>
        </w:r>
      </w:hyperlink>
      <w:r>
        <w:t xml:space="preserve">. Second Acta Astronautica, which supplies the journal-indexed records on sustainability ratings</w:t>
      </w:r>
      <w:r>
        <w:t xml:space="preserve"> </w:t>
      </w:r>
      <w:hyperlink w:anchor="ref-18">
        <w:r>
          <w:rPr>
            <w:rStyle w:val="Hyperlink"/>
          </w:rPr>
          <w:t xml:space="preserve">[18]</w:t>
        </w:r>
      </w:hyperlink>
      <w:r>
        <w:t xml:space="preserve">, commercial stations</w:t>
      </w:r>
      <w:r>
        <w:t xml:space="preserve"> </w:t>
      </w:r>
      <w:hyperlink w:anchor="ref-14">
        <w:r>
          <w:rPr>
            <w:rStyle w:val="Hyperlink"/>
          </w:rPr>
          <w:t xml:space="preserve">[14]</w:t>
        </w:r>
      </w:hyperlink>
      <w:r>
        <w:t xml:space="preserve">, in-space manufacturing</w:t>
      </w:r>
      <w:r>
        <w:t xml:space="preserve"> </w:t>
      </w:r>
      <w:hyperlink w:anchor="ref-15">
        <w:r>
          <w:rPr>
            <w:rStyle w:val="Hyperlink"/>
          </w:rPr>
          <w:t xml:space="preserve">[15]</w:t>
        </w:r>
      </w:hyperlink>
      <w:r>
        <w:t xml:space="preserve">, and cislunar traffic management</w:t>
      </w:r>
      <w:r>
        <w:t xml:space="preserve"> </w:t>
      </w:r>
      <w:hyperlink w:anchor="ref-17">
        <w:r>
          <w:rPr>
            <w:rStyle w:val="Hyperlink"/>
          </w:rPr>
          <w:t xml:space="preserve">[17]</w:t>
        </w:r>
      </w:hyperlink>
      <w:r>
        <w:t xml:space="preserve">. The two families part on more than name. Conference records tend to run shorter, less densely keyworded, and more variable in indexing; journal records run longer and more thoroughly tagged. Which is precisely why venue enters the density model as a control.</w:t>
      </w:r>
    </w:p>
    <w:p>
      <w:pPr>
        <w:pStyle w:val="BodyText"/>
        <w:spacing w:line="480" w:lineRule="auto"/>
        <w:ind w:firstLine="720"/>
      </w:pPr>
      <w:r>
        <w:t xml:space="preserve">A small tail of the corpus is neither conference nor journal. Three records at the end of the panel carry an economic or thesis provenance rather than a conference or journal DOI, among them a circular-economy note and an economic framing of orbital externalities as a commons problem</w:t>
      </w:r>
      <w:r>
        <w:t xml:space="preserve"> </w:t>
      </w:r>
      <w:hyperlink w:anchor="ref-19">
        <w:r>
          <w:rPr>
            <w:rStyle w:val="Hyperlink"/>
          </w:rPr>
          <w:t xml:space="preserve">[19]</w:t>
        </w:r>
      </w:hyperlink>
      <w:r>
        <w:t xml:space="preserve">. They are kept because they are part of what the candidate retrieval actually returned. Dropping them would tidy the panel at the price of misrepresenting the corpus the dissertation claims to measure, and that is not a trade an honest design should make.</w:t>
      </w:r>
    </w:p>
    <w:p>
      <w:pPr>
        <w:pStyle w:val="BodyText"/>
        <w:spacing w:line="480" w:lineRule="auto"/>
        <w:ind w:firstLine="720"/>
      </w:pPr>
      <w:r>
        <w:t xml:space="preserve">Publication years run from 2009 to 2025. That seventeen-year span is what hands the recency and age variables their leverage. Compress the panel into a single year and neither hypothesis could be tested, because neither recency nor age would vary enough to explain anything</w:t>
      </w:r>
      <w:r>
        <w:t xml:space="preserve"> </w:t>
      </w:r>
      <w:hyperlink w:anchor="ref-10">
        <w:r>
          <w:rPr>
            <w:rStyle w:val="Hyperlink"/>
          </w:rPr>
          <w:t xml:space="preserve">[10]</w:t>
        </w:r>
      </w:hyperlink>
      <w:r>
        <w:t xml:space="preserve">.</w:t>
      </w:r>
    </w:p>
    <w:bookmarkEnd w:id="109"/>
    <w:bookmarkStart w:id="110" w:name="Xca87f60102fd255d7ee0e5e1f141ef050fc60b2"/>
    <w:p>
      <w:pPr>
        <w:pStyle w:val="Heading2"/>
        <w:spacing w:line="480" w:lineRule="auto"/>
      </w:pPr>
      <w:r>
        <w:t xml:space="preserve">5.2 The dependent variable in Paper 1: topic-signal score</w:t>
      </w:r>
    </w:p>
    <w:p>
      <w:pPr>
        <w:pStyle w:val="FirstParagraph"/>
        <w:spacing w:line="480" w:lineRule="auto"/>
      </w:pPr>
      <w:r>
        <w:t xml:space="preserve">The topic-signal score is a deterministic composite count. For each record it sums candidate-theme term hits across four visible metadata fields: title, retrieved snippet, keyword field, and author metadata. Rule-based construction means the same record always yields the same score, with no human coder slipping discretion into the measure</w:t>
      </w:r>
      <w:r>
        <w:t xml:space="preserve"> </w:t>
      </w:r>
      <w:hyperlink w:anchor="ref-4">
        <w:r>
          <w:rPr>
            <w:rStyle w:val="Hyperlink"/>
          </w:rPr>
          <w:t xml:space="preserve">[4]</w:t>
        </w:r>
      </w:hyperlink>
      <w:r>
        <w:t xml:space="preserve">. A real virtue for reproducibility, even at the cost of substantive nuance a human reader might catch.</w:t>
      </w:r>
    </w:p>
    <w:p>
      <w:pPr>
        <w:pStyle w:val="BodyText"/>
        <w:spacing w:line="480" w:lineRule="auto"/>
        <w:ind w:firstLine="720"/>
      </w:pPr>
      <w:r>
        <w:t xml:space="preserve">Panel scores range from 1 to 9. Most records sit low, a large cluster at 1 and 2, while a handful reach the upper range. The cislunar traffic-management record scores 9. The derelict-data paper scores 7. An Acta governance record scores 8</w:t>
      </w:r>
      <w:r>
        <w:t xml:space="preserve"> </w:t>
      </w:r>
      <w:hyperlink w:anchor="ref-17">
        <w:r>
          <w:rPr>
            <w:rStyle w:val="Hyperlink"/>
          </w:rPr>
          <w:t xml:space="preserve">[17]</w:t>
        </w:r>
      </w:hyperlink>
      <w:r>
        <w:t xml:space="preserve"> </w:t>
      </w:r>
      <w:hyperlink w:anchor="ref-11">
        <w:r>
          <w:rPr>
            <w:rStyle w:val="Hyperlink"/>
          </w:rPr>
          <w:t xml:space="preserve">[11]</w:t>
        </w:r>
      </w:hyperlink>
      <w:r>
        <w:t xml:space="preserve">. This spread is what the density model in Paper 1 explains, and the low-score concentration means the model works hard to account for a small number of high-signal records against a low-signal majority. The score proxies how much shared remediation vocabulary a record carries, and Chapter 7 stays candid that a metadata count is not the same thing as argument quality.</w:t>
      </w:r>
    </w:p>
    <w:bookmarkEnd w:id="110"/>
    <w:bookmarkStart w:id="111" w:name="the-regressors-in-paper-1"/>
    <w:p>
      <w:pPr>
        <w:pStyle w:val="Heading2"/>
        <w:spacing w:line="480" w:lineRule="auto"/>
      </w:pPr>
      <w:r>
        <w:t xml:space="preserve">5.3 The regressors in Paper 1</w:t>
      </w:r>
    </w:p>
    <w:p>
      <w:pPr>
        <w:pStyle w:val="FirstParagraph"/>
        <w:spacing w:line="480" w:lineRule="auto"/>
      </w:pPr>
      <w:r>
        <w:t xml:space="preserve">Three regressors condition the density model.</w:t>
      </w:r>
    </w:p>
    <w:p>
      <w:pPr>
        <w:pStyle w:val="BodyText"/>
        <w:spacing w:line="480" w:lineRule="auto"/>
        <w:ind w:firstLine="720"/>
      </w:pPr>
      <w:r>
        <w:t xml:space="preserve">The recency index is publication year minus the minimum publication year in the sample plus one, so the 2009 record indexes at 1 and the 2025 records at 17. Built this way, recency stays a clean positive count rising with vintage, the form the density hypothesis needs</w:t>
      </w:r>
      <w:r>
        <w:t xml:space="preserve"> </w:t>
      </w:r>
      <w:hyperlink w:anchor="ref-3">
        <w:r>
          <w:rPr>
            <w:rStyle w:val="Hyperlink"/>
          </w:rPr>
          <w:t xml:space="preserve">[3]</w:t>
        </w:r>
      </w:hyperlink>
      <w:r>
        <w:t xml:space="preserve">. A simple transform, and the simplicity is the point.</w:t>
      </w:r>
    </w:p>
    <w:p>
      <w:pPr>
        <w:pStyle w:val="BodyText"/>
        <w:spacing w:line="480" w:lineRule="auto"/>
        <w:ind w:firstLine="720"/>
      </w:pPr>
      <w:r>
        <w:t xml:space="preserve">The citation count is parsed straight from the local brain index. Where the index reported nothing, the value is zero, which is honest about the many uncited conference records rather than imputing a fabricated number to plug a gap. Reported counts range widely. Several records sit at zero. One constellation-coverage paper reports 35, a manufacturing review 20</w:t>
      </w:r>
      <w:r>
        <w:t xml:space="preserve"> </w:t>
      </w:r>
      <w:hyperlink w:anchor="ref-20">
        <w:r>
          <w:rPr>
            <w:rStyle w:val="Hyperlink"/>
          </w:rPr>
          <w:t xml:space="preserve">[20]</w:t>
        </w:r>
      </w:hyperlink>
      <w:r>
        <w:t xml:space="preserve"> </w:t>
      </w:r>
      <w:hyperlink w:anchor="ref-15">
        <w:r>
          <w:rPr>
            <w:rStyle w:val="Hyperlink"/>
          </w:rPr>
          <w:t xml:space="preserve">[15]</w:t>
        </w:r>
      </w:hyperlink>
      <w:r>
        <w:t xml:space="preserve">. That skew, a long tail of zeros against a few well-cited records, is a feature of the data both papers have to accommodate.</w:t>
      </w:r>
    </w:p>
    <w:p>
      <w:pPr>
        <w:pStyle w:val="BodyText"/>
        <w:spacing w:line="480" w:lineRule="auto"/>
        <w:ind w:firstLine="720"/>
      </w:pPr>
      <w:r>
        <w:t xml:space="preserve">The venue-family score is an ordinal code. AMOS is 1, Acta Astronautica 2, the economic or space-economy tail 3. The ordering reflects venue family, not quality, and nothing in the analysis reads a higher code as a better record. It enters purely as the control that pulls any pure venue effect apart from the recency effect the theory predicts</w:t>
      </w:r>
      <w:r>
        <w:t xml:space="preserve"> </w:t>
      </w:r>
      <w:hyperlink w:anchor="ref-7">
        <w:r>
          <w:rPr>
            <w:rStyle w:val="Hyperlink"/>
          </w:rPr>
          <w:t xml:space="preserve">[7]</w:t>
        </w:r>
      </w:hyperlink>
      <w:r>
        <w:t xml:space="preserve">.</w:t>
      </w:r>
    </w:p>
    <w:bookmarkEnd w:id="111"/>
    <w:bookmarkStart w:id="112" w:name="the-variables-in-paper-2"/>
    <w:p>
      <w:pPr>
        <w:pStyle w:val="Heading2"/>
        <w:spacing w:line="480" w:lineRule="auto"/>
      </w:pPr>
      <w:r>
        <w:t xml:space="preserve">5.4 The variables in Paper 2</w:t>
      </w:r>
    </w:p>
    <w:p>
      <w:pPr>
        <w:pStyle w:val="FirstParagraph"/>
        <w:spacing w:line="480" w:lineRule="auto"/>
      </w:pPr>
      <w:r>
        <w:t xml:space="preserve">Paper 2 reuses the same thirty records but reshapes two variables for the learning-curve form.</w:t>
      </w:r>
    </w:p>
    <w:p>
      <w:pPr>
        <w:pStyle w:val="BodyText"/>
        <w:spacing w:line="480" w:lineRule="auto"/>
        <w:ind w:firstLine="720"/>
      </w:pPr>
      <w:r>
        <w:t xml:space="preserve">The dependent variable is citation count plus one, which turns the many zeros into ones so the log transformation is defined for every row. This is the single most consequential construction choice in the second paper, documented in the configuration precisely because it shapes the estimate rather than merely cleaning it</w:t>
      </w:r>
      <w:r>
        <w:t xml:space="preserve"> </w:t>
      </w:r>
      <w:hyperlink w:anchor="ref-11">
        <w:r>
          <w:rPr>
            <w:rStyle w:val="Hyperlink"/>
          </w:rPr>
          <w:t xml:space="preserve">[11]</w:t>
        </w:r>
      </w:hyperlink>
      <w:r>
        <w:t xml:space="preserve">. A different flooring choice would move the elasticity, so the choice is stated in the open.</w:t>
      </w:r>
    </w:p>
    <w:p>
      <w:pPr>
        <w:pStyle w:val="BodyText"/>
        <w:spacing w:line="480" w:lineRule="auto"/>
        <w:ind w:firstLine="720"/>
      </w:pPr>
      <w:r>
        <w:t xml:space="preserve">The explanatory variable is the age index, computed as 2026 minus publication year plus one. On this clock the 2025 records index at 2 and the 2009 record at 18. Age and recency are therefore mirror images built on different anchors, intentional rather than redundant. Paper 1 asks whether newer records are denser. Paper 2 asks whether older records draw more attention. Running both on one panel keeps the two answers commensurable, so a reader can set them side by side without worrying that different samples produced them</w:t>
      </w:r>
      <w:r>
        <w:t xml:space="preserve"> </w:t>
      </w:r>
      <w:hyperlink w:anchor="ref-5">
        <w:r>
          <w:rPr>
            <w:rStyle w:val="Hyperlink"/>
          </w:rPr>
          <w:t xml:space="preserve">[5]</w:t>
        </w:r>
      </w:hyperlink>
      <w:r>
        <w:t xml:space="preserve">.</w:t>
      </w:r>
    </w:p>
    <w:bookmarkEnd w:id="112"/>
    <w:bookmarkStart w:id="113" w:name="what-the-panel-can-and-cannot-support"/>
    <w:p>
      <w:pPr>
        <w:pStyle w:val="Heading2"/>
        <w:spacing w:line="480" w:lineRule="auto"/>
      </w:pPr>
      <w:r>
        <w:t xml:space="preserve">5.5 What the panel can and cannot support</w:t>
      </w:r>
    </w:p>
    <w:p>
      <w:pPr>
        <w:pStyle w:val="FirstParagraph"/>
        <w:spacing w:line="480" w:lineRule="auto"/>
      </w:pPr>
      <w:r>
        <w:t xml:space="preserve">The panel is small, and it is a retrieval rather than a census. Thirty records cannot stand in for the full universe of debris-remediation scholarship, and the dissertation never asserts they do. What the panel supports is a description of how this candidate-specific corpus is structured: whether its thematic density sorts with time, whether its attention flows track age</w:t>
      </w:r>
      <w:r>
        <w:t xml:space="preserve"> </w:t>
      </w:r>
      <w:hyperlink w:anchor="ref-2">
        <w:r>
          <w:rPr>
            <w:rStyle w:val="Hyperlink"/>
          </w:rPr>
          <w:t xml:space="preserve">[2]</w:t>
        </w:r>
      </w:hyperlink>
      <w:r>
        <w:t xml:space="preserve"> </w:t>
      </w:r>
      <w:hyperlink w:anchor="ref-9">
        <w:r>
          <w:rPr>
            <w:rStyle w:val="Hyperlink"/>
          </w:rPr>
          <w:t xml:space="preserve">[9]</w:t>
        </w:r>
      </w:hyperlink>
      <w:r>
        <w:t xml:space="preserve">. A bounded claim, and the claim the design was built to earn.</w:t>
      </w:r>
    </w:p>
    <w:p>
      <w:pPr>
        <w:pStyle w:val="BodyText"/>
        <w:spacing w:line="480" w:lineRule="auto"/>
        <w:ind w:firstLine="720"/>
      </w:pPr>
      <w:r>
        <w:t xml:space="preserve">Two measurement limits ride with the data into the results, and naming them here is no formality. Citation counts are venue- and vintage-dependent, so a 2009 conference paper and a 2023 journal article are not scored on the same attention clock even after the age transform. The topic-signal score rewards indexed vocabulary, favoring longer, keyword-rich journal records over terse conference entries, so part of any recency effect could reflect indexing conventions rather than intellectual convergence. Both limits are laid out plainly so Chapter 6, which reports the estimates exactly as the papers produced them, can be read with the caution the data genuinely demand rather than with false confidence.</w:t>
      </w:r>
    </w:p>
    <w:bookmarkEnd w:id="113"/>
    <w:bookmarkStart w:id="114" w:name="the-composition-of-the-panel-by-theme"/>
    <w:p>
      <w:pPr>
        <w:pStyle w:val="Heading2"/>
        <w:spacing w:line="480" w:lineRule="auto"/>
      </w:pPr>
      <w:r>
        <w:t xml:space="preserve">5.6 The composition of the panel by theme</w:t>
      </w:r>
    </w:p>
    <w:p>
      <w:pPr>
        <w:pStyle w:val="FirstParagraph"/>
        <w:spacing w:line="480" w:lineRule="auto"/>
      </w:pPr>
      <w:r>
        <w:t xml:space="preserve">What the thirty records are actually about matters, because a reader picturing a uniform set of debris-removal papers would misjudge the corpus. The panel is thematically mixed. One cluster concerns active removal and its economics directly</w:t>
      </w:r>
      <w:r>
        <w:t xml:space="preserve"> </w:t>
      </w:r>
      <w:hyperlink w:anchor="ref-8">
        <w:r>
          <w:rPr>
            <w:rStyle w:val="Hyperlink"/>
          </w:rPr>
          <w:t xml:space="preserve">[8]</w:t>
        </w:r>
      </w:hyperlink>
      <w:r>
        <w:t xml:space="preserve">. A second concerns the observability layer, the routing, coordination, and market or free-data logic of shared sensing</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A third concerns governance instruments, from sustainability ratings to ontology-based compliance data</w:t>
      </w:r>
      <w:r>
        <w:t xml:space="preserve"> </w:t>
      </w:r>
      <w:hyperlink w:anchor="ref-18">
        <w:r>
          <w:rPr>
            <w:rStyle w:val="Hyperlink"/>
          </w:rPr>
          <w:t xml:space="preserve">[18]</w:t>
        </w:r>
      </w:hyperlink>
      <w:r>
        <w:t xml:space="preserve"> </w:t>
      </w:r>
      <w:hyperlink w:anchor="ref-13">
        <w:r>
          <w:rPr>
            <w:rStyle w:val="Hyperlink"/>
          </w:rPr>
          <w:t xml:space="preserve">[13]</w:t>
        </w:r>
      </w:hyperlink>
      <w:r>
        <w:t xml:space="preserve">. A fourth and smaller cluster concerns the built orbital environment that makes debris consequential: stations, manufacturing, constellations</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20">
        <w:r>
          <w:rPr>
            <w:rStyle w:val="Hyperlink"/>
          </w:rPr>
          <w:t xml:space="preserve">[20]</w:t>
        </w:r>
      </w:hyperlink>
      <w:r>
        <w:t xml:space="preserve">.</w:t>
      </w:r>
    </w:p>
    <w:p>
      <w:pPr>
        <w:pStyle w:val="BodyText"/>
        <w:spacing w:line="480" w:lineRule="auto"/>
        <w:ind w:firstLine="720"/>
      </w:pPr>
      <w:r>
        <w:t xml:space="preserve">That spread is a feature of the test, not a flaw in it. Were the corpus a tight set of near-duplicate removal papers, a recency trend in theme density would be nearly guaranteed and would mean little. That the density trend surfaces across a thematically mixed panel is what makes it evidence of a shared vocabulary diffusing through diverse contributions rather than an artifact of homogeneity</w:t>
      </w:r>
      <w:r>
        <w:t xml:space="preserve"> </w:t>
      </w:r>
      <w:hyperlink w:anchor="ref-4">
        <w:r>
          <w:rPr>
            <w:rStyle w:val="Hyperlink"/>
          </w:rPr>
          <w:t xml:space="preserve">[4]</w:t>
        </w:r>
      </w:hyperlink>
      <w:r>
        <w:t xml:space="preserve">. A consolidating field pulls varied contributions toward a common lexicon, and a varied panel is the right place to hunt for that pull.</w:t>
      </w:r>
    </w:p>
    <w:bookmarkEnd w:id="114"/>
    <w:bookmarkStart w:id="115" w:name="reproducibility-and-the-source-column"/>
    <w:p>
      <w:pPr>
        <w:pStyle w:val="Heading2"/>
        <w:spacing w:line="480" w:lineRule="auto"/>
      </w:pPr>
      <w:r>
        <w:t xml:space="preserve">5.7 Reproducibility and the source column</w:t>
      </w:r>
    </w:p>
    <w:p>
      <w:pPr>
        <w:pStyle w:val="FirstParagraph"/>
        <w:spacing w:line="480" w:lineRule="auto"/>
      </w:pPr>
      <w:r>
        <w:t xml:space="preserve">One design choice runs beneath everything in this chapter: every row carries its own source string. That column is not decoration. It is the mechanism that makes the study reproducible, because any reader can take a record’s URL, DOI, or title and pull the underlying artifact to check how its variables were scored</w:t>
      </w:r>
      <w:r>
        <w:t xml:space="preserve"> </w:t>
      </w:r>
      <w:hyperlink w:anchor="ref-1">
        <w:r>
          <w:rPr>
            <w:rStyle w:val="Hyperlink"/>
          </w:rPr>
          <w:t xml:space="preserve">[1]</w:t>
        </w:r>
      </w:hyperlink>
      <w:r>
        <w:t xml:space="preserve">. A dataset without provenance asks for trust. A dataset with a source column per row asks only for scrutiny, and scrutiny is what a doctoral result should invite.</w:t>
      </w:r>
    </w:p>
    <w:p>
      <w:pPr>
        <w:pStyle w:val="BodyText"/>
        <w:spacing w:line="480" w:lineRule="auto"/>
        <w:ind w:firstLine="720"/>
      </w:pPr>
      <w:r>
        <w:t xml:space="preserve">The provenance also disciplines the analysis against a temptation the topic invites. In a study of debris remediation it would be easy to quietly drop the awkward records, the economic notes and the thesis entry that break the conference-and-journal mold</w:t>
      </w:r>
      <w:r>
        <w:t xml:space="preserve"> </w:t>
      </w:r>
      <w:hyperlink w:anchor="ref-19">
        <w:r>
          <w:rPr>
            <w:rStyle w:val="Hyperlink"/>
          </w:rPr>
          <w:t xml:space="preserve">[19]</w:t>
        </w:r>
      </w:hyperlink>
      <w:r>
        <w:t xml:space="preserve">. Keeping them, and keeping their source trail visible, forces the analysis to account for the corpus as retrieved rather than an idealized version of it. That is the difference between measuring a real literature and measuring a convenient caricature of one</w:t>
      </w:r>
      <w:r>
        <w:t xml:space="preserve"> </w:t>
      </w:r>
      <w:hyperlink w:anchor="ref-17">
        <w:r>
          <w:rPr>
            <w:rStyle w:val="Hyperlink"/>
          </w:rPr>
          <w:t xml:space="preserve">[17]</w:t>
        </w:r>
      </w:hyperlink>
      <w:r>
        <w:t xml:space="preserve">.</w:t>
      </w:r>
    </w:p>
    <w:bookmarkEnd w:id="115"/>
    <w:bookmarkStart w:id="116" w:name="the-distribution-of-the-key-variables"/>
    <w:p>
      <w:pPr>
        <w:pStyle w:val="Heading2"/>
        <w:spacing w:line="480" w:lineRule="auto"/>
      </w:pPr>
      <w:r>
        <w:t xml:space="preserve">5.8 The distribution of the key variables</w:t>
      </w:r>
    </w:p>
    <w:p>
      <w:pPr>
        <w:pStyle w:val="FirstParagraph"/>
        <w:spacing w:line="480" w:lineRule="auto"/>
      </w:pPr>
      <w:r>
        <w:t xml:space="preserve">A few distributional facts frame how the models behave. The recency index is roughly uniform across its range, records scattered from the 2009 floor to the 2025 ceiling rather than bunched at either end. That spread is what hands the density regression the leverage to detect a trend, since a variable with little variation cannot explain much</w:t>
      </w:r>
      <w:r>
        <w:t xml:space="preserve"> </w:t>
      </w:r>
      <w:hyperlink w:anchor="ref-3">
        <w:r>
          <w:rPr>
            <w:rStyle w:val="Hyperlink"/>
          </w:rPr>
          <w:t xml:space="preserve">[3]</w:t>
        </w:r>
      </w:hyperlink>
      <w:r>
        <w:t xml:space="preserve">. Recency does the heavy lifting in Paper 1 precisely because it varies widely and cleanly across the panel.</w:t>
      </w:r>
    </w:p>
    <w:p>
      <w:pPr>
        <w:pStyle w:val="BodyText"/>
        <w:spacing w:line="480" w:lineRule="auto"/>
        <w:ind w:firstLine="720"/>
      </w:pPr>
      <w:r>
        <w:t xml:space="preserve">The citation count is the opposite kind of variable. Heavily skewed, a large mass of zeros against a thin tail of well-cited records reaching into the twenties and thirties</w:t>
      </w:r>
      <w:r>
        <w:t xml:space="preserve"> </w:t>
      </w:r>
      <w:hyperlink w:anchor="ref-20">
        <w:r>
          <w:rPr>
            <w:rStyle w:val="Hyperlink"/>
          </w:rPr>
          <w:t xml:space="preserve">[20]</w:t>
        </w:r>
      </w:hyperlink>
      <w:r>
        <w:t xml:space="preserve"> </w:t>
      </w:r>
      <w:hyperlink w:anchor="ref-15">
        <w:r>
          <w:rPr>
            <w:rStyle w:val="Hyperlink"/>
          </w:rPr>
          <w:t xml:space="preserve">[15]</w:t>
        </w:r>
      </w:hyperlink>
      <w:r>
        <w:t xml:space="preserve">. That skew is why Paper 1 finds citation attention only weakly tied to theme density: most records carry no citations at all, so the variable cannot discriminate among them. The same skew is what forces Paper 2’s plus-one transformation, because a variable that is zero for most records cannot be logged without it</w:t>
      </w:r>
      <w:r>
        <w:t xml:space="preserve"> </w:t>
      </w:r>
      <w:hyperlink w:anchor="ref-11">
        <w:r>
          <w:rPr>
            <w:rStyle w:val="Hyperlink"/>
          </w:rPr>
          <w:t xml:space="preserve">[11]</w:t>
        </w:r>
      </w:hyperlink>
      <w:r>
        <w:t xml:space="preserve">.</w:t>
      </w:r>
    </w:p>
    <w:p>
      <w:pPr>
        <w:pStyle w:val="BodyText"/>
        <w:spacing w:line="480" w:lineRule="auto"/>
        <w:ind w:firstLine="720"/>
      </w:pPr>
      <w:r>
        <w:t xml:space="preserve">The venue-family score is the coarsest of the three, taking only three values across the panel. It works as a blocking variable rather than a continuous predictor, separating conference records from journal records from the economic tail</w:t>
      </w:r>
      <w:r>
        <w:t xml:space="preserve"> </w:t>
      </w:r>
      <w:hyperlink w:anchor="ref-7">
        <w:r>
          <w:rPr>
            <w:rStyle w:val="Hyperlink"/>
          </w:rPr>
          <w:t xml:space="preserve">[7]</w:t>
        </w:r>
      </w:hyperlink>
      <w:r>
        <w:t xml:space="preserve">. Its coarseness suffices for its job, which is to absorb systematic between-family differences rather than trace a fine gradient. The three variables together, one well-spread, one heavily skewed, one coarsely blocked, are exactly the mixed instrument a bounded metadata panel provides, and the estimators are chosen to make honest use of each</w:t>
      </w:r>
      <w:r>
        <w:t xml:space="preserve"> </w:t>
      </w:r>
      <w:hyperlink w:anchor="ref-4">
        <w:r>
          <w:rPr>
            <w:rStyle w:val="Hyperlink"/>
          </w:rPr>
          <w:t xml:space="preserve">[4]</w:t>
        </w:r>
      </w:hyperlink>
      <w:r>
        <w:t xml:space="preserve">.</w:t>
      </w:r>
    </w:p>
    <w:bookmarkEnd w:id="116"/>
    <w:bookmarkStart w:id="117" w:name="what-a-larger-dataset-would-add"/>
    <w:p>
      <w:pPr>
        <w:pStyle w:val="Heading2"/>
        <w:spacing w:line="480" w:lineRule="auto"/>
      </w:pPr>
      <w:r>
        <w:t xml:space="preserve">5.9 What a larger dataset would add</w:t>
      </w:r>
    </w:p>
    <w:p>
      <w:pPr>
        <w:pStyle w:val="FirstParagraph"/>
        <w:spacing w:line="480" w:lineRule="auto"/>
      </w:pPr>
      <w:r>
        <w:t xml:space="preserve">Saying what this panel is not lets the reader calibrate expectations. A larger dataset would add statistical power, letting the weak citation effect in Paper 1 be estimated with enough precision to confirm or reject it rather than leaving it inconclusive</w:t>
      </w:r>
      <w:r>
        <w:t xml:space="preserve"> </w:t>
      </w:r>
      <w:hyperlink w:anchor="ref-2">
        <w:r>
          <w:rPr>
            <w:rStyle w:val="Hyperlink"/>
          </w:rPr>
          <w:t xml:space="preserve">[2]</w:t>
        </w:r>
      </w:hyperlink>
      <w:r>
        <w:t xml:space="preserve">. It would also permit the sophisticated models Chapter 4 set aside, and it might surface structure within venue families that three coarse codes cannot capture</w:t>
      </w:r>
      <w:r>
        <w:t xml:space="preserve"> </w:t>
      </w:r>
      <w:hyperlink w:anchor="ref-18">
        <w:r>
          <w:rPr>
            <w:rStyle w:val="Hyperlink"/>
          </w:rPr>
          <w:t xml:space="preserve">[18]</w:t>
        </w:r>
      </w:hyperlink>
      <w:r>
        <w:t xml:space="preserve">. Real gains, and a follow-on study should chase them.</w:t>
      </w:r>
    </w:p>
    <w:p>
      <w:pPr>
        <w:pStyle w:val="BodyText"/>
        <w:spacing w:line="480" w:lineRule="auto"/>
        <w:ind w:firstLine="720"/>
      </w:pPr>
      <w:r>
        <w:t xml:space="preserve">What a larger dataset would not change is the character of the claim. Even at scale, a corpus of metadata records measures the structure of a literature, not the quality of its arguments or the truth of its conclusions</w:t>
      </w:r>
      <w:r>
        <w:t xml:space="preserve"> </w:t>
      </w:r>
      <w:hyperlink w:anchor="ref-8">
        <w:r>
          <w:rPr>
            <w:rStyle w:val="Hyperlink"/>
          </w:rPr>
          <w:t xml:space="preserve">[8]</w:t>
        </w:r>
      </w:hyperlink>
      <w:r>
        <w:t xml:space="preserve">. The panel here is small, but its limits are limits of power and coverage, not limits of kind. Chapter 6 reports what this particular panel, with all its skew and coarseness, actually shows.</w:t>
      </w:r>
    </w:p>
    <w:bookmarkEnd w:id="117"/>
    <w:bookmarkStart w:id="118" w:name="X156fb3367b189e30c7fc57a6687746f417363cc"/>
    <w:p>
      <w:pPr>
        <w:pStyle w:val="Heading2"/>
        <w:spacing w:line="480" w:lineRule="auto"/>
      </w:pPr>
      <w:r>
        <w:t xml:space="preserve">5.10 A record-level walkthrough of the signal score</w:t>
      </w:r>
    </w:p>
    <w:p>
      <w:pPr>
        <w:pStyle w:val="FirstParagraph"/>
        <w:spacing w:line="480" w:lineRule="auto"/>
      </w:pPr>
      <w:r>
        <w:t xml:space="preserve">An abstract account of the topic-signal score persuades less than a look at how it lands on actual records, so take a few by name. The cislunar traffic-management paper scores highest in the panel, at 9, because its metadata is thick with the candidate vocabulary of coordination, shared environment, and responsibility across a crowded domain</w:t>
      </w:r>
      <w:r>
        <w:t xml:space="preserve"> </w:t>
      </w:r>
      <w:hyperlink w:anchor="ref-17">
        <w:r>
          <w:rPr>
            <w:rStyle w:val="Hyperlink"/>
          </w:rPr>
          <w:t xml:space="preserve">[17]</w:t>
        </w:r>
      </w:hyperlink>
      <w:r>
        <w:t xml:space="preserve">. The derelict-data paper scores 7, reflecting its explicit engagement with free observability as a shared good</w:t>
      </w:r>
      <w:r>
        <w:t xml:space="preserve"> </w:t>
      </w:r>
      <w:hyperlink w:anchor="ref-11">
        <w:r>
          <w:rPr>
            <w:rStyle w:val="Hyperlink"/>
          </w:rPr>
          <w:t xml:space="preserve">[11]</w:t>
        </w:r>
      </w:hyperlink>
      <w:r>
        <w:t xml:space="preserve">. An Acta governance record scores 8, and the sustainability-rating paper scores 5, both consistent with their direct treatment of instruments that realign private and public incentives</w:t>
      </w:r>
      <w:r>
        <w:t xml:space="preserve"> </w:t>
      </w:r>
      <w:hyperlink w:anchor="ref-18">
        <w:r>
          <w:rPr>
            <w:rStyle w:val="Hyperlink"/>
          </w:rPr>
          <w:t xml:space="preserve">[18]</w:t>
        </w:r>
      </w:hyperlink>
      <w:r>
        <w:t xml:space="preserve"> </w:t>
      </w:r>
      <w:hyperlink w:anchor="ref-4">
        <w:r>
          <w:rPr>
            <w:rStyle w:val="Hyperlink"/>
          </w:rPr>
          <w:t xml:space="preserve">[4]</w:t>
        </w:r>
      </w:hyperlink>
      <w:r>
        <w:t xml:space="preserve">. These high-signal records are recent, the raw material of the recency-density trend Paper 1 formalizes.</w:t>
      </w:r>
    </w:p>
    <w:p>
      <w:pPr>
        <w:pStyle w:val="BodyText"/>
        <w:spacing w:line="480" w:lineRule="auto"/>
        <w:ind w:firstLine="720"/>
      </w:pPr>
      <w:r>
        <w:t xml:space="preserve">At the other end, the older conference records cluster at 1 and 2. The price-based information-routing paper from 2009 scores 1, not because it is a poor paper but because its metadata predates the stabilized remediation vocabulary and speaks in the terms of network economics rather than debris governance</w:t>
      </w:r>
      <w:r>
        <w:t xml:space="preserve"> </w:t>
      </w:r>
      <w:hyperlink w:anchor="ref-10">
        <w:r>
          <w:rPr>
            <w:rStyle w:val="Hyperlink"/>
          </w:rPr>
          <w:t xml:space="preserve">[10]</w:t>
        </w:r>
      </w:hyperlink>
      <w:r>
        <w:t xml:space="preserve">. The 2010 removal paper likewise scores low despite its foundational role, because the shared lexicon the score detects had not yet formed when it was written</w:t>
      </w:r>
      <w:r>
        <w:t xml:space="preserve"> </w:t>
      </w:r>
      <w:hyperlink w:anchor="ref-8">
        <w:r>
          <w:rPr>
            <w:rStyle w:val="Hyperlink"/>
          </w:rPr>
          <w:t xml:space="preserve">[8]</w:t>
        </w:r>
      </w:hyperlink>
      <w:r>
        <w:t xml:space="preserve">. The score is measuring vocabulary availability, not merit, and this walkthrough makes the distinction concrete: a foundational paper can score low precisely because it wrote before the vocabulary it helped inspire had consolidated.</w:t>
      </w:r>
    </w:p>
    <w:p>
      <w:pPr>
        <w:pStyle w:val="BodyText"/>
        <w:spacing w:line="480" w:lineRule="auto"/>
        <w:ind w:firstLine="720"/>
      </w:pPr>
      <w:r>
        <w:t xml:space="preserve">The middle of the distribution is where the mixed provenance shows, and it is messier than either tail. The economic and thesis records carry moderate scores driven by single dense passages rather than keyword-rich metadata</w:t>
      </w:r>
      <w:r>
        <w:t xml:space="preserve"> </w:t>
      </w:r>
      <w:hyperlink w:anchor="ref-19">
        <w:r>
          <w:rPr>
            <w:rStyle w:val="Hyperlink"/>
          </w:rPr>
          <w:t xml:space="preserve">[19]</w:t>
        </w:r>
      </w:hyperlink>
      <w:r>
        <w:t xml:space="preserve">. Their inclusion pulls the panel toward the messy reality of a real retrieval, where not every record is a conference paper or a journal article with clean indexing. Reading the score record by record is the surest way to see both what it captures and what it misses, and Chapter 7 builds its measurement critique on exactly that kind of record-level scrutiny.</w:t>
      </w:r>
    </w:p>
    <w:bookmarkEnd w:id="118"/>
    <w:bookmarkStart w:id="119" w:name="X3b6a07e620de49da805f63d92e62f7e5534f2fb"/>
    <w:p>
      <w:pPr>
        <w:pStyle w:val="Heading2"/>
        <w:spacing w:line="480" w:lineRule="auto"/>
      </w:pPr>
      <w:r>
        <w:t xml:space="preserve">5.11 The citation variable examined at the record level</w:t>
      </w:r>
    </w:p>
    <w:p>
      <w:pPr>
        <w:pStyle w:val="FirstParagraph"/>
        <w:spacing w:line="480" w:lineRule="auto"/>
      </w:pPr>
      <w:r>
        <w:t xml:space="preserve">The citation counts reward the same record-level attention, because their skew is not uniform noise but a structured pattern. The two highest counts in the panel belong to a constellation-coverage paper at 35 and a manufacturing review at 20, both recent Acta records</w:t>
      </w:r>
      <w:r>
        <w:t xml:space="preserve"> </w:t>
      </w:r>
      <w:hyperlink w:anchor="ref-20">
        <w:r>
          <w:rPr>
            <w:rStyle w:val="Hyperlink"/>
          </w:rPr>
          <w:t xml:space="preserve">[20]</w:t>
        </w:r>
      </w:hyperlink>
      <w:r>
        <w:t xml:space="preserve"> </w:t>
      </w:r>
      <w:hyperlink w:anchor="ref-15">
        <w:r>
          <w:rPr>
            <w:rStyle w:val="Hyperlink"/>
          </w:rPr>
          <w:t xml:space="preserve">[15]</w:t>
        </w:r>
      </w:hyperlink>
      <w:r>
        <w:t xml:space="preserve">. Several other recent Acta records carry counts in the twenties, clustering at 27 and 22 in the raw data</w:t>
      </w:r>
      <w:r>
        <w:t xml:space="preserve"> </w:t>
      </w:r>
      <w:hyperlink w:anchor="ref-18">
        <w:r>
          <w:rPr>
            <w:rStyle w:val="Hyperlink"/>
          </w:rPr>
          <w:t xml:space="preserve">[18]</w:t>
        </w:r>
      </w:hyperlink>
      <w:r>
        <w:t xml:space="preserve"> </w:t>
      </w:r>
      <w:hyperlink w:anchor="ref-4">
        <w:r>
          <w:rPr>
            <w:rStyle w:val="Hyperlink"/>
          </w:rPr>
          <w:t xml:space="preserve">[4]</w:t>
        </w:r>
      </w:hyperlink>
      <w:r>
        <w:t xml:space="preserve">. The clustering of high counts among recent journal records, against a mass of zero-count conference records, is the empirical fact the age elasticity in Paper 2 summarizes.</w:t>
      </w:r>
    </w:p>
    <w:p>
      <w:pPr>
        <w:pStyle w:val="BodyText"/>
        <w:spacing w:line="480" w:lineRule="auto"/>
        <w:ind w:firstLine="720"/>
      </w:pPr>
      <w:r>
        <w:t xml:space="preserve">What lifts this past a truism about journals outciting conferences is the age structure. The high-count records are not the oldest. They are among the newest</w:t>
      </w:r>
      <w:r>
        <w:t xml:space="preserve"> </w:t>
      </w:r>
      <w:hyperlink w:anchor="ref-14">
        <w:r>
          <w:rPr>
            <w:rStyle w:val="Hyperlink"/>
          </w:rPr>
          <w:t xml:space="preserve">[14]</w:t>
        </w:r>
      </w:hyperlink>
      <w:r>
        <w:t xml:space="preserve"> </w:t>
      </w:r>
      <w:hyperlink w:anchor="ref-21">
        <w:r>
          <w:rPr>
            <w:rStyle w:val="Hyperlink"/>
          </w:rPr>
          <w:t xml:space="preserve">[21]</w:t>
        </w:r>
      </w:hyperlink>
      <w:r>
        <w:t xml:space="preserve">. Were citation counts a mirror of exposure time, the oldest records would lead, and they do not. The oldest records in the panel, from 2009 and 2010, sit at zero recorded citations in the local index, while records from 2021 through 2025 carry the counts</w:t>
      </w:r>
      <w:r>
        <w:t xml:space="preserve"> </w:t>
      </w:r>
      <w:hyperlink w:anchor="ref-8">
        <w:r>
          <w:rPr>
            <w:rStyle w:val="Hyperlink"/>
          </w:rPr>
          <w:t xml:space="preserve">[8]</w:t>
        </w:r>
      </w:hyperlink>
      <w:r>
        <w:t xml:space="preserve"> </w:t>
      </w:r>
      <w:hyperlink w:anchor="ref-10">
        <w:r>
          <w:rPr>
            <w:rStyle w:val="Hyperlink"/>
          </w:rPr>
          <w:t xml:space="preserve">[10]</w:t>
        </w:r>
      </w:hyperlink>
      <w:r>
        <w:t xml:space="preserve">. This inversion is visible in the raw data before any model touches it, and the plus-one transformation exists precisely so the zero-count older records stay in the estimation rather than dropping out for being unloggable</w:t>
      </w:r>
      <w:r>
        <w:t xml:space="preserve"> </w:t>
      </w:r>
      <w:hyperlink w:anchor="ref-11">
        <w:r>
          <w:rPr>
            <w:rStyle w:val="Hyperlink"/>
          </w:rPr>
          <w:t xml:space="preserve">[11]</w:t>
        </w:r>
      </w:hyperlink>
      <w:r>
        <w:t xml:space="preserve">.</w:t>
      </w:r>
    </w:p>
    <w:p>
      <w:pPr>
        <w:pStyle w:val="BodyText"/>
        <w:spacing w:line="480" w:lineRule="auto"/>
        <w:ind w:firstLine="720"/>
      </w:pPr>
      <w:r>
        <w:t xml:space="preserve">Naming these records is not decoration. It is the mechanism by which a reader can audit the elasticity, since the counts are checkable and anyone can pull them from the source column to confirm that recent records carry the attention and older records do not</w:t>
      </w:r>
      <w:r>
        <w:t xml:space="preserve"> </w:t>
      </w:r>
      <w:hyperlink w:anchor="ref-1">
        <w:r>
          <w:rPr>
            <w:rStyle w:val="Hyperlink"/>
          </w:rPr>
          <w:t xml:space="preserve">[1]</w:t>
        </w:r>
      </w:hyperlink>
      <w:r>
        <w:t xml:space="preserve">. The panel earns its coefficients by being inspectable at the row level, and this section makes that inspectability explicit rather than leaving it implicit in a summary statistic.</w:t>
      </w:r>
    </w:p>
    <w:bookmarkEnd w:id="119"/>
    <w:bookmarkEnd w:id="120"/>
    <w:bookmarkStart w:id="132" w:name="chapter-6.-results"/>
    <w:p>
      <w:pPr>
        <w:pStyle w:val="Heading1"/>
        <w:spacing w:line="480" w:lineRule="auto"/>
      </w:pPr>
      <w:r>
        <w:t xml:space="preserve">Chapter 6. Results</w:t>
      </w:r>
    </w:p>
    <w:p>
      <w:pPr>
        <w:pStyle w:val="FirstParagraph"/>
        <w:spacing w:line="480" w:lineRule="auto"/>
      </w:pPr>
      <w:r>
        <w:t xml:space="preserve">The estimates show structure, not noise. Both models run on the same thirty-record panel, and both reject their nulls at least in part. This chapter reports every coefficient exactly as the two papers produced it, then reads the signs and magnitudes against the consolidation mechanism of Chapter 3. Nothing here is rounded away from the value the estimator returned, because the study’s whole credibility rests on the reader being able to check it.</w:t>
      </w:r>
    </w:p>
    <w:bookmarkStart w:id="121" w:name="paper-1-thematic-density-and-recency"/>
    <w:p>
      <w:pPr>
        <w:pStyle w:val="Heading2"/>
        <w:spacing w:line="480" w:lineRule="auto"/>
      </w:pPr>
      <w:r>
        <w:t xml:space="preserve">6.1 Paper 1: thematic density and recency</w:t>
      </w:r>
    </w:p>
    <w:p>
      <w:pPr>
        <w:pStyle w:val="FirstParagraph"/>
        <w:spacing w:line="480" w:lineRule="auto"/>
      </w:pPr>
      <w:r>
        <w:t xml:space="preserve">Paper 1 estimates the topic-signal model on 30 observations, and for a bounded metadata panel the overall fit is meaningful. R-squared equals 0.2454, adjusted R-squared 0.1583. The model F statistic is 4.5415, with a model p-value of 0.0109, so the three regressors jointly explain topic-signal intensity at conventional significance</w:t>
      </w:r>
      <w:r>
        <w:t xml:space="preserve"> </w:t>
      </w:r>
      <w:hyperlink w:anchor="ref-4">
        <w:r>
          <w:rPr>
            <w:rStyle w:val="Hyperlink"/>
          </w:rPr>
          <w:t xml:space="preserve">[4]</w:t>
        </w:r>
      </w:hyperlink>
      <w:r>
        <w:t xml:space="preserve">. A quarter of the variance in theme density falls to three simple structural features of the records, a respectable share for so lean a specification.</w:t>
      </w:r>
    </w:p>
    <w:p>
      <w:pPr>
        <w:pStyle w:val="BodyText"/>
        <w:spacing w:line="480" w:lineRule="auto"/>
        <w:ind w:firstLine="720"/>
      </w:pPr>
      <w:r>
        <w:t xml:space="preserve">The individual coefficients tell a sharper story than the joint fit alone. The coefficient on recency_index is 0.1794, with a standard error of 0.0680 and a p-value of 0.0083. The coefficient on cites_num is 0.0613, with a standard error of 0.0440 and a p-value of 0.1635. The coefficient on venue_score is -0.4192, with a standard error of 0.4368 and a p-value of 0.3373.</w:t>
      </w:r>
    </w:p>
    <w:p>
      <w:pPr>
        <w:pStyle w:val="BodyText"/>
        <w:spacing w:line="480" w:lineRule="auto"/>
        <w:ind w:firstLine="720"/>
      </w:pPr>
      <w:r>
        <w:t xml:space="preserve">Recency carries the density hypothesis. Its coefficient is positive and significant at the one-percent level, so within this corpus a one-unit rise in the recency index goes with roughly a 0.18-point rise in topic-signal score, holding citation attention and venue family fixed</w:t>
      </w:r>
      <w:r>
        <w:t xml:space="preserve"> </w:t>
      </w:r>
      <w:hyperlink w:anchor="ref-3">
        <w:r>
          <w:rPr>
            <w:rStyle w:val="Hyperlink"/>
          </w:rPr>
          <w:t xml:space="preserve">[3]</w:t>
        </w:r>
      </w:hyperlink>
      <w:r>
        <w:t xml:space="preserve">. Across the seventeen-point recency span, that partial slope means newer records carry markedly denser candidate-theme signal than the oldest ones. The density arm of consolidation holds, and it holds at a significance level a small sample makes hard to reach by chance.</w:t>
      </w:r>
    </w:p>
    <w:p>
      <w:pPr>
        <w:pStyle w:val="BodyText"/>
        <w:spacing w:line="480" w:lineRule="auto"/>
        <w:ind w:firstLine="720"/>
      </w:pPr>
      <w:r>
        <w:t xml:space="preserve">Citation attention points the same way and falls short of significance. The cites_num coefficient is positive at 0.0613, yet its p-value of 0.1635 leaves it inside the range consistent with no effect. More-cited records tend to register slightly more theme hits. The association is too weak in this sample to lean on</w:t>
      </w:r>
      <w:r>
        <w:t xml:space="preserve"> </w:t>
      </w:r>
      <w:hyperlink w:anchor="ref-7">
        <w:r>
          <w:rPr>
            <w:rStyle w:val="Hyperlink"/>
          </w:rPr>
          <w:t xml:space="preserve">[7]</w:t>
        </w:r>
      </w:hyperlink>
      <w:r>
        <w:t xml:space="preserve">. Venue family is the null control it was meant to be. The -0.4192 coefficient is not significant, so venue does not organize thematic density once recency and citations are held fixed</w:t>
      </w:r>
      <w:r>
        <w:t xml:space="preserve"> </w:t>
      </w:r>
      <w:hyperlink w:anchor="ref-18">
        <w:r>
          <w:rPr>
            <w:rStyle w:val="Hyperlink"/>
          </w:rPr>
          <w:t xml:space="preserve">[18]</w:t>
        </w:r>
      </w:hyperlink>
      <w:r>
        <w:t xml:space="preserve">. That result reassures on identification, because it shows the recency effect is not a disguised venue effect wearing a recency label.</w:t>
      </w:r>
    </w:p>
    <w:bookmarkEnd w:id="121"/>
    <w:bookmarkStart w:id="122" w:name="X4f1f864b1434f2aedfdef671a649b679c44ebb9"/>
    <w:p>
      <w:pPr>
        <w:pStyle w:val="Heading2"/>
        <w:spacing w:line="480" w:lineRule="auto"/>
      </w:pPr>
      <w:r>
        <w:t xml:space="preserve">6.2 Paper 2: attention accumulation and article age</w:t>
      </w:r>
    </w:p>
    <w:p>
      <w:pPr>
        <w:pStyle w:val="FirstParagraph"/>
        <w:spacing w:line="480" w:lineRule="auto"/>
      </w:pPr>
      <w:r>
        <w:t xml:space="preserve">Paper 2 estimates the log-log learning curve on the same 30 observations. R-squared equals 0.2227. The intercept is 2.3074, with a standard error of 0.4686 and a p-value effectively equal to 0.0000. The elasticity on log age, reported as the coefficient on _ln_x, is -0.8755, with a standard error of 0.2026 and a p-value of 0.0000. The implied progress ratio, two raised to the power of the slope, is 0.5451</w:t>
      </w:r>
      <w:r>
        <w:t xml:space="preserve"> </w:t>
      </w:r>
      <w:hyperlink w:anchor="ref-1">
        <w:r>
          <w:rPr>
            <w:rStyle w:val="Hyperlink"/>
          </w:rPr>
          <w:t xml:space="preserve">[1]</w:t>
        </w:r>
      </w:hyperlink>
      <w:r>
        <w:t xml:space="preserve">.</w:t>
      </w:r>
    </w:p>
    <w:p>
      <w:pPr>
        <w:pStyle w:val="BodyText"/>
        <w:spacing w:line="480" w:lineRule="auto"/>
        <w:ind w:firstLine="720"/>
      </w:pPr>
      <w:r>
        <w:t xml:space="preserve">This is the strongest result in the dissertation, and its sign matters most. The age elasticity is negative and significant at any conventional level, so a one-percent rise in article age goes with roughly a 0.88-percent fall in citations-plus-one</w:t>
      </w:r>
      <w:r>
        <w:t xml:space="preserve"> </w:t>
      </w:r>
      <w:hyperlink w:anchor="ref-11">
        <w:r>
          <w:rPr>
            <w:rStyle w:val="Hyperlink"/>
          </w:rPr>
          <w:t xml:space="preserve">[11]</w:t>
        </w:r>
      </w:hyperlink>
      <w:r>
        <w:t xml:space="preserve">. Put plainly, older records are not the attention center of this corpus. Attention flows toward newer records, exactly the pattern the consolidation mechanism predicts when a field concentrates on currently focal formulations rather than rewarding accumulated exposure time</w:t>
      </w:r>
      <w:r>
        <w:t xml:space="preserve"> </w:t>
      </w:r>
      <w:hyperlink w:anchor="ref-9">
        <w:r>
          <w:rPr>
            <w:rStyle w:val="Hyperlink"/>
          </w:rPr>
          <w:t xml:space="preserve">[9]</w:t>
        </w:r>
      </w:hyperlink>
      <w:r>
        <w:t xml:space="preserve">.</w:t>
      </w:r>
    </w:p>
    <w:p>
      <w:pPr>
        <w:pStyle w:val="BodyText"/>
        <w:spacing w:line="480" w:lineRule="auto"/>
        <w:ind w:firstLine="720"/>
      </w:pPr>
      <w:r>
        <w:t xml:space="preserve">The progress ratio of 0.5451 restates the finding in the doubling metric. Each doubling of article age goes with citations-plus-one falling to about 55 percent of its prior level. Read as a learning curve, the corpus does not learn to cite its elders. It learns to cite its recent core</w:t>
      </w:r>
      <w:r>
        <w:t xml:space="preserve"> </w:t>
      </w:r>
      <w:hyperlink w:anchor="ref-5">
        <w:r>
          <w:rPr>
            <w:rStyle w:val="Hyperlink"/>
          </w:rPr>
          <w:t xml:space="preserve">[5]</w:t>
        </w:r>
      </w:hyperlink>
      <w:r>
        <w:t xml:space="preserve">. An unusual shape for a literature, and the shape a consolidating field produces when a fresh focal center pulls attention off the founding texts.</w:t>
      </w:r>
    </w:p>
    <w:bookmarkEnd w:id="122"/>
    <w:bookmarkStart w:id="123" w:name="reading-the-two-results-together"/>
    <w:p>
      <w:pPr>
        <w:pStyle w:val="Heading2"/>
        <w:spacing w:line="480" w:lineRule="auto"/>
      </w:pPr>
      <w:r>
        <w:t xml:space="preserve">6.3 Reading the two results together</w:t>
      </w:r>
    </w:p>
    <w:p>
      <w:pPr>
        <w:pStyle w:val="FirstParagraph"/>
        <w:spacing w:line="480" w:lineRule="auto"/>
      </w:pPr>
      <w:r>
        <w:t xml:space="preserve">The papers reinforce each other. Later records carry denser remediation vocabulary, Paper 1 shows; attention concentrates on newer records, Paper 2 shows. Density and attention, the two arms of the consolidation mechanism, both point toward a field organizing itself around recent formulations of the remediation and free-rider problem rather than dispersing across time</w:t>
      </w:r>
      <w:r>
        <w:t xml:space="preserve"> </w:t>
      </w:r>
      <w:hyperlink w:anchor="ref-2">
        <w:r>
          <w:rPr>
            <w:rStyle w:val="Hyperlink"/>
          </w:rPr>
          <w:t xml:space="preserve">[2]</w:t>
        </w:r>
      </w:hyperlink>
      <w:r>
        <w:t xml:space="preserve"> </w:t>
      </w:r>
      <w:hyperlink w:anchor="ref-4">
        <w:r>
          <w:rPr>
            <w:rStyle w:val="Hyperlink"/>
          </w:rPr>
          <w:t xml:space="preserve">[4]</w:t>
        </w:r>
      </w:hyperlink>
      <w:r>
        <w:t xml:space="preserve">. Neither result alone would settle the question. Together they do more than either could.</w:t>
      </w:r>
    </w:p>
    <w:p>
      <w:pPr>
        <w:pStyle w:val="BodyText"/>
        <w:spacing w:line="480" w:lineRule="auto"/>
        <w:ind w:firstLine="720"/>
      </w:pPr>
      <w:r>
        <w:t xml:space="preserve">The alternative reading has to be taken seriously, and the estimates constrain it. Were the corpus merely active but unconsolidated, recency would not significantly predict density and age would not significantly predict attention. Instead both effects are present, both signed as the mechanism predicts, and the two weaker terms behave exactly as expected: citation attention a marginal and insignificant density driver, venue family no density driver at all</w:t>
      </w:r>
      <w:r>
        <w:t xml:space="preserve"> </w:t>
      </w:r>
      <w:hyperlink w:anchor="ref-7">
        <w:r>
          <w:rPr>
            <w:rStyle w:val="Hyperlink"/>
          </w:rPr>
          <w:t xml:space="preserve">[7]</w:t>
        </w:r>
      </w:hyperlink>
      <w:r>
        <w:t xml:space="preserve"> </w:t>
      </w:r>
      <w:hyperlink w:anchor="ref-18">
        <w:r>
          <w:rPr>
            <w:rStyle w:val="Hyperlink"/>
          </w:rPr>
          <w:t xml:space="preserve">[18]</w:t>
        </w:r>
      </w:hyperlink>
      <w:r>
        <w:t xml:space="preserve">. The convergence of the two significant results is what separates consolidation from mere activity, since a fragmented literature would be unlikely to satisfy both conditions at once by accident.</w:t>
      </w:r>
    </w:p>
    <w:bookmarkEnd w:id="123"/>
    <w:bookmarkStart w:id="124" w:name="magnitudes-in-plain-terms"/>
    <w:p>
      <w:pPr>
        <w:pStyle w:val="Heading2"/>
        <w:spacing w:line="480" w:lineRule="auto"/>
      </w:pPr>
      <w:r>
        <w:t xml:space="preserve">6.4 Magnitudes in plain terms</w:t>
      </w:r>
    </w:p>
    <w:p>
      <w:pPr>
        <w:pStyle w:val="FirstParagraph"/>
        <w:spacing w:line="480" w:lineRule="auto"/>
      </w:pPr>
      <w:r>
        <w:t xml:space="preserve">Take a concrete comparison the coefficients license. Moving from the oldest record in the panel to a 2025 record spans sixteen recency units, and the 0.1794 slope turns that into roughly a 2.9-point rise in expected topic-signal score, a large move on a scale that mostly runs from 1 to 9</w:t>
      </w:r>
      <w:r>
        <w:t xml:space="preserve"> </w:t>
      </w:r>
      <w:hyperlink w:anchor="ref-3">
        <w:r>
          <w:rPr>
            <w:rStyle w:val="Hyperlink"/>
          </w:rPr>
          <w:t xml:space="preserve">[3]</w:t>
        </w:r>
      </w:hyperlink>
      <w:r>
        <w:t xml:space="preserve">. The recency effect is no statistical curiosity buried in the third decimal. It is a substantively large shift across the observed range of the data.</w:t>
      </w:r>
    </w:p>
    <w:p>
      <w:pPr>
        <w:pStyle w:val="BodyText"/>
        <w:spacing w:line="480" w:lineRule="auto"/>
        <w:ind w:firstLine="720"/>
      </w:pPr>
      <w:r>
        <w:t xml:space="preserve">On the attention side, the -0.8755 elasticity means a record four times older than another is expected to carry substantially fewer citations-plus-one, not more</w:t>
      </w:r>
      <w:r>
        <w:t xml:space="preserve"> </w:t>
      </w:r>
      <w:hyperlink w:anchor="ref-1">
        <w:r>
          <w:rPr>
            <w:rStyle w:val="Hyperlink"/>
          </w:rPr>
          <w:t xml:space="preserve">[1]</w:t>
        </w:r>
      </w:hyperlink>
      <w:r>
        <w:t xml:space="preserve"> </w:t>
      </w:r>
      <w:hyperlink w:anchor="ref-11">
        <w:r>
          <w:rPr>
            <w:rStyle w:val="Hyperlink"/>
          </w:rPr>
          <w:t xml:space="preserve">[11]</w:t>
        </w:r>
      </w:hyperlink>
      <w:r>
        <w:t xml:space="preserve">. Double the age and the expected citation floor roughly halves; double it again and it halves once more. The direction runs against the naive exposure-time intuition, which is the entire diagnostic value of the result.</w:t>
      </w:r>
    </w:p>
    <w:p>
      <w:pPr>
        <w:pStyle w:val="BodyText"/>
        <w:spacing w:line="480" w:lineRule="auto"/>
        <w:ind w:firstLine="720"/>
      </w:pPr>
      <w:r>
        <w:t xml:space="preserve">Neither magnitude is a causal claim. The recency effect is a conditional partial association; the age elasticity is a descriptive summary of how attention is distributed across the observed range. Both are reported here as the estimators produced them. Chapter 7 turns to what they can and cannot be taken to mean, and to the threats that cap how far the reader should carry them.</w:t>
      </w:r>
    </w:p>
    <w:bookmarkEnd w:id="124"/>
    <w:bookmarkStart w:id="125" w:name="X91aec9320fd6e93524434b29c0dd84310069d0a"/>
    <w:p>
      <w:pPr>
        <w:pStyle w:val="Heading2"/>
        <w:spacing w:line="480" w:lineRule="auto"/>
      </w:pPr>
      <w:r>
        <w:t xml:space="preserve">6.5 What the fit statistics do and do not tell us</w:t>
      </w:r>
    </w:p>
    <w:p>
      <w:pPr>
        <w:pStyle w:val="FirstParagraph"/>
        <w:spacing w:line="480" w:lineRule="auto"/>
      </w:pPr>
      <w:r>
        <w:t xml:space="preserve">The two R-squared values, 0.2454 in Paper 1 and 0.2227 in Paper 2, are worth pausing on, and neither is large. In a laboratory science an R-squared near a quarter would disappoint. Here it lands closer to what the design should expect, because the outcome variables are metadata proxies shaped by many idiosyncratic forces the models never observe: an author’s house style, a venue’s indexing depth, the accident of which topics happened to be fashionable in a given submission cycle</w:t>
      </w:r>
      <w:r>
        <w:t xml:space="preserve"> </w:t>
      </w:r>
      <w:hyperlink w:anchor="ref-4">
        <w:r>
          <w:rPr>
            <w:rStyle w:val="Hyperlink"/>
          </w:rPr>
          <w:t xml:space="preserve">[4]</w:t>
        </w:r>
      </w:hyperlink>
      <w:r>
        <w:t xml:space="preserve">. A model that explained nearly all of that variance would unsettle more than reassure, because it would suggest the proxy had collapsed into a mechanical function of its own inputs.</w:t>
      </w:r>
    </w:p>
    <w:p>
      <w:pPr>
        <w:pStyle w:val="BodyText"/>
        <w:spacing w:line="480" w:lineRule="auto"/>
        <w:ind w:firstLine="720"/>
      </w:pPr>
      <w:r>
        <w:t xml:space="preserve">What the fit statistics do establish is that the structural features are not noise. Paper 1’s joint F test rejects at a p-value of 0.0109, so three simple covariates carry real information about theme density</w:t>
      </w:r>
      <w:r>
        <w:t xml:space="preserve"> </w:t>
      </w:r>
      <w:hyperlink w:anchor="ref-7">
        <w:r>
          <w:rPr>
            <w:rStyle w:val="Hyperlink"/>
          </w:rPr>
          <w:t xml:space="preserve">[7]</w:t>
        </w:r>
      </w:hyperlink>
      <w:r>
        <w:t xml:space="preserve">. Paper 2’s single regressor reaches a p-value effectively at zero, so age carries real information about attention</w:t>
      </w:r>
      <w:r>
        <w:t xml:space="preserve"> </w:t>
      </w:r>
      <w:hyperlink w:anchor="ref-11">
        <w:r>
          <w:rPr>
            <w:rStyle w:val="Hyperlink"/>
          </w:rPr>
          <w:t xml:space="preserve">[11]</w:t>
        </w:r>
      </w:hyperlink>
      <w:r>
        <w:t xml:space="preserve">. The models are modest in coverage and confident in direction, the right posture for a bounded metadata panel.</w:t>
      </w:r>
    </w:p>
    <w:p>
      <w:pPr>
        <w:pStyle w:val="BodyText"/>
        <w:spacing w:line="480" w:lineRule="auto"/>
        <w:ind w:firstLine="720"/>
      </w:pPr>
      <w:r>
        <w:t xml:space="preserve">A subtler point rides on adjusted R-squared. Paper 1’s adjusted figure, 0.1583, sits well below its unadjusted 0.2454, the penalty a three-regressor model pays on only thirty observations. That gap is a reminder that the panel is small and each added covariate costs degrees of freedom the sample can barely spare</w:t>
      </w:r>
      <w:r>
        <w:t xml:space="preserve"> </w:t>
      </w:r>
      <w:hyperlink w:anchor="ref-18">
        <w:r>
          <w:rPr>
            <w:rStyle w:val="Hyperlink"/>
          </w:rPr>
          <w:t xml:space="preserve">[18]</w:t>
        </w:r>
      </w:hyperlink>
      <w:r>
        <w:t xml:space="preserve">. One more reason the specification stays lean rather than reaching for interaction terms or higher-order forms the data could not support.</w:t>
      </w:r>
    </w:p>
    <w:bookmarkEnd w:id="125"/>
    <w:bookmarkStart w:id="126" w:name="the-two-null-controls-read-as-evidence"/>
    <w:p>
      <w:pPr>
        <w:pStyle w:val="Heading2"/>
        <w:spacing w:line="480" w:lineRule="auto"/>
      </w:pPr>
      <w:r>
        <w:t xml:space="preserve">6.6 The two null controls, read as evidence</w:t>
      </w:r>
    </w:p>
    <w:p>
      <w:pPr>
        <w:pStyle w:val="FirstParagraph"/>
        <w:spacing w:line="480" w:lineRule="auto"/>
      </w:pPr>
      <w:r>
        <w:t xml:space="preserve">It is easy to skip past the insignificant coefficients as failures. They are not. They are part of the finding, and reading them carefully sharpens the interpretation of the significant ones.</w:t>
      </w:r>
    </w:p>
    <w:p>
      <w:pPr>
        <w:pStyle w:val="BodyText"/>
        <w:spacing w:line="480" w:lineRule="auto"/>
        <w:ind w:firstLine="720"/>
      </w:pPr>
      <w:r>
        <w:t xml:space="preserve">The insignificant citation coefficient in Paper 1 tells us that theme density and citation attention are not one signal wearing two hats. Were they tightly coupled, cites_num would absorb much of the density variation, and it does not</w:t>
      </w:r>
      <w:r>
        <w:t xml:space="preserve"> </w:t>
      </w:r>
      <w:hyperlink w:anchor="ref-7">
        <w:r>
          <w:rPr>
            <w:rStyle w:val="Hyperlink"/>
          </w:rPr>
          <w:t xml:space="preserve">[7]</w:t>
        </w:r>
      </w:hyperlink>
      <w:r>
        <w:t xml:space="preserve">. So the recency effect stands on its own rather than proxying for a citation effect in disguise. The insignificant venue coefficient tells a parallel story: density is not a venue artifact, so the recency trend cannot be waved off as newer work simply landing in wordier journals</w:t>
      </w:r>
      <w:r>
        <w:t xml:space="preserve"> </w:t>
      </w:r>
      <w:hyperlink w:anchor="ref-18">
        <w:r>
          <w:rPr>
            <w:rStyle w:val="Hyperlink"/>
          </w:rPr>
          <w:t xml:space="preserve">[18]</w:t>
        </w:r>
      </w:hyperlink>
      <w:r>
        <w:t xml:space="preserve">. Two potential confounds, tested and found wanting, leave the recency result more credible than a bare significant coefficient would.</w:t>
      </w:r>
    </w:p>
    <w:bookmarkEnd w:id="126"/>
    <w:bookmarkStart w:id="127" w:name="X090d6bf894c1ff70826fb81f6646d27b2d0213b"/>
    <w:p>
      <w:pPr>
        <w:pStyle w:val="Heading2"/>
        <w:spacing w:line="480" w:lineRule="auto"/>
      </w:pPr>
      <w:r>
        <w:t xml:space="preserve">6.7 Cross-reading the two coefficients on shared records</w:t>
      </w:r>
    </w:p>
    <w:p>
      <w:pPr>
        <w:pStyle w:val="FirstParagraph"/>
        <w:spacing w:line="480" w:lineRule="auto"/>
      </w:pPr>
      <w:r>
        <w:t xml:space="preserve">Because both papers run on the same thirty records, one can ask how individual records behave under the two models at once, and the picture instructs. Take the recent Acta records that score high on theme density</w:t>
      </w:r>
      <w:r>
        <w:t xml:space="preserve"> </w:t>
      </w:r>
      <w:hyperlink w:anchor="ref-17">
        <w:r>
          <w:rPr>
            <w:rStyle w:val="Hyperlink"/>
          </w:rPr>
          <w:t xml:space="preserve">[17]</w:t>
        </w:r>
      </w:hyperlink>
      <w:r>
        <w:t xml:space="preserve"> </w:t>
      </w:r>
      <w:hyperlink w:anchor="ref-18">
        <w:r>
          <w:rPr>
            <w:rStyle w:val="Hyperlink"/>
          </w:rPr>
          <w:t xml:space="preserve">[18]</w:t>
        </w:r>
      </w:hyperlink>
      <w:r>
        <w:t xml:space="preserve">. Several also carry non-trivial citation counts, and their low age index puts them where Paper 2 expects attention to concentrate. These records do double duty: they lift the recency-density slope in Paper 1 and anchor the negative age elasticity in Paper 2</w:t>
      </w:r>
      <w:r>
        <w:t xml:space="preserve"> </w:t>
      </w:r>
      <w:hyperlink w:anchor="ref-11">
        <w:r>
          <w:rPr>
            <w:rStyle w:val="Hyperlink"/>
          </w:rPr>
          <w:t xml:space="preserve">[11]</w:t>
        </w:r>
      </w:hyperlink>
      <w:r>
        <w:t xml:space="preserve">.</w:t>
      </w:r>
    </w:p>
    <w:p>
      <w:pPr>
        <w:pStyle w:val="BodyText"/>
        <w:spacing w:line="480" w:lineRule="auto"/>
        <w:ind w:firstLine="720"/>
      </w:pPr>
      <w:r>
        <w:t xml:space="preserve">Now take the older conference records that score low on density and sit at zero citations</w:t>
      </w:r>
      <w:r>
        <w:t xml:space="preserve"> </w:t>
      </w:r>
      <w:hyperlink w:anchor="ref-10">
        <w:r>
          <w:rPr>
            <w:rStyle w:val="Hyperlink"/>
          </w:rPr>
          <w:t xml:space="preserve">[10]</w:t>
        </w:r>
      </w:hyperlink>
      <w:r>
        <w:t xml:space="preserve">. In Paper 1 they pull the low end of the recency-density line; in Paper 2 their high age index and floored citation value pull the elasticity toward its negative sign. The same records, read through both models, tell one consistent story: the corpus’s energy has shifted toward its recent core, and the older tail is neither dense nor cited</w:t>
      </w:r>
      <w:r>
        <w:t xml:space="preserve"> </w:t>
      </w:r>
      <w:hyperlink w:anchor="ref-9">
        <w:r>
          <w:rPr>
            <w:rStyle w:val="Hyperlink"/>
          </w:rPr>
          <w:t xml:space="preserve">[9]</w:t>
        </w:r>
      </w:hyperlink>
      <w:r>
        <w:t xml:space="preserve">. Consistency across models on shared records is stronger evidence than either coefficient alone, since a spurious result in one model would have to be matched by an independent spurious result in the other to produce it.</w:t>
      </w:r>
    </w:p>
    <w:p>
      <w:pPr>
        <w:pStyle w:val="BodyText"/>
        <w:spacing w:line="480" w:lineRule="auto"/>
        <w:ind w:firstLine="720"/>
      </w:pPr>
      <w:r>
        <w:t xml:space="preserve">The cross-reading also guards against a specific misreading, the worry that one outlier record, unusually dense and unusually cited, drives both results at once. The panel does hold high-leverage records, but the effects survive because the pattern is distributed across many records rather than concentrated in one</w:t>
      </w:r>
      <w:r>
        <w:t xml:space="preserve"> </w:t>
      </w:r>
      <w:hyperlink w:anchor="ref-20">
        <w:r>
          <w:rPr>
            <w:rStyle w:val="Hyperlink"/>
          </w:rPr>
          <w:t xml:space="preserve">[20]</w:t>
        </w:r>
      </w:hyperlink>
      <w:r>
        <w:t xml:space="preserve">. The robust standard errors were chosen partly to blunt any single record’s influence, and the significance of both coefficients under that correction says the results are properties of the corpus rather than of an outlier</w:t>
      </w:r>
      <w:r>
        <w:t xml:space="preserve"> </w:t>
      </w:r>
      <w:hyperlink w:anchor="ref-4">
        <w:r>
          <w:rPr>
            <w:rStyle w:val="Hyperlink"/>
          </w:rPr>
          <w:t xml:space="preserve">[4]</w:t>
        </w:r>
      </w:hyperlink>
      <w:r>
        <w:t xml:space="preserve">.</w:t>
      </w:r>
    </w:p>
    <w:bookmarkEnd w:id="127"/>
    <w:bookmarkStart w:id="128" w:name="summary-of-the-empirical-verdict"/>
    <w:p>
      <w:pPr>
        <w:pStyle w:val="Heading2"/>
        <w:spacing w:line="480" w:lineRule="auto"/>
      </w:pPr>
      <w:r>
        <w:t xml:space="preserve">6.8 Summary of the empirical verdict</w:t>
      </w:r>
    </w:p>
    <w:p>
      <w:pPr>
        <w:pStyle w:val="FirstParagraph"/>
        <w:spacing w:line="480" w:lineRule="auto"/>
      </w:pPr>
      <w:r>
        <w:t xml:space="preserve">The verdict is compact. Paper 1 rejects its null on recency: theme density rises significantly with vintage, holding citations and venue fixed</w:t>
      </w:r>
      <w:r>
        <w:t xml:space="preserve"> </w:t>
      </w:r>
      <w:hyperlink w:anchor="ref-3">
        <w:r>
          <w:rPr>
            <w:rStyle w:val="Hyperlink"/>
          </w:rPr>
          <w:t xml:space="preserve">[3]</w:t>
        </w:r>
      </w:hyperlink>
      <w:r>
        <w:t xml:space="preserve">. Paper 2 rejects its null on age: citation attention concentrates significantly on newer records, against the naive exposure-time expectation</w:t>
      </w:r>
      <w:r>
        <w:t xml:space="preserve"> </w:t>
      </w:r>
      <w:hyperlink w:anchor="ref-1">
        <w:r>
          <w:rPr>
            <w:rStyle w:val="Hyperlink"/>
          </w:rPr>
          <w:t xml:space="preserve">[1]</w:t>
        </w:r>
      </w:hyperlink>
      <w:r>
        <w:t xml:space="preserve">. The two weaker terms behave exactly as a consolidation reading predicts, citation attention a marginal density driver and venue family no driver at all</w:t>
      </w:r>
      <w:r>
        <w:t xml:space="preserve"> </w:t>
      </w:r>
      <w:hyperlink w:anchor="ref-7">
        <w:r>
          <w:rPr>
            <w:rStyle w:val="Hyperlink"/>
          </w:rPr>
          <w:t xml:space="preserve">[7]</w:t>
        </w:r>
      </w:hyperlink>
      <w:r>
        <w:t xml:space="preserve"> </w:t>
      </w:r>
      <w:hyperlink w:anchor="ref-18">
        <w:r>
          <w:rPr>
            <w:rStyle w:val="Hyperlink"/>
          </w:rPr>
          <w:t xml:space="preserve">[18]</w:t>
        </w:r>
      </w:hyperlink>
      <w:r>
        <w:t xml:space="preserve">.</w:t>
      </w:r>
    </w:p>
    <w:p>
      <w:pPr>
        <w:pStyle w:val="BodyText"/>
        <w:spacing w:line="480" w:lineRule="auto"/>
        <w:ind w:firstLine="720"/>
      </w:pPr>
      <w:r>
        <w:t xml:space="preserve">Both arms of the compound hypothesis are satisfied. Stabilizing vocabulary and concentrating attention at once, the joint signature Chapter 3 defined as consolidation rather than mere activity</w:t>
      </w:r>
      <w:r>
        <w:t xml:space="preserve"> </w:t>
      </w:r>
      <w:hyperlink w:anchor="ref-2">
        <w:r>
          <w:rPr>
            <w:rStyle w:val="Hyperlink"/>
          </w:rPr>
          <w:t xml:space="preserve">[2]</w:t>
        </w:r>
      </w:hyperlink>
      <w:r>
        <w:t xml:space="preserve">. That is the finding Chapter 7 now interrogates, weighing it against the measurement and citation threats that determine how far it can be carried.</w:t>
      </w:r>
    </w:p>
    <w:bookmarkEnd w:id="128"/>
    <w:bookmarkStart w:id="129" w:name="X47799ea5ca52d2b0fd9dd80f2703aa3ac456d40"/>
    <w:p>
      <w:pPr>
        <w:pStyle w:val="Heading2"/>
        <w:spacing w:line="480" w:lineRule="auto"/>
      </w:pPr>
      <w:r>
        <w:t xml:space="preserve">6.9 Standard errors and the precision of each estimate</w:t>
      </w:r>
    </w:p>
    <w:p>
      <w:pPr>
        <w:pStyle w:val="FirstParagraph"/>
        <w:spacing w:line="480" w:lineRule="auto"/>
      </w:pPr>
      <w:r>
        <w:t xml:space="preserve">Beyond the point estimates, the standard errors tell their own story about how firmly each result sits, and reading them carefully guards against overclaiming. The recency coefficient of 0.1794 carries a standard error of 0.0680, so the estimate runs roughly two and a half times its standard error, which drives its p-value of 0.0083 below the one-percent threshold</w:t>
      </w:r>
      <w:r>
        <w:t xml:space="preserve"> </w:t>
      </w:r>
      <w:hyperlink w:anchor="ref-3">
        <w:r>
          <w:rPr>
            <w:rStyle w:val="Hyperlink"/>
          </w:rPr>
          <w:t xml:space="preserve">[3]</w:t>
        </w:r>
      </w:hyperlink>
      <w:r>
        <w:t xml:space="preserve">. An approximate ninety-five-percent interval around the recency slope runs from about 0.05 to about 0.31, so even the low end of the plausible range is a positive density effect. Within this corpus the direction is not in doubt; only the exact magnitude carries the usual sampling uncertainty.</w:t>
      </w:r>
    </w:p>
    <w:p>
      <w:pPr>
        <w:pStyle w:val="BodyText"/>
        <w:spacing w:line="480" w:lineRule="auto"/>
        <w:ind w:firstLine="720"/>
      </w:pPr>
      <w:r>
        <w:t xml:space="preserve">The citation coefficient tells the opposite precision story. Its estimate of 0.0613 sits against a standard error of 0.0440, so the estimate runs only about one and a half times its standard error, and its interval comfortably straddles zero</w:t>
      </w:r>
      <w:r>
        <w:t xml:space="preserve"> </w:t>
      </w:r>
      <w:hyperlink w:anchor="ref-7">
        <w:r>
          <w:rPr>
            <w:rStyle w:val="Hyperlink"/>
          </w:rPr>
          <w:t xml:space="preserve">[7]</w:t>
        </w:r>
      </w:hyperlink>
      <w:r>
        <w:t xml:space="preserve">. Which is why the honest reading treats the citation effect as inconclusive rather than null. The point estimate is positive, consistent with the density mechanism, but the sample cannot tell that positive value from no effect at conventional confidence. The venue coefficient of -0.4192, with its large standard error of 0.4368, is even less precisely estimated, its interval spanning both sizeable negative and positive values, exactly what one expects from a control that does not organize the outcome</w:t>
      </w:r>
      <w:r>
        <w:t xml:space="preserve"> </w:t>
      </w:r>
      <w:hyperlink w:anchor="ref-18">
        <w:r>
          <w:rPr>
            <w:rStyle w:val="Hyperlink"/>
          </w:rPr>
          <w:t xml:space="preserve">[18]</w:t>
        </w:r>
      </w:hyperlink>
      <w:r>
        <w:t xml:space="preserve">.</w:t>
      </w:r>
    </w:p>
    <w:p>
      <w:pPr>
        <w:pStyle w:val="BodyText"/>
        <w:spacing w:line="480" w:lineRule="auto"/>
        <w:ind w:firstLine="720"/>
      </w:pPr>
      <w:r>
        <w:t xml:space="preserve">Paper 2’s precision is the tightest in the study. The age elasticity of -0.8755 carries a standard error of 0.2026, so the estimate runs more than four times its standard error, producing the p-value effectively at zero</w:t>
      </w:r>
      <w:r>
        <w:t xml:space="preserve"> </w:t>
      </w:r>
      <w:hyperlink w:anchor="ref-11">
        <w:r>
          <w:rPr>
            <w:rStyle w:val="Hyperlink"/>
          </w:rPr>
          <w:t xml:space="preserve">[11]</w:t>
        </w:r>
      </w:hyperlink>
      <w:r>
        <w:t xml:space="preserve">. An approximate interval runs from about -1.27 to -0.48, so every plausible value of the elasticity is both negative and substantial. The intercept of 2.3074, with a standard error of 0.4686, is likewise estimated far from zero</w:t>
      </w:r>
      <w:r>
        <w:t xml:space="preserve"> </w:t>
      </w:r>
      <w:hyperlink w:anchor="ref-1">
        <w:r>
          <w:rPr>
            <w:rStyle w:val="Hyperlink"/>
          </w:rPr>
          <w:t xml:space="preserve">[1]</w:t>
        </w:r>
      </w:hyperlink>
      <w:r>
        <w:t xml:space="preserve">. The attention result is the one a reader can hold most firmly, because the sampling uncertainty around it, real as it is, never approaches the sign change that would overturn the interpretation.</w:t>
      </w:r>
    </w:p>
    <w:bookmarkEnd w:id="129"/>
    <w:bookmarkStart w:id="130" w:name="X0ba2c28e70457f47d509d162f9e5e00da48365a"/>
    <w:p>
      <w:pPr>
        <w:pStyle w:val="Heading2"/>
        <w:spacing w:line="480" w:lineRule="auto"/>
      </w:pPr>
      <w:r>
        <w:t xml:space="preserve">6.10 What the coefficients imply for a specific pair of records</w:t>
      </w:r>
    </w:p>
    <w:p>
      <w:pPr>
        <w:pStyle w:val="FirstParagraph"/>
        <w:spacing w:line="480" w:lineRule="auto"/>
      </w:pPr>
      <w:r>
        <w:t xml:space="preserve">To make the estimates tangible, apply them to two real records from the panel. Take the 2009 information-routing paper, at recency index 1, and a 2025 sustainability record, at recency index 17</w:t>
      </w:r>
      <w:r>
        <w:t xml:space="preserve"> </w:t>
      </w:r>
      <w:hyperlink w:anchor="ref-10">
        <w:r>
          <w:rPr>
            <w:rStyle w:val="Hyperlink"/>
          </w:rPr>
          <w:t xml:space="preserve">[10]</w:t>
        </w:r>
      </w:hyperlink>
      <w:r>
        <w:t xml:space="preserve"> </w:t>
      </w:r>
      <w:hyperlink w:anchor="ref-18">
        <w:r>
          <w:rPr>
            <w:rStyle w:val="Hyperlink"/>
          </w:rPr>
          <w:t xml:space="preserve">[18]</w:t>
        </w:r>
      </w:hyperlink>
      <w:r>
        <w:t xml:space="preserve">. Hold citations and venue at their means, and Paper 1’s recency slope predicts the newer record to carry about 2.9 more points of topic-signal score than the older one, computed as sixteen recency units times the 0.1794 slope</w:t>
      </w:r>
      <w:r>
        <w:t xml:space="preserve"> </w:t>
      </w:r>
      <w:hyperlink w:anchor="ref-3">
        <w:r>
          <w:rPr>
            <w:rStyle w:val="Hyperlink"/>
          </w:rPr>
          <w:t xml:space="preserve">[3]</w:t>
        </w:r>
      </w:hyperlink>
      <w:r>
        <w:t xml:space="preserve">. On a score scale that mostly runs from 1 to 9, that predicted gap is most of the usable range, which is why the recency effect reads as substantively large rather than merely detectable.</w:t>
      </w:r>
    </w:p>
    <w:p>
      <w:pPr>
        <w:pStyle w:val="BodyText"/>
        <w:spacing w:line="480" w:lineRule="auto"/>
        <w:ind w:firstLine="720"/>
      </w:pPr>
      <w:r>
        <w:t xml:space="preserve">Now switch models and run Paper 2 on the same pair through the age channel. The 2009 record has an age index of 18; the 2025 record has an age index of 2</w:t>
      </w:r>
      <w:r>
        <w:t xml:space="preserve"> </w:t>
      </w:r>
      <w:hyperlink w:anchor="ref-11">
        <w:r>
          <w:rPr>
            <w:rStyle w:val="Hyperlink"/>
          </w:rPr>
          <w:t xml:space="preserve">[11]</w:t>
        </w:r>
      </w:hyperlink>
      <w:r>
        <w:t xml:space="preserve">. The -0.8755 elasticity means the roughly nine-fold difference in age between them corresponds to a large proportional gap in the citation floor, running against the older record. The learning-curve form predicts the newer record to sit higher on citations-plus-one despite a fraction of the time in existence, exactly the inversion the raw counts already show and which the progress ratio of 0.5451 encodes as a per-doubling decline</w:t>
      </w:r>
      <w:r>
        <w:t xml:space="preserve"> </w:t>
      </w:r>
      <w:hyperlink w:anchor="ref-1">
        <w:r>
          <w:rPr>
            <w:rStyle w:val="Hyperlink"/>
          </w:rPr>
          <w:t xml:space="preserve">[1]</w:t>
        </w:r>
      </w:hyperlink>
      <w:r>
        <w:t xml:space="preserve">. The two records, read through both models at once, embody the joint signature: the newer denser in vocabulary and richer in attention, the older trailing on both.</w:t>
      </w:r>
    </w:p>
    <w:bookmarkEnd w:id="130"/>
    <w:bookmarkStart w:id="131" w:name="Xa7bf096dd842345820b2c7a3f1267b6e8b0f99c"/>
    <w:p>
      <w:pPr>
        <w:pStyle w:val="Heading2"/>
        <w:spacing w:line="480" w:lineRule="auto"/>
      </w:pPr>
      <w:r>
        <w:t xml:space="preserve">6.11 Comparing the two models’ explanatory reach</w:t>
      </w:r>
    </w:p>
    <w:p>
      <w:pPr>
        <w:pStyle w:val="FirstParagraph"/>
        <w:spacing w:line="480" w:lineRule="auto"/>
      </w:pPr>
      <w:r>
        <w:t xml:space="preserve">The two R-squared values sit remarkably close, 0.2454 for Paper 1 and 0.2227 for Paper 2, and that closeness earns a moment of interpretation rather than a pass as coincidence</w:t>
      </w:r>
      <w:r>
        <w:t xml:space="preserve"> </w:t>
      </w:r>
      <w:hyperlink w:anchor="ref-4">
        <w:r>
          <w:rPr>
            <w:rStyle w:val="Hyperlink"/>
          </w:rPr>
          <w:t xml:space="preserve">[4]</w:t>
        </w:r>
      </w:hyperlink>
      <w:r>
        <w:t xml:space="preserve">. Paper 1 uses three regressors to reach its figure; Paper 2 reaches nearly the same figure with one. On a per-covariate basis, then, age does far more explanatory work in the attention model than any single covariate does in the density model. The single age variable in Paper 2 accounts for almost as much of the variance in citation accumulation as three structural features together account for in theme density, which marks age as the more concentrated signal of the two</w:t>
      </w:r>
      <w:r>
        <w:t xml:space="preserve"> </w:t>
      </w:r>
      <w:hyperlink w:anchor="ref-11">
        <w:r>
          <w:rPr>
            <w:rStyle w:val="Hyperlink"/>
          </w:rPr>
          <w:t xml:space="preserve">[11]</w:t>
        </w:r>
      </w:hyperlink>
      <w:r>
        <w:t xml:space="preserve">.</w:t>
      </w:r>
    </w:p>
    <w:p>
      <w:pPr>
        <w:pStyle w:val="BodyText"/>
        <w:spacing w:line="480" w:lineRule="auto"/>
        <w:ind w:firstLine="720"/>
      </w:pPr>
      <w:r>
        <w:t xml:space="preserve">The asymmetry is no accident, and it aligns with the standard errors rather than fighting them. The age elasticity is the most precisely estimated coefficient in the study, and it also carries the most explanatory weight per regressor, so the two diagnostics agree that the attention result is the firmer of the two arms</w:t>
      </w:r>
      <w:r>
        <w:t xml:space="preserve"> </w:t>
      </w:r>
      <w:hyperlink w:anchor="ref-1">
        <w:r>
          <w:rPr>
            <w:rStyle w:val="Hyperlink"/>
          </w:rPr>
          <w:t xml:space="preserve">[1]</w:t>
        </w:r>
      </w:hyperlink>
      <w:r>
        <w:t xml:space="preserve">. The density result is real and significant, but it spreads across three covariates of which only recency carries significance, so its explanatory reach is more diffuse</w:t>
      </w:r>
      <w:r>
        <w:t xml:space="preserve"> </w:t>
      </w:r>
      <w:hyperlink w:anchor="ref-3">
        <w:r>
          <w:rPr>
            <w:rStyle w:val="Hyperlink"/>
          </w:rPr>
          <w:t xml:space="preserve">[3]</w:t>
        </w:r>
      </w:hyperlink>
      <w:r>
        <w:t xml:space="preserve">. Read the fit statistics together with the coefficient-level significance and one picture holds: attention concentration is the sharper finding, vocabulary density the broader but softer one, and both point the direction the mechanism predicted</w:t>
      </w:r>
      <w:r>
        <w:t xml:space="preserve"> </w:t>
      </w:r>
      <w:hyperlink w:anchor="ref-2">
        <w:r>
          <w:rPr>
            <w:rStyle w:val="Hyperlink"/>
          </w:rPr>
          <w:t xml:space="preserve">[2]</w:t>
        </w:r>
      </w:hyperlink>
      <w:r>
        <w:t xml:space="preserve">.</w:t>
      </w:r>
    </w:p>
    <w:p>
      <w:pPr>
        <w:pStyle w:val="BodyText"/>
        <w:spacing w:line="480" w:lineRule="auto"/>
        <w:ind w:firstLine="720"/>
      </w:pPr>
      <w:r>
        <w:t xml:space="preserve">Set every reported number beside its mechanism one last time, so the reader can hold the whole result as a single object rather than a scatter of coefficients. The recency slope of 0.1794 at a p-value of 0.0083 says later records carry denser remediation vocabulary once venue and attention are fixed, the diffusion of a shared lexicon showing up in the metadata</w:t>
      </w:r>
      <w:r>
        <w:t xml:space="preserve"> </w:t>
      </w:r>
      <w:hyperlink w:anchor="ref-3">
        <w:r>
          <w:rPr>
            <w:rStyle w:val="Hyperlink"/>
          </w:rPr>
          <w:t xml:space="preserve">[3]</w:t>
        </w:r>
      </w:hyperlink>
      <w:r>
        <w:t xml:space="preserve">. The citation coefficient of 0.0613 at a p-value of 0.1635 says more-cited records tend marginally denser but not reliably so, the density mechanism appearing faintly through a second channel it never depended on</w:t>
      </w:r>
      <w:r>
        <w:t xml:space="preserve"> </w:t>
      </w:r>
      <w:hyperlink w:anchor="ref-7">
        <w:r>
          <w:rPr>
            <w:rStyle w:val="Hyperlink"/>
          </w:rPr>
          <w:t xml:space="preserve">[7]</w:t>
        </w:r>
      </w:hyperlink>
      <w:r>
        <w:t xml:space="preserve">.</w:t>
      </w:r>
    </w:p>
    <w:p>
      <w:pPr>
        <w:pStyle w:val="BodyText"/>
        <w:spacing w:line="480" w:lineRule="auto"/>
        <w:ind w:firstLine="720"/>
      </w:pPr>
      <w:r>
        <w:t xml:space="preserve">The other two numbers finish the picture. The venue coefficient of -0.4192 at a p-value of 0.3373 says the family a record appears in does not organize its density, which clears the recency effect of being a venue artifact in disguise</w:t>
      </w:r>
      <w:r>
        <w:t xml:space="preserve"> </w:t>
      </w:r>
      <w:hyperlink w:anchor="ref-18">
        <w:r>
          <w:rPr>
            <w:rStyle w:val="Hyperlink"/>
          </w:rPr>
          <w:t xml:space="preserve">[18]</w:t>
        </w:r>
      </w:hyperlink>
      <w:r>
        <w:t xml:space="preserve">. And the age elasticity of -0.8755 at a p-value effectively zero, with its progress ratio of 0.5451, says attention concentrates on recent records against the naive exposure-time expectation, the sharpest single piece of evidence in the study that the corpus rewards salience over seniority</w:t>
      </w:r>
      <w:r>
        <w:t xml:space="preserve"> </w:t>
      </w:r>
      <w:hyperlink w:anchor="ref-11">
        <w:r>
          <w:rPr>
            <w:rStyle w:val="Hyperlink"/>
          </w:rPr>
          <w:t xml:space="preserve">[11]</w:t>
        </w:r>
      </w:hyperlink>
      <w:r>
        <w:t xml:space="preserve"> </w:t>
      </w:r>
      <w:hyperlink w:anchor="ref-1">
        <w:r>
          <w:rPr>
            <w:rStyle w:val="Hyperlink"/>
          </w:rPr>
          <w:t xml:space="preserve">[1]</w:t>
        </w:r>
      </w:hyperlink>
      <w:r>
        <w:t xml:space="preserve">. Four coefficients, one coherent verdict.</w:t>
      </w:r>
    </w:p>
    <w:bookmarkEnd w:id="131"/>
    <w:bookmarkEnd w:id="132"/>
    <w:bookmarkStart w:id="144" w:name="chapter-7.-discussion-and-limitations"/>
    <w:p>
      <w:pPr>
        <w:pStyle w:val="Heading1"/>
        <w:spacing w:line="480" w:lineRule="auto"/>
      </w:pPr>
      <w:r>
        <w:t xml:space="preserve">Chapter 7. Discussion and Limitations</w:t>
      </w:r>
    </w:p>
    <w:p>
      <w:pPr>
        <w:pStyle w:val="FirstParagraph"/>
        <w:spacing w:line="480" w:lineRule="auto"/>
      </w:pPr>
      <w:r>
        <w:t xml:space="preserve">The results say the corpus is consolidating. This chapter asks what that finding is worth, then puts it under the threats a metadata-based design cannot escape. A finding is only as strong as the objections it survives, and this one has several to answer before it can bear any interpretive weight</w:t>
      </w:r>
      <w:r>
        <w:t xml:space="preserve"> </w:t>
      </w:r>
      <w:hyperlink w:anchor="ref-4">
        <w:r>
          <w:rPr>
            <w:rStyle w:val="Hyperlink"/>
          </w:rPr>
          <w:t xml:space="preserve">[4]</w:t>
        </w:r>
      </w:hyperlink>
      <w:r>
        <w:t xml:space="preserve"> </w:t>
      </w:r>
      <w:hyperlink w:anchor="ref-9">
        <w:r>
          <w:rPr>
            <w:rStyle w:val="Hyperlink"/>
          </w:rPr>
          <w:t xml:space="preserve">[9]</w:t>
        </w:r>
      </w:hyperlink>
      <w:r>
        <w:t xml:space="preserve">. Each objection gets taken seriously rather than parried, on the view that a limitation named honestly is worth more than a strength overstated.</w:t>
      </w:r>
    </w:p>
    <w:bookmarkStart w:id="133" w:name="what-the-findings-mean"/>
    <w:p>
      <w:pPr>
        <w:pStyle w:val="Heading2"/>
        <w:spacing w:line="480" w:lineRule="auto"/>
      </w:pPr>
      <w:r>
        <w:t xml:space="preserve">7.1 What the findings mean</w:t>
      </w:r>
    </w:p>
    <w:p>
      <w:pPr>
        <w:pStyle w:val="FirstParagraph"/>
        <w:spacing w:line="480" w:lineRule="auto"/>
      </w:pPr>
      <w:r>
        <w:t xml:space="preserve">Two significant, correctly signed effects together mark a field organizing itself around recent formulations. Later records carry denser remediation vocabulary. Attention flows toward newer work rather than the oldest available records. Read against Chapter 3, that is the signature of a discourse that has stabilized a shared lexicon and concentrated its attention, not one still improvising its framing from scattered starting points</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p>
      <w:pPr>
        <w:pStyle w:val="BodyText"/>
        <w:spacing w:line="480" w:lineRule="auto"/>
        <w:ind w:firstLine="720"/>
      </w:pPr>
      <w:r>
        <w:t xml:space="preserve">For the remediation debate this matters in a specific way. The free-rider frame, the idea that one actor pays for a cleanup whose benefit spreads across many, is not a rhetorical convenience floating over a random literature. The corpus shows the frame gaining vocabulary density and drawing attention toward its recent statements</w:t>
      </w:r>
      <w:r>
        <w:t xml:space="preserve"> </w:t>
      </w:r>
      <w:hyperlink w:anchor="ref-1">
        <w:r>
          <w:rPr>
            <w:rStyle w:val="Hyperlink"/>
          </w:rPr>
          <w:t xml:space="preserve">[1]</w:t>
        </w:r>
      </w:hyperlink>
      <w:r>
        <w:t xml:space="preserve"> </w:t>
      </w:r>
      <w:hyperlink w:anchor="ref-7">
        <w:r>
          <w:rPr>
            <w:rStyle w:val="Hyperlink"/>
          </w:rPr>
          <w:t xml:space="preserve">[7]</w:t>
        </w:r>
      </w:hyperlink>
      <w:r>
        <w:t xml:space="preserve">. A governance advocate who invokes free-riding is therefore drawing on a conversation that is converging, not merely persisting, which is a modest but real license, and the kind a metadata study can honestly grant.</w:t>
      </w:r>
    </w:p>
    <w:p>
      <w:pPr>
        <w:pStyle w:val="BodyText"/>
        <w:spacing w:line="480" w:lineRule="auto"/>
        <w:ind w:firstLine="720"/>
      </w:pPr>
      <w:r>
        <w:t xml:space="preserve">The convergence is partial, and the estimates say exactly where. Citation attention was a positive but insignificant density driver, and venue family did not organize density at all. Consolidation proceeds along the two axes the theory stressed, recency and salience, without yet showing a strong citation hierarchy or venue stratification</w:t>
      </w:r>
      <w:r>
        <w:t xml:space="preserve"> </w:t>
      </w:r>
      <w:hyperlink w:anchor="ref-18">
        <w:r>
          <w:rPr>
            <w:rStyle w:val="Hyperlink"/>
          </w:rPr>
          <w:t xml:space="preserve">[18]</w:t>
        </w:r>
      </w:hyperlink>
      <w:r>
        <w:t xml:space="preserve">. The field matures on the dimensions that matter most for a shared frame while staying loose on others, and a reader should hold the finding at that resolution and no finer.</w:t>
      </w:r>
    </w:p>
    <w:bookmarkEnd w:id="133"/>
    <w:bookmarkStart w:id="134" w:name="the-measurement-threat"/>
    <w:p>
      <w:pPr>
        <w:pStyle w:val="Heading2"/>
        <w:spacing w:line="480" w:lineRule="auto"/>
      </w:pPr>
      <w:r>
        <w:t xml:space="preserve">7.2 The measurement threat</w:t>
      </w:r>
    </w:p>
    <w:p>
      <w:pPr>
        <w:pStyle w:val="FirstParagraph"/>
        <w:spacing w:line="480" w:lineRule="auto"/>
      </w:pPr>
      <w:r>
        <w:t xml:space="preserve">The most serious threat is that the topic-signal score measures indexed vocabulary, not argument quality. A record can be dense in candidate-theme terms and shallow in reasoning, or sparse in indexed terms and profound in substance. So the recency effect in Paper 1 could reflect a drift in how records are titled and keyworded rather than a genuine sharpening of remediation thought</w:t>
      </w:r>
      <w:r>
        <w:t xml:space="preserve"> </w:t>
      </w:r>
      <w:hyperlink w:anchor="ref-4">
        <w:r>
          <w:rPr>
            <w:rStyle w:val="Hyperlink"/>
          </w:rPr>
          <w:t xml:space="preserve">[4]</w:t>
        </w:r>
      </w:hyperlink>
      <w:r>
        <w:t xml:space="preserve">. The dissertation cannot fully separate these two possibilities, and it does not pretend to.</w:t>
      </w:r>
    </w:p>
    <w:p>
      <w:pPr>
        <w:pStyle w:val="BodyText"/>
        <w:spacing w:line="480" w:lineRule="auto"/>
        <w:ind w:firstLine="720"/>
      </w:pPr>
      <w:r>
        <w:t xml:space="preserve">What limits the damage is the deterministic construction of the score. Because one term-hit rule applies to every record, the measure is at least consistent, so the recency effect is not an artifact of coder discretion drifting over time. Consistency is not validity. But it does rule out one large and common source of error. The honest reading is that Paper 1 identifies a trend in shared vocabulary, a real feature of consolidation even if not the whole of it</w:t>
      </w:r>
      <w:r>
        <w:t xml:space="preserve"> </w:t>
      </w:r>
      <w:hyperlink w:anchor="ref-3">
        <w:r>
          <w:rPr>
            <w:rStyle w:val="Hyperlink"/>
          </w:rPr>
          <w:t xml:space="preserve">[3]</w:t>
        </w:r>
      </w:hyperlink>
      <w:r>
        <w:t xml:space="preserve">. Whether that vocabulary trend tracks a substantive trend is a question only human coding of the full texts could answer, and Chapter 8 flags it as future work.</w:t>
      </w:r>
    </w:p>
    <w:bookmarkEnd w:id="134"/>
    <w:bookmarkStart w:id="135" w:name="the-citation-threat"/>
    <w:p>
      <w:pPr>
        <w:pStyle w:val="Heading2"/>
        <w:spacing w:line="480" w:lineRule="auto"/>
      </w:pPr>
      <w:r>
        <w:t xml:space="preserve">7.3 The citation threat</w:t>
      </w:r>
    </w:p>
    <w:p>
      <w:pPr>
        <w:pStyle w:val="FirstParagraph"/>
        <w:spacing w:line="480" w:lineRule="auto"/>
      </w:pPr>
      <w:r>
        <w:t xml:space="preserve">Citation counts carry their own hazards, and both papers lean on them. Counts are venue- and vintage-dependent. A 2009 conference paper and a 2023 journal article gather citations on different clocks and in different indexing ecosystems, so a raw comparison of their counts mixes attention with infrastructure</w:t>
      </w:r>
      <w:r>
        <w:t xml:space="preserve"> </w:t>
      </w:r>
      <w:hyperlink w:anchor="ref-11">
        <w:r>
          <w:rPr>
            <w:rStyle w:val="Hyperlink"/>
          </w:rPr>
          <w:t xml:space="preserve">[11]</w:t>
        </w:r>
      </w:hyperlink>
      <w:r>
        <w:t xml:space="preserve">. The negative age elasticity in Paper 2 could in principle reflect journals being indexed more completely than older conference proceedings, rather than a genuine concentration of attention on recent work</w:t>
      </w:r>
      <w:r>
        <w:t xml:space="preserve"> </w:t>
      </w:r>
      <w:hyperlink w:anchor="ref-5">
        <w:r>
          <w:rPr>
            <w:rStyle w:val="Hyperlink"/>
          </w:rPr>
          <w:t xml:space="preserve">[5]</w:t>
        </w:r>
      </w:hyperlink>
      <w:r>
        <w:t xml:space="preserve">.</w:t>
      </w:r>
    </w:p>
    <w:p>
      <w:pPr>
        <w:pStyle w:val="BodyText"/>
        <w:spacing w:line="480" w:lineRule="auto"/>
        <w:ind w:firstLine="720"/>
      </w:pPr>
      <w:r>
        <w:t xml:space="preserve">The objection has force, and it caps how strongly the age result can be read. The plus-one transformation compounds the concern, since it compresses the many uncited records into a floor value the log then treats as near-uniform, so the elasticity is identified substantially by the contrast between that floor and a handful of well-cited recent journal articles pulling against it</w:t>
      </w:r>
      <w:r>
        <w:t xml:space="preserve"> </w:t>
      </w:r>
      <w:hyperlink w:anchor="ref-9">
        <w:r>
          <w:rPr>
            <w:rStyle w:val="Hyperlink"/>
          </w:rPr>
          <w:t xml:space="preserve">[9]</w:t>
        </w:r>
      </w:hyperlink>
      <w:r>
        <w:t xml:space="preserve">. The effect’s direction holds up across reasonable readings of the data. Its precise magnitude does not, and it should be held loosely rather than quoted to the third decimal as though it were a physical constant.</w:t>
      </w:r>
    </w:p>
    <w:bookmarkEnd w:id="135"/>
    <w:bookmarkStart w:id="136" w:name="what-the-data-cannot-show"/>
    <w:p>
      <w:pPr>
        <w:pStyle w:val="Heading2"/>
        <w:spacing w:line="480" w:lineRule="auto"/>
      </w:pPr>
      <w:r>
        <w:t xml:space="preserve">7.4 What the data cannot show</w:t>
      </w:r>
    </w:p>
    <w:p>
      <w:pPr>
        <w:pStyle w:val="FirstParagraph"/>
        <w:spacing w:line="480" w:lineRule="auto"/>
      </w:pPr>
      <w:r>
        <w:t xml:space="preserve">Several questions sit outside the reach of this design, and bluntness about them is warranted.</w:t>
      </w:r>
    </w:p>
    <w:p>
      <w:pPr>
        <w:pStyle w:val="BodyText"/>
        <w:spacing w:line="480" w:lineRule="auto"/>
        <w:ind w:firstLine="720"/>
      </w:pPr>
      <w:r>
        <w:t xml:space="preserve">Whether the consolidating remediation literature is correct, the corpus cannot say. It can say only that the literature is converging. A field can agree its way into a shared error as readily as into a shared truth, and metadata structure is silent on which is happening</w:t>
      </w:r>
      <w:r>
        <w:t xml:space="preserve"> </w:t>
      </w:r>
      <w:hyperlink w:anchor="ref-2">
        <w:r>
          <w:rPr>
            <w:rStyle w:val="Hyperlink"/>
          </w:rPr>
          <w:t xml:space="preserve">[2]</w:t>
        </w:r>
      </w:hyperlink>
      <w:r>
        <w:t xml:space="preserve">. The findings describe the shape of the conversation, not the validity of its conclusions about who should pay for orbital cleanup or how much.</w:t>
      </w:r>
    </w:p>
    <w:p>
      <w:pPr>
        <w:pStyle w:val="BodyText"/>
        <w:spacing w:line="480" w:lineRule="auto"/>
        <w:ind w:firstLine="720"/>
      </w:pPr>
      <w:r>
        <w:t xml:space="preserve">Beyond itself, the panel cannot generalize. Thirty candidate-specific records are a retrieval, not a census, and a differently seeded retrieval could return a different structure</w:t>
      </w:r>
      <w:r>
        <w:t xml:space="preserve"> </w:t>
      </w:r>
      <w:hyperlink w:anchor="ref-17">
        <w:r>
          <w:rPr>
            <w:rStyle w:val="Hyperlink"/>
          </w:rPr>
          <w:t xml:space="preserve">[17]</w:t>
        </w:r>
      </w:hyperlink>
      <w:r>
        <w:t xml:space="preserve">. The dissertation measures the corpus it was given and claims nothing about the full universe of debris scholarship. Any reader tempted to read a discipline-wide verdict into these coefficients is reading past the design and into a conclusion the data were never built to support.</w:t>
      </w:r>
    </w:p>
    <w:p>
      <w:pPr>
        <w:pStyle w:val="BodyText"/>
        <w:spacing w:line="480" w:lineRule="auto"/>
        <w:ind w:firstLine="720"/>
      </w:pPr>
      <w:r>
        <w:t xml:space="preserve">And the cross-sectional panel cannot trace consolidation as a process. It observes a snapshot where recency correlates with density and age with attention, yet it cannot show a given argument diffusing from one record to the next over time. Establishing that dynamic would demand a longitudinal citation network the corpus does not contain, and inferring the process from the snapshot would be a leap the evidence does not license</w:t>
      </w:r>
      <w:r>
        <w:t xml:space="preserve"> </w:t>
      </w:r>
      <w:hyperlink w:anchor="ref-10">
        <w:r>
          <w:rPr>
            <w:rStyle w:val="Hyperlink"/>
          </w:rPr>
          <w:t xml:space="preserve">[10]</w:t>
        </w:r>
      </w:hyperlink>
      <w:r>
        <w:t xml:space="preserve">.</w:t>
      </w:r>
    </w:p>
    <w:bookmarkEnd w:id="136"/>
    <w:bookmarkStart w:id="137" w:name="weighing-the-threats"/>
    <w:p>
      <w:pPr>
        <w:pStyle w:val="Heading2"/>
        <w:spacing w:line="480" w:lineRule="auto"/>
      </w:pPr>
      <w:r>
        <w:t xml:space="preserve">7.5 Weighing the threats</w:t>
      </w:r>
    </w:p>
    <w:p>
      <w:pPr>
        <w:pStyle w:val="FirstParagraph"/>
        <w:spacing w:line="480" w:lineRule="auto"/>
      </w:pPr>
      <w:r>
        <w:t xml:space="preserve">None of these threats overturns the core result, but together they set its altitude, and the altitude is lower than a triumphant reading would place it. The two effects are real within the corpus, correctly signed, and mutually reinforcing, more than a fragmented literature would produce</w:t>
      </w:r>
      <w:r>
        <w:t xml:space="preserve"> </w:t>
      </w:r>
      <w:hyperlink w:anchor="ref-4">
        <w:r>
          <w:rPr>
            <w:rStyle w:val="Hyperlink"/>
          </w:rPr>
          <w:t xml:space="preserve">[4]</w:t>
        </w:r>
      </w:hyperlink>
      <w:r>
        <w:t xml:space="preserve"> </w:t>
      </w:r>
      <w:hyperlink w:anchor="ref-7">
        <w:r>
          <w:rPr>
            <w:rStyle w:val="Hyperlink"/>
          </w:rPr>
          <w:t xml:space="preserve">[7]</w:t>
        </w:r>
      </w:hyperlink>
      <w:r>
        <w:t xml:space="preserve">. What the threats establish is that the finding describes a bounded retrieval’s metadata structure. It is not a causal account of intellectual progress, and it is not a census of the field.</w:t>
      </w:r>
    </w:p>
    <w:p>
      <w:pPr>
        <w:pStyle w:val="BodyText"/>
        <w:spacing w:line="480" w:lineRule="auto"/>
        <w:ind w:firstLine="720"/>
      </w:pPr>
      <w:r>
        <w:t xml:space="preserve">That is the right size for the claim. The dissertation set out to test whether a candidate remediation corpus was consolidating, and it found evidence that it is, on the two axes the theory named, subject to limits it states plainly rather than hides. A study that names its own ceiling is more trustworthy than one that pretends it has none.</w:t>
      </w:r>
    </w:p>
    <w:bookmarkEnd w:id="137"/>
    <w:bookmarkStart w:id="138" w:name="Xc436c95f224537b2fa3209ee060f9ea529913d4"/>
    <w:p>
      <w:pPr>
        <w:pStyle w:val="Heading2"/>
        <w:spacing w:line="480" w:lineRule="auto"/>
      </w:pPr>
      <w:r>
        <w:t xml:space="preserve">7.6 An alternative story the data cannot rule out</w:t>
      </w:r>
    </w:p>
    <w:p>
      <w:pPr>
        <w:pStyle w:val="FirstParagraph"/>
        <w:spacing w:line="480" w:lineRule="auto"/>
      </w:pPr>
      <w:r>
        <w:t xml:space="preserve">Good practice requires stating the rival account that would explain the results without consolidation, then showing how far the data go toward excluding it. Suppose the field is not consolidating at all. Suppose instead that indexing practices have simply improved over time, so recent records are tagged with more keywords and captured more completely by citation databases</w:t>
      </w:r>
      <w:r>
        <w:t xml:space="preserve"> </w:t>
      </w:r>
      <w:hyperlink w:anchor="ref-4">
        <w:r>
          <w:rPr>
            <w:rStyle w:val="Hyperlink"/>
          </w:rPr>
          <w:t xml:space="preserve">[4]</w:t>
        </w:r>
      </w:hyperlink>
      <w:r>
        <w:t xml:space="preserve">. That single trend, applied to a static and fragmented literature, could produce both a positive recency-density slope and a negative age-citation elasticity, purely as an artifact of how the metadata were generated rather than as a fact about the ideas.</w:t>
      </w:r>
    </w:p>
    <w:p>
      <w:pPr>
        <w:pStyle w:val="BodyText"/>
        <w:spacing w:line="480" w:lineRule="auto"/>
        <w:ind w:firstLine="720"/>
      </w:pPr>
      <w:r>
        <w:t xml:space="preserve">The data cannot fully exclude this rival, and honesty demands saying so. What the design offers against it is the venue control in Paper 1. Were the recency effect driven by journals tagging more terms than conference papers, holding venue family fixed should have absorbed much of it, and it did not</w:t>
      </w:r>
      <w:r>
        <w:t xml:space="preserve"> </w:t>
      </w:r>
      <w:hyperlink w:anchor="ref-18">
        <w:r>
          <w:rPr>
            <w:rStyle w:val="Hyperlink"/>
          </w:rPr>
          <w:t xml:space="preserve">[18]</w:t>
        </w:r>
      </w:hyperlink>
      <w:r>
        <w:t xml:space="preserve">. Partial reassurance, not a refutation. The indexing-improvement story could still operate within venue families over time, and no control in this specification catches that channel</w:t>
      </w:r>
      <w:r>
        <w:t xml:space="preserve"> </w:t>
      </w:r>
      <w:hyperlink w:anchor="ref-11">
        <w:r>
          <w:rPr>
            <w:rStyle w:val="Hyperlink"/>
          </w:rPr>
          <w:t xml:space="preserve">[11]</w:t>
        </w:r>
      </w:hyperlink>
      <w:r>
        <w:t xml:space="preserve">. The result is consistent with consolidation and consistent with a narrower metadata artifact, and the study cannot adjudicate between them on the evidence at hand.</w:t>
      </w:r>
    </w:p>
    <w:p>
      <w:pPr>
        <w:pStyle w:val="BodyText"/>
        <w:spacing w:line="480" w:lineRule="auto"/>
        <w:ind w:firstLine="720"/>
      </w:pPr>
      <w:r>
        <w:t xml:space="preserve">Naming this rival concedes nothing about the finding being empty. It maps exactly what a follow-on study would need to test: whether the vocabulary trend tracks a substantive trend, which only human coding of full texts could establish</w:t>
      </w:r>
      <w:r>
        <w:t xml:space="preserve"> </w:t>
      </w:r>
      <w:hyperlink w:anchor="ref-3">
        <w:r>
          <w:rPr>
            <w:rStyle w:val="Hyperlink"/>
          </w:rPr>
          <w:t xml:space="preserve">[3]</w:t>
        </w:r>
      </w:hyperlink>
      <w:r>
        <w:t xml:space="preserve">. Until that test runs, the consolidation reading is the more parsimonious of the two available stories, but not the only one, and a careful reader should hold both in view.</w:t>
      </w:r>
    </w:p>
    <w:bookmarkEnd w:id="138"/>
    <w:bookmarkStart w:id="139" w:name="X4f395a9349955dda60330c09e70c3c3599f1433"/>
    <w:p>
      <w:pPr>
        <w:pStyle w:val="Heading2"/>
        <w:spacing w:line="480" w:lineRule="auto"/>
      </w:pPr>
      <w:r>
        <w:t xml:space="preserve">7.7 Why the bounded claim is still worth making</w:t>
      </w:r>
    </w:p>
    <w:p>
      <w:pPr>
        <w:pStyle w:val="FirstParagraph"/>
        <w:spacing w:line="480" w:lineRule="auto"/>
      </w:pPr>
      <w:r>
        <w:t xml:space="preserve">A skeptic might ask why any of this matters, given a thirty-record panel and metadata proxies. The answer is that the alternative to a bounded, tested claim is an unbounded, untested one, and the remediation debate is already full of the latter</w:t>
      </w:r>
      <w:r>
        <w:t xml:space="preserve"> </w:t>
      </w:r>
      <w:hyperlink w:anchor="ref-1">
        <w:r>
          <w:rPr>
            <w:rStyle w:val="Hyperlink"/>
          </w:rPr>
          <w:t xml:space="preserve">[1]</w:t>
        </w:r>
      </w:hyperlink>
      <w:r>
        <w:t xml:space="preserve"> </w:t>
      </w:r>
      <w:hyperlink w:anchor="ref-8">
        <w:r>
          <w:rPr>
            <w:rStyle w:val="Hyperlink"/>
          </w:rPr>
          <w:t xml:space="preserve">[8]</w:t>
        </w:r>
      </w:hyperlink>
      <w:r>
        <w:t xml:space="preserve">. Advocates assert that the literature supports free-riding as a settled frame, and that assertion is rarely examined against the literature’s own structure. This study examines it, finds partial support, and reports the support at its true resolution rather than inflating it.</w:t>
      </w:r>
    </w:p>
    <w:p>
      <w:pPr>
        <w:pStyle w:val="BodyText"/>
        <w:spacing w:line="480" w:lineRule="auto"/>
        <w:ind w:firstLine="720"/>
      </w:pPr>
      <w:r>
        <w:t xml:space="preserve">The value is calibration. A reader who finishes this chapter knows more than they did about how much confidence the free-rider frame’s textual base can bear, and they know the specific threats that cap that confidence</w:t>
      </w:r>
      <w:r>
        <w:t xml:space="preserve"> </w:t>
      </w:r>
      <w:hyperlink w:anchor="ref-9">
        <w:r>
          <w:rPr>
            <w:rStyle w:val="Hyperlink"/>
          </w:rPr>
          <w:t xml:space="preserve">[9]</w:t>
        </w:r>
      </w:hyperlink>
      <w:r>
        <w:t xml:space="preserve">.</w:t>
      </w:r>
    </w:p>
    <w:bookmarkEnd w:id="139"/>
    <w:bookmarkStart w:id="140" w:name="Xecbf062d77f127c7b8116efe5fb0d579a6f3844"/>
    <w:p>
      <w:pPr>
        <w:pStyle w:val="Heading2"/>
        <w:spacing w:line="480" w:lineRule="auto"/>
      </w:pPr>
      <w:r>
        <w:t xml:space="preserve">7.8 The generalization question, examined directly</w:t>
      </w:r>
    </w:p>
    <w:p>
      <w:pPr>
        <w:pStyle w:val="FirstParagraph"/>
        <w:spacing w:line="480" w:lineRule="auto"/>
      </w:pPr>
      <w:r>
        <w:t xml:space="preserve">The sharpest external objection is that thirty records prove nothing about the field, and it deserves a direct answer rather than a defensive one. The objection is right about scope and wrong about worth. The study never claims to characterize debris scholarship at large; it characterizes one candidate retrieval, and it says so on every relevant page</w:t>
      </w:r>
      <w:r>
        <w:t xml:space="preserve"> </w:t>
      </w:r>
      <w:hyperlink w:anchor="ref-17">
        <w:r>
          <w:rPr>
            <w:rStyle w:val="Hyperlink"/>
          </w:rPr>
          <w:t xml:space="preserve">[17]</w:t>
        </w:r>
      </w:hyperlink>
      <w:r>
        <w:t xml:space="preserve">. A finding about a bounded corpus is not diminished by being bounded, so long as the boundary is stated and respected.</w:t>
      </w:r>
    </w:p>
    <w:p>
      <w:pPr>
        <w:pStyle w:val="BodyText"/>
        <w:spacing w:line="480" w:lineRule="auto"/>
        <w:ind w:firstLine="720"/>
      </w:pPr>
      <w:r>
        <w:t xml:space="preserve">What generalizes is not the specific coefficients but the demonstrated pattern and the method that found it. Were a differently seeded retrieval on the same topic to show the same two-part signature, that would be evidence the pattern is a property of the field rather than of one source set</w:t>
      </w:r>
      <w:r>
        <w:t xml:space="preserve"> </w:t>
      </w:r>
      <w:hyperlink w:anchor="ref-19">
        <w:r>
          <w:rPr>
            <w:rStyle w:val="Hyperlink"/>
          </w:rPr>
          <w:t xml:space="preserve">[19]</w:t>
        </w:r>
      </w:hyperlink>
      <w:r>
        <w:t xml:space="preserve">. Were it not to, the discrepancy would itself inform, locating the boundary of the consolidation claim. Either outcome advances understanding, which is why replication across retrievals sits near the top of the future-work list rather than being treated as an afterthought</w:t>
      </w:r>
      <w:r>
        <w:t xml:space="preserve"> </w:t>
      </w:r>
      <w:hyperlink w:anchor="ref-2">
        <w:r>
          <w:rPr>
            <w:rStyle w:val="Hyperlink"/>
          </w:rPr>
          <w:t xml:space="preserve">[2]</w:t>
        </w:r>
      </w:hyperlink>
      <w:r>
        <w:t xml:space="preserve">.</w:t>
      </w:r>
    </w:p>
    <w:p>
      <w:pPr>
        <w:pStyle w:val="BodyText"/>
        <w:spacing w:line="480" w:lineRule="auto"/>
        <w:ind w:firstLine="720"/>
      </w:pPr>
      <w:r>
        <w:t xml:space="preserve">The narrower reading is also the more useful one for a practitioner. A program officer rarely needs a verdict on an entire discipline. They need to know whether the particular slice of literature in front of them coheres, and this study supplies exactly that kind of bounded, checkable answer for a real slice</w:t>
      </w:r>
      <w:r>
        <w:t xml:space="preserve"> </w:t>
      </w:r>
      <w:hyperlink w:anchor="ref-12">
        <w:r>
          <w:rPr>
            <w:rStyle w:val="Hyperlink"/>
          </w:rPr>
          <w:t xml:space="preserve">[12]</w:t>
        </w:r>
      </w:hyperlink>
      <w:r>
        <w:t xml:space="preserve">. Generalization is a research question; calibration of a specific corpus is a decision input, and the two should not be confused.</w:t>
      </w:r>
    </w:p>
    <w:bookmarkEnd w:id="140"/>
    <w:bookmarkStart w:id="141" w:name="balancing-confidence-and-humility"/>
    <w:p>
      <w:pPr>
        <w:pStyle w:val="Heading2"/>
        <w:spacing w:line="480" w:lineRule="auto"/>
      </w:pPr>
      <w:r>
        <w:t xml:space="preserve">7.9 Balancing confidence and humility</w:t>
      </w:r>
    </w:p>
    <w:p>
      <w:pPr>
        <w:pStyle w:val="FirstParagraph"/>
        <w:spacing w:line="480" w:lineRule="auto"/>
      </w:pPr>
      <w:r>
        <w:t xml:space="preserve">The chapter closes by holding two things at once. The results are real within the corpus, correctly signed, mutually reinforcing, and significant despite a small sample that gave the null every advantage</w:t>
      </w:r>
      <w:r>
        <w:t xml:space="preserve"> </w:t>
      </w:r>
      <w:hyperlink w:anchor="ref-4">
        <w:r>
          <w:rPr>
            <w:rStyle w:val="Hyperlink"/>
          </w:rPr>
          <w:t xml:space="preserve">[4]</w:t>
        </w:r>
      </w:hyperlink>
      <w:r>
        <w:t xml:space="preserve">, which warrants confidence in the direction of the finding. The measures are proxies, the counts are infrastructure-dependent, the design is cross-sectional, and one rival mechanism cannot be excluded</w:t>
      </w:r>
      <w:r>
        <w:t xml:space="preserve"> </w:t>
      </w:r>
      <w:hyperlink w:anchor="ref-11">
        <w:r>
          <w:rPr>
            <w:rStyle w:val="Hyperlink"/>
          </w:rPr>
          <w:t xml:space="preserve">[11]</w:t>
        </w:r>
      </w:hyperlink>
      <w:r>
        <w:t xml:space="preserve">, which warrants humility about its reach.</w:t>
      </w:r>
    </w:p>
    <w:p>
      <w:pPr>
        <w:pStyle w:val="BodyText"/>
        <w:spacing w:line="480" w:lineRule="auto"/>
        <w:ind w:firstLine="720"/>
      </w:pPr>
      <w:r>
        <w:t xml:space="preserve">Neither confidence nor humility alone would be honest. A study reporting only its strengths would overstate; a study reporting only its limits would waste a genuine result</w:t>
      </w:r>
      <w:r>
        <w:t xml:space="preserve"> </w:t>
      </w:r>
      <w:hyperlink w:anchor="ref-3">
        <w:r>
          <w:rPr>
            <w:rStyle w:val="Hyperlink"/>
          </w:rPr>
          <w:t xml:space="preserve">[3]</w:t>
        </w:r>
      </w:hyperlink>
      <w:r>
        <w:t xml:space="preserve">. The correct posture is to report both and let the reader weigh them, which is what this chapter has tried to do.</w:t>
      </w:r>
    </w:p>
    <w:p>
      <w:pPr>
        <w:pStyle w:val="BodyText"/>
        <w:spacing w:line="480" w:lineRule="auto"/>
        <w:ind w:firstLine="720"/>
      </w:pPr>
      <w:r>
        <w:t xml:space="preserve">That is the right size for the claim, restated one final time so no reader mistakes it. The corpus is consolidating, on the two axes the theory named, subject to threats that cap but do not erase the finding</w:t>
      </w:r>
      <w:r>
        <w:t xml:space="preserve"> </w:t>
      </w:r>
      <w:hyperlink w:anchor="ref-5">
        <w:r>
          <w:rPr>
            <w:rStyle w:val="Hyperlink"/>
          </w:rPr>
          <w:t xml:space="preserve">[5]</w:t>
        </w:r>
      </w:hyperlink>
      <w:r>
        <w:t xml:space="preserve">. Chapter 8 draws out what that calibrated result offers to debris governance and to the research program that would extend it past the boundaries mapped here.</w:t>
      </w:r>
    </w:p>
    <w:bookmarkEnd w:id="141"/>
    <w:bookmarkStart w:id="142" w:name="Xb7a814a7e54fb80949ff26c664dc40d8fd7c1ec"/>
    <w:p>
      <w:pPr>
        <w:pStyle w:val="Heading2"/>
        <w:spacing w:line="480" w:lineRule="auto"/>
      </w:pPr>
      <w:r>
        <w:t xml:space="preserve">7.10 The small-sample threat and what it does to inference</w:t>
      </w:r>
    </w:p>
    <w:p>
      <w:pPr>
        <w:pStyle w:val="FirstParagraph"/>
        <w:spacing w:line="480" w:lineRule="auto"/>
      </w:pPr>
      <w:r>
        <w:t xml:space="preserve">A threat this chapter has so far touched only in passing deserves its own reckoning: thirty observations is a genuinely small panel, and small panels distort inference in specific ways a careful reader should hold in mind. The most obvious effect is on power. So few degrees of freedom mean the tests can detect only fairly large effects, so the insignificant citation coefficient in Paper 1 may reflect a real but modest relationship the sample was too small to resolve rather than the absence of any relationship at all</w:t>
      </w:r>
      <w:r>
        <w:t xml:space="preserve"> </w:t>
      </w:r>
      <w:hyperlink w:anchor="ref-7">
        <w:r>
          <w:rPr>
            <w:rStyle w:val="Hyperlink"/>
          </w:rPr>
          <w:t xml:space="preserve">[7]</w:t>
        </w:r>
      </w:hyperlink>
      <w:r>
        <w:t xml:space="preserve">. The honest reading treats that coefficient as inconclusive, and small-sample power is the reason.</w:t>
      </w:r>
    </w:p>
    <w:p>
      <w:pPr>
        <w:pStyle w:val="BodyText"/>
        <w:spacing w:line="480" w:lineRule="auto"/>
        <w:ind w:firstLine="720"/>
      </w:pPr>
      <w:r>
        <w:t xml:space="preserve">A subtler effect cuts the other way and strengthens rather than weakens the significant results. Because thirty observations give the null every advantage, a coefficient that clears significance despite the small sample has met a demanding standard</w:t>
      </w:r>
      <w:r>
        <w:t xml:space="preserve"> </w:t>
      </w:r>
      <w:hyperlink w:anchor="ref-4">
        <w:r>
          <w:rPr>
            <w:rStyle w:val="Hyperlink"/>
          </w:rPr>
          <w:t xml:space="preserve">[4]</w:t>
        </w:r>
      </w:hyperlink>
      <w:r>
        <w:t xml:space="preserve">. The recency slope in Paper 1 and the age elasticity in Paper 2 are both significant on a panel that makes significance hard to reach, which makes their signal more credible than a comparable p-value on a large sample. Small samples produce confident rejections and cautious non-rejections, and this study has both.</w:t>
      </w:r>
    </w:p>
    <w:p>
      <w:pPr>
        <w:pStyle w:val="BodyText"/>
        <w:spacing w:line="480" w:lineRule="auto"/>
        <w:ind w:firstLine="720"/>
      </w:pPr>
      <w:r>
        <w:t xml:space="preserve">The third small-sample effect is leverage. On thirty records, one unusual observation can exert outsized pull on a coefficient, and the panel does hold high-leverage records: the well-cited recent journal articles sitting far from the mass of zero-count conference papers</w:t>
      </w:r>
      <w:r>
        <w:t xml:space="preserve"> </w:t>
      </w:r>
      <w:hyperlink w:anchor="ref-20">
        <w:r>
          <w:rPr>
            <w:rStyle w:val="Hyperlink"/>
          </w:rPr>
          <w:t xml:space="preserve">[20]</w:t>
        </w:r>
      </w:hyperlink>
      <w:r>
        <w:t xml:space="preserve"> </w:t>
      </w:r>
      <w:hyperlink w:anchor="ref-15">
        <w:r>
          <w:rPr>
            <w:rStyle w:val="Hyperlink"/>
          </w:rPr>
          <w:t xml:space="preserve">[15]</w:t>
        </w:r>
      </w:hyperlink>
      <w:r>
        <w:t xml:space="preserve">. The robust standard errors guard against the worst of this by refusing to let a few high-variance points dominate the inference</w:t>
      </w:r>
      <w:r>
        <w:t xml:space="preserve"> </w:t>
      </w:r>
      <w:hyperlink w:anchor="ref-11">
        <w:r>
          <w:rPr>
            <w:rStyle w:val="Hyperlink"/>
          </w:rPr>
          <w:t xml:space="preserve">[11]</w:t>
        </w:r>
      </w:hyperlink>
      <w:r>
        <w:t xml:space="preserve">. But the reader should know the estimates rest on a panel where individual records matter, and that a replication on a differently seeded retrieval is the proper test of whether the pattern survives the removal of any particular influential record.</w:t>
      </w:r>
    </w:p>
    <w:bookmarkEnd w:id="142"/>
    <w:bookmarkStart w:id="143" w:name="comparing-the-two-threats-by-severity"/>
    <w:p>
      <w:pPr>
        <w:pStyle w:val="Heading2"/>
        <w:spacing w:line="480" w:lineRule="auto"/>
      </w:pPr>
      <w:r>
        <w:t xml:space="preserve">7.11 Comparing the two threats by severity</w:t>
      </w:r>
    </w:p>
    <w:p>
      <w:pPr>
        <w:pStyle w:val="FirstParagraph"/>
        <w:spacing w:line="480" w:lineRule="auto"/>
      </w:pPr>
      <w:r>
        <w:t xml:space="preserve">Not all threats to this study weigh the same, and ranking them helps a reader place skepticism where it belongs. The measurement threat to Paper 1, that the topic-signal score indexes vocabulary rather than argument quality, is the more serious, because it bears on what the density result means rather than merely how precisely it is estimated</w:t>
      </w:r>
      <w:r>
        <w:t xml:space="preserve"> </w:t>
      </w:r>
      <w:hyperlink w:anchor="ref-4">
        <w:r>
          <w:rPr>
            <w:rStyle w:val="Hyperlink"/>
          </w:rPr>
          <w:t xml:space="preserve">[4]</w:t>
        </w:r>
      </w:hyperlink>
      <w:r>
        <w:t xml:space="preserve">. Should indexed vocabulary and substantive remediation reasoning have drifted apart over the years, the recency effect could be real as a fact about metadata while misleading as a claim about ideas. Only human coding of full texts could resolve this, which is why Chapter 8 places it first among future work.</w:t>
      </w:r>
    </w:p>
    <w:p>
      <w:pPr>
        <w:pStyle w:val="BodyText"/>
        <w:spacing w:line="480" w:lineRule="auto"/>
        <w:ind w:firstLine="720"/>
      </w:pPr>
      <w:r>
        <w:t xml:space="preserve">The citation threat to Paper 2 is serious in a different and more contained way, since it bears on magnitude rather than sign</w:t>
      </w:r>
      <w:r>
        <w:t xml:space="preserve"> </w:t>
      </w:r>
      <w:hyperlink w:anchor="ref-11">
        <w:r>
          <w:rPr>
            <w:rStyle w:val="Hyperlink"/>
          </w:rPr>
          <w:t xml:space="preserve">[11]</w:t>
        </w:r>
      </w:hyperlink>
      <w:r>
        <w:t xml:space="preserve">. The venue- and vintage-dependence of citation counts, compounded by the plus-one floor that compresses the many zeros, means the elasticity’s precise value should be read loosely</w:t>
      </w:r>
      <w:r>
        <w:t xml:space="preserve"> </w:t>
      </w:r>
      <w:hyperlink w:anchor="ref-9">
        <w:r>
          <w:rPr>
            <w:rStyle w:val="Hyperlink"/>
          </w:rPr>
          <w:t xml:space="preserve">[9]</w:t>
        </w:r>
      </w:hyperlink>
      <w:r>
        <w:t xml:space="preserve">. The sign holds up across any reasonable reading of the data, because the raw counts themselves show recent records leading regardless of how the floor is handled. So the citation threat caps how firmly the -0.8755 figure can be quoted without threatening the negative direction that carries the diagnostic weight</w:t>
      </w:r>
      <w:r>
        <w:t xml:space="preserve"> </w:t>
      </w:r>
      <w:hyperlink w:anchor="ref-1">
        <w:r>
          <w:rPr>
            <w:rStyle w:val="Hyperlink"/>
          </w:rPr>
          <w:t xml:space="preserve">[1]</w:t>
        </w:r>
      </w:hyperlink>
      <w:r>
        <w:t xml:space="preserve">. One threat bears on meaning, the other on precision, and the two are not the same.</w:t>
      </w:r>
    </w:p>
    <w:p>
      <w:pPr>
        <w:pStyle w:val="BodyText"/>
        <w:spacing w:line="480" w:lineRule="auto"/>
        <w:ind w:firstLine="720"/>
      </w:pPr>
      <w:r>
        <w:t xml:space="preserve">Trace the measurement threat all the way through to see why it ranks first. The topic-signal score counts indexed vocabulary, so a record dense in candidate terms scores high whether its reasoning about free-riding runs deep or shallow, which means the recency trend the score produces could reflect a drift in how records are titled and keyworded over seventeen years rather than a genuine sharpening of remediation thought.</w:t>
      </w:r>
    </w:p>
    <w:p>
      <w:pPr>
        <w:pStyle w:val="BodyText"/>
        <w:spacing w:line="480" w:lineRule="auto"/>
        <w:ind w:firstLine="720"/>
      </w:pPr>
      <w:r>
        <w:t xml:space="preserve">Nor does the deterministic construction close the gap. Consistency is not validity, so the only real remedy is human coding of the full texts to check whether metadata density tracks substantive argument, a remedy this design does not implement and therefore cannot claim, leaving the density result honestly readable as a trend in shared vocabulary that is a real feature of consolidation without being the whole of it</w:t>
      </w:r>
      <w:r>
        <w:t xml:space="preserve"> </w:t>
      </w:r>
      <w:hyperlink w:anchor="ref-4">
        <w:r>
          <w:rPr>
            <w:rStyle w:val="Hyperlink"/>
          </w:rPr>
          <w:t xml:space="preserve">[4]</w:t>
        </w:r>
      </w:hyperlink>
      <w:r>
        <w:t xml:space="preserve"> </w:t>
      </w:r>
      <w:hyperlink w:anchor="ref-3">
        <w:r>
          <w:rPr>
            <w:rStyle w:val="Hyperlink"/>
          </w:rPr>
          <w:t xml:space="preserve">[3]</w:t>
        </w:r>
      </w:hyperlink>
      <w:r>
        <w:t xml:space="preserve">. The threat does not erase the finding. It caps what the finding can be taken to mean.</w:t>
      </w:r>
    </w:p>
    <w:p>
      <w:pPr>
        <w:pStyle w:val="BodyText"/>
        <w:spacing w:line="480" w:lineRule="auto"/>
        <w:ind w:firstLine="720"/>
      </w:pPr>
      <w:r>
        <w:t xml:space="preserve">Ranked together, the measurement threat limits interpretation and the citation threat limits precision, and the two are genuinely different in kind. A reader out to attack the study should aim at the measurement threat, because that is where the interpretive stakes run highest and where the design’s defenses run thinnest</w:t>
      </w:r>
      <w:r>
        <w:t xml:space="preserve"> </w:t>
      </w:r>
      <w:hyperlink w:anchor="ref-3">
        <w:r>
          <w:rPr>
            <w:rStyle w:val="Hyperlink"/>
          </w:rPr>
          <w:t xml:space="preserve">[3]</w:t>
        </w:r>
      </w:hyperlink>
      <w:r>
        <w:t xml:space="preserve">. Naming which threat is load-bearing is part of reporting a finding honestly, since a study that treats all its limitations as equally grave is as uncalibrated as one that treats them all as trivial</w:t>
      </w:r>
      <w:r>
        <w:t xml:space="preserve"> </w:t>
      </w:r>
      <w:hyperlink w:anchor="ref-2">
        <w:r>
          <w:rPr>
            <w:rStyle w:val="Hyperlink"/>
          </w:rPr>
          <w:t xml:space="preserve">[2]</w:t>
        </w:r>
      </w:hyperlink>
      <w:r>
        <w:t xml:space="preserve">.</w:t>
      </w:r>
    </w:p>
    <w:bookmarkEnd w:id="143"/>
    <w:bookmarkEnd w:id="144"/>
    <w:bookmarkStart w:id="189" w:name="chapter-8.-conclusions-and-implications"/>
    <w:p>
      <w:pPr>
        <w:pStyle w:val="Heading1"/>
        <w:spacing w:line="480" w:lineRule="auto"/>
      </w:pPr>
      <w:r>
        <w:t xml:space="preserve">Chapter 8. Conclusions and Implications</w:t>
      </w:r>
    </w:p>
    <w:p>
      <w:pPr>
        <w:pStyle w:val="FirstParagraph"/>
        <w:spacing w:line="480" w:lineRule="auto"/>
      </w:pPr>
      <w:r>
        <w:t xml:space="preserve">The dissertation opened with a narrow, falsifiable question and answered it. Is the candidate remediation and free-rider discourse consolidating, or is it merely active? The two empirical papers return a consistent verdict. Within this bounded thirty-record corpus, thematic density rises significantly with recency, and citation attention concentrates significantly on newer records. The discourse is converging, not just persisting</w:t>
      </w:r>
      <w:r>
        <w:t xml:space="preserve"> </w:t>
      </w:r>
      <w:hyperlink w:anchor="ref-1">
        <w:r>
          <w:rPr>
            <w:rStyle w:val="Hyperlink"/>
          </w:rPr>
          <w:t xml:space="preserve">[1]</w:t>
        </w:r>
      </w:hyperlink>
      <w:r>
        <w:t xml:space="preserve"> </w:t>
      </w:r>
      <w:hyperlink w:anchor="ref-4">
        <w:r>
          <w:rPr>
            <w:rStyle w:val="Hyperlink"/>
          </w:rPr>
          <w:t xml:space="preserve">[4]</w:t>
        </w:r>
      </w:hyperlink>
      <w:r>
        <w:t xml:space="preserve">. That is the finding, stated at exactly the size the data can carry.</w:t>
      </w:r>
    </w:p>
    <w:bookmarkStart w:id="145" w:name="the-contribution-restated"/>
    <w:p>
      <w:pPr>
        <w:pStyle w:val="Heading2"/>
        <w:spacing w:line="480" w:lineRule="auto"/>
      </w:pPr>
      <w:r>
        <w:t xml:space="preserve">8.1 The contribution restated</w:t>
      </w:r>
    </w:p>
    <w:p>
      <w:pPr>
        <w:pStyle w:val="FirstParagraph"/>
        <w:spacing w:line="480" w:lineRule="auto"/>
      </w:pPr>
      <w:r>
        <w:t xml:space="preserve">Methodological before substantive, the contribution measures rather than adds. Prior work argues about remediation urgency, shared observability, and sustainability incentives, and it tends to assume the underlying literature is cumulative</w:t>
      </w:r>
      <w:r>
        <w:t xml:space="preserve"> </w:t>
      </w:r>
      <w:hyperlink w:anchor="ref-8">
        <w:r>
          <w:rPr>
            <w:rStyle w:val="Hyperlink"/>
          </w:rPr>
          <w:t xml:space="preserve">[8]</w:t>
        </w:r>
      </w:hyperlink>
      <w:r>
        <w:t xml:space="preserve"> </w:t>
      </w:r>
      <w:hyperlink w:anchor="ref-7">
        <w:r>
          <w:rPr>
            <w:rStyle w:val="Hyperlink"/>
          </w:rPr>
          <w:t xml:space="preserve">[7]</w:t>
        </w:r>
      </w:hyperlink>
      <w:r>
        <w:t xml:space="preserve">. This dissertation does not add a mechanism to that pile. It measures the pile. Treating a candidate retrieval as an empirical object and fitting two transparent estimators to it, the study turns a contestable judgment about field maturity into a pair of signed coefficients a reader can inspect</w:t>
      </w:r>
      <w:r>
        <w:t xml:space="preserve"> </w:t>
      </w:r>
      <w:hyperlink w:anchor="ref-3">
        <w:r>
          <w:rPr>
            <w:rStyle w:val="Hyperlink"/>
          </w:rPr>
          <w:t xml:space="preserve">[3]</w:t>
        </w:r>
      </w:hyperlink>
      <w:r>
        <w:t xml:space="preserve">.</w:t>
      </w:r>
    </w:p>
    <w:p>
      <w:pPr>
        <w:pStyle w:val="BodyText"/>
        <w:spacing w:line="480" w:lineRule="auto"/>
        <w:ind w:firstLine="720"/>
      </w:pPr>
      <w:r>
        <w:t xml:space="preserve">The single falsifiable claim survived its own test. A consolidating field was predicted to show recency-linked thematic density and salience-driven attention. Paper 1 delivered the first, a recency coefficient of 0.1794 at a p-value of 0.0083. Paper 2 delivered the second, an age elasticity of -0.8755 at a p-value effectively zero</w:t>
      </w:r>
      <w:r>
        <w:t xml:space="preserve"> </w:t>
      </w:r>
      <w:hyperlink w:anchor="ref-11">
        <w:r>
          <w:rPr>
            <w:rStyle w:val="Hyperlink"/>
          </w:rPr>
          <w:t xml:space="preserve">[11]</w:t>
        </w:r>
      </w:hyperlink>
      <w:r>
        <w:t xml:space="preserve">. Both effects are correctly signed, and the weaker terms, citation attention and venue family, behaved as the mechanism expected rather than against it. The account could have failed at either point. It did not.</w:t>
      </w:r>
    </w:p>
    <w:bookmarkEnd w:id="145"/>
    <w:bookmarkStart w:id="146" w:name="relevance-to-debris-governance"/>
    <w:p>
      <w:pPr>
        <w:pStyle w:val="Heading2"/>
        <w:spacing w:line="480" w:lineRule="auto"/>
      </w:pPr>
      <w:r>
        <w:t xml:space="preserve">8.2 Relevance to debris governance</w:t>
      </w:r>
    </w:p>
    <w:p>
      <w:pPr>
        <w:pStyle w:val="FirstParagraph"/>
        <w:spacing w:line="480" w:lineRule="auto"/>
      </w:pPr>
      <w:r>
        <w:t xml:space="preserve">For the governance conversation, the finding offers a calibrated license rather than a slogan. Advocates who ground remediation policy in the free-rider frame are drawing on a literature genuinely converging on that frame, gaining shared vocabulary and concentrating attention on its recent statements</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frame is not a rhetorical overlay on a random field. It is the organizing center of a consolidating one, which supports treating free-riding as a stable analytic premise for policy design, sustainability ratings and burden-sharing arrangements for active removal included</w:t>
      </w:r>
      <w:r>
        <w:t xml:space="preserve"> </w:t>
      </w:r>
      <w:hyperlink w:anchor="ref-18">
        <w:r>
          <w:rPr>
            <w:rStyle w:val="Hyperlink"/>
          </w:rPr>
          <w:t xml:space="preserve">[18]</w:t>
        </w:r>
      </w:hyperlink>
      <w:r>
        <w:t xml:space="preserve">.</w:t>
      </w:r>
    </w:p>
    <w:p>
      <w:pPr>
        <w:pStyle w:val="BodyText"/>
        <w:spacing w:line="480" w:lineRule="auto"/>
        <w:ind w:firstLine="720"/>
      </w:pPr>
      <w:r>
        <w:t xml:space="preserve">The calibration cuts both ways, and the responsible reading keeps both edges. Consolidation proceeds along recency and salience, not along a strong citation hierarchy, so the field holds focal recent formulations but not yet a settled canon of authoritative texts</w:t>
      </w:r>
      <w:r>
        <w:t xml:space="preserve"> </w:t>
      </w:r>
      <w:hyperlink w:anchor="ref-9">
        <w:r>
          <w:rPr>
            <w:rStyle w:val="Hyperlink"/>
          </w:rPr>
          <w:t xml:space="preserve">[9]</w:t>
        </w:r>
      </w:hyperlink>
      <w:r>
        <w:t xml:space="preserve">. A program office building a remediation case should lean on the direction of the conversation while recognizing that its authoritative core is still forming. The evidence licenses confidence in the frame’s coherence. It does not license confidence in any single paper’s finality.</w:t>
      </w:r>
    </w:p>
    <w:bookmarkEnd w:id="146"/>
    <w:bookmarkStart w:id="147" w:name="program-relevance"/>
    <w:p>
      <w:pPr>
        <w:pStyle w:val="Heading2"/>
        <w:spacing w:line="480" w:lineRule="auto"/>
      </w:pPr>
      <w:r>
        <w:t xml:space="preserve">8.3 Program relevance</w:t>
      </w:r>
    </w:p>
    <w:p>
      <w:pPr>
        <w:pStyle w:val="FirstParagraph"/>
        <w:spacing w:line="480" w:lineRule="auto"/>
      </w:pPr>
      <w:r>
        <w:t xml:space="preserve">For program planning, the practical value is triage. An analyst facing a large, uneven literature needs to know where attention is concentrating before spending scarce review time on it. The age result locates that: the recent journal core, not the older conference tail, is where the corpus currently directs its attention</w:t>
      </w:r>
      <w:r>
        <w:t xml:space="preserve"> </w:t>
      </w:r>
      <w:hyperlink w:anchor="ref-15">
        <w:r>
          <w:rPr>
            <w:rStyle w:val="Hyperlink"/>
          </w:rPr>
          <w:t xml:space="preserve">[15]</w:t>
        </w:r>
      </w:hyperlink>
      <w:r>
        <w:t xml:space="preserve"> </w:t>
      </w:r>
      <w:hyperlink w:anchor="ref-20">
        <w:r>
          <w:rPr>
            <w:rStyle w:val="Hyperlink"/>
          </w:rPr>
          <w:t xml:space="preserve">[20]</w:t>
        </w:r>
      </w:hyperlink>
      <w:r>
        <w:t xml:space="preserve">. A remediation program synthesizing the state of the art would rationally weight recent focal records while treating foundational conference papers as valuable context rather than current consensus</w:t>
      </w:r>
      <w:r>
        <w:t xml:space="preserve"> </w:t>
      </w:r>
      <w:hyperlink w:anchor="ref-17">
        <w:r>
          <w:rPr>
            <w:rStyle w:val="Hyperlink"/>
          </w:rPr>
          <w:t xml:space="preserve">[17]</w:t>
        </w:r>
      </w:hyperlink>
      <w:r>
        <w:t xml:space="preserve">.</w:t>
      </w:r>
    </w:p>
    <w:p>
      <w:pPr>
        <w:pStyle w:val="BodyText"/>
        <w:spacing w:line="480" w:lineRule="auto"/>
        <w:ind w:firstLine="720"/>
      </w:pPr>
      <w:r>
        <w:t xml:space="preserve">The same logic informs how a sponsor reads incoming argument. When a proposal invokes the free-rider geometry of remediation, this study suggests the invocation rests on a consolidating rather than a fragmenting base. That raises the prior that the framing is shared across the community rather than idiosyncratic to the proposer, a small but genuine input to how much weight the framing should carry in a review</w:t>
      </w:r>
      <w:r>
        <w:t xml:space="preserve"> </w:t>
      </w:r>
      <w:hyperlink w:anchor="ref-2">
        <w:r>
          <w:rPr>
            <w:rStyle w:val="Hyperlink"/>
          </w:rPr>
          <w:t xml:space="preserve">[2]</w:t>
        </w:r>
      </w:hyperlink>
      <w:r>
        <w:t xml:space="preserve"> </w:t>
      </w:r>
      <w:hyperlink w:anchor="ref-12">
        <w:r>
          <w:rPr>
            <w:rStyle w:val="Hyperlink"/>
          </w:rPr>
          <w:t xml:space="preserve">[12]</w:t>
        </w:r>
      </w:hyperlink>
      <w:r>
        <w:t xml:space="preserve">.</w:t>
      </w:r>
    </w:p>
    <w:bookmarkEnd w:id="147"/>
    <w:bookmarkStart w:id="148" w:name="future-work"/>
    <w:p>
      <w:pPr>
        <w:pStyle w:val="Heading2"/>
        <w:spacing w:line="480" w:lineRule="auto"/>
      </w:pPr>
      <w:r>
        <w:t xml:space="preserve">8.4 Future work</w:t>
      </w:r>
    </w:p>
    <w:p>
      <w:pPr>
        <w:pStyle w:val="FirstParagraph"/>
        <w:spacing w:line="480" w:lineRule="auto"/>
      </w:pPr>
      <w:r>
        <w:t xml:space="preserve">Three extensions follow directly from the limits Chapter 7 named.</w:t>
      </w:r>
    </w:p>
    <w:p>
      <w:pPr>
        <w:pStyle w:val="BodyText"/>
        <w:spacing w:line="480" w:lineRule="auto"/>
        <w:ind w:firstLine="720"/>
      </w:pPr>
      <w:r>
        <w:t xml:space="preserve">The first is validation of the topic-signal score against human coding of a subsample, which would test whether metadata density tracks substantive argument quality or merely indexing convention</w:t>
      </w:r>
      <w:r>
        <w:t xml:space="preserve"> </w:t>
      </w:r>
      <w:hyperlink w:anchor="ref-4">
        <w:r>
          <w:rPr>
            <w:rStyle w:val="Hyperlink"/>
          </w:rPr>
          <w:t xml:space="preserve">[4]</w:t>
        </w:r>
      </w:hyperlink>
      <w:r>
        <w:t xml:space="preserve">. Align the two and the recency result gains a stronger substantive reading; diverge and the measure needs refinement before it can bear more weight than this study places on it.</w:t>
      </w:r>
    </w:p>
    <w:p>
      <w:pPr>
        <w:pStyle w:val="BodyText"/>
        <w:spacing w:line="480" w:lineRule="auto"/>
        <w:ind w:firstLine="720"/>
      </w:pPr>
      <w:r>
        <w:t xml:space="preserve">The second is a longitudinal citation network built on the same records, which would let consolidation be observed as a process rather than inferred from a static snapshot. Tracing how a remediation argument diffuses from one record to the next would convert the cross-sectional correlation into a dynamic account of convergence</w:t>
      </w:r>
      <w:r>
        <w:t xml:space="preserve"> </w:t>
      </w:r>
      <w:hyperlink w:anchor="ref-10">
        <w:r>
          <w:rPr>
            <w:rStyle w:val="Hyperlink"/>
          </w:rPr>
          <w:t xml:space="preserve">[10]</w:t>
        </w:r>
      </w:hyperlink>
      <w:r>
        <w:t xml:space="preserve"> </w:t>
      </w:r>
      <w:hyperlink w:anchor="ref-5">
        <w:r>
          <w:rPr>
            <w:rStyle w:val="Hyperlink"/>
          </w:rPr>
          <w:t xml:space="preserve">[5]</w:t>
        </w:r>
      </w:hyperlink>
      <w:r>
        <w:t xml:space="preserve">. The third is replication across differently seeded retrievals, which would test whether the consolidation signature is a property of the field or an artifact of one candidate’s particular source set</w:t>
      </w:r>
      <w:r>
        <w:t xml:space="preserve"> </w:t>
      </w:r>
      <w:hyperlink w:anchor="ref-19">
        <w:r>
          <w:rPr>
            <w:rStyle w:val="Hyperlink"/>
          </w:rPr>
          <w:t xml:space="preserve">[19]</w:t>
        </w:r>
      </w:hyperlink>
      <w:r>
        <w:t xml:space="preserve">. All three are within reach of a follow-on study, and each attacks a specific threat rather than gesturing at rigor in general.</w:t>
      </w:r>
    </w:p>
    <w:bookmarkEnd w:id="148"/>
    <w:bookmarkStart w:id="149" w:name="closing"/>
    <w:p>
      <w:pPr>
        <w:pStyle w:val="Heading2"/>
        <w:spacing w:line="480" w:lineRule="auto"/>
      </w:pPr>
      <w:r>
        <w:t xml:space="preserve">8.5 Closing</w:t>
      </w:r>
    </w:p>
    <w:p>
      <w:pPr>
        <w:pStyle w:val="FirstParagraph"/>
        <w:spacing w:line="480" w:lineRule="auto"/>
      </w:pPr>
      <w:r>
        <w:t xml:space="preserve">The dissertation set out to do one thing well rather than many things loosely. It asked whether a bounded remediation corpus was consolidating, built a mechanism that made the question falsifiable, tested that mechanism with two auditable estimators on a real thirty-record panel, and reported the results exactly as the estimators produced them</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answer is yes, on the two axes the theory named, with limits stated plainly and threats weighed rather than waved away.</w:t>
      </w:r>
    </w:p>
    <w:p>
      <w:pPr>
        <w:pStyle w:val="BodyText"/>
        <w:spacing w:line="480" w:lineRule="auto"/>
        <w:ind w:firstLine="720"/>
      </w:pPr>
      <w:r>
        <w:t xml:space="preserve">A small result, and a defensible one. In a policy debate where the free-rider frame is invoked far more often than it is examined, a disciplined demonstration that the underlying literature is genuinely converging is worth more than a sweeping cost-benefit number the data could never have honestly produced</w:t>
      </w:r>
      <w:r>
        <w:t xml:space="preserve"> </w:t>
      </w:r>
      <w:hyperlink w:anchor="ref-8">
        <w:r>
          <w:rPr>
            <w:rStyle w:val="Hyperlink"/>
          </w:rPr>
          <w:t xml:space="preserve">[8]</w:t>
        </w:r>
      </w:hyperlink>
      <w:r>
        <w:t xml:space="preserve">. The work does not claim to price a cleanup. It claims to have measured, carefully and reproducibly, whether the conversation about that cleanup has begun to cohere. On the evidence assembled here, it has.</w:t>
      </w:r>
    </w:p>
    <w:bookmarkEnd w:id="149"/>
    <w:bookmarkStart w:id="150" w:name="a-note-on-method-as-contribution"/>
    <w:p>
      <w:pPr>
        <w:pStyle w:val="Heading2"/>
        <w:spacing w:line="480" w:lineRule="auto"/>
      </w:pPr>
      <w:r>
        <w:t xml:space="preserve">8.6 A note on method as contribution</w:t>
      </w:r>
    </w:p>
    <w:p>
      <w:pPr>
        <w:pStyle w:val="FirstParagraph"/>
        <w:spacing w:line="480" w:lineRule="auto"/>
      </w:pPr>
      <w:r>
        <w:t xml:space="preserve">A second contribution folds inside the first, and it deserves naming directly. The dissertation demonstrates a reusable way to ask whether any bounded policy literature is consolidating. The two-estimator design, one model for thematic density and one for attention structure, is not specific to debris</w:t>
      </w:r>
      <w:r>
        <w:t xml:space="preserve"> </w:t>
      </w:r>
      <w:hyperlink w:anchor="ref-3">
        <w:r>
          <w:rPr>
            <w:rStyle w:val="Hyperlink"/>
          </w:rPr>
          <w:t xml:space="preserve">[3]</w:t>
        </w:r>
      </w:hyperlink>
      <w:r>
        <w:t xml:space="preserve">. It could be pointed at any candidate corpus where the analyst wants to tell a converging field from an active but scattered one, provided the metadata support a topic-signal score and a citation count.</w:t>
      </w:r>
    </w:p>
    <w:p>
      <w:pPr>
        <w:pStyle w:val="BodyText"/>
        <w:spacing w:line="480" w:lineRule="auto"/>
        <w:ind w:firstLine="720"/>
      </w:pPr>
      <w:r>
        <w:t xml:space="preserve">That transferability matters for how research programs triage evidence. Analysts routinely inherit large, uneven bodies of literature and have to decide how much weight to place on the consensus they seem to express</w:t>
      </w:r>
      <w:r>
        <w:t xml:space="preserve"> </w:t>
      </w:r>
      <w:hyperlink w:anchor="ref-2">
        <w:r>
          <w:rPr>
            <w:rStyle w:val="Hyperlink"/>
          </w:rPr>
          <w:t xml:space="preserve">[2]</w:t>
        </w:r>
      </w:hyperlink>
      <w:r>
        <w:t xml:space="preserve">. A consensus drawn from a consolidating field is a different object from a consensus asserted across a fragmented one, and the difference is measurable rather than merely felt. The method here offers a lightweight test for that distinction, with estimators plain enough that a skeptical reader can rerun them by hand.</w:t>
      </w:r>
    </w:p>
    <w:bookmarkEnd w:id="150"/>
    <w:bookmarkStart w:id="151" w:name="the-limits-of-the-license-one-last-time"/>
    <w:p>
      <w:pPr>
        <w:pStyle w:val="Heading2"/>
        <w:spacing w:line="480" w:lineRule="auto"/>
      </w:pPr>
      <w:r>
        <w:t xml:space="preserve">8.7 The limits of the license, one last time</w:t>
      </w:r>
    </w:p>
    <w:p>
      <w:pPr>
        <w:pStyle w:val="FirstParagraph"/>
        <w:spacing w:line="480" w:lineRule="auto"/>
      </w:pPr>
      <w:r>
        <w:t xml:space="preserve">It would misread the study to close on triumph. The corpus is thirty records, the outcome measures are metadata proxies, the design is cross-sectional</w:t>
      </w:r>
      <w:r>
        <w:t xml:space="preserve"> </w:t>
      </w:r>
      <w:hyperlink w:anchor="ref-9">
        <w:r>
          <w:rPr>
            <w:rStyle w:val="Hyperlink"/>
          </w:rPr>
          <w:t xml:space="preserve">[9]</w:t>
        </w:r>
      </w:hyperlink>
      <w:r>
        <w:t xml:space="preserve">. The finding is that a particular candidate retrieval shows the two-part signature of consolidation. It is not that debris-remediation scholarship as a whole has matured, nor that the free-rider frame is correct, nor that active removal is affordable or wise. Those are larger questions, and they need larger and different evidence than a bounded retrieval can supply</w:t>
      </w:r>
      <w:r>
        <w:t xml:space="preserve"> </w:t>
      </w:r>
      <w:hyperlink w:anchor="ref-8">
        <w:r>
          <w:rPr>
            <w:rStyle w:val="Hyperlink"/>
          </w:rPr>
          <w:t xml:space="preserve">[8]</w:t>
        </w:r>
      </w:hyperlink>
      <w:r>
        <w:t xml:space="preserve">.</w:t>
      </w:r>
    </w:p>
    <w:p>
      <w:pPr>
        <w:pStyle w:val="BodyText"/>
        <w:spacing w:line="480" w:lineRule="auto"/>
        <w:ind w:firstLine="720"/>
      </w:pPr>
      <w:r>
        <w:t xml:space="preserve">What the study contributes is a floor, not a ceiling. It establishes, for this corpus, that the remediation conversation is cohering rather than dispersing, and it establishes that claim on terms a reader can audit line by line. A field that knows it is converging can begin the work of synthesis with more confidence. A policy community that knows the literature beneath its favorite frame is stabilizing can invoke that frame with fewer apologies. Modest gains. Real ones too, earned by evidence rather than asserted over it.</w:t>
      </w:r>
    </w:p>
    <w:bookmarkEnd w:id="151"/>
    <w:bookmarkStart w:id="152" w:name="how-the-pieces-fit-together"/>
    <w:p>
      <w:pPr>
        <w:pStyle w:val="Heading2"/>
        <w:spacing w:line="480" w:lineRule="auto"/>
      </w:pPr>
      <w:r>
        <w:t xml:space="preserve">8.8 How the pieces fit together</w:t>
      </w:r>
    </w:p>
    <w:p>
      <w:pPr>
        <w:pStyle w:val="FirstParagraph"/>
        <w:spacing w:line="480" w:lineRule="auto"/>
      </w:pPr>
      <w:r>
        <w:t xml:space="preserve">Seeing the dissertation as a single argument rather than eight separate chapters helps. The introduction posed a falsifiable question about consolidation. The review showed why the question was open, mapping three strands that touch free-riding without obviously cohering</w:t>
      </w:r>
      <w:r>
        <w:t xml:space="preserve"> </w:t>
      </w:r>
      <w:hyperlink w:anchor="ref-8">
        <w:r>
          <w:rPr>
            <w:rStyle w:val="Hyperlink"/>
          </w:rPr>
          <w:t xml:space="preserve">[8]</w:t>
        </w:r>
      </w:hyperlink>
      <w:r>
        <w:t xml:space="preserve"> </w:t>
      </w:r>
      <w:hyperlink w:anchor="ref-7">
        <w:r>
          <w:rPr>
            <w:rStyle w:val="Hyperlink"/>
          </w:rPr>
          <w:t xml:space="preserve">[7]</w:t>
        </w:r>
      </w:hyperlink>
      <w:r>
        <w:t xml:space="preserve">. The theory turned consolidation into two proxies and two hypotheses, and named the rivals that could mimic them</w:t>
      </w:r>
      <w:r>
        <w:t xml:space="preserve"> </w:t>
      </w:r>
      <w:hyperlink w:anchor="ref-4">
        <w:r>
          <w:rPr>
            <w:rStyle w:val="Hyperlink"/>
          </w:rPr>
          <w:t xml:space="preserve">[4]</w:t>
        </w:r>
      </w:hyperlink>
      <w:r>
        <w:t xml:space="preserve">. The methodology chose two plain estimators matched to the two hypotheses, and defended each identification</w:t>
      </w:r>
      <w:r>
        <w:t xml:space="preserve"> </w:t>
      </w:r>
      <w:hyperlink w:anchor="ref-3">
        <w:r>
          <w:rPr>
            <w:rStyle w:val="Hyperlink"/>
          </w:rPr>
          <w:t xml:space="preserve">[3]</w:t>
        </w:r>
      </w:hyperlink>
      <w:r>
        <w:t xml:space="preserve">.</w:t>
      </w:r>
    </w:p>
    <w:p>
      <w:pPr>
        <w:pStyle w:val="BodyText"/>
        <w:spacing w:line="480" w:lineRule="auto"/>
        <w:ind w:firstLine="720"/>
      </w:pPr>
      <w:r>
        <w:t xml:space="preserve">The data chapter documented a real thirty-record panel with its skew and its awkward tail intact</w:t>
      </w:r>
      <w:r>
        <w:t xml:space="preserve"> </w:t>
      </w:r>
      <w:hyperlink w:anchor="ref-19">
        <w:r>
          <w:rPr>
            <w:rStyle w:val="Hyperlink"/>
          </w:rPr>
          <w:t xml:space="preserve">[19]</w:t>
        </w:r>
      </w:hyperlink>
      <w:r>
        <w:t xml:space="preserve">. The results reported both coefficients exactly and read them as a joint verdict</w:t>
      </w:r>
      <w:r>
        <w:t xml:space="preserve"> </w:t>
      </w:r>
      <w:hyperlink w:anchor="ref-1">
        <w:r>
          <w:rPr>
            <w:rStyle w:val="Hyperlink"/>
          </w:rPr>
          <w:t xml:space="preserve">[1]</w:t>
        </w:r>
      </w:hyperlink>
      <w:r>
        <w:t xml:space="preserve"> </w:t>
      </w:r>
      <w:hyperlink w:anchor="ref-11">
        <w:r>
          <w:rPr>
            <w:rStyle w:val="Hyperlink"/>
          </w:rPr>
          <w:t xml:space="preserve">[11]</w:t>
        </w:r>
      </w:hyperlink>
      <w:r>
        <w:t xml:space="preserve">. The discussion weighed the verdict against its threats, conceding what could not be excluded and defending what could</w:t>
      </w:r>
      <w:r>
        <w:t xml:space="preserve"> </w:t>
      </w:r>
      <w:hyperlink w:anchor="ref-9">
        <w:r>
          <w:rPr>
            <w:rStyle w:val="Hyperlink"/>
          </w:rPr>
          <w:t xml:space="preserve">[9]</w:t>
        </w:r>
      </w:hyperlink>
      <w:r>
        <w:t xml:space="preserve">. Each chapter did one job, and the jobs compose into a chain from question to answer a reader can follow and check at every link. That composability is itself a mark of the disciplined design the study set out to model.</w:t>
      </w:r>
    </w:p>
    <w:bookmarkEnd w:id="152"/>
    <w:bookmarkStart w:id="153" w:name="Xd14ca91e79e8fa21ba1195f577c063cef6d675b"/>
    <w:p>
      <w:pPr>
        <w:pStyle w:val="Heading2"/>
        <w:spacing w:line="480" w:lineRule="auto"/>
      </w:pPr>
      <w:r>
        <w:t xml:space="preserve">8.8a Implications for how sponsors read a literature</w:t>
      </w:r>
    </w:p>
    <w:p>
      <w:pPr>
        <w:pStyle w:val="FirstParagraph"/>
        <w:spacing w:line="480" w:lineRule="auto"/>
      </w:pPr>
      <w:r>
        <w:t xml:space="preserve">A practical habit runs beneath this dissertation. When a sponsor receives a proposal leaning on a body of literature, the usual question is whether the cited work is credible. A prior question is whether that work has cohered enough to speak with one voice, and the method here supplies a way to ask it</w:t>
      </w:r>
      <w:r>
        <w:t xml:space="preserve"> </w:t>
      </w:r>
      <w:hyperlink w:anchor="ref-2">
        <w:r>
          <w:rPr>
            <w:rStyle w:val="Hyperlink"/>
          </w:rPr>
          <w:t xml:space="preserve">[2]</w:t>
        </w:r>
      </w:hyperlink>
      <w:r>
        <w:t xml:space="preserve">. A consolidating literature can be treated as a converging consensus. A fragmented one should be treated as a set of competing claims a proposal has selected among, perhaps tendentiously</w:t>
      </w:r>
      <w:r>
        <w:t xml:space="preserve"> </w:t>
      </w:r>
      <w:hyperlink w:anchor="ref-9">
        <w:r>
          <w:rPr>
            <w:rStyle w:val="Hyperlink"/>
          </w:rPr>
          <w:t xml:space="preserve">[9]</w:t>
        </w:r>
      </w:hyperlink>
      <w:r>
        <w:t xml:space="preserve">.</w:t>
      </w:r>
    </w:p>
    <w:p>
      <w:pPr>
        <w:pStyle w:val="BodyText"/>
        <w:spacing w:line="480" w:lineRule="auto"/>
        <w:ind w:firstLine="720"/>
      </w:pPr>
      <w:r>
        <w:t xml:space="preserve">For debris remediation specifically, the finding gives a sponsor reason to treat the free-rider framing as a shared premise rather than an advocacy device, at least within the slice of literature this corpus represents</w:t>
      </w:r>
      <w:r>
        <w:t xml:space="preserve"> </w:t>
      </w:r>
      <w:hyperlink w:anchor="ref-1">
        <w:r>
          <w:rPr>
            <w:rStyle w:val="Hyperlink"/>
          </w:rPr>
          <w:t xml:space="preserve">[1]</w:t>
        </w:r>
      </w:hyperlink>
      <w:r>
        <w:t xml:space="preserve"> </w:t>
      </w:r>
      <w:hyperlink w:anchor="ref-8">
        <w:r>
          <w:rPr>
            <w:rStyle w:val="Hyperlink"/>
          </w:rPr>
          <w:t xml:space="preserve">[8]</w:t>
        </w:r>
      </w:hyperlink>
      <w:r>
        <w:t xml:space="preserve">. That does not settle whether any particular removal program is worth funding. It does mean the intellectual foundation the program invokes is stabilizing rather than improvised, one input among many into a funding judgment</w:t>
      </w:r>
      <w:r>
        <w:t xml:space="preserve"> </w:t>
      </w:r>
      <w:hyperlink w:anchor="ref-12">
        <w:r>
          <w:rPr>
            <w:rStyle w:val="Hyperlink"/>
          </w:rPr>
          <w:t xml:space="preserve">[12]</w:t>
        </w:r>
      </w:hyperlink>
      <w:r>
        <w:t xml:space="preserve">. The habit generalizes past debris: measure whether the literature coheres before weighing what it claims.</w:t>
      </w:r>
    </w:p>
    <w:bookmarkEnd w:id="153"/>
    <w:bookmarkStart w:id="154" w:name="a-closing-on-the-free-rider-geometry"/>
    <w:p>
      <w:pPr>
        <w:pStyle w:val="Heading2"/>
        <w:spacing w:line="480" w:lineRule="auto"/>
      </w:pPr>
      <w:r>
        <w:t xml:space="preserve">8.9 A closing on the free-rider geometry</w:t>
      </w:r>
    </w:p>
    <w:p>
      <w:pPr>
        <w:pStyle w:val="FirstParagraph"/>
        <w:spacing w:line="480" w:lineRule="auto"/>
      </w:pPr>
      <w:r>
        <w:t xml:space="preserve">The dissertation’s title names a geometry: one actor pays, many benefit, and the mismatch strains cooperation</w:t>
      </w:r>
      <w:r>
        <w:t xml:space="preserve"> </w:t>
      </w:r>
      <w:hyperlink w:anchor="ref-8">
        <w:r>
          <w:rPr>
            <w:rStyle w:val="Hyperlink"/>
          </w:rPr>
          <w:t xml:space="preserve">[8]</w:t>
        </w:r>
      </w:hyperlink>
      <w:r>
        <w:t xml:space="preserve">. The empirical chapters did not solve that geometry, and they never promised to. What they showed is that the literature describing it has begun to cohere, accumulating a shared vocabulary for who benefits and who pays, and concentrating its attention on recent formulations of the problem</w:t>
      </w:r>
      <w:r>
        <w:t xml:space="preserve"> </w:t>
      </w:r>
      <w:hyperlink w:anchor="ref-1">
        <w:r>
          <w:rPr>
            <w:rStyle w:val="Hyperlink"/>
          </w:rPr>
          <w:t xml:space="preserve">[1]</w:t>
        </w:r>
      </w:hyperlink>
      <w:r>
        <w:t xml:space="preserve"> </w:t>
      </w:r>
      <w:hyperlink w:anchor="ref-18">
        <w:r>
          <w:rPr>
            <w:rStyle w:val="Hyperlink"/>
          </w:rPr>
          <w:t xml:space="preserve">[18]</w:t>
        </w:r>
      </w:hyperlink>
      <w:r>
        <w:t xml:space="preserve">.</w:t>
      </w:r>
    </w:p>
    <w:p>
      <w:pPr>
        <w:pStyle w:val="BodyText"/>
        <w:spacing w:line="480" w:lineRule="auto"/>
        <w:ind w:firstLine="720"/>
      </w:pPr>
      <w:r>
        <w:t xml:space="preserve">A fitting result for a study of a collective-action problem, since collective action begins with shared understanding. A field that has agreed on how to name the free-rider geometry of remediation is a field that can begin to argue productively about how to resolve it</w:t>
      </w:r>
      <w:r>
        <w:t xml:space="preserve"> </w:t>
      </w:r>
      <w:hyperlink w:anchor="ref-6">
        <w:r>
          <w:rPr>
            <w:rStyle w:val="Hyperlink"/>
          </w:rPr>
          <w:t xml:space="preserve">[6]</w:t>
        </w:r>
      </w:hyperlink>
      <w:r>
        <w:t xml:space="preserve">. The resolution itself, the pricing, the burden-sharing, the institutions, lies beyond this corpus and beyond this dissertation. But the naming has started to stabilize, and that is a real and measurable step, reported here at exactly the size the evidence supports</w:t>
      </w:r>
      <w:r>
        <w:t xml:space="preserve"> </w:t>
      </w:r>
      <w:hyperlink w:anchor="ref-2">
        <w:r>
          <w:rPr>
            <w:rStyle w:val="Hyperlink"/>
          </w:rPr>
          <w:t xml:space="preserve">[2]</w:t>
        </w:r>
      </w:hyperlink>
      <w:r>
        <w:t xml:space="preserve">.</w:t>
      </w:r>
    </w:p>
    <w:bookmarkEnd w:id="154"/>
    <w:bookmarkStart w:id="155" w:name="X74ed536a961c723136e207865f456e48d88a68f"/>
    <w:p>
      <w:pPr>
        <w:pStyle w:val="Heading2"/>
        <w:spacing w:line="480" w:lineRule="auto"/>
      </w:pPr>
      <w:r>
        <w:t xml:space="preserve">8.10 What the finding says about the timing of governance</w:t>
      </w:r>
    </w:p>
    <w:p>
      <w:pPr>
        <w:pStyle w:val="FirstParagraph"/>
        <w:spacing w:line="480" w:lineRule="auto"/>
      </w:pPr>
      <w:r>
        <w:t xml:space="preserve">A policy inference sits latent in the consolidation result and deserves drawing out, because it bears on when, not just whether, remediation governance should be pursued. A field that has stabilized its vocabulary and concentrated its attention on recent formulations is a field ready to support instrument design, because the shared terms instruments require now exist</w:t>
      </w:r>
      <w:r>
        <w:t xml:space="preserve"> </w:t>
      </w:r>
      <w:hyperlink w:anchor="ref-18">
        <w:r>
          <w:rPr>
            <w:rStyle w:val="Hyperlink"/>
          </w:rPr>
          <w:t xml:space="preserve">[18]</w:t>
        </w:r>
      </w:hyperlink>
      <w:r>
        <w:t xml:space="preserve"> </w:t>
      </w:r>
      <w:hyperlink w:anchor="ref-4">
        <w:r>
          <w:rPr>
            <w:rStyle w:val="Hyperlink"/>
          </w:rPr>
          <w:t xml:space="preserve">[4]</w:t>
        </w:r>
      </w:hyperlink>
      <w:r>
        <w:t xml:space="preserve">. Sustainability ratings need an agreed vocabulary of good and bad orbital behavior to score against, and the density result suggests that vocabulary has been diffusing through the literature rather than fragmenting</w:t>
      </w:r>
      <w:r>
        <w:t xml:space="preserve"> </w:t>
      </w:r>
      <w:hyperlink w:anchor="ref-13">
        <w:r>
          <w:rPr>
            <w:rStyle w:val="Hyperlink"/>
          </w:rPr>
          <w:t xml:space="preserve">[13]</w:t>
        </w:r>
      </w:hyperlink>
      <w:r>
        <w:t xml:space="preserve">. The timing argument runs that the intellectual preconditions for governance are more mature than a fragmented literature would provide.</w:t>
      </w:r>
    </w:p>
    <w:p>
      <w:pPr>
        <w:pStyle w:val="BodyText"/>
        <w:spacing w:line="480" w:lineRule="auto"/>
        <w:ind w:firstLine="720"/>
      </w:pPr>
      <w:r>
        <w:t xml:space="preserve">The urgency strand sharpens this into a schedule. McKnight’s pay-now-or-pay-more-later logic implies the cost of delay compounds, so a governance window opening as the literature consolidates is a window that should be used rather than deferred</w:t>
      </w:r>
      <w:r>
        <w:t xml:space="preserve"> </w:t>
      </w:r>
      <w:hyperlink w:anchor="ref-8">
        <w:r>
          <w:rPr>
            <w:rStyle w:val="Hyperlink"/>
          </w:rPr>
          <w:t xml:space="preserve">[8]</w:t>
        </w:r>
      </w:hyperlink>
      <w:r>
        <w:t xml:space="preserve"> </w:t>
      </w:r>
      <w:hyperlink w:anchor="ref-1">
        <w:r>
          <w:rPr>
            <w:rStyle w:val="Hyperlink"/>
          </w:rPr>
          <w:t xml:space="preserve">[1]</w:t>
        </w:r>
      </w:hyperlink>
      <w:r>
        <w:t xml:space="preserve">. The finding does not price the removal, and it does not settle which instrument is best. What it offers is evidence that the conversation underpinning any instrument has reached a stage of shared understanding that makes coordinated action intellectually feasible, a precondition the collective-action literature treats as necessary even if not sufficient</w:t>
      </w:r>
      <w:r>
        <w:t xml:space="preserve"> </w:t>
      </w:r>
      <w:hyperlink w:anchor="ref-6">
        <w:r>
          <w:rPr>
            <w:rStyle w:val="Hyperlink"/>
          </w:rPr>
          <w:t xml:space="preserve">[6]</w:t>
        </w:r>
      </w:hyperlink>
      <w:r>
        <w:t xml:space="preserve">. A consolidating literature is a resource for governance, and the result identifies that resource as present.</w:t>
      </w:r>
    </w:p>
    <w:p>
      <w:pPr>
        <w:pStyle w:val="BodyText"/>
        <w:spacing w:line="480" w:lineRule="auto"/>
        <w:ind w:firstLine="720"/>
      </w:pPr>
      <w:r>
        <w:t xml:space="preserve">The cislunar extension raises the stakes of getting the timing right. As activity moves past the near-Earth shell, the same free-rider geometry will reappear in a domain with even weaker institutions, and a remediation vocabulary consolidated now is one that can be carried outward rather than rebuilt from scratch</w:t>
      </w:r>
      <w:r>
        <w:t xml:space="preserve"> </w:t>
      </w:r>
      <w:hyperlink w:anchor="ref-17">
        <w:r>
          <w:rPr>
            <w:rStyle w:val="Hyperlink"/>
          </w:rPr>
          <w:t xml:space="preserve">[17]</w:t>
        </w:r>
      </w:hyperlink>
      <w:r>
        <w:t xml:space="preserve">. The value of a shared lexicon compounds as the domain of application widens, a further reason the timing of consolidation matters beyond the immediate debris problem.</w:t>
      </w:r>
    </w:p>
    <w:bookmarkEnd w:id="155"/>
    <w:bookmarkStart w:id="156" w:name="X1030359367d2de04834416bf2d629ca05b43c6e"/>
    <w:p>
      <w:pPr>
        <w:pStyle w:val="Heading2"/>
        <w:spacing w:line="480" w:lineRule="auto"/>
      </w:pPr>
      <w:r>
        <w:t xml:space="preserve">8.11 The method as a template for evidence triage</w:t>
      </w:r>
    </w:p>
    <w:p>
      <w:pPr>
        <w:pStyle w:val="FirstParagraph"/>
        <w:spacing w:line="480" w:lineRule="auto"/>
      </w:pPr>
      <w:r>
        <w:t xml:space="preserve">The reusable contribution folded into this study is worth stating as a template a future analyst could pick up, since its value lies in being applied again rather than admired once. The template is simple. Take a bounded retrieval on any policy-relevant literature. Build a topic-signal score from metadata and parse a citation count. Fit a recency-density regression and an age-citation learning curve. Read the two coefficients as a joint verdict on whether the literature is consolidating or merely active</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 estimators are plain enough to rerun by hand, and the source column keeps every result auditable.</w:t>
      </w:r>
    </w:p>
    <w:p>
      <w:pPr>
        <w:pStyle w:val="BodyText"/>
        <w:spacing w:line="480" w:lineRule="auto"/>
        <w:ind w:firstLine="720"/>
      </w:pPr>
      <w:r>
        <w:t xml:space="preserve">The template answers a question analysts face constantly and usually settle by intuition: how much weight does the apparent consensus in a body of literature deserve? A consensus drawn from a consolidating field is a different object from a consensus asserted across a scattered one, and the difference changes how much a proposal leaning on that consensus should be trusted</w:t>
      </w:r>
      <w:r>
        <w:t xml:space="preserve"> </w:t>
      </w:r>
      <w:hyperlink w:anchor="ref-2">
        <w:r>
          <w:rPr>
            <w:rStyle w:val="Hyperlink"/>
          </w:rPr>
          <w:t xml:space="preserve">[2]</w:t>
        </w:r>
      </w:hyperlink>
      <w:r>
        <w:t xml:space="preserve">. An analyst who can tell the two apart cheaply and reproducibly holds a genuine tool, and this dissertation demonstrates the tool on a real corpus rather than proposing it in the abstract</w:t>
      </w:r>
      <w:r>
        <w:t xml:space="preserve"> </w:t>
      </w:r>
      <w:hyperlink w:anchor="ref-9">
        <w:r>
          <w:rPr>
            <w:rStyle w:val="Hyperlink"/>
          </w:rPr>
          <w:t xml:space="preserve">[9]</w:t>
        </w:r>
      </w:hyperlink>
      <w:r>
        <w:t xml:space="preserve">.</w:t>
      </w:r>
    </w:p>
    <w:p>
      <w:pPr>
        <w:pStyle w:val="BodyText"/>
        <w:spacing w:line="480" w:lineRule="auto"/>
        <w:ind w:firstLine="720"/>
      </w:pPr>
      <w:r>
        <w:t xml:space="preserve">A limit to the template rides alongside its promise, and honesty requires stating it. The template measures whether a literature has cohered, not whether the coherence is correct, so a consolidating field agreeing on an error would pass the test as cleanly as one agreeing on a truth</w:t>
      </w:r>
      <w:r>
        <w:t xml:space="preserve"> </w:t>
      </w:r>
      <w:hyperlink w:anchor="ref-8">
        <w:r>
          <w:rPr>
            <w:rStyle w:val="Hyperlink"/>
          </w:rPr>
          <w:t xml:space="preserve">[8]</w:t>
        </w:r>
      </w:hyperlink>
      <w:r>
        <w:t xml:space="preserve">. It is a triage instrument, not a validity check, and it should be used to calibrate confidence in a consensus rather than certify it. Used that way, on the debris corpus or any other, it turns a soft judgment about field maturity into a checkable measurement, the whole of what this dissertation set out to contribute</w:t>
      </w:r>
      <w:r>
        <w:t xml:space="preserve"> </w:t>
      </w:r>
      <w:hyperlink w:anchor="ref-4">
        <w:r>
          <w:rPr>
            <w:rStyle w:val="Hyperlink"/>
          </w:rPr>
          <w:t xml:space="preserve">[4]</w:t>
        </w:r>
      </w:hyperlink>
      <w:r>
        <w:t xml:space="preserve">.</w:t>
      </w:r>
    </w:p>
    <w:bookmarkEnd w:id="156"/>
    <w:bookmarkStart w:id="157" w:name="X52a0f5b76fd08133821a77a094b6466ea2b7c17"/>
    <w:p>
      <w:pPr>
        <w:pStyle w:val="Heading2"/>
        <w:spacing w:line="480" w:lineRule="auto"/>
      </w:pPr>
      <w:r>
        <w:t xml:space="preserve">8.12 A final accounting of what was claimed and what was earned</w:t>
      </w:r>
    </w:p>
    <w:p>
      <w:pPr>
        <w:pStyle w:val="FirstParagraph"/>
        <w:spacing w:line="480" w:lineRule="auto"/>
      </w:pPr>
      <w:r>
        <w:t xml:space="preserve">Closing with a plain ledger of claims and evidence is fitting, because a dissertation should answer for the distance between what it promised and what it delivered. The promise was narrow: to test whether one candidate remediation corpus shows the two-part signature of consolidation</w:t>
      </w:r>
      <w:r>
        <w:t xml:space="preserve"> </w:t>
      </w:r>
      <w:hyperlink w:anchor="ref-3">
        <w:r>
          <w:rPr>
            <w:rStyle w:val="Hyperlink"/>
          </w:rPr>
          <w:t xml:space="preserve">[3]</w:t>
        </w:r>
      </w:hyperlink>
      <w:r>
        <w:t xml:space="preserve">. The evidence delivered exactly that and no more. Paper 1 returned a significant positive recency slope; Paper 2 returned a significant negative age elasticity; the two weaker terms behaved as the mechanism predicted</w:t>
      </w:r>
      <w:r>
        <w:t xml:space="preserve"> </w:t>
      </w:r>
      <w:hyperlink w:anchor="ref-7">
        <w:r>
          <w:rPr>
            <w:rStyle w:val="Hyperlink"/>
          </w:rPr>
          <w:t xml:space="preserve">[7]</w:t>
        </w:r>
      </w:hyperlink>
      <w:r>
        <w:t xml:space="preserve"> </w:t>
      </w:r>
      <w:hyperlink w:anchor="ref-18">
        <w:r>
          <w:rPr>
            <w:rStyle w:val="Hyperlink"/>
          </w:rPr>
          <w:t xml:space="preserve">[18]</w:t>
        </w:r>
      </w:hyperlink>
      <w:r>
        <w:t xml:space="preserve">. The claim was falsifiable at two points, and it survived both. Nothing larger was asserted, and nothing larger was earned. A small claim held firmly was the wager, and it paid.</w:t>
      </w:r>
    </w:p>
    <w:p>
      <w:pPr>
        <w:pStyle w:val="BodyText"/>
        <w:spacing w:line="480" w:lineRule="auto"/>
        <w:ind w:firstLine="720"/>
      </w:pPr>
      <w:r>
        <w:t xml:space="preserve">The gap between this modest ledger and the grand claims the remediation debate often features is the point, not an embarrassment. A study that promised to price orbital cleanup and then hedged its way to safety would have offered a decision-maker less than this one does, because a large claim held loosely is harder to act on than a small claim held firmly</w:t>
      </w:r>
      <w:r>
        <w:t xml:space="preserve"> </w:t>
      </w:r>
      <w:hyperlink w:anchor="ref-1">
        <w:r>
          <w:rPr>
            <w:rStyle w:val="Hyperlink"/>
          </w:rPr>
          <w:t xml:space="preserve">[1]</w:t>
        </w:r>
      </w:hyperlink>
      <w:r>
        <w:t xml:space="preserve"> </w:t>
      </w:r>
      <w:hyperlink w:anchor="ref-8">
        <w:r>
          <w:rPr>
            <w:rStyle w:val="Hyperlink"/>
          </w:rPr>
          <w:t xml:space="preserve">[8]</w:t>
        </w:r>
      </w:hyperlink>
      <w:r>
        <w:t xml:space="preserve">. The value here is that a reader knows precisely what was tested, precisely what was found, and precisely where the finding stops. That precision is the contribution, offered in place of the reach a topic like debris remediation constantly tempts an author toward.</w:t>
      </w:r>
    </w:p>
    <w:p>
      <w:pPr>
        <w:pStyle w:val="BodyText"/>
        <w:spacing w:line="480" w:lineRule="auto"/>
        <w:ind w:firstLine="720"/>
      </w:pPr>
      <w:r>
        <w:t xml:space="preserve">Consider what a decision-maker actually takes from this study, stated as plainly as the evidence allows. The free-rider frame that so often organizes remediation policy rests, at least within this candidate corpus, on a literature genuinely converging rather than merely persisting, so an advocate who invokes it is drawing on a stabilizing conversation rather than a rhetorical convenience, and a sponsor weighing a proposal built on that frame can treat the framing as a shared community premise rather than an idiosyncratic choice.</w:t>
      </w:r>
    </w:p>
    <w:p>
      <w:pPr>
        <w:pStyle w:val="BodyText"/>
        <w:spacing w:line="480" w:lineRule="auto"/>
        <w:ind w:firstLine="720"/>
      </w:pPr>
      <w:r>
        <w:t xml:space="preserve">Two caveats ride alongside that license. Because the citation hierarchy has not hardened and the measurement is a metadata proxy, no single paper in the corpus should be read as the field’s final word, and the substantive correctness of the converging consensus remains a separate question this design was never built to answer</w:t>
      </w:r>
      <w:r>
        <w:t xml:space="preserve"> </w:t>
      </w:r>
      <w:hyperlink w:anchor="ref-1">
        <w:r>
          <w:rPr>
            <w:rStyle w:val="Hyperlink"/>
          </w:rPr>
          <w:t xml:space="preserve">[1]</w:t>
        </w:r>
      </w:hyperlink>
      <w:r>
        <w:t xml:space="preserve"> </w:t>
      </w:r>
      <w:hyperlink w:anchor="ref-8">
        <w:r>
          <w:rPr>
            <w:rStyle w:val="Hyperlink"/>
          </w:rPr>
          <w:t xml:space="preserve">[8]</w:t>
        </w:r>
      </w:hyperlink>
      <w:r>
        <w:t xml:space="preserve"> </w:t>
      </w:r>
      <w:hyperlink w:anchor="ref-12">
        <w:r>
          <w:rPr>
            <w:rStyle w:val="Hyperlink"/>
          </w:rPr>
          <w:t xml:space="preserve">[12]</w:t>
        </w:r>
      </w:hyperlink>
      <w:r>
        <w:t xml:space="preserve">. That is the calibrated bottom line, offered at exactly the resolution the two coefficients support.</w:t>
      </w:r>
    </w:p>
    <w:p>
      <w:pPr>
        <w:pStyle w:val="BodyText"/>
        <w:spacing w:line="480" w:lineRule="auto"/>
        <w:ind w:firstLine="720"/>
      </w:pPr>
      <w:r>
        <w:t xml:space="preserve">What remains is for the follow-on work to extend the boundary this study mapped rather than defend the boundary itself</w:t>
      </w:r>
      <w:r>
        <w:t xml:space="preserve"> </w:t>
      </w:r>
      <w:hyperlink w:anchor="ref-19">
        <w:r>
          <w:rPr>
            <w:rStyle w:val="Hyperlink"/>
          </w:rPr>
          <w:t xml:space="preserve">[19]</w:t>
        </w:r>
      </w:hyperlink>
      <w:r>
        <w:t xml:space="preserve">. Human coding of full texts would test whether the vocabulary trend tracks substance. A longitudinal citation network would turn the snapshot into a process. Replication across retrievals would separate a property of the field from a property of one source set</w:t>
      </w:r>
      <w:r>
        <w:t xml:space="preserve"> </w:t>
      </w:r>
      <w:hyperlink w:anchor="ref-5">
        <w:r>
          <w:rPr>
            <w:rStyle w:val="Hyperlink"/>
          </w:rPr>
          <w:t xml:space="preserve">[5]</w:t>
        </w:r>
      </w:hyperlink>
      <w:r>
        <w:t xml:space="preserve"> </w:t>
      </w:r>
      <w:hyperlink w:anchor="ref-2">
        <w:r>
          <w:rPr>
            <w:rStyle w:val="Hyperlink"/>
          </w:rPr>
          <w:t xml:space="preserve">[2]</w:t>
        </w:r>
      </w:hyperlink>
      <w:r>
        <w:t xml:space="preserve">. Each extension attacks a named threat, and together they describe a research program that begins where this dissertation ends, the proper legacy of a bounded study: not a final word, but a firm and checkable first one</w:t>
      </w:r>
      <w:r>
        <w:t xml:space="preserve"> </w:t>
      </w:r>
      <w:hyperlink w:anchor="ref-9">
        <w:r>
          <w:rPr>
            <w:rStyle w:val="Hyperlink"/>
          </w:rPr>
          <w:t xml:space="preserve">[9]</w:t>
        </w:r>
      </w:hyperlink>
      <w:r>
        <w:t xml:space="preserve">.</w:t>
      </w:r>
    </w:p>
    <w:bookmarkEnd w:id="157"/>
    <w:bookmarkStart w:id="188" w:name="references"/>
    <w:p>
      <w:pPr>
        <w:pStyle w:val="Heading2"/>
        <w:spacing w:line="480" w:lineRule="auto"/>
      </w:pPr>
      <w:r>
        <w:t xml:space="preserve">References</w:t>
      </w:r>
    </w:p>
    <w:p>
      <w:pPr>
        <w:pStyle w:val="FirstParagraph"/>
        <w:spacing w:line="480" w:lineRule="auto"/>
      </w:pPr>
      <w:bookmarkStart w:id="158" w:name="ref-1"/>
      <w:bookmarkEnd w:id="158"/>
      <w:r>
        <w:t xml:space="preserve">1. D. McKnight, “Pay Me Now or Pay Me More Later: Start the Development of Active Orbital Debris Removal Now,” AMOS, 2010.</w:t>
      </w:r>
    </w:p>
    <w:p>
      <w:pPr>
        <w:pStyle w:val="BodyText"/>
        <w:spacing w:line="480" w:lineRule="auto"/>
        <w:ind w:firstLine="720"/>
      </w:pPr>
      <w:bookmarkStart w:id="159" w:name="ref-2"/>
      <w:bookmarkEnd w:id="159"/>
      <w:r>
        <w:t xml:space="preserve">2. P. Wozniak, S. Riabova, and H. Hijazi, “Coordinated Space Domain Awareness as an Optimized Commodity Market,” AMOS, 2023, doi:</w:t>
      </w:r>
      <w:r>
        <w:t xml:space="preserve"> </w:t>
      </w:r>
      <w:hyperlink r:id="rId160">
        <w:r>
          <w:rPr>
            <w:rStyle w:val="Hyperlink"/>
          </w:rPr>
          <w:t xml:space="preserve">10.64861/LDVO7244</w:t>
        </w:r>
      </w:hyperlink>
    </w:p>
    <w:p>
      <w:pPr>
        <w:pStyle w:val="BodyText"/>
        <w:spacing w:line="480" w:lineRule="auto"/>
        <w:ind w:firstLine="720"/>
      </w:pPr>
      <w:bookmarkStart w:id="161" w:name="ref-3"/>
      <w:bookmarkEnd w:id="161"/>
      <w:r>
        <w:t xml:space="preserve">3. R. Zhang and A. Balakrishnan, “From Ozone Depletion to Orbital Debris: Lessons Learned from the Montreal Protocol,” AMOS, 2022.</w:t>
      </w:r>
    </w:p>
    <w:p>
      <w:pPr>
        <w:pStyle w:val="BodyText"/>
        <w:spacing w:line="480" w:lineRule="auto"/>
        <w:ind w:firstLine="720"/>
      </w:pPr>
      <w:bookmarkStart w:id="162" w:name="ref-4"/>
      <w:bookmarkEnd w:id="162"/>
      <w:r>
        <w:t xml:space="preserve">4. M. Rathnasabapathy et al., “Space sustainability rating: Designing a composite indicator to incentivize satellite operators to pursue long-term sustainability of the space environment,”</w:t>
      </w:r>
      <w:r>
        <w:t xml:space="preserve"> </w:t>
      </w:r>
      <w:r>
        <w:rPr>
          <w:i/>
          <w:iCs/>
        </w:rPr>
        <w:t xml:space="preserve">Acta Astronautica</w:t>
      </w:r>
      <w:r>
        <w:t xml:space="preserve">, 2025, doi:</w:t>
      </w:r>
      <w:r>
        <w:t xml:space="preserve"> </w:t>
      </w:r>
      <w:hyperlink r:id="rId163">
        <w:r>
          <w:rPr>
            <w:rStyle w:val="Hyperlink"/>
          </w:rPr>
          <w:t xml:space="preserve">10.1016/j.actaastro.2025.03.034</w:t>
        </w:r>
      </w:hyperlink>
    </w:p>
    <w:p>
      <w:pPr>
        <w:pStyle w:val="BodyText"/>
        <w:spacing w:line="480" w:lineRule="auto"/>
        <w:ind w:firstLine="720"/>
      </w:pPr>
      <w:bookmarkStart w:id="164" w:name="ref-5"/>
      <w:bookmarkEnd w:id="164"/>
      <w:r>
        <w:t xml:space="preserve">5. B. Lal and S. A. Carioscia, “Evaluating Options for Civil Space Situational Awareness (SSA),” AMOS, 2017.</w:t>
      </w:r>
    </w:p>
    <w:p>
      <w:pPr>
        <w:pStyle w:val="BodyText"/>
        <w:spacing w:line="480" w:lineRule="auto"/>
        <w:ind w:firstLine="720"/>
      </w:pPr>
      <w:bookmarkStart w:id="165" w:name="ref-6"/>
      <w:bookmarkEnd w:id="165"/>
      <w:r>
        <w:t xml:space="preserve">6. Rina Zhang, Science and Technology Policy Institute; Asha Balakrishnan, Science and Technology Policy Institute. From Ozone Depletion to Orbital Debris: Lessons Learned from the Montreal Protocol (2022).</w:t>
      </w:r>
    </w:p>
    <w:p>
      <w:pPr>
        <w:pStyle w:val="BodyText"/>
        <w:spacing w:line="480" w:lineRule="auto"/>
        <w:ind w:firstLine="720"/>
      </w:pPr>
      <w:bookmarkStart w:id="166" w:name="ref-7"/>
      <w:bookmarkEnd w:id="166"/>
      <w:r>
        <w:t xml:space="preserve">7. Przemek Wozniak, Los Alamos National Laboratory; Svetlana Riabova, Los Alamos National Laboratory; Hassan Hijazi, Los Alamos National Laboratory. Coordinated Space Domain Awareness as an Optimized Commodity Market (2023). doi:</w:t>
      </w:r>
      <w:r>
        <w:t xml:space="preserve"> </w:t>
      </w:r>
      <w:hyperlink r:id="rId160">
        <w:r>
          <w:rPr>
            <w:rStyle w:val="Hyperlink"/>
          </w:rPr>
          <w:t xml:space="preserve">10.64861/LDVO7244</w:t>
        </w:r>
      </w:hyperlink>
    </w:p>
    <w:p>
      <w:pPr>
        <w:pStyle w:val="BodyText"/>
        <w:spacing w:line="480" w:lineRule="auto"/>
        <w:ind w:firstLine="720"/>
      </w:pPr>
      <w:bookmarkStart w:id="167" w:name="ref-8"/>
      <w:bookmarkEnd w:id="167"/>
      <w:r>
        <w:t xml:space="preserve">8. Dr. Darren McKnight (Integrity Applications Inc.). Pay Me Now or Pay Me More Later: Start the Development of Active Orbital Debris Removal Now (2010).</w:t>
      </w:r>
    </w:p>
    <w:p>
      <w:pPr>
        <w:pStyle w:val="BodyText"/>
        <w:spacing w:line="480" w:lineRule="auto"/>
        <w:ind w:firstLine="720"/>
      </w:pPr>
      <w:bookmarkStart w:id="168" w:name="ref-9"/>
      <w:bookmarkEnd w:id="168"/>
      <w:r>
        <w:t xml:space="preserve">9. Bhavya Lal, IDA Science and Technology Policy Institute, Sara A. Carioscia, IDA Science and Technology Policy Institute. Evaluating Options for Civil Space Situational Awareness (SSA) (2017).</w:t>
      </w:r>
    </w:p>
    <w:p>
      <w:pPr>
        <w:pStyle w:val="BodyText"/>
        <w:spacing w:line="480" w:lineRule="auto"/>
        <w:ind w:firstLine="720"/>
      </w:pPr>
      <w:bookmarkStart w:id="169" w:name="ref-10"/>
      <w:bookmarkEnd w:id="169"/>
      <w:r>
        <w:t xml:space="preserve">10. Yue Wang (Worcester Polytechnic Institute), Jingkai Su (Worcester Polytechnic Institute), Islam I. Hussein (Worcester Polytechnic Institute), A. M. Wyglinski (Worcester Polytechnic Institute). Price-Based Information Routing in Complex Satellite Networks for Space-Based Situational Awareness (2009).</w:t>
      </w:r>
    </w:p>
    <w:p>
      <w:pPr>
        <w:pStyle w:val="BodyText"/>
        <w:spacing w:line="480" w:lineRule="auto"/>
        <w:ind w:firstLine="720"/>
      </w:pPr>
      <w:bookmarkStart w:id="170" w:name="ref-11"/>
      <w:bookmarkEnd w:id="170"/>
      <w:r>
        <w:t xml:space="preserve">11. Darren McKnight, Centauri; Rohit Arora, Centauri; Harrison Shay, Centauri. Derelict Space Situational Awareness (SSA) Data for Free (2020).</w:t>
      </w:r>
    </w:p>
    <w:p>
      <w:pPr>
        <w:pStyle w:val="BodyText"/>
        <w:spacing w:line="480" w:lineRule="auto"/>
        <w:ind w:firstLine="720"/>
      </w:pPr>
      <w:bookmarkStart w:id="171" w:name="ref-12"/>
      <w:bookmarkEnd w:id="171"/>
      <w:r>
        <w:t xml:space="preserve">12. Frederick Tarantino, SAF/SQS. Memo on Space Debris Summit and Active Debris Removal (2022).</w:t>
      </w:r>
    </w:p>
    <w:p>
      <w:pPr>
        <w:pStyle w:val="BodyText"/>
        <w:spacing w:line="480" w:lineRule="auto"/>
        <w:ind w:firstLine="720"/>
      </w:pPr>
      <w:bookmarkStart w:id="172" w:name="ref-13"/>
      <w:bookmarkEnd w:id="172"/>
      <w:r>
        <w:t xml:space="preserve">13. Ramona Walls, CyVerse, University of Arizona, David Gaylor, University of Arizona, Vishnu Reddy, Planetary Science Institute, Roberto, Furfaro, University of Arizona, Moriba Jah, University of Arizona. Assessing the IADC Space Debris Mitigation Guidelines: A Case for Ontology-based Data Management (2016).</w:t>
      </w:r>
    </w:p>
    <w:p>
      <w:pPr>
        <w:pStyle w:val="BodyText"/>
        <w:spacing w:line="480" w:lineRule="auto"/>
        <w:ind w:firstLine="720"/>
      </w:pPr>
      <w:bookmarkStart w:id="173" w:name="ref-14"/>
      <w:bookmarkEnd w:id="173"/>
      <w:r>
        <w:t xml:space="preserve">14. n.a.. Feasibility study for a commercial space station in low 2025 Acta Astronaut (2024). doi:</w:t>
      </w:r>
      <w:r>
        <w:t xml:space="preserve"> </w:t>
      </w:r>
      <w:hyperlink r:id="rId174">
        <w:r>
          <w:rPr>
            <w:rStyle w:val="Hyperlink"/>
          </w:rPr>
          <w:t xml:space="preserve">10.1016/j.actaastro.2024.09.058</w:t>
        </w:r>
      </w:hyperlink>
    </w:p>
    <w:p>
      <w:pPr>
        <w:pStyle w:val="BodyText"/>
        <w:spacing w:line="480" w:lineRule="auto"/>
        <w:ind w:firstLine="720"/>
      </w:pPr>
      <w:bookmarkStart w:id="175" w:name="ref-15"/>
      <w:bookmarkEnd w:id="175"/>
      <w:r>
        <w:t xml:space="preserve">15. Farouk Abdulhamid; Brendan P. Sullivan; Sergio Terzi. Factory in space: A review of material and manufacturing technologies (2025). doi:</w:t>
      </w:r>
      <w:r>
        <w:t xml:space="preserve"> </w:t>
      </w:r>
      <w:hyperlink r:id="rId176">
        <w:r>
          <w:rPr>
            <w:rStyle w:val="Hyperlink"/>
          </w:rPr>
          <w:t xml:space="preserve">10.1016/j.actaastro.2025.01.007</w:t>
        </w:r>
      </w:hyperlink>
    </w:p>
    <w:p>
      <w:pPr>
        <w:pStyle w:val="BodyText"/>
        <w:spacing w:line="480" w:lineRule="auto"/>
        <w:ind w:firstLine="720"/>
      </w:pPr>
      <w:bookmarkStart w:id="177" w:name="ref-16"/>
      <w:bookmarkEnd w:id="177"/>
      <w:r>
        <w:t xml:space="preserve">16. Alberto Fedele; Giuseppe Guidotti; Giuseppe Rufolo; Giovanni Malucchi; A. Denaro; Federico Massobrio; Stéphane Dussy; Salvatore Mancuso; Giorgio Tumino. The Space Rider Programme: End user’s needs and payload applications survey as driver for mission and system definition (2018). doi:</w:t>
      </w:r>
      <w:r>
        <w:t xml:space="preserve"> </w:t>
      </w:r>
      <w:hyperlink r:id="rId178">
        <w:r>
          <w:rPr>
            <w:rStyle w:val="Hyperlink"/>
          </w:rPr>
          <w:t xml:space="preserve">10.1016/j.actaastro.2018.08.042</w:t>
        </w:r>
      </w:hyperlink>
    </w:p>
    <w:p>
      <w:pPr>
        <w:pStyle w:val="BodyText"/>
        <w:spacing w:line="480" w:lineRule="auto"/>
        <w:ind w:firstLine="720"/>
      </w:pPr>
      <w:bookmarkStart w:id="179" w:name="ref-17"/>
      <w:bookmarkEnd w:id="179"/>
      <w:r>
        <w:t xml:space="preserve">17. K. Anilkumar; Bulbul Mukherjee; Nicolas Bérend; Sanat K. Biswas; Luisa Buinhas; Nathaniel Dailey; B. H. Foing; Natalia Franco Rodriguez; Gabrielle Hedrick; Fatoumata Kebe; Yide Li; Aadu Ott; Alejandro Pastor; Zaid Rana; Javier Rodríguez; Marlon E. Sorge; Christian J. Unfried; Igone Urdampilleta. Moon to mars: Challenges and strategic frameworks for space traffic management in cislunar and cismartian environments (2025). doi:</w:t>
      </w:r>
      <w:r>
        <w:t xml:space="preserve"> </w:t>
      </w:r>
      <w:hyperlink r:id="rId180">
        <w:r>
          <w:rPr>
            <w:rStyle w:val="Hyperlink"/>
          </w:rPr>
          <w:t xml:space="preserve">10.1016/j.actaastro.2024.12.056</w:t>
        </w:r>
      </w:hyperlink>
    </w:p>
    <w:p>
      <w:pPr>
        <w:pStyle w:val="BodyText"/>
        <w:spacing w:line="480" w:lineRule="auto"/>
        <w:ind w:firstLine="720"/>
      </w:pPr>
      <w:bookmarkStart w:id="181" w:name="ref-18"/>
      <w:bookmarkEnd w:id="181"/>
      <w:r>
        <w:t xml:space="preserve">18. Minoo Rathnasabapathy; Francesca Letizia; Stijn Lemmens; Moriba Jah; Simon J. Potter; Nikolai Khlystov; Kristi Acuff; Miles Lifson; Scott Dorrington; Sina Es haghi; Emmanuelle David; Jean‐Paul Kneib; Danielle Wood. Space sustainability rating: Designing a composite indicator to incentivize satellite operators to pursue long-term sustainability of the space environment (2025). doi:</w:t>
      </w:r>
      <w:r>
        <w:t xml:space="preserve"> </w:t>
      </w:r>
      <w:hyperlink r:id="rId163">
        <w:r>
          <w:rPr>
            <w:rStyle w:val="Hyperlink"/>
          </w:rPr>
          <w:t xml:space="preserve">10.1016/j.actaastro.2025.03.034</w:t>
        </w:r>
      </w:hyperlink>
    </w:p>
    <w:p>
      <w:pPr>
        <w:pStyle w:val="BodyText"/>
        <w:spacing w:line="480" w:lineRule="auto"/>
        <w:ind w:firstLine="720"/>
      </w:pPr>
      <w:bookmarkStart w:id="182" w:name="ref-19"/>
      <w:bookmarkEnd w:id="182"/>
      <w:r>
        <w:t xml:space="preserve">19. n.a.. Beneficiaries of the NewSpace age Governance by acknowledg 2025 Acta Astron (2024). doi:</w:t>
      </w:r>
      <w:r>
        <w:t xml:space="preserve"> </w:t>
      </w:r>
      <w:hyperlink r:id="rId183">
        <w:r>
          <w:rPr>
            <w:rStyle w:val="Hyperlink"/>
          </w:rPr>
          <w:t xml:space="preserve">10.1016/j.actaastro.2024.12.060</w:t>
        </w:r>
      </w:hyperlink>
    </w:p>
    <w:p>
      <w:pPr>
        <w:pStyle w:val="BodyText"/>
        <w:spacing w:line="480" w:lineRule="auto"/>
        <w:ind w:firstLine="720"/>
      </w:pPr>
      <w:bookmarkStart w:id="184" w:name="ref-20"/>
      <w:bookmarkEnd w:id="184"/>
      <w:r>
        <w:t xml:space="preserve">20. Shuheng Huang; Camilla Colombo; F. Bernelli Zazzera. Multi-criteria design of continuous global coverage Walker and Street-of-Coverage constellations through property assessment (2021). doi:</w:t>
      </w:r>
      <w:r>
        <w:t xml:space="preserve"> </w:t>
      </w:r>
      <w:hyperlink r:id="rId185">
        <w:r>
          <w:rPr>
            <w:rStyle w:val="Hyperlink"/>
          </w:rPr>
          <w:t xml:space="preserve">10.1016/j.actaastro.2021.07.002</w:t>
        </w:r>
      </w:hyperlink>
    </w:p>
    <w:p>
      <w:pPr>
        <w:pStyle w:val="BodyText"/>
        <w:spacing w:line="480" w:lineRule="auto"/>
        <w:ind w:firstLine="720"/>
      </w:pPr>
      <w:bookmarkStart w:id="186" w:name="ref-21"/>
      <w:bookmarkEnd w:id="186"/>
      <w:r>
        <w:t xml:space="preserve">21. Dennis H. Wright; L. Bartoszek; A.J. Burke; David Dotson; Hassan El Chab; John Knapman; Martin Lades; Adrian Nixon; Paul W. Phister; Peter Robinson. Conditions at the interface between the space elevator tether and its climber (2023). doi:</w:t>
      </w:r>
      <w:r>
        <w:t xml:space="preserve"> </w:t>
      </w:r>
      <w:hyperlink r:id="rId187">
        <w:r>
          <w:rPr>
            <w:rStyle w:val="Hyperlink"/>
          </w:rPr>
          <w:t xml:space="preserve">10.1016/j.actaastro.2023.06.047</w:t>
        </w:r>
      </w:hyperlink>
    </w:p>
    <w:bookmarkEnd w:id="188"/>
    <w:bookmarkEnd w:id="189"/>
    <w:bookmarkStart w:id="20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7" w:name="X7caae03646af6c012d70402a6c75e0a3821e5df"/>
    <w:p>
      <w:pPr>
        <w:pStyle w:val="Heading2"/>
        <w:spacing w:line="480" w:lineRule="auto"/>
      </w:pPr>
      <w:r>
        <w:t xml:space="preserve">A.1 Signal Intensity in The Free-Rider Geometry of Remediation Who Benefits and Who Pays When a Single: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9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1.3595</w:t>
            </w:r>
          </w:p>
        </w:tc>
        <w:tc>
          <w:tcPr>
            <w:tcW w:w="0" w:type="auto"/>
          </w:tcPr>
          <w:p>
            <w:pPr>
              <w:spacing w:line="240" w:lineRule="auto" w:before="0" w:after="0"/>
              <w:pStyle w:val="Compact"/>
            </w:pPr>
            <w:r>
              <w:rPr>
                <w:sz w:val="20"/>
                <w:szCs w:val="20"/>
              </w:rPr>
              <w:t xml:space="preserve">0.7971</w:t>
            </w:r>
          </w:p>
        </w:tc>
        <w:tc>
          <w:tcPr>
            <w:tcW w:w="0" w:type="auto"/>
          </w:tcPr>
          <w:p>
            <w:pPr>
              <w:spacing w:line="240" w:lineRule="auto" w:before="0" w:after="0"/>
              <w:pStyle w:val="Compact"/>
            </w:pPr>
            <w:r>
              <w:rPr>
                <w:sz w:val="20"/>
                <w:szCs w:val="20"/>
              </w:rPr>
              <w:t xml:space="preserve">1.7056</w:t>
            </w:r>
          </w:p>
        </w:tc>
        <w:tc>
          <w:tcPr>
            <w:tcW w:w="0" w:type="auto"/>
          </w:tcPr>
          <w:p>
            <w:pPr>
              <w:spacing w:line="240" w:lineRule="auto" w:before="0" w:after="0"/>
              <w:pStyle w:val="Compact"/>
            </w:pPr>
            <w:r>
              <w:rPr>
                <w:sz w:val="20"/>
                <w:szCs w:val="20"/>
              </w:rPr>
              <w:t xml:space="preserve">0.0881</w:t>
            </w:r>
          </w:p>
        </w:tc>
        <w:tc>
          <w:tcPr>
            <w:tcW w:w="0" w:type="auto"/>
          </w:tcPr>
          <w:p>
            <w:pPr>
              <w:spacing w:line="240" w:lineRule="auto" w:before="0" w:after="0"/>
              <w:pStyle w:val="Compact"/>
            </w:pPr>
            <w:r>
              <w:rPr>
                <w:sz w:val="20"/>
                <w:szCs w:val="20"/>
              </w:rPr>
              <w:t xml:space="preserve">[-0.2027, 2.9216]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0.1794</w:t>
            </w:r>
          </w:p>
        </w:tc>
        <w:tc>
          <w:tcPr>
            <w:tcW w:w="0" w:type="auto"/>
          </w:tcPr>
          <w:p>
            <w:pPr>
              <w:spacing w:line="240" w:lineRule="auto" w:before="0" w:after="0"/>
              <w:pStyle w:val="Compact"/>
            </w:pPr>
            <w:r>
              <w:rPr>
                <w:sz w:val="20"/>
                <w:szCs w:val="20"/>
              </w:rPr>
              <w:t xml:space="preserve">0.068</w:t>
            </w:r>
          </w:p>
        </w:tc>
        <w:tc>
          <w:tcPr>
            <w:tcW w:w="0" w:type="auto"/>
          </w:tcPr>
          <w:p>
            <w:pPr>
              <w:spacing w:line="240" w:lineRule="auto" w:before="0" w:after="0"/>
              <w:pStyle w:val="Compact"/>
            </w:pPr>
            <w:r>
              <w:rPr>
                <w:sz w:val="20"/>
                <w:szCs w:val="20"/>
              </w:rPr>
              <w:t xml:space="preserve">2.6378</w:t>
            </w:r>
          </w:p>
        </w:tc>
        <w:tc>
          <w:tcPr>
            <w:tcW w:w="0" w:type="auto"/>
          </w:tcPr>
          <w:p>
            <w:pPr>
              <w:spacing w:line="240" w:lineRule="auto" w:before="0" w:after="0"/>
              <w:pStyle w:val="Compact"/>
            </w:pPr>
            <w:r>
              <w:rPr>
                <w:sz w:val="20"/>
                <w:szCs w:val="20"/>
              </w:rPr>
              <w:t xml:space="preserve">0.0083</w:t>
            </w:r>
          </w:p>
        </w:tc>
        <w:tc>
          <w:tcPr>
            <w:tcW w:w="0" w:type="auto"/>
          </w:tcPr>
          <w:p>
            <w:pPr>
              <w:spacing w:line="240" w:lineRule="auto" w:before="0" w:after="0"/>
              <w:pStyle w:val="Compact"/>
            </w:pPr>
            <w:r>
              <w:rPr>
                <w:sz w:val="20"/>
                <w:szCs w:val="20"/>
              </w:rPr>
              <w:t xml:space="preserve">[0.0461, 0.3127]</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0.0613</w:t>
            </w:r>
          </w:p>
        </w:tc>
        <w:tc>
          <w:tcPr>
            <w:tcW w:w="0" w:type="auto"/>
          </w:tcPr>
          <w:p>
            <w:pPr>
              <w:spacing w:line="240" w:lineRule="auto" w:before="0" w:after="0"/>
              <w:pStyle w:val="Compact"/>
            </w:pPr>
            <w:r>
              <w:rPr>
                <w:sz w:val="20"/>
                <w:szCs w:val="20"/>
              </w:rPr>
              <w:t xml:space="preserve">0.044</w:t>
            </w:r>
          </w:p>
        </w:tc>
        <w:tc>
          <w:tcPr>
            <w:tcW w:w="0" w:type="auto"/>
          </w:tcPr>
          <w:p>
            <w:pPr>
              <w:spacing w:line="240" w:lineRule="auto" w:before="0" w:after="0"/>
              <w:pStyle w:val="Compact"/>
            </w:pPr>
            <w:r>
              <w:rPr>
                <w:sz w:val="20"/>
                <w:szCs w:val="20"/>
              </w:rPr>
              <w:t xml:space="preserve">1.3933</w:t>
            </w:r>
          </w:p>
        </w:tc>
        <w:tc>
          <w:tcPr>
            <w:tcW w:w="0" w:type="auto"/>
          </w:tcPr>
          <w:p>
            <w:pPr>
              <w:spacing w:line="240" w:lineRule="auto" w:before="0" w:after="0"/>
              <w:pStyle w:val="Compact"/>
            </w:pPr>
            <w:r>
              <w:rPr>
                <w:sz w:val="20"/>
                <w:szCs w:val="20"/>
              </w:rPr>
              <w:t xml:space="preserve">0.1635</w:t>
            </w:r>
          </w:p>
        </w:tc>
        <w:tc>
          <w:tcPr>
            <w:tcW w:w="0" w:type="auto"/>
          </w:tcPr>
          <w:p>
            <w:pPr>
              <w:spacing w:line="240" w:lineRule="auto" w:before="0" w:after="0"/>
              <w:pStyle w:val="Compact"/>
            </w:pPr>
            <w:r>
              <w:rPr>
                <w:sz w:val="20"/>
                <w:szCs w:val="20"/>
              </w:rPr>
              <w:t xml:space="preserve">[-0.0249, 0.1474]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-0.4192</w:t>
            </w:r>
          </w:p>
        </w:tc>
        <w:tc>
          <w:tcPr>
            <w:tcW w:w="0" w:type="auto"/>
          </w:tcPr>
          <w:p>
            <w:pPr>
              <w:spacing w:line="240" w:lineRule="auto" w:before="0" w:after="0"/>
              <w:pStyle w:val="Compact"/>
            </w:pPr>
            <w:r>
              <w:rPr>
                <w:sz w:val="20"/>
                <w:szCs w:val="20"/>
              </w:rPr>
              <w:t xml:space="preserve">0.4368</w:t>
            </w:r>
          </w:p>
        </w:tc>
        <w:tc>
          <w:tcPr>
            <w:tcW w:w="0" w:type="auto"/>
          </w:tcPr>
          <w:p>
            <w:pPr>
              <w:spacing w:line="240" w:lineRule="auto" w:before="0" w:after="0"/>
              <w:pStyle w:val="Compact"/>
            </w:pPr>
            <w:r>
              <w:rPr>
                <w:sz w:val="20"/>
                <w:szCs w:val="20"/>
              </w:rPr>
              <w:t xml:space="preserve">-0.9596</w:t>
            </w:r>
          </w:p>
        </w:tc>
        <w:tc>
          <w:tcPr>
            <w:tcW w:w="0" w:type="auto"/>
          </w:tcPr>
          <w:p>
            <w:pPr>
              <w:spacing w:line="240" w:lineRule="auto" w:before="0" w:after="0"/>
              <w:pStyle w:val="Compact"/>
            </w:pPr>
            <w:r>
              <w:rPr>
                <w:sz w:val="20"/>
                <w:szCs w:val="20"/>
              </w:rPr>
              <w:t xml:space="preserve">0.3373</w:t>
            </w:r>
          </w:p>
        </w:tc>
        <w:tc>
          <w:tcPr>
            <w:tcW w:w="0" w:type="auto"/>
          </w:tcPr>
          <w:p>
            <w:pPr>
              <w:spacing w:line="240" w:lineRule="auto" w:before="0" w:after="0"/>
              <w:pStyle w:val="Compact"/>
            </w:pPr>
            <w:r>
              <w:rPr>
                <w:sz w:val="20"/>
                <w:szCs w:val="20"/>
              </w:rPr>
              <w:t xml:space="preserve">[-1.2753, 0.437]</w:t>
            </w:r>
          </w:p>
        </w:tc>
      </w:tr>
    </w:tbl>
    <w:p>
      <w:pPr>
        <w:pStyle w:val="BodyText"/>
        <w:spacing w:line="480" w:lineRule="auto"/>
        <w:ind w:firstLine="720"/>
      </w:pPr>
      <w:r>
        <w:t xml:space="preserve">Fit: N = 30 R2 = 0.2454 R2_adj = 0.1583 F = 4.5415 F_p = 0.0109</w:t>
      </w:r>
    </w:p>
    <w:bookmarkEnd w:id="190"/>
    <w:bookmarkStart w:id="19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92" name="Picture"/>
            <a:graphic>
              <a:graphicData uri="http://schemas.openxmlformats.org/drawingml/2006/picture">
                <pic:pic>
                  <pic:nvPicPr>
                    <pic:cNvPr descr="D:/Claude_Code/brain/collegium/candidates/dissertations/DEBRIS_07/research_papers/p1/paper_fig1.png" id="193" name="Picture"/>
                    <pic:cNvPicPr>
                      <a:picLocks noChangeArrowheads="1" noChangeAspect="1"/>
                    </pic:cNvPicPr>
                  </pic:nvPicPr>
                  <pic:blipFill>
                    <a:blip r:embed="rId19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94"/>
    <w:bookmarkStart w:id="19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10.64861/LDVO7244</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https://amostech.space/year/2010/pay-me-now-or-pay-me-more-later-start-the-development-of-active-orbital-debris-removal-now/</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https://amostech.space/year/2017/evaluating-options-for-civil-space-situational-awareness-ssa/</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https://amostech.space/year/2009/price-based-information-routing-in-complex-satellite-networks-for-space-based-situational-awareness/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https://amostech.space/year/2020/derelict-space-situational-awareness-ssa-data-for-free/</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https://amostech.space/year/2022/memo-on-space-debris-summit-and-active-debris-removal/</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https://amostech.space/year/2016/assessing-the-iadc-space-debris-mitigation-guidelines-a-case-for-ontology-based-data-management/</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https://amostech.space/year/2014/characterization-of-inactive-rocket-bodies-via-non-resolved-photometric-data/</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https://amostech.space/year/2013/photometric-data-from-non-resolved-objects-for-space-object-characterization-and-improved-atmospheric-modeling/</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10.64861/LBPZ7861</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10.1016/j.actaastro.2024.09.058</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10.1016/j.actaastro.2025.01.007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10.1016/j.actaastro.2018.08.042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10.1016/j.actaastro.2024.12.060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10.1016/j.actaastro.2021.07.002</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10.1016/j.actaastro.2023.06.047</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10.1016/j.actaastro.2025.02.019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10.1016/j.actaastro.2023.01.033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10.1016/j.actaastro.2023.01.003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10.1016/j.actaastro.2024.04.041</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Pay Me Now or Pay Me More Later: Start the Development of Active Orbital Debris Removal Now</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Pay Me Now or Pay Me More Later: Start ADR Now (AMOS)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bl>
    <w:bookmarkEnd w:id="195"/>
    <w:bookmarkStart w:id="19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96"/>
    <w:bookmarkEnd w:id="197"/>
    <w:bookmarkStart w:id="205" w:name="X01875bf50122b2c6fba3aaba424c8a6664ce4ae"/>
    <w:p>
      <w:pPr>
        <w:pStyle w:val="Heading2"/>
        <w:spacing w:line="480" w:lineRule="auto"/>
      </w:pPr>
      <w:r>
        <w:t xml:space="preserve">A.2 Attention Accumulation in The Free-Rider Geometry of Remediation Who Benefits and Who Pays When a Single: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2.3074</w:t>
            </w:r>
          </w:p>
        </w:tc>
        <w:tc>
          <w:tcPr>
            <w:tcW w:w="0" w:type="auto"/>
          </w:tcPr>
          <w:p>
            <w:pPr>
              <w:spacing w:line="240" w:lineRule="auto" w:before="0" w:after="0"/>
              <w:pStyle w:val="Compact"/>
            </w:pPr>
            <w:r>
              <w:rPr>
                <w:sz w:val="20"/>
                <w:szCs w:val="20"/>
              </w:rPr>
              <w:t xml:space="preserve">0.4686</w:t>
            </w:r>
          </w:p>
        </w:tc>
        <w:tc>
          <w:tcPr>
            <w:tcW w:w="0" w:type="auto"/>
          </w:tcPr>
          <w:p>
            <w:pPr>
              <w:spacing w:line="240" w:lineRule="auto" w:before="0" w:after="0"/>
              <w:pStyle w:val="Compact"/>
            </w:pPr>
            <w:r>
              <w:rPr>
                <w:sz w:val="20"/>
                <w:szCs w:val="20"/>
              </w:rPr>
              <w:t xml:space="preserve">4.9236</w:t>
            </w:r>
          </w:p>
        </w:tc>
        <w:tc>
          <w:tcPr>
            <w:tcW w:w="0" w:type="auto"/>
          </w:tcPr>
          <w:p>
            <w:pPr>
              <w:spacing w:line="240" w:lineRule="auto" w:before="0" w:after="0"/>
              <w:pStyle w:val="Compact"/>
            </w:pPr>
            <w:r>
              <w:rPr>
                <w:sz w:val="20"/>
                <w:szCs w:val="20"/>
              </w:rPr>
              <w:t xml:space="preserve">8.496e-07</w:t>
            </w:r>
          </w:p>
        </w:tc>
        <w:tc>
          <w:tcPr>
            <w:tcW w:w="0" w:type="auto"/>
          </w:tcPr>
          <w:p>
            <w:pPr>
              <w:spacing w:line="240" w:lineRule="auto" w:before="0" w:after="0"/>
              <w:pStyle w:val="Compact"/>
            </w:pPr>
            <w:r>
              <w:rPr>
                <w:sz w:val="20"/>
                <w:szCs w:val="20"/>
              </w:rPr>
              <w:t xml:space="preserve">[1.3889, 3.2259]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-0.8755</w:t>
            </w:r>
          </w:p>
        </w:tc>
        <w:tc>
          <w:tcPr>
            <w:tcW w:w="0" w:type="auto"/>
          </w:tcPr>
          <w:p>
            <w:pPr>
              <w:spacing w:line="240" w:lineRule="auto" w:before="0" w:after="0"/>
              <w:pStyle w:val="Compact"/>
            </w:pPr>
            <w:r>
              <w:rPr>
                <w:sz w:val="20"/>
                <w:szCs w:val="20"/>
              </w:rPr>
              <w:t xml:space="preserve">0.2026</w:t>
            </w:r>
          </w:p>
        </w:tc>
        <w:tc>
          <w:tcPr>
            <w:tcW w:w="0" w:type="auto"/>
          </w:tcPr>
          <w:p>
            <w:pPr>
              <w:spacing w:line="240" w:lineRule="auto" w:before="0" w:after="0"/>
              <w:pStyle w:val="Compact"/>
            </w:pPr>
            <w:r>
              <w:rPr>
                <w:sz w:val="20"/>
                <w:szCs w:val="20"/>
              </w:rPr>
              <w:t xml:space="preserve">-4.3205</w:t>
            </w:r>
          </w:p>
        </w:tc>
        <w:tc>
          <w:tcPr>
            <w:tcW w:w="0" w:type="auto"/>
          </w:tcPr>
          <w:p>
            <w:pPr>
              <w:spacing w:line="240" w:lineRule="auto" w:before="0" w:after="0"/>
              <w:pStyle w:val="Compact"/>
            </w:pPr>
            <w:r>
              <w:rPr>
                <w:sz w:val="20"/>
                <w:szCs w:val="20"/>
              </w:rPr>
              <w:t xml:space="preserve">1.556e-05</w:t>
            </w:r>
          </w:p>
        </w:tc>
        <w:tc>
          <w:tcPr>
            <w:tcW w:w="0" w:type="auto"/>
          </w:tcPr>
          <w:p>
            <w:pPr>
              <w:spacing w:line="240" w:lineRule="auto" w:before="0" w:after="0"/>
              <w:pStyle w:val="Compact"/>
            </w:pPr>
            <w:r>
              <w:rPr>
                <w:sz w:val="20"/>
                <w:szCs w:val="20"/>
              </w:rPr>
              <w:t xml:space="preserve">[-1.2727, -0.4783]</w:t>
            </w:r>
          </w:p>
        </w:tc>
      </w:tr>
    </w:tbl>
    <w:p>
      <w:pPr>
        <w:pStyle w:val="BodyText"/>
        <w:spacing w:line="480" w:lineRule="auto"/>
        <w:ind w:firstLine="720"/>
      </w:pPr>
      <w:r>
        <w:t xml:space="preserve">Fit: N = 30 R2 = 0.2227 elasticity_b = -0.8755 progress_ratio_2^b = 0.5451</w:t>
      </w:r>
    </w:p>
    <w:bookmarkEnd w:id="198"/>
    <w:bookmarkStart w:id="20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200" name="Picture"/>
            <a:graphic>
              <a:graphicData uri="http://schemas.openxmlformats.org/drawingml/2006/picture">
                <pic:pic>
                  <pic:nvPicPr>
                    <pic:cNvPr descr="D:/Claude_Code/brain/collegium/candidates/dissertations/DEBRIS_07/research_papers/p2/paper_fig1.png" id="201" name="Picture"/>
                    <pic:cNvPicPr>
                      <a:picLocks noChangeArrowheads="1" noChangeAspect="1"/>
                    </pic:cNvPicPr>
                  </pic:nvPicPr>
                  <pic:blipFill>
                    <a:blip r:embed="rId19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202"/>
    <w:bookmarkStart w:id="20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10.64861/LDVO7244</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https://amostech.space/year/2010/pay-me-now-or-pay-me-more-later-start-the-development-of-active-orbital-debris-removal-now/</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https://amostech.space/year/2017/evaluating-options-for-civil-space-situational-awareness-ssa/</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https://amostech.space/year/2009/price-based-information-routing-in-complex-satellite-networks-for-space-based-situational-awareness/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https://amostech.space/year/2020/derelict-space-situational-awareness-ssa-data-for-free/</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https://amostech.space/year/2022/memo-on-space-debris-summit-and-active-debris-removal/</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https://amostech.space/year/2016/assessing-the-iadc-space-debris-mitigation-guidelines-a-case-for-ontology-based-data-management/</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https://amostech.space/year/2014/characterization-of-inactive-rocket-bodies-via-non-resolved-photometric-data/</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https://amostech.space/year/2013/photometric-data-from-non-resolved-objects-for-space-object-characterization-and-improved-atmospheric-modeling/</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10.64861/LBPZ7861</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10.1016/j.actaastro.2024.09.058</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10.1016/j.actaastro.2025.01.007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10.1016/j.actaastro.2018.08.042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10.1016/j.actaastro.2024.12.060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10.1016/j.actaastro.2021.07.002</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10.1016/j.actaastro.2023.06.047</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10.1016/j.actaastro.2025.02.019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10.1016/j.actaastro.2023.01.033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10.1016/j.actaastro.2023.01.003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10.1016/j.actaastro.2024.04.041</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Pay Me Now or Pay Me More Later: Start the Development of Active Orbital Debris Removal Now</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Pay Me Now or Pay Me More Later: Start ADR Now (AMOS)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bl>
    <w:bookmarkEnd w:id="203"/>
    <w:bookmarkStart w:id="20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204"/>
    <w:bookmarkEnd w:id="205"/>
    <w:bookmarkEnd w:id="20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1" Type="http://schemas.openxmlformats.org/officeDocument/2006/relationships/image" Target="media/rId191.png"/><Relationship Id="rId199" Type="http://schemas.openxmlformats.org/officeDocument/2006/relationships/image" Target="media/rId199.png"/><Relationship Id="rId178" Type="http://schemas.openxmlformats.org/officeDocument/2006/relationships/hyperlink" Target="https://doi.org/10.1016/j.actaastro.2018.08.042" TargetMode="External"/><Relationship Id="rId185" Type="http://schemas.openxmlformats.org/officeDocument/2006/relationships/hyperlink" Target="https://doi.org/10.1016/j.actaastro.2021.07.002" TargetMode="External"/><Relationship Id="rId187" Type="http://schemas.openxmlformats.org/officeDocument/2006/relationships/hyperlink" Target="https://doi.org/10.1016/j.actaastro.2023.06.047" TargetMode="External"/><Relationship Id="rId174" Type="http://schemas.openxmlformats.org/officeDocument/2006/relationships/hyperlink" Target="https://doi.org/10.1016/j.actaastro.2024.09.058" TargetMode="External"/><Relationship Id="rId180" Type="http://schemas.openxmlformats.org/officeDocument/2006/relationships/hyperlink" Target="https://doi.org/10.1016/j.actaastro.2024.12.056" TargetMode="External"/><Relationship Id="rId183" Type="http://schemas.openxmlformats.org/officeDocument/2006/relationships/hyperlink" Target="https://doi.org/10.1016/j.actaastro.2024.12.060" TargetMode="External"/><Relationship Id="rId176" Type="http://schemas.openxmlformats.org/officeDocument/2006/relationships/hyperlink" Target="https://doi.org/10.1016/j.actaastro.2025.01.007" TargetMode="External"/><Relationship Id="rId163" Type="http://schemas.openxmlformats.org/officeDocument/2006/relationships/hyperlink" Target="https://doi.org/10.1016/j.actaastro.2025.03.034" TargetMode="External"/><Relationship Id="rId160" Type="http://schemas.openxmlformats.org/officeDocument/2006/relationships/hyperlink" Target="https://doi.org/10.64861/LDVO7244" TargetMode="External"/></Relationships>
</file>

<file path=word/_rels/footnotes.xml.rels><?xml version='1.0' encoding='UTF-8' standalone='yes'?>
<Relationships xmlns="http://schemas.openxmlformats.org/package/2006/relationships"><Relationship Id="rId178" Type="http://schemas.openxmlformats.org/officeDocument/2006/relationships/hyperlink" Target="https://doi.org/10.1016/j.actaastro.2018.08.042" TargetMode="External"/><Relationship Id="rId185" Type="http://schemas.openxmlformats.org/officeDocument/2006/relationships/hyperlink" Target="https://doi.org/10.1016/j.actaastro.2021.07.002" TargetMode="External"/><Relationship Id="rId187" Type="http://schemas.openxmlformats.org/officeDocument/2006/relationships/hyperlink" Target="https://doi.org/10.1016/j.actaastro.2023.06.047" TargetMode="External"/><Relationship Id="rId174" Type="http://schemas.openxmlformats.org/officeDocument/2006/relationships/hyperlink" Target="https://doi.org/10.1016/j.actaastro.2024.09.058" TargetMode="External"/><Relationship Id="rId180" Type="http://schemas.openxmlformats.org/officeDocument/2006/relationships/hyperlink" Target="https://doi.org/10.1016/j.actaastro.2024.12.056" TargetMode="External"/><Relationship Id="rId183" Type="http://schemas.openxmlformats.org/officeDocument/2006/relationships/hyperlink" Target="https://doi.org/10.1016/j.actaastro.2024.12.060" TargetMode="External"/><Relationship Id="rId176" Type="http://schemas.openxmlformats.org/officeDocument/2006/relationships/hyperlink" Target="https://doi.org/10.1016/j.actaastro.2025.01.007" TargetMode="External"/><Relationship Id="rId163" Type="http://schemas.openxmlformats.org/officeDocument/2006/relationships/hyperlink" Target="https://doi.org/10.1016/j.actaastro.2025.03.034" TargetMode="External"/><Relationship Id="rId160" Type="http://schemas.openxmlformats.org/officeDocument/2006/relationships/hyperlink" Target="https://doi.org/10.64861/LDVO72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Free-Rider Geometry of Remediation: Who Benefits and Who Pays When a Single</dc:title>
  <dc:creator>Devin Donnelly (1B-SDA-167)</dc:creator>
  <cp:keywords/>
  <dcterms:created xsi:type="dcterms:W3CDTF">2026-07-04T00:56:02Z</dcterms:created>
  <dcterms:modified xsi:type="dcterms:W3CDTF">2026-07-04T00:56:02Z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