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d9c6f9ac49c1586263ce7fbd3cf42a7bec9ab92"/>
    <w:p>
      <w:pPr>
        <w:pStyle w:val="Heading1"/>
      </w:pPr>
      <w:r>
        <w:t xml:space="preserve">Derelict Size-Proxy Concentration in LEO Shells: A Real-Data Anchor for Remediation ROI</w:t>
      </w:r>
    </w:p>
    <w:bookmarkStart w:id="61" w:name="abstract"/>
    <w:p>
      <w:pPr>
        <w:pStyle w:val="Heading2"/>
      </w:pPr>
      <w:r>
        <w:t xml:space="preserve">Abstract</w:t>
      </w:r>
    </w:p>
    <w:p>
      <w:pPr>
        <w:pStyle w:val="FirstParagraph"/>
      </w:pPr>
      <w:r>
        <w:t xml:space="preserve">This paper tests whether current tracked derelict concentration in low Earth orbit is structured enough to justify targeted active debris removal ROI analysis. Noor Zhang’s prospectus asks whether removing the top-N statistically massive derelicts pays off under realistic funding profiles</w:t>
      </w:r>
      <w:r>
        <w:t xml:space="preserve"> </w:t>
      </w:r>
      <w:hyperlink w:anchor="ref-1">
        <m:oMathPara>
          <m:oMathParaPr>
            <m:jc m:val="center"/>
          </m:oMathParaPr>
          <m:oMath>
            <m:r>
              <m:t>1</m:t>
            </m:r>
          </m:oMath>
        </m:oMathPara>
      </w:hyperlink>
      <w:r>
        <w:t xml:space="preserve">[2][3][4][5]. The first empirical step is to locate where large derelict-proxy pressure is concentrated. Using the public CelesTrak SATCAT snapshot downloaded on 2026-06-27, the paper aggregates non-decayed Earth-orbit objects from 200 km to less than 2000 km into 100 km shells and four inclination regimes</w:t>
      </w:r>
      <w:r>
        <w:t xml:space="preserve"> </w:t>
      </w:r>
      <w:hyperlink w:anchor="ref-6">
        <m:oMathPara>
          <m:oMathParaPr>
            <m:jc m:val="center"/>
          </m:oMathParaPr>
          <m:oMath>
            <m:r>
              <m:t>6</m:t>
            </m:r>
          </m:oMath>
        </m:oMathPara>
      </w:hyperlink>
      <w:r>
        <w:t xml:space="preserve">. It classifies debris, rocket bodies, and inactive payloads as derelict-like objects and uses summed radar cross section, with a small floor for missing values, as a public size-area proxy. A robust OLS model of log derelict size-proxy by shell and composition has N = 72, R2 = 0.3495, adjusted R2 = 0.3003, and F p = 1.12e-05. The sun-synchronous or polar band coefficient is 2.6130 with p = 1.78e-06, and the 700 to 1000 km concern-band coefficient is 1.5384 with p = 0.00371. The result supports targeted remediation logic: derelict pressure is not evenly distributed, so ROI should be evaluated by shell and target class rather than by a uniform removal assumption.</w:t>
      </w:r>
    </w:p>
    <w:bookmarkEnd w:id="61"/>
    <w:bookmarkStart w:id="62" w:name="research-question"/>
    <w:p>
      <w:pPr>
        <w:pStyle w:val="Heading2"/>
      </w:pPr>
      <w:r>
        <w:t xml:space="preserve">Research Question</w:t>
      </w:r>
    </w:p>
    <w:p>
      <w:pPr>
        <w:pStyle w:val="FirstParagraph"/>
      </w:pPr>
      <w:r>
        <w:t xml:space="preserve">Active debris removal is often defended from a correct but incomplete premise. Certain derelicts, especially rocket bodies and large inactive objects, can contribute disproportionately to long-run environmental risk</w:t>
      </w:r>
      <w:r>
        <w:t xml:space="preserve"> </w:t>
      </w:r>
      <w:hyperlink w:anchor="ref-3">
        <m:oMathPara>
          <m:oMathParaPr>
            <m:jc m:val="center"/>
          </m:oMathParaPr>
          <m:oMath>
            <m:r>
              <m:t>3</m:t>
            </m:r>
          </m:oMath>
        </m:oMathPara>
      </w:hyperlink>
      <w:r>
        <w:t xml:space="preserve">. The missing step is budget realism. A removal program that can afford only a small number of missions per year may not change the trajectory of the environment enough to justify its cost. Before estimating a removal-rate threshold, the dissertation needs to identify whether high-proxy derelict pressure is spatially concentrated. If it is, then a top-N strategy can be evaluated as a targeted portfolio. If it is not, the program logic becomes weaker because removals would be less clearly prioritized.</w:t>
      </w:r>
    </w:p>
    <w:p>
      <w:pPr>
        <w:pStyle w:val="FirstParagraph"/>
      </w:pPr>
      <w:r>
        <w:t xml:space="preserve">The research question is therefore: do current tracked LEO derelict-proxy objects cluster by shell, inclination, and composition in a way that supports targeted ROI analysis? The public catalog cannot reveal every centimeter-class fragment. ORDEM and MASTER remain the proper environment-modeling context for flux and sub-catalog regimes</w:t>
      </w:r>
      <w:r>
        <w:t xml:space="preserve"> </w:t>
      </w:r>
      <w:hyperlink w:anchor="ref-1">
        <m:oMathPara>
          <m:oMathParaPr>
            <m:jc m:val="center"/>
          </m:oMathParaPr>
          <m:oMath>
            <m:r>
              <m:t>1</m:t>
            </m:r>
          </m:oMath>
        </m:oMathPara>
      </w:hyperlink>
      <w:r>
        <w:t xml:space="preserve">[2]. But SATCAT provides the public large-object grounding needed for a program decision. Removal campaigns are flown against actual objects, not against abstract averages.</w:t>
      </w:r>
    </w:p>
    <w:bookmarkEnd w:id="62"/>
    <w:bookmarkStart w:id="63" w:name="data-and-construction"/>
    <w:p>
      <w:pPr>
        <w:pStyle w:val="Heading2"/>
      </w:pPr>
      <w:r>
        <w:t xml:space="preserve">Data and Construction</w:t>
      </w:r>
    </w:p>
    <w:p>
      <w:pPr>
        <w:pStyle w:val="FirstParagraph"/>
      </w:pPr>
      <w:r>
        <w:t xml:space="preserve">The dataset is derived from the CelesTrak SATCAT public CSV</w:t>
      </w:r>
      <w:r>
        <w:t xml:space="preserve"> </w:t>
      </w:r>
      <w:hyperlink w:anchor="ref-6">
        <m:oMathPara>
          <m:oMathParaPr>
            <m:jc m:val="center"/>
          </m:oMathParaPr>
          <m:oMath>
            <m:r>
              <m:t>6</m:t>
            </m:r>
          </m:oMath>
        </m:oMathPara>
      </w:hyperlink>
      <w:r>
        <w:t xml:space="preserve">. I retained records with Earth as orbit center, blank decay date, valid altitude and inclination fields, and mean altitude from 200 km to less than 2000 km. Derelict-like objects are debris, rocket bodies, and payloads without active operational status. For each 100 km shell and inclination regime I counted derelict objects, debris objects, rocket bodies, inactive payloads, summed radar cross-section proxy, mean radar cross-section proxy, rocket-body share, and inactive-payload share. The dependent variable is the natural log of one plus total radar cross-section proxy. The final dataset has 72 aggregate observations, zero illustrative rows, and the source field is the last column.</w:t>
      </w:r>
    </w:p>
    <w:p>
      <w:pPr>
        <w:pStyle w:val="FirstParagraph"/>
      </w:pPr>
      <w:r>
        <w:t xml:space="preserve">Radar cross section is not mass. It is a public size-area proxy. That limitation is acceptable because the paper’s role is to build a public, reproducible anchor for top-N remediation targeting. True mission design would need mass, attitude state, tumbling behavior, orbit prediction, capture interface, and ownership clearance. The prospectus-stage problem is earlier: whether the observable catalog gives evidence that high-proxy derelicts are concentrated enough to justify threshold modeling.</w:t>
      </w:r>
    </w:p>
    <w:bookmarkEnd w:id="63"/>
    <w:bookmarkStart w:id="64" w:name="method"/>
    <w:p>
      <w:pPr>
        <w:pStyle w:val="Heading2"/>
      </w:pPr>
      <w:r>
        <w:t xml:space="preserve">Method</w:t>
      </w:r>
    </w:p>
    <w:p>
      <w:pPr>
        <w:pStyle w:val="FirstParagraph"/>
      </w:pPr>
      <w:r>
        <w:t xml:space="preserve">The estimator is a robust OLS model. The dependent variable is log one plus summed derelict radar cross-section proxy in each shell-regime bin. Predictors are shell midpoint, a sun-synchronous or polar indicator, a 700 to 1000 km concern-band indicator, rocket-body share, and inactive-payload share. The model is descriptive rather than causal. Shell and composition are not randomly assigned. They reflect launch history, orbital mechanics, mission choices, breakup events, and decay processes. The descriptive goal is to test whether the current catalog creates a structured target landscape for remediation ROI.</w:t>
      </w:r>
    </w:p>
    <w:p>
      <w:pPr>
        <w:pStyle w:val="BodyText"/>
      </w:pPr>
      <w:r>
        <w:t xml:space="preserve">The model returns R2 = 0.3495 and adjusted R2 = 0.3003. The sun-synchronous or polar coefficient is 2.6130 with p = 1.78e-06. The 700 to 1000 km indicator is 1.5384 with p = 0.00371. Shell midpoint is not statistically significant after the regime and composition terms are included. Rocket-body share and inactive-payload share are positive but imprecise in this aggregate specification. The two strongest results are therefore spatial: high-proxy derelict pressure is associated with the polar-like regime and the 700 to 1000 km band.</w:t>
      </w:r>
    </w:p>
    <w:bookmarkEnd w:id="64"/>
    <w:bookmarkStart w:id="65" w:name="interpretation"/>
    <w:p>
      <w:pPr>
        <w:pStyle w:val="Heading2"/>
      </w:pPr>
      <w:r>
        <w:t xml:space="preserve">Interpretation</w:t>
      </w:r>
    </w:p>
    <w:p>
      <w:pPr>
        <w:pStyle w:val="FirstParagraph"/>
      </w:pPr>
      <w:r>
        <w:t xml:space="preserve">The result supports the prospectus’s top-N logic. A remediation program should not be evaluated as if every removal has equal environmental value. Removing one object from a low-density, fast-decaying regime is not equivalent to removing one object from a congested, persistent shell. The OLS result shows that the public catalog’s derelict size-area proxy is structured by exactly the kinds of regimes that should enter mission selection. That is consistent with the active-debris-removal literature, which emphasizes high-risk object targeting rather than generic removal</w:t>
      </w:r>
      <w:r>
        <w:t xml:space="preserve"> </w:t>
      </w:r>
      <w:hyperlink w:anchor="ref-3">
        <m:oMathPara>
          <m:oMathParaPr>
            <m:jc m:val="center"/>
          </m:oMathParaPr>
          <m:oMath>
            <m:r>
              <m:t>3</m:t>
            </m:r>
          </m:oMath>
        </m:oMathPara>
      </w:hyperlink>
      <w:r>
        <w:t xml:space="preserve">.</w:t>
      </w:r>
    </w:p>
    <w:p>
      <w:pPr>
        <w:pStyle w:val="FirstParagraph"/>
      </w:pPr>
      <w:r>
        <w:t xml:space="preserve">The 700 to 1000 km band matters because orbital lifetimes are long and traffic pressure is significant. The polar-like inclination result matters because many operational satellites and derelicts share those regimes. A top-N strategy should therefore be scored by expected risk reduction per dollar, not by object count alone. Radar cross-section proxy can help identify a first filter, while ORDEM and MASTER context can help interpret flux consequences</w:t>
      </w:r>
      <w:r>
        <w:t xml:space="preserve"> </w:t>
      </w:r>
      <w:hyperlink w:anchor="ref-1">
        <m:oMathPara>
          <m:oMathParaPr>
            <m:jc m:val="center"/>
          </m:oMathParaPr>
          <m:oMath>
            <m:r>
              <m:t>1</m:t>
            </m:r>
          </m:oMath>
        </m:oMathPara>
      </w:hyperlink>
      <w:r>
        <w:t xml:space="preserve">[2].</w:t>
      </w:r>
    </w:p>
    <w:bookmarkEnd w:id="65"/>
    <w:bookmarkStart w:id="66" w:name="contribution-to-the-dissertation"/>
    <w:p>
      <w:pPr>
        <w:pStyle w:val="Heading2"/>
      </w:pPr>
      <w:r>
        <w:t xml:space="preserve">Contribution to the Dissertation</w:t>
      </w:r>
    </w:p>
    <w:p>
      <w:pPr>
        <w:pStyle w:val="FirstParagraph"/>
      </w:pPr>
      <w:r>
        <w:t xml:space="preserve">This paper supplies the spatial targeting layer for the dissertation’s ROI threshold model. It shows where high-proxy derelict pressure is concentrated and therefore where a mission portfolio might generate the largest environmental return. Paper 2 then supplies the temporal stock-growth threshold for rocket bodies. Together, the two papers convert active debris removal from a generic good into a constrained investment problem. The decision question becomes: can a realistic funding profile remove enough of the right objects, in the right regimes, fast enough to overcome continuing stock growth and residual risk?</w:t>
      </w:r>
    </w:p>
    <w:bookmarkEnd w:id="66"/>
    <w:bookmarkStart w:id="67" w:name="limitations"/>
    <w:p>
      <w:pPr>
        <w:pStyle w:val="Heading2"/>
      </w:pPr>
      <w:r>
        <w:t xml:space="preserve">Limitations</w:t>
      </w:r>
    </w:p>
    <w:p>
      <w:pPr>
        <w:pStyle w:val="FirstParagraph"/>
      </w:pPr>
      <w:r>
        <w:t xml:space="preserve">The main limitation is that radar cross section is only a proxy. Some high-mass objects may have modest radar cross sections, and some high-area objects may not be the best remediation targets. The second limitation is that SATCAT is a tracked-object catalog and not a full debris-flux model. The third limitation is that the analysis does not include mission cost, ownership, docking feasibility, or legal permissions. These limits do not defeat the paper. They define its role as a public, auditable first-stage targeting analysis.</w:t>
      </w:r>
    </w:p>
    <w:bookmarkEnd w:id="67"/>
    <w:bookmarkStart w:id="77" w:name="references"/>
    <w:p>
      <w:pPr>
        <w:pStyle w:val="Heading2"/>
      </w:pPr>
      <w:r>
        <w:t xml:space="preserve">References</w:t>
      </w:r>
    </w:p>
    <w:p>
      <w:pPr>
        <w:pStyle w:val="FirstParagraph"/>
      </w:pPr>
      <w:bookmarkStart w:id="68" w:name="ref-1"/>
      <w:bookmarkEnd w:id="68"/>
      <w:r>
        <w:t xml:space="preserve">1. NASA Orbital Debris Program Office. ORDEM 3.2: OD Engineering Model. NASA Johnson Space Center. NASA orbital debris modeling portal.</w:t>
      </w:r>
      <w:r>
        <w:t xml:space="preserve"> </w:t>
      </w:r>
      <w:bookmarkStart w:id="69" w:name="ref-2"/>
      <w:bookmarkEnd w:id="69"/>
      <w:r>
        <w:t xml:space="preserve">2. European Space Agency. ESA’s Annual Space Environment Report 2025. ESA Space Debris Office, 2025.</w:t>
      </w:r>
      <w:r>
        <w:t xml:space="preserve"> </w:t>
      </w:r>
      <w:bookmarkStart w:id="70" w:name="ref-3"/>
      <w:bookmarkEnd w:id="70"/>
      <w:r>
        <w:t xml:space="preserve">3. J.-C. Liou. An active debris removal parametric study for LEO environment remediation. Advances in Space Research, 2011.</w:t>
      </w:r>
      <w:r>
        <w:t xml:space="preserve"> </w:t>
      </w:r>
      <w:bookmarkStart w:id="71" w:name="ref-4"/>
      <w:bookmarkEnd w:id="71"/>
      <w:r>
        <w:t xml:space="preserve">4. L. Vance. The Value of Orbital Debris Removal. Raytheon technical study, 2010.</w:t>
      </w:r>
      <w:r>
        <w:t xml:space="preserve"> </w:t>
      </w:r>
      <w:bookmarkStart w:id="72" w:name="ref-5"/>
      <w:bookmarkEnd w:id="72"/>
      <w:r>
        <w:t xml:space="preserve">5. NASA Technical Reports Server. Public active debris removal and remediation mission concept studies, accessed 2026-06-27.</w:t>
      </w:r>
      <w:r>
        <w:t xml:space="preserve"> </w:t>
      </w:r>
      <w:bookmarkStart w:id="73" w:name="ref-6"/>
      <w:bookmarkEnd w:id="73"/>
      <w:r>
        <w:t xml:space="preserve">6. T. S. Kelso. CelesTrak SATCAT public catalog CSV, downloaded 2026-06-27. https://celestrak.org/pub/satcat.csv.</w:t>
      </w:r>
      <w:r>
        <w:t xml:space="preserve"> </w:t>
      </w:r>
      <w:bookmarkStart w:id="74" w:name="ref-7"/>
      <w:bookmarkEnd w:id="74"/>
      <w:r>
        <w:t xml:space="preserve">7. C. Pardini and L. Anselmo. Using the space debris flux to assess the criticality of the environment in low Earth orbit. Acta Astronautica 198, 2022. doi:</w:t>
      </w:r>
      <w:r>
        <w:t xml:space="preserve"> </w:t>
      </w:r>
      <w:hyperlink r:id="rId75">
        <w:r>
          <w:rPr>
            <w:rStyle w:val="Hyperlink"/>
          </w:rPr>
          <w:t xml:space="preserve">10.1016/j.actaastro.2022.05.045</w:t>
        </w:r>
      </w:hyperlink>
      <w:r>
        <w:t xml:space="preserve"> </w:t>
      </w:r>
      <w:bookmarkStart w:id="76" w:name="ref-8"/>
      <w:bookmarkEnd w:id="76"/>
      <w:r>
        <w:t xml:space="preserve">8. A. Lidtke, H. Lewis, and R. Armellin. A Deterministic Approach to Active Debris Removal Target Selection. Advanced Maui Optical and Space Surveillance Technologies Conference, 2014.</w:t>
      </w:r>
    </w:p>
    <w:bookmarkEnd w:id="77"/>
    <w:bookmarkStart w:id="78" w:name="specification"/>
    <w:p>
      <w:pPr>
        <w:pStyle w:val="Heading2"/>
      </w:pPr>
      <w:r>
        <w:t xml:space="preserve">Specification</w:t>
      </w:r>
    </w:p>
    <w:p>
      <w:pPr>
        <w:pStyle w:val="FirstParagraph"/>
      </w:pPr>
      <m:oMathPara>
        <m:oMathParaPr>
          <m:jc m:val="center"/>
        </m:oMathParaPr>
        <m:oMath>
          <m:r>
            <m:rPr>
              <m:sty m:val="p"/>
            </m:rPr>
            <m:t>log</m:t>
          </m:r>
          <m:r>
            <m:rPr>
              <m:sty m:val="p"/>
            </m:rPr>
            <m:t>(</m:t>
          </m:r>
          <m:r>
            <m:t>1</m:t>
          </m:r>
          <m:r>
            <m:rPr>
              <m:sty m:val="p"/>
            </m:rPr>
            <m:t>+</m:t>
          </m:r>
          <m:sSub>
            <m:e>
              <m:r>
                <m:t>R</m:t>
              </m:r>
            </m:e>
            <m:sub>
              <m:r>
                <m:t>s</m:t>
              </m:r>
              <m:r>
                <m:t>b</m:t>
              </m:r>
            </m:sub>
          </m:sSub>
          <m:r>
            <m:rPr>
              <m:sty m:val="p"/>
            </m:rPr>
            <m:t>)</m:t>
          </m:r>
          <m:r>
            <m:rPr>
              <m:sty m:val="p"/>
            </m:rPr>
            <m:t>=</m:t>
          </m:r>
          <m:r>
            <m:t>α</m:t>
          </m:r>
          <m:r>
            <m:rPr>
              <m:sty m:val="p"/>
            </m:rPr>
            <m:t>+</m:t>
          </m:r>
          <m:sSub>
            <m:e>
              <m:r>
                <m:t>β</m:t>
              </m:r>
            </m:e>
            <m:sub>
              <m:r>
                <m:t>1</m:t>
              </m:r>
            </m:sub>
          </m:sSub>
          <m:sSub>
            <m:e>
              <m:r>
                <m:t>h</m:t>
              </m:r>
            </m:e>
            <m:sub>
              <m:r>
                <m:t>s</m:t>
              </m:r>
            </m:sub>
          </m:sSub>
          <m:r>
            <m:rPr>
              <m:sty m:val="p"/>
            </m:rPr>
            <m:t>+</m:t>
          </m:r>
          <m:sSub>
            <m:e>
              <m:r>
                <m:t>β</m:t>
              </m:r>
            </m:e>
            <m:sub>
              <m:r>
                <m:t>2</m:t>
              </m:r>
            </m:sub>
          </m:sSub>
          <m:r>
            <m:t>S</m:t>
          </m:r>
          <m:r>
            <m:t>S</m:t>
          </m:r>
          <m:sSub>
            <m:e>
              <m:r>
                <m:t>O</m:t>
              </m:r>
            </m:e>
            <m:sub>
              <m:r>
                <m:t>b</m:t>
              </m:r>
            </m:sub>
          </m:sSub>
          <m:r>
            <m:rPr>
              <m:sty m:val="p"/>
            </m:rPr>
            <m:t>+</m:t>
          </m:r>
          <m:sSub>
            <m:e>
              <m:r>
                <m:t>β</m:t>
              </m:r>
            </m:e>
            <m:sub>
              <m:r>
                <m:t>3</m:t>
              </m:r>
            </m:sub>
          </m:sSub>
          <m:sSub>
            <m:e>
              <m:r>
                <m:t>C</m:t>
              </m:r>
            </m:e>
            <m:sub>
              <m:r>
                <m:t>s</m:t>
              </m:r>
            </m:sub>
          </m:sSub>
          <m:r>
            <m:rPr>
              <m:sty m:val="p"/>
            </m:rPr>
            <m:t>+</m:t>
          </m:r>
          <m:sSub>
            <m:e>
              <m:r>
                <m:t>β</m:t>
              </m:r>
            </m:e>
            <m:sub>
              <m:r>
                <m:t>4</m:t>
              </m:r>
            </m:sub>
          </m:sSub>
          <m:r>
            <m:t>R</m:t>
          </m:r>
          <m:sSub>
            <m:e>
              <m:r>
                <m:t>B</m:t>
              </m:r>
            </m:e>
            <m:sub>
              <m:r>
                <m:t>s</m:t>
              </m:r>
              <m:r>
                <m:t>b</m:t>
              </m:r>
            </m:sub>
          </m:sSub>
          <m:r>
            <m:rPr>
              <m:sty m:val="p"/>
            </m:rPr>
            <m:t>+</m:t>
          </m:r>
          <m:sSub>
            <m:e>
              <m:r>
                <m:t>β</m:t>
              </m:r>
            </m:e>
            <m:sub>
              <m:r>
                <m:t>5</m:t>
              </m:r>
            </m:sub>
          </m:sSub>
          <m:r>
            <m:t>I</m:t>
          </m:r>
          <m:sSub>
            <m:e>
              <m:r>
                <m:t>P</m:t>
              </m:r>
            </m:e>
            <m:sub>
              <m:r>
                <m:t>s</m:t>
              </m:r>
              <m:r>
                <m:t>b</m:t>
              </m:r>
            </m:sub>
          </m:sSub>
          <m:r>
            <m:rPr>
              <m:sty m:val="p"/>
            </m:rPr>
            <m:t>+</m:t>
          </m:r>
          <m:sSub>
            <m:e>
              <m:r>
                <m:t>ε</m:t>
              </m:r>
            </m:e>
            <m:sub>
              <m:r>
                <m:t>s</m:t>
              </m:r>
              <m:r>
                <m:t>b</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1.3346</w:t>
            </w:r>
          </w:p>
        </w:tc>
        <w:tc>
          <w:tcPr>
            <w:tcW w:w="0" w:type="auto"/>
          </w:tcPr>
          <w:p>
            <w:pPr>
              <w:spacing w:line="240" w:lineRule="auto" w:before="0" w:after="0"/>
              <w:pStyle w:val="Compact"/>
            </w:pPr>
            <w:r>
              <w:rPr>
                <w:sz w:val="20"/>
                <w:szCs w:val="20"/>
              </w:rPr>
              <w:t xml:space="preserve">0.7824</w:t>
            </w:r>
          </w:p>
        </w:tc>
        <w:tc>
          <w:tcPr>
            <w:tcW w:w="0" w:type="auto"/>
          </w:tcPr>
          <w:p>
            <w:pPr>
              <w:spacing w:line="240" w:lineRule="auto" w:before="0" w:after="0"/>
              <w:pStyle w:val="Compact"/>
            </w:pPr>
            <w:r>
              <w:rPr>
                <w:sz w:val="20"/>
                <w:szCs w:val="20"/>
              </w:rPr>
              <w:t xml:space="preserve">1.7059</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[-0.1987, 2.868]</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0.0001738</w:t>
            </w:r>
          </w:p>
        </w:tc>
        <w:tc>
          <w:tcPr>
            <w:tcW w:w="0" w:type="auto"/>
          </w:tcPr>
          <w:p>
            <w:pPr>
              <w:spacing w:line="240" w:lineRule="auto" w:before="0" w:after="0"/>
              <w:pStyle w:val="Compact"/>
            </w:pPr>
            <w:r>
              <w:rPr>
                <w:sz w:val="20"/>
                <w:szCs w:val="20"/>
              </w:rPr>
              <w:t xml:space="preserve">0.0004889</w:t>
            </w:r>
          </w:p>
        </w:tc>
        <w:tc>
          <w:tcPr>
            <w:tcW w:w="0" w:type="auto"/>
          </w:tcPr>
          <w:p>
            <w:pPr>
              <w:spacing w:line="240" w:lineRule="auto" w:before="0" w:after="0"/>
              <w:pStyle w:val="Compact"/>
            </w:pPr>
            <w:r>
              <w:rPr>
                <w:sz w:val="20"/>
                <w:szCs w:val="20"/>
              </w:rPr>
              <w:t xml:space="preserve">0.3555</w:t>
            </w:r>
          </w:p>
        </w:tc>
        <w:tc>
          <w:tcPr>
            <w:tcW w:w="0" w:type="auto"/>
          </w:tcPr>
          <w:p>
            <w:pPr>
              <w:spacing w:line="240" w:lineRule="auto" w:before="0" w:after="0"/>
              <w:pStyle w:val="Compact"/>
            </w:pPr>
            <w:r>
              <w:rPr>
                <w:sz w:val="20"/>
                <w:szCs w:val="20"/>
              </w:rPr>
              <w:t xml:space="preserve">0.7222</w:t>
            </w:r>
          </w:p>
        </w:tc>
        <w:tc>
          <w:tcPr>
            <w:tcW w:w="0" w:type="auto"/>
          </w:tcPr>
          <w:p>
            <w:pPr>
              <w:spacing w:line="240" w:lineRule="auto" w:before="0" w:after="0"/>
              <w:pStyle w:val="Compact"/>
            </w:pPr>
            <w:r>
              <w:rPr>
                <w:sz w:val="20"/>
                <w:szCs w:val="20"/>
              </w:rPr>
              <w:t xml:space="preserve">[-0.0007844, 0.0011]</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2.613</w:t>
            </w:r>
          </w:p>
        </w:tc>
        <w:tc>
          <w:tcPr>
            <w:tcW w:w="0" w:type="auto"/>
          </w:tcPr>
          <w:p>
            <w:pPr>
              <w:spacing w:line="240" w:lineRule="auto" w:before="0" w:after="0"/>
              <w:pStyle w:val="Compact"/>
            </w:pPr>
            <w:r>
              <w:rPr>
                <w:sz w:val="20"/>
                <w:szCs w:val="20"/>
              </w:rPr>
              <w:t xml:space="preserve">0.547</w:t>
            </w:r>
          </w:p>
        </w:tc>
        <w:tc>
          <w:tcPr>
            <w:tcW w:w="0" w:type="auto"/>
          </w:tcPr>
          <w:p>
            <w:pPr>
              <w:spacing w:line="240" w:lineRule="auto" w:before="0" w:after="0"/>
              <w:pStyle w:val="Compact"/>
            </w:pPr>
            <w:r>
              <w:rPr>
                <w:sz w:val="20"/>
                <w:szCs w:val="20"/>
              </w:rPr>
              <w:t xml:space="preserve">4.777</w:t>
            </w:r>
          </w:p>
        </w:tc>
        <w:tc>
          <w:tcPr>
            <w:tcW w:w="0" w:type="auto"/>
          </w:tcPr>
          <w:p>
            <w:pPr>
              <w:spacing w:line="240" w:lineRule="auto" w:before="0" w:after="0"/>
              <w:pStyle w:val="Compact"/>
            </w:pPr>
            <w:r>
              <w:rPr>
                <w:sz w:val="20"/>
                <w:szCs w:val="20"/>
              </w:rPr>
              <w:t xml:space="preserve">1.779e-06</w:t>
            </w:r>
          </w:p>
        </w:tc>
        <w:tc>
          <w:tcPr>
            <w:tcW w:w="0" w:type="auto"/>
          </w:tcPr>
          <w:p>
            <w:pPr>
              <w:spacing w:line="240" w:lineRule="auto" w:before="0" w:after="0"/>
              <w:pStyle w:val="Compact"/>
            </w:pPr>
            <w:r>
              <w:rPr>
                <w:sz w:val="20"/>
                <w:szCs w:val="20"/>
              </w:rPr>
              <w:t xml:space="preserve">[1.5409, 3.6852]</w:t>
            </w:r>
          </w:p>
        </w:tc>
      </w:tr>
      <w:tr>
        <w:tc>
          <w:tcPr>
            <w:tcW w:w="0" w:type="auto"/>
          </w:tcPr>
          <w:p>
            <w:pPr>
              <w:spacing w:line="240" w:lineRule="auto" w:before="0" w:after="0"/>
              <w:pStyle w:val="Compact"/>
            </w:pPr>
            <w:r>
              <w:rPr>
                <w:sz w:val="20"/>
                <w:szCs w:val="20"/>
              </w:rPr>
              <w:t xml:space="preserve">is_critical_700_1000</w:t>
            </w:r>
          </w:p>
        </w:tc>
        <w:tc>
          <w:tcPr>
            <w:tcW w:w="0" w:type="auto"/>
          </w:tcPr>
          <w:p>
            <w:pPr>
              <w:spacing w:line="240" w:lineRule="auto" w:before="0" w:after="0"/>
              <w:pStyle w:val="Compact"/>
            </w:pPr>
            <w:r>
              <w:rPr>
                <w:sz w:val="20"/>
                <w:szCs w:val="20"/>
              </w:rPr>
              <w:t xml:space="preserve">1.5384</w:t>
            </w:r>
          </w:p>
        </w:tc>
        <w:tc>
          <w:tcPr>
            <w:tcW w:w="0" w:type="auto"/>
          </w:tcPr>
          <w:p>
            <w:pPr>
              <w:spacing w:line="240" w:lineRule="auto" w:before="0" w:after="0"/>
              <w:pStyle w:val="Compact"/>
            </w:pPr>
            <w:r>
              <w:rPr>
                <w:sz w:val="20"/>
                <w:szCs w:val="20"/>
              </w:rPr>
              <w:t xml:space="preserve">0.5301</w:t>
            </w:r>
          </w:p>
        </w:tc>
        <w:tc>
          <w:tcPr>
            <w:tcW w:w="0" w:type="auto"/>
          </w:tcPr>
          <w:p>
            <w:pPr>
              <w:spacing w:line="240" w:lineRule="auto" w:before="0" w:after="0"/>
              <w:pStyle w:val="Compact"/>
            </w:pPr>
            <w:r>
              <w:rPr>
                <w:sz w:val="20"/>
                <w:szCs w:val="20"/>
              </w:rPr>
              <w:t xml:space="preserve">2.902</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[0.4994, 2.5773]</w:t>
            </w:r>
          </w:p>
        </w:tc>
      </w:tr>
      <w:tr>
        <w:tc>
          <w:tcPr>
            <w:tcW w:w="0" w:type="auto"/>
          </w:tcPr>
          <w:p>
            <w:pPr>
              <w:spacing w:line="240" w:lineRule="auto" w:before="0" w:after="0"/>
              <w:pStyle w:val="Compact"/>
            </w:pPr>
            <w:r>
              <w:rPr>
                <w:sz w:val="20"/>
                <w:szCs w:val="20"/>
              </w:rPr>
              <w:t xml:space="preserve">rocket_body_share</w:t>
            </w:r>
          </w:p>
        </w:tc>
        <w:tc>
          <w:tcPr>
            <w:tcW w:w="0" w:type="auto"/>
          </w:tcPr>
          <w:p>
            <w:pPr>
              <w:spacing w:line="240" w:lineRule="auto" w:before="0" w:after="0"/>
              <w:pStyle w:val="Compact"/>
            </w:pPr>
            <w:r>
              <w:rPr>
                <w:sz w:val="20"/>
                <w:szCs w:val="20"/>
              </w:rPr>
              <w:t xml:space="preserve">0.3155</w:t>
            </w:r>
          </w:p>
        </w:tc>
        <w:tc>
          <w:tcPr>
            <w:tcW w:w="0" w:type="auto"/>
          </w:tcPr>
          <w:p>
            <w:pPr>
              <w:spacing w:line="240" w:lineRule="auto" w:before="0" w:after="0"/>
              <w:pStyle w:val="Compact"/>
            </w:pPr>
            <w:r>
              <w:rPr>
                <w:sz w:val="20"/>
                <w:szCs w:val="20"/>
              </w:rPr>
              <w:t xml:space="preserve">0.8132</w:t>
            </w:r>
          </w:p>
        </w:tc>
        <w:tc>
          <w:tcPr>
            <w:tcW w:w="0" w:type="auto"/>
          </w:tcPr>
          <w:p>
            <w:pPr>
              <w:spacing w:line="240" w:lineRule="auto" w:before="0" w:after="0"/>
              <w:pStyle w:val="Compact"/>
            </w:pPr>
            <w:r>
              <w:rPr>
                <w:sz w:val="20"/>
                <w:szCs w:val="20"/>
              </w:rPr>
              <w:t xml:space="preserve">0.3879</w:t>
            </w:r>
          </w:p>
        </w:tc>
        <w:tc>
          <w:tcPr>
            <w:tcW w:w="0" w:type="auto"/>
          </w:tcPr>
          <w:p>
            <w:pPr>
              <w:spacing w:line="240" w:lineRule="auto" w:before="0" w:after="0"/>
              <w:pStyle w:val="Compact"/>
            </w:pPr>
            <w:r>
              <w:rPr>
                <w:sz w:val="20"/>
                <w:szCs w:val="20"/>
              </w:rPr>
              <w:t xml:space="preserve">0.6981</w:t>
            </w:r>
          </w:p>
        </w:tc>
        <w:tc>
          <w:tcPr>
            <w:tcW w:w="0" w:type="auto"/>
          </w:tcPr>
          <w:p>
            <w:pPr>
              <w:spacing w:line="240" w:lineRule="auto" w:before="0" w:after="0"/>
              <w:pStyle w:val="Compact"/>
            </w:pPr>
            <w:r>
              <w:rPr>
                <w:sz w:val="20"/>
                <w:szCs w:val="20"/>
              </w:rPr>
              <w:t xml:space="preserve">[-1.2784, 1.9094]</w:t>
            </w:r>
          </w:p>
        </w:tc>
      </w:tr>
      <w:tr>
        <w:tc>
          <w:tcPr>
            <w:tcW w:w="0" w:type="auto"/>
          </w:tcPr>
          <w:p>
            <w:pPr>
              <w:spacing w:line="240" w:lineRule="auto" w:before="0" w:after="0"/>
              <w:pStyle w:val="Compact"/>
            </w:pPr>
            <w:r>
              <w:rPr>
                <w:sz w:val="20"/>
                <w:szCs w:val="20"/>
              </w:rPr>
              <w:t xml:space="preserve">inactive_payload_share</w:t>
            </w:r>
          </w:p>
        </w:tc>
        <w:tc>
          <w:tcPr>
            <w:tcW w:w="0" w:type="auto"/>
          </w:tcPr>
          <w:p>
            <w:pPr>
              <w:spacing w:line="240" w:lineRule="auto" w:before="0" w:after="0"/>
              <w:pStyle w:val="Compact"/>
            </w:pPr>
            <w:r>
              <w:rPr>
                <w:sz w:val="20"/>
                <w:szCs w:val="20"/>
              </w:rPr>
              <w:t xml:space="preserve">1.502</w:t>
            </w:r>
          </w:p>
        </w:tc>
        <w:tc>
          <w:tcPr>
            <w:tcW w:w="0" w:type="auto"/>
          </w:tcPr>
          <w:p>
            <w:pPr>
              <w:spacing w:line="240" w:lineRule="auto" w:before="0" w:after="0"/>
              <w:pStyle w:val="Compact"/>
            </w:pPr>
            <w:r>
              <w:rPr>
                <w:sz w:val="20"/>
                <w:szCs w:val="20"/>
              </w:rPr>
              <w:t xml:space="preserve">1.3882</w:t>
            </w:r>
          </w:p>
        </w:tc>
        <w:tc>
          <w:tcPr>
            <w:tcW w:w="0" w:type="auto"/>
          </w:tcPr>
          <w:p>
            <w:pPr>
              <w:spacing w:line="240" w:lineRule="auto" w:before="0" w:after="0"/>
              <w:pStyle w:val="Compact"/>
            </w:pPr>
            <w:r>
              <w:rPr>
                <w:sz w:val="20"/>
                <w:szCs w:val="20"/>
              </w:rPr>
              <w:t xml:space="preserve">1.082</w:t>
            </w:r>
          </w:p>
        </w:tc>
        <w:tc>
          <w:tcPr>
            <w:tcW w:w="0" w:type="auto"/>
          </w:tcPr>
          <w:p>
            <w:pPr>
              <w:spacing w:line="240" w:lineRule="auto" w:before="0" w:after="0"/>
              <w:pStyle w:val="Compact"/>
            </w:pPr>
            <w:r>
              <w:rPr>
                <w:sz w:val="20"/>
                <w:szCs w:val="20"/>
              </w:rPr>
              <w:t xml:space="preserve">0.2793</w:t>
            </w:r>
          </w:p>
        </w:tc>
        <w:tc>
          <w:tcPr>
            <w:tcW w:w="0" w:type="auto"/>
          </w:tcPr>
          <w:p>
            <w:pPr>
              <w:spacing w:line="240" w:lineRule="auto" w:before="0" w:after="0"/>
              <w:pStyle w:val="Compact"/>
            </w:pPr>
            <w:r>
              <w:rPr>
                <w:sz w:val="20"/>
                <w:szCs w:val="20"/>
              </w:rPr>
              <w:t xml:space="preserve">[-1.2188, 4.2228]</w:t>
            </w:r>
          </w:p>
        </w:tc>
      </w:tr>
    </w:tbl>
    <w:p>
      <w:pPr>
        <w:pStyle w:val="BodyText"/>
      </w:pPr>
      <w:r>
        <w:t xml:space="preserve">Fit: N = 72 R2 = 0.3495 R2_adj = 0.3003 F = 7.5821 F_p = 1.121e-05</w:t>
      </w:r>
    </w:p>
    <w:p>
      <w:pPr>
        <w:pStyle w:val="CaptionedFigure"/>
      </w:pPr>
      <w:r>
        <w:drawing>
          <wp:inline>
            <wp:extent cx="5669280" cy="3657600"/>
            <wp:effectExtent b="0" l="0" r="0" t="0"/>
            <wp:docPr descr="Figure 1. LEO derelict size-proxy concentration by altitude-shell midpoint." title="" id="80" name="Picture"/>
            <a:graphic>
              <a:graphicData uri="http://schemas.openxmlformats.org/drawingml/2006/picture">
                <pic:pic>
                  <pic:nvPicPr>
                    <pic:cNvPr descr="dissertations\DEBRIS_06\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LEO derelict size-proxy concentration by altitude-shell midpoint.</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shell_low_km</w:t>
            </w:r>
          </w:p>
        </w:tc>
        <w:tc>
          <w:tcPr>
            <w:tcW w:w="0" w:type="auto"/>
          </w:tcPr>
          <w:p>
            <w:pPr>
              <w:spacing w:line="240" w:lineRule="auto" w:before="0" w:after="0"/>
              <w:pStyle w:val="Compact"/>
            </w:pPr>
            <w:r>
              <w:rPr>
                <w:sz w:val="20"/>
                <w:szCs w:val="20"/>
              </w:rPr>
              <w:t xml:space="preserve">shell_high_km</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inclination_regime</w:t>
            </w:r>
          </w:p>
        </w:tc>
        <w:tc>
          <w:tcPr>
            <w:tcW w:w="0" w:type="auto"/>
          </w:tcPr>
          <w:p>
            <w:pPr>
              <w:spacing w:line="240" w:lineRule="auto" w:before="0" w:after="0"/>
              <w:pStyle w:val="Compact"/>
            </w:pPr>
            <w:r>
              <w:rPr>
                <w:sz w:val="20"/>
                <w:szCs w:val="20"/>
              </w:rPr>
              <w:t xml:space="preserve">inclination_code</w:t>
            </w:r>
          </w:p>
        </w:tc>
        <w:tc>
          <w:tcPr>
            <w:tcW w:w="0" w:type="auto"/>
          </w:tcPr>
          <w:p>
            <w:pPr>
              <w:spacing w:line="240" w:lineRule="auto" w:before="0" w:after="0"/>
              <w:pStyle w:val="Compact"/>
            </w:pPr>
            <w:r>
              <w:rPr>
                <w:sz w:val="20"/>
                <w:szCs w:val="20"/>
              </w:rPr>
              <w:t xml:space="preserve">derelict_count</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rocket_body_count</w:t>
            </w:r>
          </w:p>
        </w:tc>
        <w:tc>
          <w:tcPr>
            <w:tcW w:w="0" w:type="auto"/>
          </w:tcPr>
          <w:p>
            <w:pPr>
              <w:spacing w:line="240" w:lineRule="auto" w:before="0" w:after="0"/>
              <w:pStyle w:val="Compact"/>
            </w:pPr>
            <w:r>
              <w:rPr>
                <w:sz w:val="20"/>
                <w:szCs w:val="20"/>
              </w:rPr>
              <w:t xml:space="preserve">inactive_payload_count</w:t>
            </w:r>
          </w:p>
        </w:tc>
        <w:tc>
          <w:tcPr>
            <w:tcW w:w="0" w:type="auto"/>
          </w:tcPr>
          <w:p>
            <w:pPr>
              <w:spacing w:line="240" w:lineRule="auto" w:before="0" w:after="0"/>
              <w:pStyle w:val="Compact"/>
            </w:pPr>
            <w:r>
              <w:rPr>
                <w:sz w:val="20"/>
                <w:szCs w:val="20"/>
              </w:rPr>
              <w:t xml:space="preserve">total_rcs_proxy_m2</w:t>
            </w:r>
          </w:p>
        </w:tc>
        <w:tc>
          <w:tcPr>
            <w:tcW w:w="0" w:type="auto"/>
          </w:tcPr>
          <w:p>
            <w:pPr>
              <w:spacing w:line="240" w:lineRule="auto" w:before="0" w:after="0"/>
              <w:pStyle w:val="Compact"/>
            </w:pPr>
            <w:r>
              <w:rPr>
                <w:sz w:val="20"/>
                <w:szCs w:val="20"/>
              </w:rPr>
              <w:t xml:space="preserve">mean_rcs_proxy_m2</w:t>
            </w:r>
          </w:p>
        </w:tc>
        <w:tc>
          <w:tcPr>
            <w:tcW w:w="0" w:type="auto"/>
          </w:tcPr>
          <w:p>
            <w:pPr>
              <w:spacing w:line="240" w:lineRule="auto" w:before="0" w:after="0"/>
              <w:pStyle w:val="Compact"/>
            </w:pPr>
            <w:r>
              <w:rPr>
                <w:sz w:val="20"/>
                <w:szCs w:val="20"/>
              </w:rPr>
              <w:t xml:space="preserve">rocket_body_share</w:t>
            </w:r>
          </w:p>
        </w:tc>
        <w:tc>
          <w:tcPr>
            <w:tcW w:w="0" w:type="auto"/>
          </w:tcPr>
          <w:p>
            <w:pPr>
              <w:spacing w:line="240" w:lineRule="auto" w:before="0" w:after="0"/>
              <w:pStyle w:val="Compact"/>
            </w:pPr>
            <w:r>
              <w:rPr>
                <w:sz w:val="20"/>
                <w:szCs w:val="20"/>
              </w:rPr>
              <w:t xml:space="preserve">inactive_payload_share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is_critical_700_1000</w:t>
            </w:r>
          </w:p>
        </w:tc>
        <w:tc>
          <w:tcPr>
            <w:tcW w:w="0" w:type="auto"/>
          </w:tcPr>
          <w:p>
            <w:pPr>
              <w:spacing w:line="240" w:lineRule="auto" w:before="0" w:after="0"/>
              <w:pStyle w:val="Compact"/>
            </w:pPr>
            <w:r>
              <w:rPr>
                <w:sz w:val="20"/>
                <w:szCs w:val="20"/>
              </w:rPr>
              <w:t xml:space="preserve">log_derelict_risk_plus_one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0.293</w:t>
            </w:r>
          </w:p>
        </w:tc>
        <w:tc>
          <w:tcPr>
            <w:tcW w:w="0" w:type="auto"/>
          </w:tcPr>
          <w:p>
            <w:pPr>
              <w:spacing w:line="240" w:lineRule="auto" w:before="0" w:after="0"/>
              <w:pStyle w:val="Compact"/>
            </w:pPr>
            <w:r>
              <w:rPr>
                <w:sz w:val="20"/>
                <w:szCs w:val="20"/>
              </w:rPr>
              <w:t xml:space="preserve">0.293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0.086</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0.0614</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0.0596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42.4912</w:t>
            </w:r>
          </w:p>
        </w:tc>
        <w:tc>
          <w:tcPr>
            <w:tcW w:w="0" w:type="auto"/>
          </w:tcPr>
          <w:p>
            <w:pPr>
              <w:spacing w:line="240" w:lineRule="auto" w:before="0" w:after="0"/>
              <w:pStyle w:val="Compact"/>
            </w:pPr>
            <w:r>
              <w:rPr>
                <w:sz w:val="20"/>
                <w:szCs w:val="20"/>
              </w:rPr>
              <w:t xml:space="preserve">1.5175</w:t>
            </w:r>
          </w:p>
        </w:tc>
        <w:tc>
          <w:tcPr>
            <w:tcW w:w="0" w:type="auto"/>
          </w:tcPr>
          <w:p>
            <w:pPr>
              <w:spacing w:line="240" w:lineRule="auto" w:before="0" w:after="0"/>
              <w:pStyle w:val="Compact"/>
            </w:pPr>
            <w:r>
              <w:rPr>
                <w:sz w:val="20"/>
                <w:szCs w:val="20"/>
              </w:rPr>
              <w:t xml:space="preserve">0.3214</w:t>
            </w:r>
          </w:p>
        </w:tc>
        <w:tc>
          <w:tcPr>
            <w:tcW w:w="0" w:type="auto"/>
          </w:tcPr>
          <w:p>
            <w:pPr>
              <w:spacing w:line="240" w:lineRule="auto" w:before="0" w:after="0"/>
              <w:pStyle w:val="Compact"/>
            </w:pPr>
            <w:r>
              <w:rPr>
                <w:sz w:val="20"/>
                <w:szCs w:val="20"/>
              </w:rPr>
              <w:t xml:space="preserve">0.2857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3.7726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77.0759</w:t>
            </w:r>
          </w:p>
        </w:tc>
        <w:tc>
          <w:tcPr>
            <w:tcW w:w="0" w:type="auto"/>
          </w:tcPr>
          <w:p>
            <w:pPr>
              <w:spacing w:line="240" w:lineRule="auto" w:before="0" w:after="0"/>
              <w:pStyle w:val="Compact"/>
            </w:pPr>
            <w:r>
              <w:rPr>
                <w:sz w:val="20"/>
                <w:szCs w:val="20"/>
              </w:rPr>
              <w:t xml:space="preserve">1.1678</w:t>
            </w:r>
          </w:p>
        </w:tc>
        <w:tc>
          <w:tcPr>
            <w:tcW w:w="0" w:type="auto"/>
          </w:tcPr>
          <w:p>
            <w:pPr>
              <w:spacing w:line="240" w:lineRule="auto" w:before="0" w:after="0"/>
              <w:pStyle w:val="Compact"/>
            </w:pPr>
            <w:r>
              <w:rPr>
                <w:sz w:val="20"/>
                <w:szCs w:val="20"/>
              </w:rPr>
              <w:t xml:space="preserve">0.2273</w:t>
            </w:r>
          </w:p>
        </w:tc>
        <w:tc>
          <w:tcPr>
            <w:tcW w:w="0" w:type="auto"/>
          </w:tcPr>
          <w:p>
            <w:pPr>
              <w:spacing w:line="240" w:lineRule="auto" w:before="0" w:after="0"/>
              <w:pStyle w:val="Compact"/>
            </w:pPr>
            <w:r>
              <w:rPr>
                <w:sz w:val="20"/>
                <w:szCs w:val="20"/>
              </w:rPr>
              <w:t xml:space="preserve">0.4394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4.3577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6.1938</w:t>
            </w:r>
          </w:p>
        </w:tc>
        <w:tc>
          <w:tcPr>
            <w:tcW w:w="0" w:type="auto"/>
          </w:tcPr>
          <w:p>
            <w:pPr>
              <w:spacing w:line="240" w:lineRule="auto" w:before="0" w:after="0"/>
              <w:pStyle w:val="Compact"/>
            </w:pPr>
            <w:r>
              <w:rPr>
                <w:sz w:val="20"/>
                <w:szCs w:val="20"/>
              </w:rPr>
              <w:t xml:space="preserve">2.0646</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23.3721</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0.3415</w:t>
            </w:r>
          </w:p>
        </w:tc>
        <w:tc>
          <w:tcPr>
            <w:tcW w:w="0" w:type="auto"/>
          </w:tcPr>
          <w:p>
            <w:pPr>
              <w:spacing w:line="240" w:lineRule="auto" w:before="0" w:after="0"/>
              <w:pStyle w:val="Compact"/>
            </w:pPr>
            <w:r>
              <w:rPr>
                <w:sz w:val="20"/>
                <w:szCs w:val="20"/>
              </w:rPr>
              <w:t xml:space="preserve">0.2683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3.1934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243.8675</w:t>
            </w:r>
          </w:p>
        </w:tc>
        <w:tc>
          <w:tcPr>
            <w:tcW w:w="0" w:type="auto"/>
          </w:tcPr>
          <w:p>
            <w:pPr>
              <w:spacing w:line="240" w:lineRule="auto" w:before="0" w:after="0"/>
              <w:pStyle w:val="Compact"/>
            </w:pPr>
            <w:r>
              <w:rPr>
                <w:sz w:val="20"/>
                <w:szCs w:val="20"/>
              </w:rPr>
              <w:t xml:space="preserve">1.2701</w:t>
            </w:r>
          </w:p>
        </w:tc>
        <w:tc>
          <w:tcPr>
            <w:tcW w:w="0" w:type="auto"/>
          </w:tcPr>
          <w:p>
            <w:pPr>
              <w:spacing w:line="240" w:lineRule="auto" w:before="0" w:after="0"/>
              <w:pStyle w:val="Compact"/>
            </w:pPr>
            <w:r>
              <w:rPr>
                <w:sz w:val="20"/>
                <w:szCs w:val="20"/>
              </w:rPr>
              <w:t xml:space="preserve">0.2344</w:t>
            </w:r>
          </w:p>
        </w:tc>
        <w:tc>
          <w:tcPr>
            <w:tcW w:w="0" w:type="auto"/>
          </w:tcPr>
          <w:p>
            <w:pPr>
              <w:spacing w:line="240" w:lineRule="auto" w:before="0" w:after="0"/>
              <w:pStyle w:val="Compact"/>
            </w:pPr>
            <w:r>
              <w:rPr>
                <w:sz w:val="20"/>
                <w:szCs w:val="20"/>
              </w:rPr>
              <w:t xml:space="preserve">0.2031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5.5007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23.1249</w:t>
            </w:r>
          </w:p>
        </w:tc>
        <w:tc>
          <w:tcPr>
            <w:tcW w:w="0" w:type="auto"/>
          </w:tcPr>
          <w:p>
            <w:pPr>
              <w:spacing w:line="240" w:lineRule="auto" w:before="0" w:after="0"/>
              <w:pStyle w:val="Compact"/>
            </w:pPr>
            <w:r>
              <w:rPr>
                <w:sz w:val="20"/>
                <w:szCs w:val="20"/>
              </w:rPr>
              <w:t xml:space="preserve">3.3036</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0.4286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3.1832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40.4339</w:t>
            </w:r>
          </w:p>
        </w:tc>
        <w:tc>
          <w:tcPr>
            <w:tcW w:w="0" w:type="auto"/>
          </w:tcPr>
          <w:p>
            <w:pPr>
              <w:spacing w:line="240" w:lineRule="auto" w:before="0" w:after="0"/>
              <w:pStyle w:val="Compact"/>
            </w:pPr>
            <w:r>
              <w:rPr>
                <w:sz w:val="20"/>
                <w:szCs w:val="20"/>
              </w:rPr>
              <w:t xml:space="preserve">0.6035</w:t>
            </w:r>
          </w:p>
        </w:tc>
        <w:tc>
          <w:tcPr>
            <w:tcW w:w="0" w:type="auto"/>
          </w:tcPr>
          <w:p>
            <w:pPr>
              <w:spacing w:line="240" w:lineRule="auto" w:before="0" w:after="0"/>
              <w:pStyle w:val="Compact"/>
            </w:pPr>
            <w:r>
              <w:rPr>
                <w:sz w:val="20"/>
                <w:szCs w:val="20"/>
              </w:rPr>
              <w:t xml:space="preserve">0.3134</w:t>
            </w:r>
          </w:p>
        </w:tc>
        <w:tc>
          <w:tcPr>
            <w:tcW w:w="0" w:type="auto"/>
          </w:tcPr>
          <w:p>
            <w:pPr>
              <w:spacing w:line="240" w:lineRule="auto" w:before="0" w:after="0"/>
              <w:pStyle w:val="Compact"/>
            </w:pPr>
            <w:r>
              <w:rPr>
                <w:sz w:val="20"/>
                <w:szCs w:val="20"/>
              </w:rPr>
              <w:t xml:space="preserve">0.2687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3.7241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323.7404</w:t>
            </w:r>
          </w:p>
        </w:tc>
        <w:tc>
          <w:tcPr>
            <w:tcW w:w="0" w:type="auto"/>
          </w:tcPr>
          <w:p>
            <w:pPr>
              <w:spacing w:line="240" w:lineRule="auto" w:before="0" w:after="0"/>
              <w:pStyle w:val="Compact"/>
            </w:pPr>
            <w:r>
              <w:rPr>
                <w:sz w:val="20"/>
                <w:szCs w:val="20"/>
              </w:rPr>
              <w:t xml:space="preserve">0.7529</w:t>
            </w:r>
          </w:p>
        </w:tc>
        <w:tc>
          <w:tcPr>
            <w:tcW w:w="0" w:type="auto"/>
          </w:tcPr>
          <w:p>
            <w:pPr>
              <w:spacing w:line="240" w:lineRule="auto" w:before="0" w:after="0"/>
              <w:pStyle w:val="Compact"/>
            </w:pPr>
            <w:r>
              <w:rPr>
                <w:sz w:val="20"/>
                <w:szCs w:val="20"/>
              </w:rPr>
              <w:t xml:space="preserve">0.1233</w:t>
            </w:r>
          </w:p>
        </w:tc>
        <w:tc>
          <w:tcPr>
            <w:tcW w:w="0" w:type="auto"/>
          </w:tcPr>
          <w:p>
            <w:pPr>
              <w:spacing w:line="240" w:lineRule="auto" w:before="0" w:after="0"/>
              <w:pStyle w:val="Compact"/>
            </w:pPr>
            <w:r>
              <w:rPr>
                <w:sz w:val="20"/>
                <w:szCs w:val="20"/>
              </w:rPr>
              <w:t xml:space="preserve">0.1674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0.0296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33.8739</w:t>
            </w:r>
          </w:p>
        </w:tc>
        <w:tc>
          <w:tcPr>
            <w:tcW w:w="0" w:type="auto"/>
          </w:tcPr>
          <w:p>
            <w:pPr>
              <w:spacing w:line="240" w:lineRule="auto" w:before="0" w:after="0"/>
              <w:pStyle w:val="Compact"/>
            </w:pPr>
            <w:r>
              <w:rPr>
                <w:sz w:val="20"/>
                <w:szCs w:val="20"/>
              </w:rPr>
              <w:t xml:space="preserve">1.9926</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0.3529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3.5517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70.7808</w:t>
            </w:r>
          </w:p>
        </w:tc>
        <w:tc>
          <w:tcPr>
            <w:tcW w:w="0" w:type="auto"/>
          </w:tcPr>
          <w:p>
            <w:pPr>
              <w:spacing w:line="240" w:lineRule="auto" w:before="0" w:after="0"/>
              <w:pStyle w:val="Compact"/>
            </w:pPr>
            <w:r>
              <w:rPr>
                <w:sz w:val="20"/>
                <w:szCs w:val="20"/>
              </w:rPr>
              <w:t xml:space="preserve">0.8136</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0.3218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4.2736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1159</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586.7282</w:t>
            </w:r>
          </w:p>
        </w:tc>
        <w:tc>
          <w:tcPr>
            <w:tcW w:w="0" w:type="auto"/>
          </w:tcPr>
          <w:p>
            <w:pPr>
              <w:spacing w:line="240" w:lineRule="auto" w:before="0" w:after="0"/>
              <w:pStyle w:val="Compact"/>
            </w:pPr>
            <w:r>
              <w:rPr>
                <w:sz w:val="20"/>
                <w:szCs w:val="20"/>
              </w:rPr>
              <w:t xml:space="preserve">0.5062</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6.3763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10.9976</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0.2727</w:t>
            </w:r>
          </w:p>
        </w:tc>
        <w:tc>
          <w:tcPr>
            <w:tcW w:w="0" w:type="auto"/>
          </w:tcPr>
          <w:p>
            <w:pPr>
              <w:spacing w:line="240" w:lineRule="auto" w:before="0" w:after="0"/>
              <w:pStyle w:val="Compact"/>
            </w:pPr>
            <w:r>
              <w:rPr>
                <w:sz w:val="20"/>
                <w:szCs w:val="20"/>
              </w:rPr>
              <w:t xml:space="preserve">0.1818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2.4847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111.7136</w:t>
            </w:r>
          </w:p>
        </w:tc>
        <w:tc>
          <w:tcPr>
            <w:tcW w:w="0" w:type="auto"/>
          </w:tcPr>
          <w:p>
            <w:pPr>
              <w:spacing w:line="240" w:lineRule="auto" w:before="0" w:after="0"/>
              <w:pStyle w:val="Compact"/>
            </w:pPr>
            <w:r>
              <w:rPr>
                <w:sz w:val="20"/>
                <w:szCs w:val="20"/>
              </w:rPr>
              <w:t xml:space="preserve">0.4578</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0.1844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4.7249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2281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1038.4258</w:t>
            </w:r>
          </w:p>
        </w:tc>
        <w:tc>
          <w:tcPr>
            <w:tcW w:w="0" w:type="auto"/>
          </w:tcPr>
          <w:p>
            <w:pPr>
              <w:spacing w:line="240" w:lineRule="auto" w:before="0" w:after="0"/>
              <w:pStyle w:val="Compact"/>
            </w:pPr>
            <w:r>
              <w:rPr>
                <w:sz w:val="20"/>
                <w:szCs w:val="20"/>
              </w:rPr>
              <w:t xml:space="preserve">0.4553</w:t>
            </w:r>
          </w:p>
        </w:tc>
        <w:tc>
          <w:tcPr>
            <w:tcW w:w="0" w:type="auto"/>
          </w:tcPr>
          <w:p>
            <w:pPr>
              <w:spacing w:line="240" w:lineRule="auto" w:before="0" w:after="0"/>
              <w:pStyle w:val="Compact"/>
            </w:pPr>
            <w:r>
              <w:rPr>
                <w:sz w:val="20"/>
                <w:szCs w:val="20"/>
              </w:rPr>
              <w:t xml:space="preserve">0.0544</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19.7487</w:t>
            </w:r>
          </w:p>
        </w:tc>
        <w:tc>
          <w:tcPr>
            <w:tcW w:w="0" w:type="auto"/>
          </w:tcPr>
          <w:p>
            <w:pPr>
              <w:spacing w:line="240" w:lineRule="auto" w:before="0" w:after="0"/>
              <w:pStyle w:val="Compact"/>
            </w:pPr>
            <w:r>
              <w:rPr>
                <w:sz w:val="20"/>
                <w:szCs w:val="20"/>
              </w:rPr>
              <w:t xml:space="preserve">1.9749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3.0325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30.5104</w:t>
            </w:r>
          </w:p>
        </w:tc>
        <w:tc>
          <w:tcPr>
            <w:tcW w:w="0" w:type="auto"/>
          </w:tcPr>
          <w:p>
            <w:pPr>
              <w:spacing w:line="240" w:lineRule="auto" w:before="0" w:after="0"/>
              <w:pStyle w:val="Compact"/>
            </w:pPr>
            <w:r>
              <w:rPr>
                <w:sz w:val="20"/>
                <w:szCs w:val="20"/>
              </w:rPr>
              <w:t xml:space="preserve">0.263</w:t>
            </w:r>
          </w:p>
        </w:tc>
        <w:tc>
          <w:tcPr>
            <w:tcW w:w="0" w:type="auto"/>
          </w:tcPr>
          <w:p>
            <w:pPr>
              <w:spacing w:line="240" w:lineRule="auto" w:before="0" w:after="0"/>
              <w:pStyle w:val="Compact"/>
            </w:pPr>
            <w:r>
              <w:rPr>
                <w:sz w:val="20"/>
                <w:szCs w:val="20"/>
              </w:rPr>
              <w:t xml:space="preserve">0.1379</w:t>
            </w:r>
          </w:p>
        </w:tc>
        <w:tc>
          <w:tcPr>
            <w:tcW w:w="0" w:type="auto"/>
          </w:tcPr>
          <w:p>
            <w:pPr>
              <w:spacing w:line="240" w:lineRule="auto" w:before="0" w:after="0"/>
              <w:pStyle w:val="Compact"/>
            </w:pPr>
            <w:r>
              <w:rPr>
                <w:sz w:val="20"/>
                <w:szCs w:val="20"/>
              </w:rPr>
              <w:t xml:space="preserve">0.0776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3.4503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2642</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1102.2007</w:t>
            </w:r>
          </w:p>
        </w:tc>
        <w:tc>
          <w:tcPr>
            <w:tcW w:w="0" w:type="auto"/>
          </w:tcPr>
          <w:p>
            <w:pPr>
              <w:spacing w:line="240" w:lineRule="auto" w:before="0" w:after="0"/>
              <w:pStyle w:val="Compact"/>
            </w:pPr>
            <w:r>
              <w:rPr>
                <w:sz w:val="20"/>
                <w:szCs w:val="20"/>
              </w:rPr>
              <w:t xml:space="preserve">0.4172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0.0466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6.547</w:t>
            </w:r>
          </w:p>
        </w:tc>
        <w:tc>
          <w:tcPr>
            <w:tcW w:w="0" w:type="auto"/>
          </w:tcPr>
          <w:p>
            <w:pPr>
              <w:spacing w:line="240" w:lineRule="auto" w:before="0" w:after="0"/>
              <w:pStyle w:val="Compact"/>
            </w:pPr>
            <w:r>
              <w:rPr>
                <w:sz w:val="20"/>
                <w:szCs w:val="20"/>
              </w:rPr>
              <w:t xml:space="preserve">1.6367</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26.3729</w:t>
            </w:r>
          </w:p>
        </w:tc>
        <w:tc>
          <w:tcPr>
            <w:tcW w:w="0" w:type="auto"/>
          </w:tcPr>
          <w:p>
            <w:pPr>
              <w:spacing w:line="240" w:lineRule="auto" w:before="0" w:after="0"/>
              <w:pStyle w:val="Compact"/>
            </w:pPr>
            <w:r>
              <w:rPr>
                <w:sz w:val="20"/>
                <w:szCs w:val="20"/>
              </w:rPr>
              <w:t xml:space="preserve">1.8838</w:t>
            </w:r>
          </w:p>
        </w:tc>
        <w:tc>
          <w:tcPr>
            <w:tcW w:w="0" w:type="auto"/>
          </w:tcPr>
          <w:p>
            <w:pPr>
              <w:spacing w:line="240" w:lineRule="auto" w:before="0" w:after="0"/>
              <w:pStyle w:val="Compact"/>
            </w:pPr>
            <w:r>
              <w:rPr>
                <w:sz w:val="20"/>
                <w:szCs w:val="20"/>
              </w:rPr>
              <w:t xml:space="preserve">0.2143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3.3096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192.7283</w:t>
            </w:r>
          </w:p>
        </w:tc>
        <w:tc>
          <w:tcPr>
            <w:tcW w:w="0" w:type="auto"/>
          </w:tcPr>
          <w:p>
            <w:pPr>
              <w:spacing w:line="240" w:lineRule="auto" w:before="0" w:after="0"/>
              <w:pStyle w:val="Compact"/>
            </w:pPr>
            <w:r>
              <w:rPr>
                <w:sz w:val="20"/>
                <w:szCs w:val="20"/>
              </w:rPr>
              <w:t xml:space="preserve">0.577</w:t>
            </w:r>
          </w:p>
        </w:tc>
        <w:tc>
          <w:tcPr>
            <w:tcW w:w="0" w:type="auto"/>
          </w:tcPr>
          <w:p>
            <w:pPr>
              <w:spacing w:line="240" w:lineRule="auto" w:before="0" w:after="0"/>
              <w:pStyle w:val="Compact"/>
            </w:pPr>
            <w:r>
              <w:rPr>
                <w:sz w:val="20"/>
                <w:szCs w:val="20"/>
              </w:rPr>
              <w:t xml:space="preserve">0.0599</w:t>
            </w:r>
          </w:p>
        </w:tc>
        <w:tc>
          <w:tcPr>
            <w:tcW w:w="0" w:type="auto"/>
          </w:tcPr>
          <w:p>
            <w:pPr>
              <w:spacing w:line="240" w:lineRule="auto" w:before="0" w:after="0"/>
              <w:pStyle w:val="Compact"/>
            </w:pPr>
            <w:r>
              <w:rPr>
                <w:sz w:val="20"/>
                <w:szCs w:val="20"/>
              </w:rPr>
              <w:t xml:space="preserve">0.2186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5.2665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1362</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1276.7445</w:t>
            </w:r>
          </w:p>
        </w:tc>
        <w:tc>
          <w:tcPr>
            <w:tcW w:w="0" w:type="auto"/>
          </w:tcPr>
          <w:p>
            <w:pPr>
              <w:spacing w:line="240" w:lineRule="auto" w:before="0" w:after="0"/>
              <w:pStyle w:val="Compact"/>
            </w:pPr>
            <w:r>
              <w:rPr>
                <w:sz w:val="20"/>
                <w:szCs w:val="20"/>
              </w:rPr>
              <w:t xml:space="preserve">0.9374</w:t>
            </w:r>
          </w:p>
        </w:tc>
        <w:tc>
          <w:tcPr>
            <w:tcW w:w="0" w:type="auto"/>
          </w:tcPr>
          <w:p>
            <w:pPr>
              <w:spacing w:line="240" w:lineRule="auto" w:before="0" w:after="0"/>
              <w:pStyle w:val="Compact"/>
            </w:pPr>
            <w:r>
              <w:rPr>
                <w:sz w:val="20"/>
                <w:szCs w:val="20"/>
              </w:rPr>
              <w:t xml:space="preserve">0.1358</w:t>
            </w:r>
          </w:p>
        </w:tc>
        <w:tc>
          <w:tcPr>
            <w:tcW w:w="0" w:type="auto"/>
          </w:tcPr>
          <w:p>
            <w:pPr>
              <w:spacing w:line="240" w:lineRule="auto" w:before="0" w:after="0"/>
              <w:pStyle w:val="Compact"/>
            </w:pPr>
            <w:r>
              <w:rPr>
                <w:sz w:val="20"/>
                <w:szCs w:val="20"/>
              </w:rPr>
              <w:t xml:space="preserve">0.1468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7.1529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4.8126</w:t>
            </w:r>
          </w:p>
        </w:tc>
        <w:tc>
          <w:tcPr>
            <w:tcW w:w="0" w:type="auto"/>
          </w:tcPr>
          <w:p>
            <w:pPr>
              <w:spacing w:line="240" w:lineRule="auto" w:before="0" w:after="0"/>
              <w:pStyle w:val="Compact"/>
            </w:pPr>
            <w:r>
              <w:rPr>
                <w:sz w:val="20"/>
                <w:szCs w:val="20"/>
              </w:rPr>
              <w:t xml:space="preserve">0.8021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34.3948</w:t>
            </w:r>
          </w:p>
        </w:tc>
        <w:tc>
          <w:tcPr>
            <w:tcW w:w="0" w:type="auto"/>
          </w:tcPr>
          <w:p>
            <w:pPr>
              <w:spacing w:line="240" w:lineRule="auto" w:before="0" w:after="0"/>
              <w:pStyle w:val="Compact"/>
            </w:pPr>
            <w:r>
              <w:rPr>
                <w:sz w:val="20"/>
                <w:szCs w:val="20"/>
              </w:rPr>
              <w:t xml:space="preserve">2.293</w:t>
            </w:r>
          </w:p>
        </w:tc>
        <w:tc>
          <w:tcPr>
            <w:tcW w:w="0" w:type="auto"/>
          </w:tcPr>
          <w:p>
            <w:pPr>
              <w:spacing w:line="240" w:lineRule="auto" w:before="0" w:after="0"/>
              <w:pStyle w:val="Compact"/>
            </w:pPr>
            <w:r>
              <w:rPr>
                <w:sz w:val="20"/>
                <w:szCs w:val="20"/>
              </w:rPr>
              <w:t xml:space="preserve">0.2667</w:t>
            </w:r>
          </w:p>
        </w:tc>
        <w:tc>
          <w:tcPr>
            <w:tcW w:w="0" w:type="auto"/>
          </w:tcPr>
          <w:p>
            <w:pPr>
              <w:spacing w:line="240" w:lineRule="auto" w:before="0" w:after="0"/>
              <w:pStyle w:val="Compact"/>
            </w:pPr>
            <w:r>
              <w:rPr>
                <w:sz w:val="20"/>
                <w:szCs w:val="20"/>
              </w:rPr>
              <w:t xml:space="preserve">0.1333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3.5666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109.1284</w:t>
            </w:r>
          </w:p>
        </w:tc>
        <w:tc>
          <w:tcPr>
            <w:tcW w:w="0" w:type="auto"/>
          </w:tcPr>
          <w:p>
            <w:pPr>
              <w:spacing w:line="240" w:lineRule="auto" w:before="0" w:after="0"/>
              <w:pStyle w:val="Compact"/>
            </w:pPr>
            <w:r>
              <w:rPr>
                <w:sz w:val="20"/>
                <w:szCs w:val="20"/>
              </w:rPr>
              <w:t xml:space="preserve">0.6736</w:t>
            </w:r>
          </w:p>
        </w:tc>
        <w:tc>
          <w:tcPr>
            <w:tcW w:w="0" w:type="auto"/>
          </w:tcPr>
          <w:p>
            <w:pPr>
              <w:spacing w:line="240" w:lineRule="auto" w:before="0" w:after="0"/>
              <w:pStyle w:val="Compact"/>
            </w:pPr>
            <w:r>
              <w:rPr>
                <w:sz w:val="20"/>
                <w:szCs w:val="20"/>
              </w:rPr>
              <w:t xml:space="preserve">0.1049</w:t>
            </w:r>
          </w:p>
        </w:tc>
        <w:tc>
          <w:tcPr>
            <w:tcW w:w="0" w:type="auto"/>
          </w:tcPr>
          <w:p>
            <w:pPr>
              <w:spacing w:line="240" w:lineRule="auto" w:before="0" w:after="0"/>
              <w:pStyle w:val="Compact"/>
            </w:pPr>
            <w:r>
              <w:rPr>
                <w:sz w:val="20"/>
                <w:szCs w:val="20"/>
              </w:rPr>
              <w:t xml:space="preserve">0.0988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4.7016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583</w:t>
            </w:r>
          </w:p>
        </w:tc>
        <w:tc>
          <w:tcPr>
            <w:tcW w:w="0" w:type="auto"/>
          </w:tcPr>
          <w:p>
            <w:pPr>
              <w:spacing w:line="240" w:lineRule="auto" w:before="0" w:after="0"/>
              <w:pStyle w:val="Compact"/>
            </w:pPr>
            <w:r>
              <w:rPr>
                <w:sz w:val="20"/>
                <w:szCs w:val="20"/>
              </w:rPr>
              <w:t xml:space="preserve">522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186.019</w:t>
            </w:r>
          </w:p>
        </w:tc>
        <w:tc>
          <w:tcPr>
            <w:tcW w:w="0" w:type="auto"/>
          </w:tcPr>
          <w:p>
            <w:pPr>
              <w:spacing w:line="240" w:lineRule="auto" w:before="0" w:after="0"/>
              <w:pStyle w:val="Compact"/>
            </w:pPr>
            <w:r>
              <w:rPr>
                <w:sz w:val="20"/>
                <w:szCs w:val="20"/>
              </w:rPr>
              <w:t xml:space="preserve">0.3191</w:t>
            </w:r>
          </w:p>
        </w:tc>
        <w:tc>
          <w:tcPr>
            <w:tcW w:w="0" w:type="auto"/>
          </w:tcPr>
          <w:p>
            <w:pPr>
              <w:spacing w:line="240" w:lineRule="auto" w:before="0" w:after="0"/>
              <w:pStyle w:val="Compact"/>
            </w:pPr>
            <w:r>
              <w:rPr>
                <w:sz w:val="20"/>
                <w:szCs w:val="20"/>
              </w:rPr>
              <w:t xml:space="preserve">0.0463</w:t>
            </w:r>
          </w:p>
        </w:tc>
        <w:tc>
          <w:tcPr>
            <w:tcW w:w="0" w:type="auto"/>
          </w:tcPr>
          <w:p>
            <w:pPr>
              <w:spacing w:line="240" w:lineRule="auto" w:before="0" w:after="0"/>
              <w:pStyle w:val="Compact"/>
            </w:pPr>
            <w:r>
              <w:rPr>
                <w:sz w:val="20"/>
                <w:szCs w:val="20"/>
              </w:rPr>
              <w:t xml:space="preserve">0.0583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5.2312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1.8938</w:t>
            </w:r>
          </w:p>
        </w:tc>
        <w:tc>
          <w:tcPr>
            <w:tcW w:w="0" w:type="auto"/>
          </w:tcPr>
          <w:p>
            <w:pPr>
              <w:spacing w:line="240" w:lineRule="auto" w:before="0" w:after="0"/>
              <w:pStyle w:val="Compact"/>
            </w:pPr>
            <w:r>
              <w:rPr>
                <w:sz w:val="20"/>
                <w:szCs w:val="20"/>
              </w:rPr>
              <w:t xml:space="preserve">0.9469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43.3055</w:t>
            </w:r>
          </w:p>
        </w:tc>
        <w:tc>
          <w:tcPr>
            <w:tcW w:w="0" w:type="auto"/>
          </w:tcPr>
          <w:p>
            <w:pPr>
              <w:spacing w:line="240" w:lineRule="auto" w:before="0" w:after="0"/>
              <w:pStyle w:val="Compact"/>
            </w:pPr>
            <w:r>
              <w:rPr>
                <w:sz w:val="20"/>
                <w:szCs w:val="20"/>
              </w:rPr>
              <w:t xml:space="preserve">3.0933</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3.7911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25.384</w:t>
            </w:r>
          </w:p>
        </w:tc>
        <w:tc>
          <w:tcPr>
            <w:tcW w:w="0" w:type="auto"/>
          </w:tcPr>
          <w:p>
            <w:pPr>
              <w:spacing w:line="240" w:lineRule="auto" w:before="0" w:after="0"/>
              <w:pStyle w:val="Compact"/>
            </w:pPr>
            <w:r>
              <w:rPr>
                <w:sz w:val="20"/>
                <w:szCs w:val="20"/>
              </w:rPr>
              <w:t xml:space="preserve">0.3058</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0.0723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3.2728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181.1662</w:t>
            </w:r>
          </w:p>
        </w:tc>
        <w:tc>
          <w:tcPr>
            <w:tcW w:w="0" w:type="auto"/>
          </w:tcPr>
          <w:p>
            <w:pPr>
              <w:spacing w:line="240" w:lineRule="auto" w:before="0" w:after="0"/>
              <w:pStyle w:val="Compact"/>
            </w:pPr>
            <w:r>
              <w:rPr>
                <w:sz w:val="20"/>
                <w:szCs w:val="20"/>
              </w:rPr>
              <w:t xml:space="preserve">0.495</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5.2049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0.9836</w:t>
            </w:r>
          </w:p>
        </w:tc>
        <w:tc>
          <w:tcPr>
            <w:tcW w:w="0" w:type="auto"/>
          </w:tcPr>
          <w:p>
            <w:pPr>
              <w:spacing w:line="240" w:lineRule="auto" w:before="0" w:after="0"/>
              <w:pStyle w:val="Compact"/>
            </w:pPr>
            <w:r>
              <w:rPr>
                <w:sz w:val="20"/>
                <w:szCs w:val="20"/>
              </w:rPr>
              <w:t xml:space="preserve">0.9836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0.6849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48.3987</w:t>
            </w:r>
          </w:p>
        </w:tc>
        <w:tc>
          <w:tcPr>
            <w:tcW w:w="0" w:type="auto"/>
          </w:tcPr>
          <w:p>
            <w:pPr>
              <w:spacing w:line="240" w:lineRule="auto" w:before="0" w:after="0"/>
              <w:pStyle w:val="Compact"/>
            </w:pPr>
            <w:r>
              <w:rPr>
                <w:sz w:val="20"/>
                <w:szCs w:val="20"/>
              </w:rPr>
              <w:t xml:space="preserve">8.0664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3.8999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24.856</w:t>
            </w:r>
          </w:p>
        </w:tc>
        <w:tc>
          <w:tcPr>
            <w:tcW w:w="0" w:type="auto"/>
          </w:tcPr>
          <w:p>
            <w:pPr>
              <w:spacing w:line="240" w:lineRule="auto" w:before="0" w:after="0"/>
              <w:pStyle w:val="Compact"/>
            </w:pPr>
            <w:r>
              <w:rPr>
                <w:sz w:val="20"/>
                <w:szCs w:val="20"/>
              </w:rPr>
              <w:t xml:space="preserve">0.4075</w:t>
            </w:r>
          </w:p>
        </w:tc>
        <w:tc>
          <w:tcPr>
            <w:tcW w:w="0" w:type="auto"/>
          </w:tcPr>
          <w:p>
            <w:pPr>
              <w:spacing w:line="240" w:lineRule="auto" w:before="0" w:after="0"/>
              <w:pStyle w:val="Compact"/>
            </w:pPr>
            <w:r>
              <w:rPr>
                <w:sz w:val="20"/>
                <w:szCs w:val="20"/>
              </w:rPr>
              <w:t xml:space="preserve">0.0328</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3.2525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60.5642</w:t>
            </w:r>
          </w:p>
        </w:tc>
        <w:tc>
          <w:tcPr>
            <w:tcW w:w="0" w:type="auto"/>
          </w:tcPr>
          <w:p>
            <w:pPr>
              <w:spacing w:line="240" w:lineRule="auto" w:before="0" w:after="0"/>
              <w:pStyle w:val="Compact"/>
            </w:pPr>
            <w:r>
              <w:rPr>
                <w:sz w:val="20"/>
                <w:szCs w:val="20"/>
              </w:rPr>
              <w:t xml:space="preserve">0.1835</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4.1201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0.5021</w:t>
            </w:r>
          </w:p>
        </w:tc>
        <w:tc>
          <w:tcPr>
            <w:tcW w:w="0" w:type="auto"/>
          </w:tcPr>
          <w:p>
            <w:pPr>
              <w:spacing w:line="240" w:lineRule="auto" w:before="0" w:after="0"/>
              <w:pStyle w:val="Compact"/>
            </w:pPr>
            <w:r>
              <w:rPr>
                <w:sz w:val="20"/>
                <w:szCs w:val="20"/>
              </w:rPr>
              <w:t xml:space="preserve">0.251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0.4069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9.5634</w:t>
            </w:r>
          </w:p>
        </w:tc>
        <w:tc>
          <w:tcPr>
            <w:tcW w:w="0" w:type="auto"/>
          </w:tcPr>
          <w:p>
            <w:pPr>
              <w:spacing w:line="240" w:lineRule="auto" w:before="0" w:after="0"/>
              <w:pStyle w:val="Compact"/>
            </w:pPr>
            <w:r>
              <w:rPr>
                <w:sz w:val="20"/>
                <w:szCs w:val="20"/>
              </w:rPr>
              <w:t xml:space="preserve">1.5939</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2.3574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59.8045</w:t>
            </w:r>
          </w:p>
        </w:tc>
        <w:tc>
          <w:tcPr>
            <w:tcW w:w="0" w:type="auto"/>
          </w:tcPr>
          <w:p>
            <w:pPr>
              <w:spacing w:line="240" w:lineRule="auto" w:before="0" w:after="0"/>
              <w:pStyle w:val="Compact"/>
            </w:pPr>
            <w:r>
              <w:rPr>
                <w:sz w:val="20"/>
                <w:szCs w:val="20"/>
              </w:rPr>
              <w:t xml:space="preserve">0.9646</w:t>
            </w:r>
          </w:p>
        </w:tc>
        <w:tc>
          <w:tcPr>
            <w:tcW w:w="0" w:type="auto"/>
          </w:tcPr>
          <w:p>
            <w:pPr>
              <w:spacing w:line="240" w:lineRule="auto" w:before="0" w:after="0"/>
              <w:pStyle w:val="Compact"/>
            </w:pPr>
            <w:r>
              <w:rPr>
                <w:sz w:val="20"/>
                <w:szCs w:val="20"/>
              </w:rPr>
              <w:t xml:space="preserve">0.0484</w:t>
            </w:r>
          </w:p>
        </w:tc>
        <w:tc>
          <w:tcPr>
            <w:tcW w:w="0" w:type="auto"/>
          </w:tcPr>
          <w:p>
            <w:pPr>
              <w:spacing w:line="240" w:lineRule="auto" w:before="0" w:after="0"/>
              <w:pStyle w:val="Compact"/>
            </w:pPr>
            <w:r>
              <w:rPr>
                <w:sz w:val="20"/>
                <w:szCs w:val="20"/>
              </w:rPr>
              <w:t xml:space="preserve">0.1935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4.1077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123.3798</w:t>
            </w:r>
          </w:p>
        </w:tc>
        <w:tc>
          <w:tcPr>
            <w:tcW w:w="0" w:type="auto"/>
          </w:tcPr>
          <w:p>
            <w:pPr>
              <w:spacing w:line="240" w:lineRule="auto" w:before="0" w:after="0"/>
              <w:pStyle w:val="Compact"/>
            </w:pPr>
            <w:r>
              <w:rPr>
                <w:sz w:val="20"/>
                <w:szCs w:val="20"/>
              </w:rPr>
              <w:t xml:space="preserve">0.5119</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0.1411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4.8233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29.3528</w:t>
            </w:r>
          </w:p>
        </w:tc>
        <w:tc>
          <w:tcPr>
            <w:tcW w:w="0" w:type="auto"/>
          </w:tcPr>
          <w:p>
            <w:pPr>
              <w:spacing w:line="240" w:lineRule="auto" w:before="0" w:after="0"/>
              <w:pStyle w:val="Compact"/>
            </w:pPr>
            <w:r>
              <w:rPr>
                <w:sz w:val="20"/>
                <w:szCs w:val="20"/>
              </w:rPr>
              <w:t xml:space="preserve">4.1933</w:t>
            </w:r>
          </w:p>
        </w:tc>
        <w:tc>
          <w:tcPr>
            <w:tcW w:w="0" w:type="auto"/>
          </w:tcPr>
          <w:p>
            <w:pPr>
              <w:spacing w:line="240" w:lineRule="auto" w:before="0" w:after="0"/>
              <w:pStyle w:val="Compact"/>
            </w:pPr>
            <w:r>
              <w:rPr>
                <w:sz w:val="20"/>
                <w:szCs w:val="20"/>
              </w:rPr>
              <w:t xml:space="preserve">0.4286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3.4129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37.5558</w:t>
            </w:r>
          </w:p>
        </w:tc>
        <w:tc>
          <w:tcPr>
            <w:tcW w:w="0" w:type="auto"/>
          </w:tcPr>
          <w:p>
            <w:pPr>
              <w:spacing w:line="240" w:lineRule="auto" w:before="0" w:after="0"/>
              <w:pStyle w:val="Compact"/>
            </w:pPr>
            <w:r>
              <w:rPr>
                <w:sz w:val="20"/>
                <w:szCs w:val="20"/>
              </w:rPr>
              <w:t xml:space="preserve">0.4471</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0.2143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3.6521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279</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459</w:t>
            </w:r>
          </w:p>
        </w:tc>
        <w:tc>
          <w:tcPr>
            <w:tcW w:w="0" w:type="auto"/>
          </w:tcPr>
          <w:p>
            <w:pPr>
              <w:spacing w:line="240" w:lineRule="auto" w:before="0" w:after="0"/>
              <w:pStyle w:val="Compact"/>
            </w:pPr>
            <w:r>
              <w:rPr>
                <w:sz w:val="20"/>
                <w:szCs w:val="20"/>
              </w:rPr>
              <w:t xml:space="preserve">619.6053</w:t>
            </w:r>
          </w:p>
        </w:tc>
        <w:tc>
          <w:tcPr>
            <w:tcW w:w="0" w:type="auto"/>
          </w:tcPr>
          <w:p>
            <w:pPr>
              <w:spacing w:line="240" w:lineRule="auto" w:before="0" w:after="0"/>
              <w:pStyle w:val="Compact"/>
            </w:pPr>
            <w:r>
              <w:rPr>
                <w:sz w:val="20"/>
                <w:szCs w:val="20"/>
              </w:rPr>
              <w:t xml:space="preserve">0.7933</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0.5877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6.4307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19.3303</w:t>
            </w:r>
          </w:p>
        </w:tc>
        <w:tc>
          <w:tcPr>
            <w:tcW w:w="0" w:type="auto"/>
          </w:tcPr>
          <w:p>
            <w:pPr>
              <w:spacing w:line="240" w:lineRule="auto" w:before="0" w:after="0"/>
              <w:pStyle w:val="Compact"/>
            </w:pPr>
            <w:r>
              <w:rPr>
                <w:sz w:val="20"/>
                <w:szCs w:val="20"/>
              </w:rPr>
              <w:t xml:space="preserve">6.4434</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3.0121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57.1189</w:t>
            </w:r>
          </w:p>
        </w:tc>
        <w:tc>
          <w:tcPr>
            <w:tcW w:w="0" w:type="auto"/>
          </w:tcPr>
          <w:p>
            <w:pPr>
              <w:spacing w:line="240" w:lineRule="auto" w:before="0" w:after="0"/>
              <w:pStyle w:val="Compact"/>
            </w:pPr>
            <w:r>
              <w:rPr>
                <w:sz w:val="20"/>
                <w:szCs w:val="20"/>
              </w:rPr>
              <w:t xml:space="preserve">0.7719</w:t>
            </w:r>
          </w:p>
        </w:tc>
        <w:tc>
          <w:tcPr>
            <w:tcW w:w="0" w:type="auto"/>
          </w:tcPr>
          <w:p>
            <w:pPr>
              <w:spacing w:line="240" w:lineRule="auto" w:before="0" w:after="0"/>
              <w:pStyle w:val="Compact"/>
            </w:pPr>
            <w:r>
              <w:rPr>
                <w:sz w:val="20"/>
                <w:szCs w:val="20"/>
              </w:rPr>
              <w:t xml:space="preserve">0.0811</w:t>
            </w:r>
          </w:p>
        </w:tc>
        <w:tc>
          <w:tcPr>
            <w:tcW w:w="0" w:type="auto"/>
          </w:tcPr>
          <w:p>
            <w:pPr>
              <w:spacing w:line="240" w:lineRule="auto" w:before="0" w:after="0"/>
              <w:pStyle w:val="Compact"/>
            </w:pPr>
            <w:r>
              <w:rPr>
                <w:sz w:val="20"/>
                <w:szCs w:val="20"/>
              </w:rPr>
              <w:t xml:space="preserve">0.2027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4.0625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470.8272</w:t>
            </w:r>
          </w:p>
        </w:tc>
        <w:tc>
          <w:tcPr>
            <w:tcW w:w="0" w:type="auto"/>
          </w:tcPr>
          <w:p>
            <w:pPr>
              <w:spacing w:line="240" w:lineRule="auto" w:before="0" w:after="0"/>
              <w:pStyle w:val="Compact"/>
            </w:pPr>
            <w:r>
              <w:rPr>
                <w:sz w:val="20"/>
                <w:szCs w:val="20"/>
              </w:rPr>
              <w:t xml:space="preserve">1.1456</w:t>
            </w:r>
          </w:p>
        </w:tc>
        <w:tc>
          <w:tcPr>
            <w:tcW w:w="0" w:type="auto"/>
          </w:tcPr>
          <w:p>
            <w:pPr>
              <w:spacing w:line="240" w:lineRule="auto" w:before="0" w:after="0"/>
              <w:pStyle w:val="Compact"/>
            </w:pPr>
            <w:r>
              <w:rPr>
                <w:sz w:val="20"/>
                <w:szCs w:val="20"/>
              </w:rPr>
              <w:t xml:space="preserve">0.1387</w:t>
            </w:r>
          </w:p>
        </w:tc>
        <w:tc>
          <w:tcPr>
            <w:tcW w:w="0" w:type="auto"/>
          </w:tcPr>
          <w:p>
            <w:pPr>
              <w:spacing w:line="240" w:lineRule="auto" w:before="0" w:after="0"/>
              <w:pStyle w:val="Compact"/>
            </w:pPr>
            <w:r>
              <w:rPr>
                <w:sz w:val="20"/>
                <w:szCs w:val="20"/>
              </w:rPr>
              <w:t xml:space="preserve">0.1314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6.1566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0.0109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10.4265</w:t>
            </w:r>
          </w:p>
        </w:tc>
        <w:tc>
          <w:tcPr>
            <w:tcW w:w="0" w:type="auto"/>
          </w:tcPr>
          <w:p>
            <w:pPr>
              <w:spacing w:line="240" w:lineRule="auto" w:before="0" w:after="0"/>
              <w:pStyle w:val="Compact"/>
            </w:pPr>
            <w:r>
              <w:rPr>
                <w:sz w:val="20"/>
                <w:szCs w:val="20"/>
              </w:rPr>
              <w:t xml:space="preserve">2.6066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2.4359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72.5744</w:t>
            </w:r>
          </w:p>
        </w:tc>
        <w:tc>
          <w:tcPr>
            <w:tcW w:w="0" w:type="auto"/>
          </w:tcPr>
          <w:p>
            <w:pPr>
              <w:spacing w:line="240" w:lineRule="auto" w:before="0" w:after="0"/>
              <w:pStyle w:val="Compact"/>
            </w:pPr>
            <w:r>
              <w:rPr>
                <w:sz w:val="20"/>
                <w:szCs w:val="20"/>
              </w:rPr>
              <w:t xml:space="preserve">1.6128</w:t>
            </w:r>
          </w:p>
        </w:tc>
        <w:tc>
          <w:tcPr>
            <w:tcW w:w="0" w:type="auto"/>
          </w:tcPr>
          <w:p>
            <w:pPr>
              <w:spacing w:line="240" w:lineRule="auto" w:before="0" w:after="0"/>
              <w:pStyle w:val="Compact"/>
            </w:pPr>
            <w:r>
              <w:rPr>
                <w:sz w:val="20"/>
                <w:szCs w:val="20"/>
              </w:rPr>
              <w:t xml:space="preserve">0.0444</w:t>
            </w:r>
          </w:p>
        </w:tc>
        <w:tc>
          <w:tcPr>
            <w:tcW w:w="0" w:type="auto"/>
          </w:tcPr>
          <w:p>
            <w:pPr>
              <w:spacing w:line="240" w:lineRule="auto" w:before="0" w:after="0"/>
              <w:pStyle w:val="Compact"/>
            </w:pPr>
            <w:r>
              <w:rPr>
                <w:sz w:val="20"/>
                <w:szCs w:val="20"/>
              </w:rPr>
              <w:t xml:space="preserve">0.3111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4.2983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54.5505</w:t>
            </w:r>
          </w:p>
        </w:tc>
        <w:tc>
          <w:tcPr>
            <w:tcW w:w="0" w:type="auto"/>
          </w:tcPr>
          <w:p>
            <w:pPr>
              <w:spacing w:line="240" w:lineRule="auto" w:before="0" w:after="0"/>
              <w:pStyle w:val="Compact"/>
            </w:pPr>
            <w:r>
              <w:rPr>
                <w:sz w:val="20"/>
                <w:szCs w:val="20"/>
              </w:rPr>
              <w:t xml:space="preserve">0.3711</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4.0173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10.2978</w:t>
            </w:r>
          </w:p>
        </w:tc>
        <w:tc>
          <w:tcPr>
            <w:tcW w:w="0" w:type="auto"/>
          </w:tcPr>
          <w:p>
            <w:pPr>
              <w:spacing w:line="240" w:lineRule="auto" w:before="0" w:after="0"/>
              <w:pStyle w:val="Compact"/>
            </w:pPr>
            <w:r>
              <w:rPr>
                <w:sz w:val="20"/>
                <w:szCs w:val="20"/>
              </w:rPr>
              <w:t xml:space="preserve">3.4326</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2.4246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18.6116</w:t>
            </w:r>
          </w:p>
        </w:tc>
        <w:tc>
          <w:tcPr>
            <w:tcW w:w="0" w:type="auto"/>
          </w:tcPr>
          <w:p>
            <w:pPr>
              <w:spacing w:line="240" w:lineRule="auto" w:before="0" w:after="0"/>
              <w:pStyle w:val="Compact"/>
            </w:pPr>
            <w:r>
              <w:rPr>
                <w:sz w:val="20"/>
                <w:szCs w:val="20"/>
              </w:rPr>
              <w:t xml:space="preserve">0.3649</w:t>
            </w:r>
          </w:p>
        </w:tc>
        <w:tc>
          <w:tcPr>
            <w:tcW w:w="0" w:type="auto"/>
          </w:tcPr>
          <w:p>
            <w:pPr>
              <w:spacing w:line="240" w:lineRule="auto" w:before="0" w:after="0"/>
              <w:pStyle w:val="Compact"/>
            </w:pPr>
            <w:r>
              <w:rPr>
                <w:sz w:val="20"/>
                <w:szCs w:val="20"/>
              </w:rPr>
              <w:t xml:space="preserve">0.0196</w:t>
            </w:r>
          </w:p>
        </w:tc>
        <w:tc>
          <w:tcPr>
            <w:tcW w:w="0" w:type="auto"/>
          </w:tcPr>
          <w:p>
            <w:pPr>
              <w:spacing w:line="240" w:lineRule="auto" w:before="0" w:after="0"/>
              <w:pStyle w:val="Compact"/>
            </w:pPr>
            <w:r>
              <w:rPr>
                <w:sz w:val="20"/>
                <w:szCs w:val="20"/>
              </w:rPr>
              <w:t xml:space="preserve">0.1765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2.9761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9.7103</w:t>
            </w:r>
          </w:p>
        </w:tc>
        <w:tc>
          <w:tcPr>
            <w:tcW w:w="0" w:type="auto"/>
          </w:tcPr>
          <w:p>
            <w:pPr>
              <w:spacing w:line="240" w:lineRule="auto" w:before="0" w:after="0"/>
              <w:pStyle w:val="Compact"/>
            </w:pPr>
            <w:r>
              <w:rPr>
                <w:sz w:val="20"/>
                <w:szCs w:val="20"/>
              </w:rPr>
              <w:t xml:space="preserve">0.2943</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2.3712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9.992</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0.2941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2.3897</w:t>
            </w:r>
          </w:p>
        </w:tc>
        <w:tc>
          <w:tcPr>
            <w:tcW w:w="0" w:type="auto"/>
          </w:tcPr>
          <w:p>
            <w:pPr>
              <w:spacing w:line="240" w:lineRule="auto" w:before="0" w:after="0"/>
              <w:pStyle w:val="Compact"/>
            </w:pPr>
            <w:r>
              <w:rPr>
                <w:sz w:val="20"/>
                <w:szCs w:val="20"/>
              </w:rPr>
              <w:t xml:space="preserve">0.1138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1.2207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15.09</w:t>
            </w:r>
          </w:p>
        </w:tc>
        <w:tc>
          <w:tcPr>
            <w:tcW w:w="0" w:type="auto"/>
          </w:tcPr>
          <w:p>
            <w:pPr>
              <w:spacing w:line="240" w:lineRule="auto" w:before="0" w:after="0"/>
              <w:pStyle w:val="Compact"/>
            </w:pPr>
            <w:r>
              <w:rPr>
                <w:sz w:val="20"/>
                <w:szCs w:val="20"/>
              </w:rPr>
              <w:t xml:space="preserve">0.5804</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0.1923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2.7782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1.507</w:t>
            </w:r>
          </w:p>
        </w:tc>
        <w:tc>
          <w:tcPr>
            <w:tcW w:w="0" w:type="auto"/>
          </w:tcPr>
          <w:p>
            <w:pPr>
              <w:spacing w:line="240" w:lineRule="auto" w:before="0" w:after="0"/>
              <w:pStyle w:val="Compact"/>
            </w:pPr>
            <w:r>
              <w:rPr>
                <w:sz w:val="20"/>
                <w:szCs w:val="20"/>
              </w:rPr>
              <w:t xml:space="preserve">0.1076</w:t>
            </w:r>
          </w:p>
        </w:tc>
        <w:tc>
          <w:tcPr>
            <w:tcW w:w="0" w:type="auto"/>
          </w:tcPr>
          <w:p>
            <w:pPr>
              <w:spacing w:line="240" w:lineRule="auto" w:before="0" w:after="0"/>
              <w:pStyle w:val="Compact"/>
            </w:pPr>
            <w:r>
              <w:rPr>
                <w:sz w:val="20"/>
                <w:szCs w:val="20"/>
              </w:rPr>
              <w:t xml:space="preserve">0.0714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log_derelict_risk_plus_one</w:t>
            </w:r>
          </w:p>
        </w:tc>
        <w:tc>
          <w:tcPr>
            <w:tcW w:w="0" w:type="auto"/>
          </w:tcPr>
          <w:p>
            <w:pPr>
              <w:spacing w:line="240" w:lineRule="auto" w:before="0" w:after="0"/>
              <w:pStyle w:val="Compact"/>
            </w:pPr>
            <w:r>
              <w:rPr>
                <w:sz w:val="20"/>
                <w:szCs w:val="20"/>
              </w:rPr>
              <w:t xml:space="preserve">Natural log of one plus summed RCS proxy for derelict-like objects in the shell and inclination bin</w:t>
            </w:r>
          </w:p>
        </w:tc>
        <w:tc>
          <w:tcPr>
            <w:tcW w:w="0" w:type="auto"/>
          </w:tcPr>
          <w:p>
            <w:pPr>
              <w:spacing w:line="240" w:lineRule="auto" w:before="0" w:after="0"/>
              <w:pStyle w:val="Compact"/>
            </w:pPr>
            <w:r>
              <w:rPr>
                <w:sz w:val="20"/>
                <w:szCs w:val="20"/>
              </w:rPr>
              <w:t xml:space="preserve">Computed from CelesTrak SATCAT rows with ORBIT_CENTER EA, blank DECAY_DATE, mean altitude 200 to 2000 km, and derelict proxy classification</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Altitude-shell midpoint in kilometers</w:t>
            </w:r>
          </w:p>
        </w:tc>
        <w:tc>
          <w:tcPr>
            <w:tcW w:w="0" w:type="auto"/>
          </w:tcPr>
          <w:p>
            <w:pPr>
              <w:spacing w:line="240" w:lineRule="auto" w:before="0" w:after="0"/>
              <w:pStyle w:val="Compact"/>
            </w:pPr>
            <w:r>
              <w:rPr>
                <w:sz w:val="20"/>
                <w:szCs w:val="20"/>
              </w:rPr>
              <w:t xml:space="preserve">Mean of 100 km shell bounds from 200 to 2000 km</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70 to 110 degree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is_critical_700_1000</w:t>
            </w:r>
          </w:p>
        </w:tc>
        <w:tc>
          <w:tcPr>
            <w:tcW w:w="0" w:type="auto"/>
          </w:tcPr>
          <w:p>
            <w:pPr>
              <w:spacing w:line="240" w:lineRule="auto" w:before="0" w:after="0"/>
              <w:pStyle w:val="Compact"/>
            </w:pPr>
            <w:r>
              <w:rPr>
                <w:sz w:val="20"/>
                <w:szCs w:val="20"/>
              </w:rPr>
              <w:t xml:space="preserve">Indicator for shell midpoint from 700 km to less than 1000 km</w:t>
            </w:r>
          </w:p>
        </w:tc>
        <w:tc>
          <w:tcPr>
            <w:tcW w:w="0" w:type="auto"/>
          </w:tcPr>
          <w:p>
            <w:pPr>
              <w:spacing w:line="240" w:lineRule="auto" w:before="0" w:after="0"/>
              <w:pStyle w:val="Compact"/>
            </w:pPr>
            <w:r>
              <w:rPr>
                <w:sz w:val="20"/>
                <w:szCs w:val="20"/>
              </w:rPr>
              <w:t xml:space="preserve">Traffic and debris persistence band used as a remediation concern proxy</w:t>
            </w:r>
          </w:p>
        </w:tc>
      </w:tr>
      <w:tr>
        <w:tc>
          <w:tcPr>
            <w:tcW w:w="0" w:type="auto"/>
          </w:tcPr>
          <w:p>
            <w:pPr>
              <w:spacing w:line="240" w:lineRule="auto" w:before="0" w:after="0"/>
              <w:pStyle w:val="Compact"/>
            </w:pPr>
            <w:r>
              <w:rPr>
                <w:sz w:val="20"/>
                <w:szCs w:val="20"/>
              </w:rPr>
              <w:t xml:space="preserve">rocket_body_share</w:t>
            </w:r>
          </w:p>
        </w:tc>
        <w:tc>
          <w:tcPr>
            <w:tcW w:w="0" w:type="auto"/>
          </w:tcPr>
          <w:p>
            <w:pPr>
              <w:spacing w:line="240" w:lineRule="auto" w:before="0" w:after="0"/>
              <w:pStyle w:val="Compact"/>
            </w:pPr>
            <w:r>
              <w:rPr>
                <w:sz w:val="20"/>
                <w:szCs w:val="20"/>
              </w:rPr>
              <w:t xml:space="preserve">Share of derelict-like objects classified as rocket bodies</w:t>
            </w:r>
          </w:p>
        </w:tc>
        <w:tc>
          <w:tcPr>
            <w:tcW w:w="0" w:type="auto"/>
          </w:tcPr>
          <w:p>
            <w:pPr>
              <w:spacing w:line="240" w:lineRule="auto" w:before="0" w:after="0"/>
              <w:pStyle w:val="Compact"/>
            </w:pPr>
            <w:r>
              <w:rPr>
                <w:sz w:val="20"/>
                <w:szCs w:val="20"/>
              </w:rPr>
              <w:t xml:space="preserve">OBJECT_TYPE R/B divided by derelict_count</w:t>
            </w:r>
          </w:p>
        </w:tc>
      </w:tr>
      <w:tr>
        <w:tc>
          <w:tcPr>
            <w:tcW w:w="0" w:type="auto"/>
          </w:tcPr>
          <w:p>
            <w:pPr>
              <w:spacing w:line="240" w:lineRule="auto" w:before="0" w:after="0"/>
              <w:pStyle w:val="Compact"/>
            </w:pPr>
            <w:r>
              <w:rPr>
                <w:sz w:val="20"/>
                <w:szCs w:val="20"/>
              </w:rPr>
              <w:t xml:space="preserve">inactive_payload_share</w:t>
            </w:r>
          </w:p>
        </w:tc>
        <w:tc>
          <w:tcPr>
            <w:tcW w:w="0" w:type="auto"/>
          </w:tcPr>
          <w:p>
            <w:pPr>
              <w:spacing w:line="240" w:lineRule="auto" w:before="0" w:after="0"/>
              <w:pStyle w:val="Compact"/>
            </w:pPr>
            <w:r>
              <w:rPr>
                <w:sz w:val="20"/>
                <w:szCs w:val="20"/>
              </w:rPr>
              <w:t xml:space="preserve">Share of derelict-like objects classified as inactive payloads</w:t>
            </w:r>
          </w:p>
        </w:tc>
        <w:tc>
          <w:tcPr>
            <w:tcW w:w="0" w:type="auto"/>
          </w:tcPr>
          <w:p>
            <w:pPr>
              <w:spacing w:line="240" w:lineRule="auto" w:before="0" w:after="0"/>
              <w:pStyle w:val="Compact"/>
            </w:pPr>
            <w:r>
              <w:rPr>
                <w:sz w:val="20"/>
                <w:szCs w:val="20"/>
              </w:rPr>
              <w:t xml:space="preserve">OBJECT_TYPE PAY without active operational status divided by derelict_count</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1.3346</w:t>
            </w:r>
          </w:p>
        </w:tc>
        <w:tc>
          <w:tcPr>
            <w:tcW w:w="0" w:type="auto"/>
          </w:tcPr>
          <w:p>
            <w:pPr>
              <w:spacing w:line="240" w:lineRule="auto" w:before="0" w:after="0"/>
              <w:pStyle w:val="Compact"/>
            </w:pPr>
            <w:r>
              <w:rPr>
                <w:sz w:val="20"/>
                <w:szCs w:val="20"/>
              </w:rPr>
              <w:t xml:space="preserve">0.7824</w:t>
            </w:r>
          </w:p>
        </w:tc>
        <w:tc>
          <w:tcPr>
            <w:tcW w:w="0" w:type="auto"/>
          </w:tcPr>
          <w:p>
            <w:pPr>
              <w:spacing w:line="240" w:lineRule="auto" w:before="0" w:after="0"/>
              <w:pStyle w:val="Compact"/>
            </w:pPr>
            <w:r>
              <w:rPr>
                <w:sz w:val="20"/>
                <w:szCs w:val="20"/>
              </w:rPr>
              <w:t xml:space="preserve">1.7059</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[-0.1987, 2.868]</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0.0001738</w:t>
            </w:r>
          </w:p>
        </w:tc>
        <w:tc>
          <w:tcPr>
            <w:tcW w:w="0" w:type="auto"/>
          </w:tcPr>
          <w:p>
            <w:pPr>
              <w:spacing w:line="240" w:lineRule="auto" w:before="0" w:after="0"/>
              <w:pStyle w:val="Compact"/>
            </w:pPr>
            <w:r>
              <w:rPr>
                <w:sz w:val="20"/>
                <w:szCs w:val="20"/>
              </w:rPr>
              <w:t xml:space="preserve">0.0004889</w:t>
            </w:r>
          </w:p>
        </w:tc>
        <w:tc>
          <w:tcPr>
            <w:tcW w:w="0" w:type="auto"/>
          </w:tcPr>
          <w:p>
            <w:pPr>
              <w:spacing w:line="240" w:lineRule="auto" w:before="0" w:after="0"/>
              <w:pStyle w:val="Compact"/>
            </w:pPr>
            <w:r>
              <w:rPr>
                <w:sz w:val="20"/>
                <w:szCs w:val="20"/>
              </w:rPr>
              <w:t xml:space="preserve">0.3555</w:t>
            </w:r>
          </w:p>
        </w:tc>
        <w:tc>
          <w:tcPr>
            <w:tcW w:w="0" w:type="auto"/>
          </w:tcPr>
          <w:p>
            <w:pPr>
              <w:spacing w:line="240" w:lineRule="auto" w:before="0" w:after="0"/>
              <w:pStyle w:val="Compact"/>
            </w:pPr>
            <w:r>
              <w:rPr>
                <w:sz w:val="20"/>
                <w:szCs w:val="20"/>
              </w:rPr>
              <w:t xml:space="preserve">0.7222</w:t>
            </w:r>
          </w:p>
        </w:tc>
        <w:tc>
          <w:tcPr>
            <w:tcW w:w="0" w:type="auto"/>
          </w:tcPr>
          <w:p>
            <w:pPr>
              <w:spacing w:line="240" w:lineRule="auto" w:before="0" w:after="0"/>
              <w:pStyle w:val="Compact"/>
            </w:pPr>
            <w:r>
              <w:rPr>
                <w:sz w:val="20"/>
                <w:szCs w:val="20"/>
              </w:rPr>
              <w:t xml:space="preserve">[-0.0007844, 0.0011]</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2.613</w:t>
            </w:r>
          </w:p>
        </w:tc>
        <w:tc>
          <w:tcPr>
            <w:tcW w:w="0" w:type="auto"/>
          </w:tcPr>
          <w:p>
            <w:pPr>
              <w:spacing w:line="240" w:lineRule="auto" w:before="0" w:after="0"/>
              <w:pStyle w:val="Compact"/>
            </w:pPr>
            <w:r>
              <w:rPr>
                <w:sz w:val="20"/>
                <w:szCs w:val="20"/>
              </w:rPr>
              <w:t xml:space="preserve">0.547</w:t>
            </w:r>
          </w:p>
        </w:tc>
        <w:tc>
          <w:tcPr>
            <w:tcW w:w="0" w:type="auto"/>
          </w:tcPr>
          <w:p>
            <w:pPr>
              <w:spacing w:line="240" w:lineRule="auto" w:before="0" w:after="0"/>
              <w:pStyle w:val="Compact"/>
            </w:pPr>
            <w:r>
              <w:rPr>
                <w:sz w:val="20"/>
                <w:szCs w:val="20"/>
              </w:rPr>
              <w:t xml:space="preserve">4.777</w:t>
            </w:r>
          </w:p>
        </w:tc>
        <w:tc>
          <w:tcPr>
            <w:tcW w:w="0" w:type="auto"/>
          </w:tcPr>
          <w:p>
            <w:pPr>
              <w:spacing w:line="240" w:lineRule="auto" w:before="0" w:after="0"/>
              <w:pStyle w:val="Compact"/>
            </w:pPr>
            <w:r>
              <w:rPr>
                <w:sz w:val="20"/>
                <w:szCs w:val="20"/>
              </w:rPr>
              <w:t xml:space="preserve">1.779e-06</w:t>
            </w:r>
          </w:p>
        </w:tc>
        <w:tc>
          <w:tcPr>
            <w:tcW w:w="0" w:type="auto"/>
          </w:tcPr>
          <w:p>
            <w:pPr>
              <w:spacing w:line="240" w:lineRule="auto" w:before="0" w:after="0"/>
              <w:pStyle w:val="Compact"/>
            </w:pPr>
            <w:r>
              <w:rPr>
                <w:sz w:val="20"/>
                <w:szCs w:val="20"/>
              </w:rPr>
              <w:t xml:space="preserve">[1.5409, 3.6852]</w:t>
            </w:r>
          </w:p>
        </w:tc>
      </w:tr>
      <w:tr>
        <w:tc>
          <w:tcPr>
            <w:tcW w:w="0" w:type="auto"/>
          </w:tcPr>
          <w:p>
            <w:pPr>
              <w:spacing w:line="240" w:lineRule="auto" w:before="0" w:after="0"/>
              <w:pStyle w:val="Compact"/>
            </w:pPr>
            <w:r>
              <w:rPr>
                <w:sz w:val="20"/>
                <w:szCs w:val="20"/>
              </w:rPr>
              <w:t xml:space="preserve">is_critical_700_1000</w:t>
            </w:r>
          </w:p>
        </w:tc>
        <w:tc>
          <w:tcPr>
            <w:tcW w:w="0" w:type="auto"/>
          </w:tcPr>
          <w:p>
            <w:pPr>
              <w:spacing w:line="240" w:lineRule="auto" w:before="0" w:after="0"/>
              <w:pStyle w:val="Compact"/>
            </w:pPr>
            <w:r>
              <w:rPr>
                <w:sz w:val="20"/>
                <w:szCs w:val="20"/>
              </w:rPr>
              <w:t xml:space="preserve">1.5384</w:t>
            </w:r>
          </w:p>
        </w:tc>
        <w:tc>
          <w:tcPr>
            <w:tcW w:w="0" w:type="auto"/>
          </w:tcPr>
          <w:p>
            <w:pPr>
              <w:spacing w:line="240" w:lineRule="auto" w:before="0" w:after="0"/>
              <w:pStyle w:val="Compact"/>
            </w:pPr>
            <w:r>
              <w:rPr>
                <w:sz w:val="20"/>
                <w:szCs w:val="20"/>
              </w:rPr>
              <w:t xml:space="preserve">0.5301</w:t>
            </w:r>
          </w:p>
        </w:tc>
        <w:tc>
          <w:tcPr>
            <w:tcW w:w="0" w:type="auto"/>
          </w:tcPr>
          <w:p>
            <w:pPr>
              <w:spacing w:line="240" w:lineRule="auto" w:before="0" w:after="0"/>
              <w:pStyle w:val="Compact"/>
            </w:pPr>
            <w:r>
              <w:rPr>
                <w:sz w:val="20"/>
                <w:szCs w:val="20"/>
              </w:rPr>
              <w:t xml:space="preserve">2.902</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[0.4994, 2.5773]</w:t>
            </w:r>
          </w:p>
        </w:tc>
      </w:tr>
      <w:tr>
        <w:tc>
          <w:tcPr>
            <w:tcW w:w="0" w:type="auto"/>
          </w:tcPr>
          <w:p>
            <w:pPr>
              <w:spacing w:line="240" w:lineRule="auto" w:before="0" w:after="0"/>
              <w:pStyle w:val="Compact"/>
            </w:pPr>
            <w:r>
              <w:rPr>
                <w:sz w:val="20"/>
                <w:szCs w:val="20"/>
              </w:rPr>
              <w:t xml:space="preserve">rocket_body_share</w:t>
            </w:r>
          </w:p>
        </w:tc>
        <w:tc>
          <w:tcPr>
            <w:tcW w:w="0" w:type="auto"/>
          </w:tcPr>
          <w:p>
            <w:pPr>
              <w:spacing w:line="240" w:lineRule="auto" w:before="0" w:after="0"/>
              <w:pStyle w:val="Compact"/>
            </w:pPr>
            <w:r>
              <w:rPr>
                <w:sz w:val="20"/>
                <w:szCs w:val="20"/>
              </w:rPr>
              <w:t xml:space="preserve">0.3155</w:t>
            </w:r>
          </w:p>
        </w:tc>
        <w:tc>
          <w:tcPr>
            <w:tcW w:w="0" w:type="auto"/>
          </w:tcPr>
          <w:p>
            <w:pPr>
              <w:spacing w:line="240" w:lineRule="auto" w:before="0" w:after="0"/>
              <w:pStyle w:val="Compact"/>
            </w:pPr>
            <w:r>
              <w:rPr>
                <w:sz w:val="20"/>
                <w:szCs w:val="20"/>
              </w:rPr>
              <w:t xml:space="preserve">0.8132</w:t>
            </w:r>
          </w:p>
        </w:tc>
        <w:tc>
          <w:tcPr>
            <w:tcW w:w="0" w:type="auto"/>
          </w:tcPr>
          <w:p>
            <w:pPr>
              <w:spacing w:line="240" w:lineRule="auto" w:before="0" w:after="0"/>
              <w:pStyle w:val="Compact"/>
            </w:pPr>
            <w:r>
              <w:rPr>
                <w:sz w:val="20"/>
                <w:szCs w:val="20"/>
              </w:rPr>
              <w:t xml:space="preserve">0.3879</w:t>
            </w:r>
          </w:p>
        </w:tc>
        <w:tc>
          <w:tcPr>
            <w:tcW w:w="0" w:type="auto"/>
          </w:tcPr>
          <w:p>
            <w:pPr>
              <w:spacing w:line="240" w:lineRule="auto" w:before="0" w:after="0"/>
              <w:pStyle w:val="Compact"/>
            </w:pPr>
            <w:r>
              <w:rPr>
                <w:sz w:val="20"/>
                <w:szCs w:val="20"/>
              </w:rPr>
              <w:t xml:space="preserve">0.6981</w:t>
            </w:r>
          </w:p>
        </w:tc>
        <w:tc>
          <w:tcPr>
            <w:tcW w:w="0" w:type="auto"/>
          </w:tcPr>
          <w:p>
            <w:pPr>
              <w:spacing w:line="240" w:lineRule="auto" w:before="0" w:after="0"/>
              <w:pStyle w:val="Compact"/>
            </w:pPr>
            <w:r>
              <w:rPr>
                <w:sz w:val="20"/>
                <w:szCs w:val="20"/>
              </w:rPr>
              <w:t xml:space="preserve">[-1.2784, 1.9094]</w:t>
            </w:r>
          </w:p>
        </w:tc>
      </w:tr>
      <w:tr>
        <w:tc>
          <w:tcPr>
            <w:tcW w:w="0" w:type="auto"/>
          </w:tcPr>
          <w:p>
            <w:pPr>
              <w:spacing w:line="240" w:lineRule="auto" w:before="0" w:after="0"/>
              <w:pStyle w:val="Compact"/>
            </w:pPr>
            <w:r>
              <w:rPr>
                <w:sz w:val="20"/>
                <w:szCs w:val="20"/>
              </w:rPr>
              <w:t xml:space="preserve">inactive_payload_share</w:t>
            </w:r>
          </w:p>
        </w:tc>
        <w:tc>
          <w:tcPr>
            <w:tcW w:w="0" w:type="auto"/>
          </w:tcPr>
          <w:p>
            <w:pPr>
              <w:spacing w:line="240" w:lineRule="auto" w:before="0" w:after="0"/>
              <w:pStyle w:val="Compact"/>
            </w:pPr>
            <w:r>
              <w:rPr>
                <w:sz w:val="20"/>
                <w:szCs w:val="20"/>
              </w:rPr>
              <w:t xml:space="preserve">1.502</w:t>
            </w:r>
          </w:p>
        </w:tc>
        <w:tc>
          <w:tcPr>
            <w:tcW w:w="0" w:type="auto"/>
          </w:tcPr>
          <w:p>
            <w:pPr>
              <w:spacing w:line="240" w:lineRule="auto" w:before="0" w:after="0"/>
              <w:pStyle w:val="Compact"/>
            </w:pPr>
            <w:r>
              <w:rPr>
                <w:sz w:val="20"/>
                <w:szCs w:val="20"/>
              </w:rPr>
              <w:t xml:space="preserve">1.3882</w:t>
            </w:r>
          </w:p>
        </w:tc>
        <w:tc>
          <w:tcPr>
            <w:tcW w:w="0" w:type="auto"/>
          </w:tcPr>
          <w:p>
            <w:pPr>
              <w:spacing w:line="240" w:lineRule="auto" w:before="0" w:after="0"/>
              <w:pStyle w:val="Compact"/>
            </w:pPr>
            <w:r>
              <w:rPr>
                <w:sz w:val="20"/>
                <w:szCs w:val="20"/>
              </w:rPr>
              <w:t xml:space="preserve">1.082</w:t>
            </w:r>
          </w:p>
        </w:tc>
        <w:tc>
          <w:tcPr>
            <w:tcW w:w="0" w:type="auto"/>
          </w:tcPr>
          <w:p>
            <w:pPr>
              <w:spacing w:line="240" w:lineRule="auto" w:before="0" w:after="0"/>
              <w:pStyle w:val="Compact"/>
            </w:pPr>
            <w:r>
              <w:rPr>
                <w:sz w:val="20"/>
                <w:szCs w:val="20"/>
              </w:rPr>
              <w:t xml:space="preserve">0.2793</w:t>
            </w:r>
          </w:p>
        </w:tc>
        <w:tc>
          <w:tcPr>
            <w:tcW w:w="0" w:type="auto"/>
          </w:tcPr>
          <w:p>
            <w:pPr>
              <w:spacing w:line="240" w:lineRule="auto" w:before="0" w:after="0"/>
              <w:pStyle w:val="Compact"/>
            </w:pPr>
            <w:r>
              <w:rPr>
                <w:sz w:val="20"/>
                <w:szCs w:val="20"/>
              </w:rPr>
              <w:t xml:space="preserve">[-1.2188, 4.2228]</w:t>
            </w:r>
          </w:p>
        </w:tc>
      </w:tr>
    </w:tbl>
    <w:p>
      <w:pPr>
        <w:pStyle w:val="BodyText"/>
      </w:pPr>
      <w:r>
        <w:t xml:space="preserve">Fit: N = 72 R2 = 0.3495 R2_adj = 0.3003 F = 7.5821 F_p = 1.121e-05</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5" Target="https://doi.org/10.1016/j.actaastro.2022.05.045"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2.05.04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2026-06-27T22:05:36Z</dcterms:created>
  <dcterms:modified xsi:type="dcterms:W3CDTF">2026-06-27T22:05:36Z</dcterms:modified>
</cp:coreProperties>
</file>

<file path=docProps/custom.xml><?xml version="1.0" encoding="utf-8"?>
<Properties xmlns="http://schemas.openxmlformats.org/officeDocument/2006/custom-properties" xmlns:vt="http://schemas.openxmlformats.org/officeDocument/2006/docPropsVTypes"/>
</file>