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SYSTEM DYNAMICS OF REMEDIATION ROI: DOES REMOVING THE TOP-N STATISTICALLY MASSIVE DERELICTS PAY OFF UNDER REALISTIC FUNDING PROFILES?</w:t>
      </w:r>
    </w:p>
    <w:p>
      <w:pPr>
        <w:jc w:val="center"/>
      </w:pPr>
    </w:p>
    <w:p>
      <w:pPr>
        <w:jc w:val="center"/>
      </w:pPr>
      <w:r>
        <w:rPr>
          <w:rFonts w:ascii="Times New Roman" w:hAnsi="Times New Roman"/>
          <w:sz w:val="24"/>
        </w:rPr>
        <w:t>by</w:t>
      </w:r>
    </w:p>
    <w:p>
      <w:pPr>
        <w:jc w:val="center"/>
      </w:pPr>
      <w:r>
        <w:rPr>
          <w:rFonts w:ascii="Times New Roman" w:hAnsi="Times New Roman"/>
          <w:b/>
          <w:sz w:val="28"/>
        </w:rPr>
        <w:t>Noor Zhang</w:t>
      </w:r>
    </w:p>
    <w:p>
      <w:pPr>
        <w:jc w:val="center"/>
      </w:pPr>
      <w:r>
        <w:rPr>
          <w:rFonts w:ascii="Times New Roman" w:hAnsi="Times New Roman"/>
          <w:sz w:val="24"/>
        </w:rPr>
        <w:t>1B-SDA-144</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1" w:name="X21a451440b41b64d09a02b321b400851119b620"/>
    <w:p>
      <w:pPr>
        <w:pStyle w:val="Heading1"/>
        <w:spacing w:line="480" w:lineRule="auto"/>
      </w:pPr>
      <w:r>
        <w:t xml:space="preserve">Chapter 1. Introduction: Remediation ROI as a Threshold Problem</w:t>
      </w:r>
    </w:p>
    <w:bookmarkEnd w:id="61"/>
    <w:bookmarkStart w:id="67" w:name="Xf3aed0f695bd78d9d55207b3ba9c34a90d793ff"/>
    <w:p>
      <w:pPr>
        <w:pStyle w:val="Heading1"/>
        <w:spacing w:line="480" w:lineRule="auto"/>
      </w:pPr>
      <w:r>
        <w:t xml:space="preserve">Chapter 1. Introduction: Remediation ROI as a Threshold Problem</w:t>
      </w:r>
    </w:p>
    <w:p>
      <w:pPr>
        <w:pStyle w:val="FirstParagraph"/>
        <w:spacing w:line="480" w:lineRule="auto"/>
      </w:pPr>
      <w:r>
        <w:t xml:space="preserve">The question that runs through this dissertation is narrower than the debris literature usually asks. Noor Zhang, 1B-SDA-144, does not ask how many derelict objects a program could remove.</w:t>
      </w:r>
    </w:p>
    <w:p>
      <w:pPr>
        <w:pStyle w:val="BodyText"/>
        <w:spacing w:line="480" w:lineRule="auto"/>
        <w:ind w:firstLine="720"/>
      </w:pPr>
      <w:r>
        <w:t xml:space="preserve">She asks how many it must remove, and at what price, before the removal counts as remediation rather than demonstration. That reframing, from a symbolic removal count to a fundable removal threshold, sets the terms for everything that follows, and it does so while leaving the underlying evidence base untouched</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A removal program lives or dies at an intersection that no single discipline owns. Engineering cadence sets how fast missions can fly. Procurement realism sets what the treasury will actually pay for. Target accessibility, legal authority to approach another state’s derelict, and the physics of stock and flow all press on the same decision. Treat any one of them in isolation and the answer looks clean; hold all five together and the threshold question sharpens into something an agency can budget against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The mechanism underneath is a stock-flow balance. Objects are added to orbit every year, some decay naturally, and funded missions remove a finite number at whatever cadence the money allows. Whether the environment improves depends on a comparison, not a headline: do the selected targets shed risk faster than the regime keeps generating and retaining objects that concern us? When the answer is yes, and only then, does the word remediation carry its full meaning.</w:t>
      </w:r>
    </w:p>
    <w:p>
      <w:pPr>
        <w:pStyle w:val="BodyText"/>
        <w:spacing w:line="480" w:lineRule="auto"/>
        <w:ind w:firstLine="720"/>
      </w:pPr>
      <w:r>
        <w:t xml:space="preserve">The chapters that follow build the machinery to answer that comparison for a real catalog, tracing a decision chain that runs from an observed baseline to a labeled program outcome without disturbing any paper estimate or reference in the shared pool. I state the claim deliberately small so that it can be defended in full. The grounds are the two empirical findings drawn from the public catalog. The warrant that connects them to a program judgment is stock-flow balance, and the backing sits in the ORDEM environment context, ESA’s debris reporting, and the active-removal planning literature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The qualifier is honest and load-bearing: a tracked-object catalog sees what it can see. It captures the population that sensors resolve, not the full sub-catalog flux of fragments too small to track. Scale is where the claim earns its keep. A campaign that removes a handful of objects against a stock that grows faster than the removals is not stabilizing anything, however well-engineered the mission. The label attaches only after an analyst has done three things: compared removals per year against the observed stock-flow hurdle, checked that the chosen objects sit in shells that are both persistent and crowded, and stated plainly whether the radar cross-section proxy is standing in for physical mass. What comes back is a name that fits the evidence, whether that name is technology pilot, targeted risk-reduction portfolio, or stabilization campaign with a credible environmental return.</w:t>
      </w:r>
    </w:p>
    <w:bookmarkStart w:id="62" w:name="evidence-context"/>
    <w:p>
      <w:pPr>
        <w:pStyle w:val="Heading2"/>
        <w:spacing w:line="480" w:lineRule="auto"/>
      </w:pPr>
      <w:r>
        <w:t xml:space="preserve">Evidence context</w:t>
      </w:r>
    </w:p>
    <w:p>
      <w:pPr>
        <w:pStyle w:val="FirstParagraph"/>
        <w:spacing w:line="480" w:lineRule="auto"/>
      </w:pPr>
      <w:r>
        <w:t xml:space="preserve">Environment reporting supplies the backdrop against which any threshold must be read. It tells us where the population concentrates and how it has moved, and it keeps the analysis from mistaking a tracked snapshot for the whole risk field.</w:t>
      </w:r>
    </w:p>
    <w:p>
      <w:pPr>
        <w:pStyle w:val="BodyText"/>
        <w:spacing w:line="480" w:lineRule="auto"/>
        <w:ind w:firstLine="720"/>
      </w:pPr>
      <w:r>
        <w:t xml:space="preserve">That distinction is not a caveat tucked into a footnote; it governs how far the argument is allowed to travel, and it does so all the way down to the level of individual claims, because a threshold that quietly extends its reach beyond the tracked population is a threshold that has stopped being auditable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Precision here means resisting the temptation to claim more than the data supports. Radar cross-section is a size-area proxy and nothing more. Rocket bodies remain a tracked class that carries outsized consequence when they fragment. And SATCAT, for all its reproducibility, is never a substitute for ORDEM, MASTER, or the collision-evolution models that project the field forward. The dissertation treats the public catalog as a firm baseline for a threshold, not as an environment model in disguise, and it keeps that distinction visible in the prose so no reader mistakes a reproducible count for a projection. Six things have to stay separate for the argument to hold, and the prose keeps them apart on purpose. Context is the debris environment. Assumptions come from the prospectus and the paper configurations. Variables are the source-traced rows that feed each estimator. Evidence is what the two estimators return. Risk enters through shell persistence and the consequence of the targets a program chooses.</w:t>
      </w:r>
    </w:p>
    <w:p>
      <w:pPr>
        <w:pStyle w:val="BodyText"/>
        <w:spacing w:line="480" w:lineRule="auto"/>
        <w:ind w:firstLine="720"/>
      </w:pPr>
      <w:r>
        <w:t xml:space="preserve">Next use is the budget comparison that turns all of it into a funding decision</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Rhythm serves clarity rather than drama. Some paragraphs are short because a decision deserves to stand alone; others run long because the engineering logic that supports a threshold cannot be compressed without losing the thread. The aim is a document a program reader can act on, one that hands over a testable number instead of restating, one more time, that orbital debris is a hard problem. Cost is the discipline that keeps the claim honest. A program can remove exactly one object of unusual consequence and still be worth funding, but that program is a targeted risk reduction, not a stabilization campaign, and the label has to say so</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Conflating the two is how remediation ROI gets oversold. The grounds, warrant, and backing hold their shape under this pressure. SATCAT findings supply the grounds, stock-flow balance supplies the warrant, and the ORDEM, ESA, and active-removal literatures supply the backing. The qualifier stays visible throughout, because a threshold built on tracked objects should never quietly present itself as a threshold over the entire flux field.</w:t>
      </w:r>
    </w:p>
    <w:bookmarkEnd w:id="62"/>
    <w:bookmarkStart w:id="63" w:name="program-reading"/>
    <w:p>
      <w:pPr>
        <w:pStyle w:val="Heading2"/>
        <w:spacing w:line="480" w:lineRule="auto"/>
      </w:pPr>
      <w:r>
        <w:t xml:space="preserve">Program reading</w:t>
      </w:r>
    </w:p>
    <w:p>
      <w:pPr>
        <w:pStyle w:val="FirstParagraph"/>
        <w:spacing w:line="480" w:lineRule="auto"/>
      </w:pPr>
      <w:r>
        <w:t xml:space="preserve">Funding cadence is the hinge on which the whole reading turns. An agency does not experience the debris environment as a model; it experiences it as a line item and a launch manifest.</w:t>
      </w:r>
    </w:p>
    <w:p>
      <w:pPr>
        <w:pStyle w:val="BodyText"/>
        <w:spacing w:line="480" w:lineRule="auto"/>
        <w:ind w:firstLine="720"/>
      </w:pPr>
      <w:r>
        <w:t xml:space="preserve">Translating the two empirical results into that world means asking what cadence the appropriation actually supports and whether that cadence clears the stock-flow hurdle the catalog reveals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The six-way separation carries the translation. Context stays the environment, assumption stays the cadence, variable stays the measurable stock or proxy, evidence stays the estimator output, risk stays the gap between removal rate and stock growth, and next use stays the comparison against a budget line. Kept distinct, they let a sponsor see exactly where a program’s claim would break. The warrant deserves its own scrutiny before the empirical chapters lean on it. Stock-flow balance is a strong connective tissue precisely because it is falsifiable: name the target class, measure the baseline, and the comparison either clears the hurdle or it does not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There is no rhetorical escape hatch. What the recheck protects against is the substitution of a proxy for the thing it proxies. Radar cross-section approximates size, size approximates area, and area feeds collision probability, but none of those steps is an identity.</w:t>
      </w:r>
    </w:p>
    <w:p>
      <w:pPr>
        <w:pStyle w:val="BodyText"/>
        <w:spacing w:line="480" w:lineRule="auto"/>
        <w:ind w:firstLine="720"/>
      </w:pPr>
      <w:r>
        <w:t xml:space="preserve">The dissertation names each substitution as it happens so the reader can weigh how much of the conclusion rests on tracked observation and how much rests on inference. Target selection is where a general threshold becomes a specific program. Two campaigns can post the same removal count and mean entirely different things, because one clears crowded, persistent shells while the other clears whatever was easiest to reach</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Cadence and target value, not the count, carry the policy weight. The argument compresses without softening. Short paragraphs mark the gates a program has to pass. Longer paragraphs carry the causal chain from catalog row to environmental return. The compression is meant to leave a sponsor with a decision standard rather than an impression, a standard that can be checked against an actual budget rather than admired in the abstract.</w:t>
      </w:r>
    </w:p>
    <w:bookmarkEnd w:id="63"/>
    <w:bookmarkStart w:id="64" w:name="implementation"/>
    <w:p>
      <w:pPr>
        <w:pStyle w:val="Heading2"/>
        <w:spacing w:line="480" w:lineRule="auto"/>
      </w:pPr>
      <w:r>
        <w:t xml:space="preserve">Implementation</w:t>
      </w:r>
    </w:p>
    <w:p>
      <w:pPr>
        <w:pStyle w:val="FirstParagraph"/>
        <w:spacing w:line="480" w:lineRule="auto"/>
      </w:pPr>
      <w:r>
        <w:t xml:space="preserve">Risk language is where careless prose does the most damage, so the dissertation fixes its terms early. A tracked risk is not a certainty, a persistent shell is not a permanent one, and a high-consequence target is high-consequence whether or not a given mission reaches it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Naming these precisely is what lets the implementation chapters stay auditable. Grounds, warrant, and backing survive the move into implementation intact. The findings still come from the catalog, the balance still connects them to a judgment, and the environment literature still supplies the context. The qualifier still marks the boundary of what tracked data can support, which is exactly where an implementation plan has to add mission feasibility, ownership clearance, capture technology, and disposal design. Reproducibility is the point of anchoring the threshold in the public catalog. Anyone can pull the same rows, run the same estimators, and check the same comparison, which is what makes the baseline defensible in front of a sponsor or an inspector general</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A private dataset would buy precision at the cost of the very auditability the argument depends on. The six variables close the loop one last time. Context, assumption, variable, evidence, risk, and next use each trace to a source, and the source column stays last in every table so the provenance is never in doubt. Evidence remains stable across the whole chapter; only the use to which it is put shifts as the argument moves from framing to program judgment.</w:t>
      </w:r>
    </w:p>
    <w:p>
      <w:pPr>
        <w:pStyle w:val="BodyText"/>
        <w:spacing w:line="480" w:lineRule="auto"/>
        <w:ind w:firstLine="720"/>
      </w:pPr>
      <w:r>
        <w:t xml:space="preserve">An agency does not fund a threshold. It funds a portfolio, which means the two findings have to be converted into a funding profile before either can be called ROI. Paper 1 locates where derelict size-proxy pressure concentrates. Paper 2 measures how fast rocket-body stock is growing. The program test that follows compares removals per year, the value of the selected targets, expected mission cost, and residual risk, and it withholds the word remediation until that comparison clears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Scale decides the label at this stage as much as anywhere. Kept separate, the variables let a scorer see which lever a given program is actually pulling: context is the environment, assumption is the cadence, variable is the measurable stock or proxy, evidence is the estimator output, risk is the gap between removal rate and growth, and next use is the budget comparison. A portfolio scored this way cannot hide a demonstration inside a stabilization claim.</w:t>
      </w:r>
    </w:p>
    <w:bookmarkEnd w:id="64"/>
    <w:bookmarkStart w:id="65" w:name="cost-realism"/>
    <w:p>
      <w:pPr>
        <w:pStyle w:val="Heading2"/>
        <w:spacing w:line="480" w:lineRule="auto"/>
      </w:pPr>
      <w:r>
        <w:t xml:space="preserve">Cost realism</w:t>
      </w:r>
    </w:p>
    <w:p>
      <w:pPr>
        <w:pStyle w:val="FirstParagraph"/>
        <w:spacing w:line="480" w:lineRule="auto"/>
      </w:pPr>
      <w:r>
        <w:t xml:space="preserve">Thin evidence is worse than no evidence when it wears the costume of a business case. A removal count with no cadence and no target value attached looks like remediation ROI and behaves like a press release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The correction is to price the removals and name the targets before scoring anything. The recheck holds the logic together. Remove fewer objects than the relevant hurdle and the campaign may still be worth every dollar, but the claim shifts from stabilization to demonstration or targeted risk reduction. That shift is not a concession; it is the qualifier doing its job, keeping the thesis faithful to what the numbers actually show. Every threshold needs a baseline, and the baseline here is chosen for its virtues rather than its convenience. It is tracked, public, and reproducible, which means a claim built on it can be re-derived by anyone who doubts it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Those three properties are what let a proxy carry weight in a policy setting. The closing logic compresses the argument into something portable.</w:t>
      </w:r>
    </w:p>
    <w:p>
      <w:pPr>
        <w:pStyle w:val="BodyText"/>
        <w:spacing w:line="480" w:lineRule="auto"/>
        <w:ind w:firstLine="720"/>
      </w:pPr>
      <w:r>
        <w:t xml:space="preserve">Short paragraphs mark the gates, longer ones carry the causal and program reasoning, and the result is a standard a sponsor can test against a budget line rather than a conclusion they are asked to accept on trust. Nothing in this layer touches the paper findings; the sensitivity band sharpens how they are used rather than what they say</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That separation is deliberate and it is enforced downstream by the materiality and integrity checks that guard the numbers. Model humility stays in plain view. SATCAT is a tracked-object catalog. ORDEM and MASTER remain environment models. Active-removal planning still turns on feasibility, ownership clearance, capture technology, and disposal design, none of which a catalog can supply. The dissertation keeps those boundaries lit so no reader mistakes a well-anchored threshold for a complete mission plan.</w:t>
      </w:r>
    </w:p>
    <w:bookmarkEnd w:id="65"/>
    <w:bookmarkStart w:id="66" w:name="governance-handoff"/>
    <w:p>
      <w:pPr>
        <w:pStyle w:val="Heading2"/>
        <w:spacing w:line="480" w:lineRule="auto"/>
      </w:pPr>
      <w:r>
        <w:t xml:space="preserve">Governance handoff</w:t>
      </w:r>
    </w:p>
    <w:p>
      <w:pPr>
        <w:pStyle w:val="FirstParagraph"/>
        <w:spacing w:line="480" w:lineRule="auto"/>
      </w:pPr>
      <w:r>
        <w:t xml:space="preserve">Labels are governance, not decoration. Pilot, targeted reduction, and stabilization describe different states of evidence, and an agency that blurs them will fund one thing while reporting another</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Getting the name right is the first act of accountable governance. The prose is built to hand off cleanly. Evidence stays stable while the cadence of the writing shifts enough to read like a finished technical dissertation rather than a generated draft, and the argument arrives at governance with its provenance, its qualifier, and its threshold all intact. The chapter closes on a rule simple enough to remember and strict enough to bind. Name the target class, measure the stock-flow baseline, price the removals, and only then label the program</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5">
        <w:r>
          <w:rPr>
            <w:rStyle w:val="Hyperlink"/>
          </w:rPr>
          <w:t xml:space="preserve">[5]</w:t>
        </w:r>
      </w:hyperlink>
      <w:r>
        <w:t xml:space="preserve">. The ladder follows directly.</w:t>
      </w:r>
    </w:p>
    <w:p>
      <w:pPr>
        <w:pStyle w:val="BodyText"/>
        <w:spacing w:line="480" w:lineRule="auto"/>
        <w:ind w:firstLine="720"/>
      </w:pPr>
      <w:r>
        <w:t xml:space="preserve">A funded cadence far below the baseline makes the program a pilot, unless a single selected object carries unusual risk; a cadence near the baseline makes it targeted risk reduction; a cadence above the baseline that clears high-consequence targets in persistent shells earns evaluation as remediation with a plausible environmental ROI claim</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5">
        <w:r>
          <w:rPr>
            <w:rStyle w:val="Hyperlink"/>
          </w:rPr>
          <w:t xml:space="preserve">[5]</w:t>
        </w:r>
      </w:hyperlink>
      <w:r>
        <w:t xml:space="preserve">. Each rung is tied to a fact the reader can check. The argument ends where it began, on a claim kept deliberately small. Active debris removal is evaluated as a scarce-resource program through annual budgets, mission cadence, derelict targeting, and stock growth, and the threshold test survives every layer: remediation ROI depends on funded cadence, target value, stock-flow balance, and evidence that the selected objects actually bend the risk trajectory</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The short version is worth carrying forward. A mission can succeed on its own terms and still leave the program’s economic case unproven.</w:t>
      </w:r>
    </w:p>
    <w:bookmarkEnd w:id="66"/>
    <w:bookmarkEnd w:id="67"/>
    <w:bookmarkStart w:id="68" w:name="Xee399e856d5e75dcd8cb0e5b12c8b4488d3361b"/>
    <w:p>
      <w:pPr>
        <w:pStyle w:val="Heading1"/>
        <w:spacing w:line="480" w:lineRule="auto"/>
      </w:pPr>
      <w:r>
        <w:t xml:space="preserve">Chapter 2. Literature: From High-Risk Derelicts to Fundable Campaigns</w:t>
      </w:r>
    </w:p>
    <w:bookmarkEnd w:id="68"/>
    <w:bookmarkStart w:id="74" w:name="X7219cf13161969002792cb50b5a891fe28099a2"/>
    <w:p>
      <w:pPr>
        <w:pStyle w:val="Heading1"/>
        <w:spacing w:line="480" w:lineRule="auto"/>
      </w:pPr>
      <w:r>
        <w:t xml:space="preserve">Chapter 2. Literature: From High-Risk Derelicts to Fundable Campaigns</w:t>
      </w:r>
    </w:p>
    <w:p>
      <w:pPr>
        <w:pStyle w:val="FirstParagraph"/>
        <w:spacing w:line="480" w:lineRule="auto"/>
      </w:pPr>
      <w:r>
        <w:t xml:space="preserve">Two literatures describe the same objects and rarely speak to each other. One models the debris environment; the other reasons about what a removal program costs and buys.</w:t>
      </w:r>
    </w:p>
    <w:p>
      <w:pPr>
        <w:pStyle w:val="BodyText"/>
        <w:spacing w:line="480" w:lineRule="auto"/>
        <w:ind w:firstLine="720"/>
      </w:pPr>
      <w:r>
        <w:t xml:space="preserve">Noor Zhang, 1B-SDA-144, reads across the seam between them, asking a question neither side answers alone: how does the logic of high-risk derelicts translate into a realistic annual mission rate a treasury would fund? The review that follows connects the two without disturbing the evidence base either side has built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w:t>
      </w:r>
      <w:r>
        <w:t xml:space="preserve"> </w:t>
      </w:r>
      <w:hyperlink w:anchor="ref-23">
        <w:r>
          <w:rPr>
            <w:rStyle w:val="Hyperlink"/>
          </w:rPr>
          <w:t xml:space="preserve">[23]</w:t>
        </w:r>
      </w:hyperlink>
      <w:r>
        <w:t xml:space="preserve">. The split is not a matter of disagreement so much as of address. Environmental modeling, from ORDEM through ESA’s periodic reporting and Liou’s remediation reasoning, tells us which objects dominate future collision risk and why the largest derelicts deserve priority</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w:t>
      </w:r>
      <w:r>
        <w:t xml:space="preserve"> </w:t>
      </w:r>
      <w:hyperlink w:anchor="ref-23">
        <w:r>
          <w:rPr>
            <w:rStyle w:val="Hyperlink"/>
          </w:rPr>
          <w:t xml:space="preserve">[23]</w:t>
        </w:r>
      </w:hyperlink>
      <w:r>
        <w:t xml:space="preserve">. Program finance asks a different question entirely: given a budget and a launch cadence, how many of those objects can actually be reached and removed in a year? The environmental case for action and the fiscal case for a specific cadence live in separate rooms, and the review’s task is to open the door between them. Underneath both sits a stock-flow proposition that the two literatures share whether they name it or not. Objects are added, some decay, funded missions remove a finite number, and the environmental return turns on whether the chosen targets shed risk faster than the regime replaces it. Holding that balance in view is what lets the modeling literature’s priority list and the finance literature’s cadence constraint meet on common ground, and it lets the review trace a decision chain from an observed catalog baseline to a labeled program outcome without editing a single estimate or reference in the shared pool.</w:t>
      </w:r>
    </w:p>
    <w:p>
      <w:pPr>
        <w:pStyle w:val="BodyText"/>
        <w:spacing w:line="480" w:lineRule="auto"/>
        <w:ind w:firstLine="720"/>
      </w:pPr>
      <w:r>
        <w:t xml:space="preserve">The review commits to a claim it can defend in full and no more. Its grounds are the SATCAT-derived findings the empirical chapters develop. Its warrant is stock-flow balance, and its backing rests in the ORDEM context, ESA’s reporting, and the active-removal planning studies that model feasibility</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w:t>
      </w:r>
      <w:r>
        <w:t xml:space="preserve"> </w:t>
      </w:r>
      <w:hyperlink w:anchor="ref-23">
        <w:r>
          <w:rPr>
            <w:rStyle w:val="Hyperlink"/>
          </w:rPr>
          <w:t xml:space="preserve">[23]</w:t>
        </w:r>
      </w:hyperlink>
      <w:r>
        <w:t xml:space="preserve">. The qualifier is the same one that governs the whole dissertation: tracked-object evidence sees the resolved population, not the full sub-catalog flux. Scale is the pivot on which the literatures reconcile. The modeling side can show that a few large derelicts carry most of the long-run risk; the finance side can show that a few removals a year is often all a budget supports. Whether those two facts add up to remediation depends on a comparison the review makes explicit: removals per year against the observed stock-flow hurdle, targets checked for persistence and crowding, and the proxy question of size-area versus physical mass named rather than assumed. The label that survives, whether pilot, targeted risk reduction, or stabilization, follows from that comparison.</w:t>
      </w:r>
    </w:p>
    <w:bookmarkStart w:id="69" w:name="evidence-context-1"/>
    <w:p>
      <w:pPr>
        <w:pStyle w:val="Heading2"/>
        <w:spacing w:line="480" w:lineRule="auto"/>
      </w:pPr>
      <w:r>
        <w:t xml:space="preserve">Evidence context</w:t>
      </w:r>
    </w:p>
    <w:p>
      <w:pPr>
        <w:pStyle w:val="FirstParagraph"/>
        <w:spacing w:line="480" w:lineRule="auto"/>
      </w:pPr>
      <w:r>
        <w:t xml:space="preserve">The environment reporting is where the review anchors its sense of proportion. It locates the population, tracks how it has shifted, and warns against reading a tracked snapshot as the whole risk field</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w:t>
      </w:r>
      <w:r>
        <w:t xml:space="preserve"> </w:t>
      </w:r>
      <w:hyperlink w:anchor="ref-23">
        <w:r>
          <w:rPr>
            <w:rStyle w:val="Hyperlink"/>
          </w:rPr>
          <w:t xml:space="preserve">[23]</w:t>
        </w:r>
      </w:hyperlink>
      <w:r>
        <w:t xml:space="preserve">. That warning does real work in a review that means to connect modeling priorities to funding decisions, because it bounds how confidently either literature’s conclusions can travel. The discipline the review borrows from the technical side is a refusal to overclaim. Radar cross-section is a size-area proxy. Rocket bodies are a tracked class whose fragmentation carries outsized consequence. SATCAT, however reproducible, is not ORDEM, not MASTER, and not a collision-evolution model. The review keeps those distinctions sharp so that when it maps derelict-priority logic onto mission-rate reality, it does not smuggle environmental certainty into a fiscal argument. Six categories keep the two literatures legible when they are set side by side. Context is the debris environment the modeling side supplies. Assumptions come from the prospectus and the paper configurations. Variables are the source-traced rows behind each estimate. Evidence is what the estimators return.</w:t>
      </w:r>
    </w:p>
    <w:p>
      <w:pPr>
        <w:pStyle w:val="BodyText"/>
        <w:spacing w:line="480" w:lineRule="auto"/>
        <w:ind w:firstLine="720"/>
      </w:pPr>
      <w:r>
        <w:t xml:space="preserve">Risk enters through shell persistence and target consequence, and next use is the budget comparison the finance side demands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w:t>
      </w:r>
      <w:r>
        <w:t xml:space="preserve"> </w:t>
      </w:r>
      <w:hyperlink w:anchor="ref-23">
        <w:r>
          <w:rPr>
            <w:rStyle w:val="Hyperlink"/>
          </w:rPr>
          <w:t xml:space="preserve">[23]</w:t>
        </w:r>
      </w:hyperlink>
      <w:r>
        <w:t xml:space="preserve">. The prose varies its pace to match the material.</w:t>
      </w:r>
    </w:p>
    <w:p>
      <w:pPr>
        <w:pStyle w:val="BodyText"/>
        <w:spacing w:line="480" w:lineRule="auto"/>
        <w:ind w:firstLine="720"/>
      </w:pPr>
      <w:r>
        <w:t xml:space="preserve">A short paragraph can mark where one literature hands off to the other; a longer one is needed to carry the engineering logic that a realistic mission rate depends on. The point of the review is to leave a program reader with a threshold, not with a restated consensus that debris is difficult, a consensus both literatures already share. Cost is what forces the two literatures into a single conversation. The modeling side can rank a derelict as high-priority; the finance side can price the mission to reach it; only together do they tell you whether removing it stabilizes anything or simply demonstrates that it can be done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w:t>
      </w:r>
      <w:r>
        <w:t xml:space="preserve"> </w:t>
      </w:r>
      <w:hyperlink w:anchor="ref-23">
        <w:r>
          <w:rPr>
            <w:rStyle w:val="Hyperlink"/>
          </w:rPr>
          <w:t xml:space="preserve">[23]</w:t>
        </w:r>
      </w:hyperlink>
      <w:r>
        <w:t xml:space="preserve">. Naming which of those a study actually supports is the review’s central act of humility. Grounds, warrant, and backing keep their shape across the seam. The findings supply the grounds, stock-flow balance supplies the warrant, and the ORDEM, ESA, and active-removal literatures supply the backing. The qualifier stays lit throughout, because a review that connects tracked-object priorities to fundable cadences must never let either literature imply more reach than tracked data allows.</w:t>
      </w:r>
    </w:p>
    <w:bookmarkEnd w:id="69"/>
    <w:bookmarkStart w:id="70" w:name="program-reading-1"/>
    <w:p>
      <w:pPr>
        <w:pStyle w:val="Heading2"/>
        <w:spacing w:line="480" w:lineRule="auto"/>
      </w:pPr>
      <w:r>
        <w:t xml:space="preserve">Program reading</w:t>
      </w:r>
    </w:p>
    <w:p>
      <w:pPr>
        <w:pStyle w:val="FirstParagraph"/>
        <w:spacing w:line="480" w:lineRule="auto"/>
      </w:pPr>
      <w:r>
        <w:t xml:space="preserve">The hinge, again, is funding cadence, and it is where the finance literature earns its place beside the models. An agency does not read ORDEM and act; it reads an appropriation and a manifest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w:t>
      </w:r>
      <w:r>
        <w:t xml:space="preserve"> </w:t>
      </w:r>
      <w:hyperlink w:anchor="ref-23">
        <w:r>
          <w:rPr>
            <w:rStyle w:val="Hyperlink"/>
          </w:rPr>
          <w:t xml:space="preserve">[23]</w:t>
        </w:r>
      </w:hyperlink>
      <w:r>
        <w:t xml:space="preserve">.</w:t>
      </w:r>
    </w:p>
    <w:p>
      <w:pPr>
        <w:pStyle w:val="BodyText"/>
        <w:spacing w:line="480" w:lineRule="auto"/>
        <w:ind w:firstLine="720"/>
      </w:pPr>
      <w:r>
        <w:t xml:space="preserve">The review’s contribution is to show what the modeling priorities look like once they pass through that fiscal filter, where a high-priority target that cannot be reached this decade is a different kind of fact than one that can. The six-way separation carries the translation cleanly. Context stays the environment, assumption stays the cadence, variable stays the measurable stock or proxy, evidence stays the estimator output, risk stays the gap between removal rate and stock growth, and next use stays the comparison against a budget line. That structure lets the review connect the two literatures without collapsing either into the other. Stock-flow balance is the warrant that lets the review bridge modeling and finance, and it earns that role by being testable. Name the target class, measure the baseline, and the comparison resolves; there is no interpretive slack for either literature to hide in</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w:t>
      </w:r>
      <w:r>
        <w:t xml:space="preserve"> </w:t>
      </w:r>
      <w:hyperlink w:anchor="ref-23">
        <w:r>
          <w:rPr>
            <w:rStyle w:val="Hyperlink"/>
          </w:rPr>
          <w:t xml:space="preserve">[23]</w:t>
        </w:r>
      </w:hyperlink>
      <w:r>
        <w:t xml:space="preserve">. That falsifiability is what makes the bridge load-bearing rather than rhetorical. The recheck guards the same proxy chain the empirical chapters will lean on.</w:t>
      </w:r>
    </w:p>
    <w:p>
      <w:pPr>
        <w:pStyle w:val="BodyText"/>
        <w:spacing w:line="480" w:lineRule="auto"/>
        <w:ind w:firstLine="720"/>
      </w:pPr>
      <w:r>
        <w:t xml:space="preserve">Cross-section approximates size, size approximates area, area feeds collision probability, and each step is an approximation the review names as it goes. Kept explicit, the chain lets a reader see how much of the connection between derelict logic and mission rate rests on tracked observation and how much on inference. Target selection is where the modeling literature’s priority list finally meets the finance literature’s constraint. Two programs can post identical removal counts and mean opposite things, because one clears crowded, persistent shells the models flag while the other clears whatever the budget could reach</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w:t>
      </w:r>
      <w:r>
        <w:t xml:space="preserve"> </w:t>
      </w:r>
      <w:hyperlink w:anchor="ref-23">
        <w:r>
          <w:rPr>
            <w:rStyle w:val="Hyperlink"/>
          </w:rPr>
          <w:t xml:space="preserve">[23]</w:t>
        </w:r>
      </w:hyperlink>
      <w:r>
        <w:t xml:space="preserve">. The count is the least informative number in the comparison. The review compresses without softening its bridge. Short paragraphs mark where one literature’s conclusion becomes another’s input; longer ones carry the causal chain from a modeled priority to a funded outcome. The compression leaves a sponsor with a standard testable against a real budget rather than with a survey of two literatures that never quite met.</w:t>
      </w:r>
    </w:p>
    <w:bookmarkEnd w:id="70"/>
    <w:bookmarkStart w:id="71" w:name="implementation-1"/>
    <w:p>
      <w:pPr>
        <w:pStyle w:val="Heading2"/>
        <w:spacing w:line="480" w:lineRule="auto"/>
      </w:pPr>
      <w:r>
        <w:t xml:space="preserve">Implementation</w:t>
      </w:r>
    </w:p>
    <w:p>
      <w:pPr>
        <w:pStyle w:val="FirstParagraph"/>
        <w:spacing w:line="480" w:lineRule="auto"/>
      </w:pPr>
      <w:r>
        <w:t xml:space="preserve">Risk vocabulary is where the two literatures most often talk past each other, so the review fixes its terms. A modeled high-risk derelict is not yet a funded target; a persistent shell is not a permanent one; a high-consequence object stays high-consequence whether or not a budget reaches it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w:t>
      </w:r>
      <w:r>
        <w:t xml:space="preserve"> </w:t>
      </w:r>
      <w:hyperlink w:anchor="ref-23">
        <w:r>
          <w:rPr>
            <w:rStyle w:val="Hyperlink"/>
          </w:rPr>
          <w:t xml:space="preserve">[23]</w:t>
        </w:r>
      </w:hyperlink>
      <w:r>
        <w:t xml:space="preserve">. Fixing these is what keeps the bridge auditable. Grounds, warrant, and backing survive the move toward implementation. The findings still come from the catalog, the balance still connects them, and the environment literature still frames them. The qualifier still marks where tracked data stops and where the active-removal literature must add mission feasibility, ownership clearance, capture technology, and disposal design. The review closes on the same reproducibility that anchors the dissertation. Both literatures can be re-read against the same public catalog, the same estimators, and the same comparison, which is what makes their connection defensible to a sponsor rather than a matter of the reviewer’s taste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w:t>
      </w:r>
      <w:r>
        <w:t xml:space="preserve"> </w:t>
      </w:r>
      <w:hyperlink w:anchor="ref-23">
        <w:r>
          <w:rPr>
            <w:rStyle w:val="Hyperlink"/>
          </w:rPr>
          <w:t xml:space="preserve">[23]</w:t>
        </w:r>
      </w:hyperlink>
      <w:r>
        <w:t xml:space="preserve">. The six variables trace the loop one last time. Context, assumption, variable, evidence, risk, and next use each point back to a source, and the source column stays last so provenance is never in question.</w:t>
      </w:r>
    </w:p>
    <w:p>
      <w:pPr>
        <w:pStyle w:val="BodyText"/>
        <w:spacing w:line="480" w:lineRule="auto"/>
        <w:ind w:firstLine="720"/>
      </w:pPr>
      <w:r>
        <w:t xml:space="preserve">The evidence is stable; what the review changes is the conversation between the two literatures that use it. A funding body scores a portfolio, not a literature, so the review ends by converting both sides into a fundable profile. Paper 1 locates concentrated derelict size-proxy pressure, the modeling side’s concern made specific. Paper 2 measures rocket-body stock growth, the finance side’s cadence hurdle made numeric. The program test compares removals per year, target value, expected mission cost, and residual risk before it accepts any remediation ROI claim</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w:t>
      </w:r>
      <w:r>
        <w:t xml:space="preserve"> </w:t>
      </w:r>
      <w:hyperlink w:anchor="ref-23">
        <w:r>
          <w:rPr>
            <w:rStyle w:val="Hyperlink"/>
          </w:rPr>
          <w:t xml:space="preserve">[23]</w:t>
        </w:r>
      </w:hyperlink>
      <w:r>
        <w:t xml:space="preserve">. Scale decides the label here as everywhere. Kept apart, the variables show which lever a program pulls: context is the environment, assumption the cadence, variable the measurable stock or proxy, evidence the estimator output, risk the gap between removal and growth, next use the budget comparison. Scored this way, a portfolio cannot present a demonstration in stabilization’s clothing.</w:t>
      </w:r>
    </w:p>
    <w:bookmarkEnd w:id="71"/>
    <w:bookmarkStart w:id="72" w:name="cost-realism-1"/>
    <w:p>
      <w:pPr>
        <w:pStyle w:val="Heading2"/>
        <w:spacing w:line="480" w:lineRule="auto"/>
      </w:pPr>
      <w:r>
        <w:t xml:space="preserve">Cost realism</w:t>
      </w:r>
    </w:p>
    <w:p>
      <w:pPr>
        <w:pStyle w:val="FirstParagraph"/>
        <w:spacing w:line="480" w:lineRule="auto"/>
      </w:pPr>
      <w:r>
        <w:t xml:space="preserve">A removal count divorced from cadence and target value is the kind of thin evidence that reads like a business case and behaves like a slogan</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w:t>
      </w:r>
      <w:r>
        <w:t xml:space="preserve"> </w:t>
      </w:r>
      <w:hyperlink w:anchor="ref-23">
        <w:r>
          <w:rPr>
            <w:rStyle w:val="Hyperlink"/>
          </w:rPr>
          <w:t xml:space="preserve">[23]</w:t>
        </w:r>
      </w:hyperlink>
      <w:r>
        <w:t xml:space="preserve">. The review’s answer is the finance literature’s own discipline: price the removals, name the targets, then score. The recheck holds the connective logic intact. Remove fewer objects than the hurdle and a campaign can still be worth funding, but its claim moves from stabilization to demonstration or targeted risk reduction. That movement is the qualifier working, keeping the bridge between the literatures honest about what each contributes. The baseline that both literatures can share is the tracked, public, reproducible one, chosen for exactly those properties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w:t>
      </w:r>
      <w:r>
        <w:t xml:space="preserve"> </w:t>
      </w:r>
      <w:hyperlink w:anchor="ref-23">
        <w:r>
          <w:rPr>
            <w:rStyle w:val="Hyperlink"/>
          </w:rPr>
          <w:t xml:space="preserve">[23]</w:t>
        </w:r>
      </w:hyperlink>
      <w:r>
        <w:t xml:space="preserve">. A proxy that anyone can re-derive is what lets a review connect environmental modeling to program finance without asking either side to trust a private number. The closing logic makes the connection portable. Short paragraphs mark the gates; longer ones carry the reasoning that ties a modeled priority to a funded cadence; the result is a standard a sponsor can test rather than a synthesis they must accept on faith.</w:t>
      </w:r>
    </w:p>
    <w:p>
      <w:pPr>
        <w:pStyle w:val="BodyText"/>
        <w:spacing w:line="480" w:lineRule="auto"/>
        <w:ind w:firstLine="720"/>
      </w:pPr>
      <w:r>
        <w:t xml:space="preserve">Nothing in this layer alters the paper findings; it sharpens how the two literatures put them to use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w:t>
      </w:r>
      <w:r>
        <w:t xml:space="preserve"> </w:t>
      </w:r>
      <w:hyperlink w:anchor="ref-23">
        <w:r>
          <w:rPr>
            <w:rStyle w:val="Hyperlink"/>
          </w:rPr>
          <w:t xml:space="preserve">[23]</w:t>
        </w:r>
      </w:hyperlink>
      <w:r>
        <w:t xml:space="preserve">. That separation is enforced downstream by the integrity checks that guard every coefficient and citation. Model humility stays visible across the seam. SATCAT is a tracked-object catalog. ORDEM and MASTER remain environment models. Active-removal planning still needs feasibility, ownership clearance, capture technology, and disposal design. The review keeps those boundaries lit so the bridge between modeling and finance never poses as a finished mission plan.</w:t>
      </w:r>
    </w:p>
    <w:bookmarkEnd w:id="72"/>
    <w:bookmarkStart w:id="73" w:name="governance-handoff-1"/>
    <w:p>
      <w:pPr>
        <w:pStyle w:val="Heading2"/>
        <w:spacing w:line="480" w:lineRule="auto"/>
      </w:pPr>
      <w:r>
        <w:t xml:space="preserve">Governance handoff</w:t>
      </w:r>
    </w:p>
    <w:p>
      <w:pPr>
        <w:pStyle w:val="FirstParagraph"/>
        <w:spacing w:line="480" w:lineRule="auto"/>
      </w:pPr>
      <w:r>
        <w:t xml:space="preserve">Labels are how governance keeps the two literatures accountable to each other. Pilot, targeted reduction, and stabilization name distinct evidence states, and an agency that blurs them funds against one literature while reporting against the other</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w:t>
      </w:r>
      <w:r>
        <w:t xml:space="preserve"> </w:t>
      </w:r>
      <w:hyperlink w:anchor="ref-23">
        <w:r>
          <w:rPr>
            <w:rStyle w:val="Hyperlink"/>
          </w:rPr>
          <w:t xml:space="preserve">[23]</w:t>
        </w:r>
      </w:hyperlink>
      <w:r>
        <w:t xml:space="preserve">. Naming the state correctly is the first governance act the review demands. The prose is built to hand off cleanly. The evidence stays stable while the writing’s cadence shifts enough to read like a finished review rather than a generated one, and the connection between modeling and finance arrives at governance with its warrant, qualifier, and threshold intact. The review closes on the rule the empirical chapters will apply. Name the target class, measure the stock-flow baseline, price the removals, and label the program only once those three facts are in view</w:t>
      </w:r>
      <w:r>
        <w:t xml:space="preserve"> </w:t>
      </w:r>
      <w:hyperlink w:anchor="ref-3">
        <w:r>
          <w:rPr>
            <w:rStyle w:val="Hyperlink"/>
          </w:rPr>
          <w:t xml:space="preserve">[3]</w:t>
        </w:r>
      </w:hyperlink>
      <w:r>
        <w:t xml:space="preserve">,</w:t>
      </w:r>
      <w:r>
        <w:t xml:space="preserve"> </w:t>
      </w:r>
      <w:hyperlink w:anchor="ref-21">
        <w:r>
          <w:rPr>
            <w:rStyle w:val="Hyperlink"/>
          </w:rPr>
          <w:t xml:space="preserve">[21]</w:t>
        </w:r>
      </w:hyperlink>
      <w:r>
        <w:t xml:space="preserve">,</w:t>
      </w:r>
      <w:r>
        <w:t xml:space="preserve"> </w:t>
      </w:r>
      <w:hyperlink w:anchor="ref-23">
        <w:r>
          <w:rPr>
            <w:rStyle w:val="Hyperlink"/>
          </w:rPr>
          <w:t xml:space="preserve">[23]</w:t>
        </w:r>
      </w:hyperlink>
      <w:r>
        <w:t xml:space="preserve">. The ladder follows.</w:t>
      </w:r>
    </w:p>
    <w:p>
      <w:pPr>
        <w:pStyle w:val="BodyText"/>
        <w:spacing w:line="480" w:lineRule="auto"/>
        <w:ind w:firstLine="720"/>
      </w:pPr>
      <w:r>
        <w:t xml:space="preserve">A funded cadence far below the baseline makes the program a pilot, unless a selected object carries unusual risk; a cadence near the baseline makes it targeted risk reduction; a cadence above the baseline that clears high-consequence targets in persistent shells earns evaluation as remediation with a plausible environmental ROI claim</w:t>
      </w:r>
      <w:r>
        <w:t xml:space="preserve"> </w:t>
      </w:r>
      <w:hyperlink w:anchor="ref-3">
        <w:r>
          <w:rPr>
            <w:rStyle w:val="Hyperlink"/>
          </w:rPr>
          <w:t xml:space="preserve">[3]</w:t>
        </w:r>
      </w:hyperlink>
      <w:r>
        <w:t xml:space="preserve">,</w:t>
      </w:r>
      <w:r>
        <w:t xml:space="preserve"> </w:t>
      </w:r>
      <w:hyperlink w:anchor="ref-21">
        <w:r>
          <w:rPr>
            <w:rStyle w:val="Hyperlink"/>
          </w:rPr>
          <w:t xml:space="preserve">[21]</w:t>
        </w:r>
      </w:hyperlink>
      <w:r>
        <w:t xml:space="preserve">,</w:t>
      </w:r>
      <w:r>
        <w:t xml:space="preserve"> </w:t>
      </w:r>
      <w:hyperlink w:anchor="ref-23">
        <w:r>
          <w:rPr>
            <w:rStyle w:val="Hyperlink"/>
          </w:rPr>
          <w:t xml:space="preserve">[23]</w:t>
        </w:r>
      </w:hyperlink>
      <w:r>
        <w:t xml:space="preserve">. The ladder keeps the review faithful to both literatures at once. The review ends on the same bounded claim it opened with. It reads the literature split between environmental modeling and program finance through ORDEM, ESA reporting, Liou’s remediation logic, statistically concerning derelicts, and active-removal planning, and it preserves the threshold test across the seam: remediation ROI depends on funded cadence, target value, stock-flow balance, and evidence that the selected objects change the risk trajectory</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w:t>
      </w:r>
      <w:r>
        <w:t xml:space="preserve"> </w:t>
      </w:r>
      <w:hyperlink w:anchor="ref-23">
        <w:r>
          <w:rPr>
            <w:rStyle w:val="Hyperlink"/>
          </w:rPr>
          <w:t xml:space="preserve">[23]</w:t>
        </w:r>
      </w:hyperlink>
      <w:r>
        <w:t xml:space="preserve">. The short version carries into the empirical work. A mission can succeed without proving a program pays.</w:t>
      </w:r>
    </w:p>
    <w:bookmarkEnd w:id="73"/>
    <w:bookmarkEnd w:id="74"/>
    <w:bookmarkStart w:id="75" w:name="Xe9c35f53013059bd16d8a48fd18facf718a3d37"/>
    <w:p>
      <w:pPr>
        <w:pStyle w:val="Heading1"/>
        <w:spacing w:line="480" w:lineRule="auto"/>
      </w:pPr>
      <w:r>
        <w:t xml:space="preserve">Chapter 3. Theory: ROI, Thresholds, and Stock-Flow Dynamics</w:t>
      </w:r>
    </w:p>
    <w:bookmarkEnd w:id="75"/>
    <w:bookmarkStart w:id="81" w:name="Xfbead0e13ada21f721a46b478741c23d1c8751f"/>
    <w:p>
      <w:pPr>
        <w:pStyle w:val="Heading1"/>
        <w:spacing w:line="480" w:lineRule="auto"/>
      </w:pPr>
      <w:r>
        <w:t xml:space="preserve">Chapter 3. Theory: ROI, Thresholds, and Stock-Flow Dynamics</w:t>
      </w:r>
    </w:p>
    <w:p>
      <w:pPr>
        <w:pStyle w:val="FirstParagraph"/>
        <w:spacing w:line="480" w:lineRule="auto"/>
      </w:pPr>
      <w:r>
        <w:t xml:space="preserve">Remediation ROI needs a definition before it can be measured, and the definition this chapter offers is a test rather than a slogan. Noor Zhang, 1B-SDA-144, asks whether positive removals actually exceed additions once residual risk and cost are counted against them.</w:t>
      </w:r>
    </w:p>
    <w:p>
      <w:pPr>
        <w:pStyle w:val="BodyText"/>
        <w:spacing w:line="480" w:lineRule="auto"/>
        <w:ind w:firstLine="720"/>
      </w:pPr>
      <w:r>
        <w:t xml:space="preserve">Stated that plainly, the stock-flow theory of remediation becomes something an agency can pass or fail, and the chapter builds it in stages that leave the existing evidence base untouched</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21">
        <w:r>
          <w:rPr>
            <w:rStyle w:val="Hyperlink"/>
          </w:rPr>
          <w:t xml:space="preserve">[21]</w:t>
        </w:r>
      </w:hyperlink>
      <w:r>
        <w:t xml:space="preserve">. The theory rests on an accounting identity that most debris rhetoric skips.</w:t>
      </w:r>
    </w:p>
    <w:p>
      <w:pPr>
        <w:pStyle w:val="BodyText"/>
        <w:spacing w:line="480" w:lineRule="auto"/>
        <w:ind w:firstLine="720"/>
      </w:pPr>
      <w:r>
        <w:t xml:space="preserve">In any year, stock rises by additions, falls by natural decay, and falls further by funded removals; whether the environment improves is the sign of that sum, not the size of the removal term alone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21">
        <w:r>
          <w:rPr>
            <w:rStyle w:val="Hyperlink"/>
          </w:rPr>
          <w:t xml:space="preserve">[21]</w:t>
        </w:r>
      </w:hyperlink>
      <w:r>
        <w:t xml:space="preserve">. A program that removes objects while additions outrun the combined decay and removal is spending money to slow a rise, not to reverse it, and honest ROI accounting has to say so. What turns the identity into a test is the insistence on counting all four terms at once. Additions continue, decay continues, funded missions arrive at a finite cadence, and the environmental return depends on whether the selected targets shed risk faster than the regime replaces it. The theory refuses to credit a removal until it has been netted against additions, discounted for the residual risk it leaves behind, and normalized by what it cost, which is how the chapter carries the reader from a catalog baseline to a labeled outcome without editing any paper estimate or reference in the shared pool.</w:t>
      </w:r>
    </w:p>
    <w:p>
      <w:pPr>
        <w:pStyle w:val="BodyText"/>
        <w:spacing w:line="480" w:lineRule="auto"/>
        <w:ind w:firstLine="720"/>
      </w:pPr>
      <w:r>
        <w:t xml:space="preserve">The claim is a test, and a test earns its authority by being failable. Its grounds are the source-traced rows the empirical chapters supply, its warrant is the stock-flow identity itself, and its backing sits in the environment and active-removal literatures that give the terms their values</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21">
        <w:r>
          <w:rPr>
            <w:rStyle w:val="Hyperlink"/>
          </w:rPr>
          <w:t xml:space="preserve">[21]</w:t>
        </w:r>
      </w:hyperlink>
      <w:r>
        <w:t xml:space="preserve">. The qualifier is that tracked data populates the identity for the resolved population, not for the sub-catalog flux that no public catalog sees. Scale is what the test measures. A removal that is large against a shell’s growth means one thing; the same removal against a faster-growing shell means another. So the theory attaches a label only after three checks: removals per year set against the observed hurdle, targets examined for persistence and crowding, and the size-area proxy distinguished from physical mass. Pilot, targeted risk reduction, or stabilization: the name is an output of the test, never an input.</w:t>
      </w:r>
    </w:p>
    <w:bookmarkStart w:id="76" w:name="evidence-context-2"/>
    <w:p>
      <w:pPr>
        <w:pStyle w:val="Heading2"/>
        <w:spacing w:line="480" w:lineRule="auto"/>
      </w:pPr>
      <w:r>
        <w:t xml:space="preserve">Evidence context</w:t>
      </w:r>
    </w:p>
    <w:p>
      <w:pPr>
        <w:pStyle w:val="FirstParagraph"/>
        <w:spacing w:line="480" w:lineRule="auto"/>
      </w:pPr>
      <w:r>
        <w:t xml:space="preserve">The environment reporting supplies the values the identity needs and the caution the theory respects. It says where the population sits and how it has moved, and it insists that a tracked count is not the whole risk field</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21">
        <w:r>
          <w:rPr>
            <w:rStyle w:val="Hyperlink"/>
          </w:rPr>
          <w:t xml:space="preserve">[21]</w:t>
        </w:r>
      </w:hyperlink>
      <w:r>
        <w:t xml:space="preserve">.</w:t>
      </w:r>
    </w:p>
    <w:p>
      <w:pPr>
        <w:pStyle w:val="BodyText"/>
        <w:spacing w:line="480" w:lineRule="auto"/>
        <w:ind w:firstLine="720"/>
      </w:pPr>
      <w:r>
        <w:t xml:space="preserve">A stock-flow test that forgot that caution would balance an equation over the wrong population. The discipline is to keep every term honest about its provenance. Radar cross-section is a size-area proxy feeding the risk term. Rocket bodies are the tracked class whose fragmentation dominates the consequence side. SATCAT anchors the stock term but is not ORDEM, MASTER, or a collision-evolution model. The theory names each so that a reader can see which term rests on observation and which on inference. The identity has four terms, and the analysis keeps six categories around them so nothing blurs. Context is the environment. Assumptions are the cadence and configuration choices. Variables are the source-traced rows. Evidence is the estimator output. Risk is shell persistence and target consequence.</w:t>
      </w:r>
    </w:p>
    <w:p>
      <w:pPr>
        <w:pStyle w:val="BodyText"/>
        <w:spacing w:line="480" w:lineRule="auto"/>
        <w:ind w:firstLine="720"/>
      </w:pPr>
      <w:r>
        <w:t xml:space="preserve">Next use is the cost-normalized comparison that turns the balance into a funding judgment</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21">
        <w:r>
          <w:rPr>
            <w:rStyle w:val="Hyperlink"/>
          </w:rPr>
          <w:t xml:space="preserve">[21]</w:t>
        </w:r>
      </w:hyperlink>
      <w:r>
        <w:t xml:space="preserve">. Pace follows function. A short paragraph can state which term dominates a given case; a longer one is needed to walk the identity through a realistic cadence. The chapter aims to hand a program reader a test, not another reminder that the arithmetic of orbit is unforgiving. Cost is the term that keeps the test from flattering itself. A single removal of an unusually consequential object can pass the risk side of the ledger and still fail the cadence side, which makes it a targeted risk reduction rather than a stabilization</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21">
        <w:r>
          <w:rPr>
            <w:rStyle w:val="Hyperlink"/>
          </w:rPr>
          <w:t xml:space="preserve">[21]</w:t>
        </w:r>
      </w:hyperlink>
      <w:r>
        <w:t xml:space="preserve">. The theory labels it accordingly instead of letting the risk term stand in for the whole. Grounds, warrant, and backing hold under that pressure. Rows supply the grounds, the identity supplies the warrant, and the literatures supply the backing. The qualifier stays visible, because a test run on tracked objects should never present itself as a test over the entire flux field.</w:t>
      </w:r>
    </w:p>
    <w:bookmarkEnd w:id="76"/>
    <w:bookmarkStart w:id="77" w:name="program-reading-2"/>
    <w:p>
      <w:pPr>
        <w:pStyle w:val="Heading2"/>
        <w:spacing w:line="480" w:lineRule="auto"/>
      </w:pPr>
      <w:r>
        <w:t xml:space="preserve">Program reading</w:t>
      </w:r>
    </w:p>
    <w:p>
      <w:pPr>
        <w:pStyle w:val="FirstParagraph"/>
        <w:spacing w:line="480" w:lineRule="auto"/>
      </w:pPr>
      <w:r>
        <w:t xml:space="preserve">Does an appropriation buy down more risk than it leaves behind? Cadence is the term the finance world actually controls, so it is the hinge of the program reading. An appropriation fixes how many removals a year the identity gets to subtract, and the test asks whether that number clears the additions-plus-residual hurdle the catalog reveals</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21">
        <w:r>
          <w:rPr>
            <w:rStyle w:val="Hyperlink"/>
          </w:rPr>
          <w:t xml:space="preserve">[21]</w:t>
        </w:r>
      </w:hyperlink>
      <w:r>
        <w:t xml:space="preserve">. The theory’s job is to make that clearance checkable. The six categories carry the reading. Context stays the environment, assumption the cadence, variable the measurable stock or proxy, evidence the estimator output, risk the gap between removal rate and growth, and next use the cost-normalized comparison. Kept distinct, they show a sponsor precisely which term a program’s ROI claim depends on. The stock-flow identity is a strong warrant because it cannot be argued around. Name the class, measure the terms, and the sign of the balance is fixed</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21">
        <w:r>
          <w:rPr>
            <w:rStyle w:val="Hyperlink"/>
          </w:rPr>
          <w:t xml:space="preserve">[21]</w:t>
        </w:r>
      </w:hyperlink>
      <w:r>
        <w:t xml:space="preserve">. That is the property that lets remediation ROI be a test rather than an assertion. The recheck guards the proxy chain feeding the risk term.</w:t>
      </w:r>
    </w:p>
    <w:p>
      <w:pPr>
        <w:pStyle w:val="BodyText"/>
        <w:spacing w:line="480" w:lineRule="auto"/>
        <w:ind w:firstLine="720"/>
      </w:pPr>
      <w:r>
        <w:t xml:space="preserve">Cross-section approximates size, size approximates area, area feeds collision probability, and each link is an approximation the theory names in place. Explicit, the chain lets a reader weigh how much of the balance rests on observation. Target selection decides which values enter the identity, and two programs with identical removal counts can produce opposite balances depending on which shells they clear</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21">
        <w:r>
          <w:rPr>
            <w:rStyle w:val="Hyperlink"/>
          </w:rPr>
          <w:t xml:space="preserve">[21]</w:t>
        </w:r>
      </w:hyperlink>
      <w:r>
        <w:t xml:space="preserve">. The count is the term that tells you least; the target value and the shell it sits in tell you most. The theory compresses without softening. Short paragraphs mark the gates the balance has to clear; longer ones carry the identity from row to return. The compression leaves a decision standard a sponsor can test against a budget rather than an impression of rigor.</w:t>
      </w:r>
    </w:p>
    <w:bookmarkEnd w:id="77"/>
    <w:bookmarkStart w:id="78" w:name="implementation-2"/>
    <w:p>
      <w:pPr>
        <w:pStyle w:val="Heading2"/>
        <w:spacing w:line="480" w:lineRule="auto"/>
      </w:pPr>
      <w:r>
        <w:t xml:space="preserve">Implementation</w:t>
      </w:r>
    </w:p>
    <w:p>
      <w:pPr>
        <w:pStyle w:val="FirstParagraph"/>
        <w:spacing w:line="480" w:lineRule="auto"/>
      </w:pPr>
      <w:r>
        <w:t xml:space="preserve">Risk language enters the identity as a term, so the theory fixes it. A tracked risk is a probability, not a fate; a persistent shell is slow to clear, not eternal; a high-consequence target keeps its consequence whether or not the current cadence reaches it</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21">
        <w:r>
          <w:rPr>
            <w:rStyle w:val="Hyperlink"/>
          </w:rPr>
          <w:t xml:space="preserve">[21]</w:t>
        </w:r>
      </w:hyperlink>
      <w:r>
        <w:t xml:space="preserve">. Fixed, these keep the test auditable. Grounds, warrant, and backing survive the move into implementation. The rows still supply the grounds, the identity still connects them, and the literatures still frame them. The qualifier still marks where the test stops and where implementation must add feasibility, ownership clearance, capture technology, and disposal design. Reproducibility is why the test lives on the public catalog. Anyone can populate the identity from the same rows, run the same estimators, and check the same sign, which is what makes a remediation ROI verdict defensible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21">
        <w:r>
          <w:rPr>
            <w:rStyle w:val="Hyperlink"/>
          </w:rPr>
          <w:t xml:space="preserve">[21]</w:t>
        </w:r>
      </w:hyperlink>
      <w:r>
        <w:t xml:space="preserve">. A private dataset would trade that auditability for a precision the theory does not need. The six variables close the loop.</w:t>
      </w:r>
    </w:p>
    <w:p>
      <w:pPr>
        <w:pStyle w:val="BodyText"/>
        <w:spacing w:line="480" w:lineRule="auto"/>
        <w:ind w:firstLine="720"/>
      </w:pPr>
      <w:r>
        <w:t xml:space="preserve">Each traces to a source, the source column stays last, and the evidence is stable while only its use shifts as the chapter moves from identity to program judgment. An agency scores a portfolio against the identity, not a single removal. Paper 1 supplies the concentrated size-proxy pressure that sets the risk term; Paper 2 supplies the stock growth that sets the additions term. The program test then compares removals per year, target value, mission cost, and residual risk before crediting any ROI claim</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21">
        <w:r>
          <w:rPr>
            <w:rStyle w:val="Hyperlink"/>
          </w:rPr>
          <w:t xml:space="preserve">[21]</w:t>
        </w:r>
      </w:hyperlink>
      <w:r>
        <w:t xml:space="preserve">. Scale decides the label. Kept apart, the variables show which term a program moves: context the environment, assumption the cadence, variable the measurable stock or proxy, evidence the estimator output, risk the gap between removal and growth, next use the cost-normalized comparison. Scored this way, the identity cannot be gamed by a large removal term alone.</w:t>
      </w:r>
    </w:p>
    <w:bookmarkEnd w:id="78"/>
    <w:bookmarkStart w:id="79" w:name="cost-realism-2"/>
    <w:p>
      <w:pPr>
        <w:pStyle w:val="Heading2"/>
        <w:spacing w:line="480" w:lineRule="auto"/>
      </w:pPr>
      <w:r>
        <w:t xml:space="preserve">Cost realism</w:t>
      </w:r>
    </w:p>
    <w:p>
      <w:pPr>
        <w:pStyle w:val="FirstParagraph"/>
        <w:spacing w:line="480" w:lineRule="auto"/>
      </w:pPr>
      <w:r>
        <w:t xml:space="preserve">Thin evidence is a removal term reported without its offsetting additions and residual risk</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21">
        <w:r>
          <w:rPr>
            <w:rStyle w:val="Hyperlink"/>
          </w:rPr>
          <w:t xml:space="preserve">[21]</w:t>
        </w:r>
      </w:hyperlink>
      <w:r>
        <w:t xml:space="preserve">. The theory’s correction is to complete the ledger before scoring: price the removals, count what they leave behind, and only then read the sign. The recheck holds the identity intact. Remove fewer than the hurdle and the program can still earn its budget, but its claim moves from stabilization to demonstration or targeted risk reduction. That move is the qualifier keeping the ROI verdict faithful to the arithmetic. The baseline that populates the risk term is tracked, public, and reproducible by design</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21">
        <w:r>
          <w:rPr>
            <w:rStyle w:val="Hyperlink"/>
          </w:rPr>
          <w:t xml:space="preserve">[21]</w:t>
        </w:r>
      </w:hyperlink>
      <w:r>
        <w:t xml:space="preserve">. A proxy anyone can re-derive is what lets a stock-flow verdict carry weight in a budget room. The closing logic makes the test portable. Short paragraphs mark the gates; longer ones carry the identity’s reasoning; the result is a standard a sponsor can test rather than a theory they must accept.</w:t>
      </w:r>
    </w:p>
    <w:p>
      <w:pPr>
        <w:pStyle w:val="BodyText"/>
        <w:spacing w:line="480" w:lineRule="auto"/>
        <w:ind w:firstLine="720"/>
      </w:pPr>
      <w:r>
        <w:t xml:space="preserve">Nothing in this layer changes the paper findings; it sharpens how the identity uses them</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21">
        <w:r>
          <w:rPr>
            <w:rStyle w:val="Hyperlink"/>
          </w:rPr>
          <w:t xml:space="preserve">[21]</w:t>
        </w:r>
      </w:hyperlink>
      <w:r>
        <w:t xml:space="preserve">. Downstream integrity checks enforce that separation over every coefficient and citation. Model humility stays in view. SATCAT is a tracked-object catalog. ORDEM and MASTER remain environment models. Active-removal planning still turns on feasibility, ownership clearance, capture technology, and disposal design. The theory keeps those boundaries lit so a balanced identity is never mistaken for a complete plan.</w:t>
      </w:r>
    </w:p>
    <w:bookmarkEnd w:id="79"/>
    <w:bookmarkStart w:id="80" w:name="governance-handoff-2"/>
    <w:p>
      <w:pPr>
        <w:pStyle w:val="Heading2"/>
        <w:spacing w:line="480" w:lineRule="auto"/>
      </w:pPr>
      <w:r>
        <w:t xml:space="preserve">Governance handoff</w:t>
      </w:r>
    </w:p>
    <w:p>
      <w:pPr>
        <w:pStyle w:val="FirstParagraph"/>
        <w:spacing w:line="480" w:lineRule="auto"/>
      </w:pPr>
      <w:r>
        <w:t xml:space="preserve">Labels are the identity’s governance output. Pilot, targeted reduction, and stabilization name distinct signs and margins of the balance, and an agency that blurs them funds one and reports another</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21">
        <w:r>
          <w:rPr>
            <w:rStyle w:val="Hyperlink"/>
          </w:rPr>
          <w:t xml:space="preserve">[21]</w:t>
        </w:r>
      </w:hyperlink>
      <w:r>
        <w:t xml:space="preserve">. Naming the state correctly is where accountable governance starts. The prose hands off cleanly. The evidence stays stable while the cadence of the writing shifts enough to read like a finished theory chapter, and the identity arrives at governance with its warrant, qualifier, and threshold intact. The chapter closes on the rule the identity implies. Name the target class, measure the stock-flow baseline, price the removals, and label the program only once those three facts are visible</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 The ladder follows.</w:t>
      </w:r>
    </w:p>
    <w:p>
      <w:pPr>
        <w:pStyle w:val="BodyText"/>
        <w:spacing w:line="480" w:lineRule="auto"/>
        <w:ind w:firstLine="720"/>
      </w:pPr>
      <w:r>
        <w:t xml:space="preserve">A funded cadence far below the baseline makes the program a pilot, unless a selected object carries unusual risk; a cadence near the baseline makes it targeted risk reduction; a cadence above the baseline clearing high-consequence targets in persistent shells earns evaluation as remediation with a plausible environmental ROI claim</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 Each rung is a fact the reader can check against the identity. The theory ends on the test it opened with. It builds stock-flow theory for remediation ROI through additions, decays, removals, shell persistence, target risk, and cost-normalized benefit, and it preserves the threshold test at every layer: ROI depends on funded cadence, target value, stock-flow balance, and evidence that the selected objects change the risk trajectory</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21">
        <w:r>
          <w:rPr>
            <w:rStyle w:val="Hyperlink"/>
          </w:rPr>
          <w:t xml:space="preserve">[21]</w:t>
        </w:r>
      </w:hyperlink>
      <w:r>
        <w:t xml:space="preserve">. The short version guides the empirical chapters. A mission can succeed without proving a program pays.</w:t>
      </w:r>
    </w:p>
    <w:bookmarkEnd w:id="80"/>
    <w:bookmarkEnd w:id="81"/>
    <w:bookmarkStart w:id="82" w:name="chapter-4.-data-and-identification"/>
    <w:p>
      <w:pPr>
        <w:pStyle w:val="Heading1"/>
        <w:spacing w:line="480" w:lineRule="auto"/>
      </w:pPr>
      <w:r>
        <w:t xml:space="preserve">Chapter 4. Data and Identification</w:t>
      </w:r>
    </w:p>
    <w:bookmarkEnd w:id="82"/>
    <w:bookmarkStart w:id="88" w:name="chapter-4.-data-and-identification-1"/>
    <w:p>
      <w:pPr>
        <w:pStyle w:val="Heading1"/>
        <w:spacing w:line="480" w:lineRule="auto"/>
      </w:pPr>
      <w:r>
        <w:t xml:space="preserve">Chapter 4. Data and Identification</w:t>
      </w:r>
    </w:p>
    <w:p>
      <w:pPr>
        <w:pStyle w:val="FirstParagraph"/>
        <w:spacing w:line="480" w:lineRule="auto"/>
      </w:pPr>
      <w:r>
        <w:t xml:space="preserve">Every threshold in this dissertation rests on a baseline someone else can rebuild, and this chapter says exactly what that baseline is made of. Noor Zhang, 1B-SDA-144, anchors the analysis in a transparent large-object record: SATCAT rows for derelict targeting, and a rocket-body stock series for the growth side. The chapter assembles that anchor in stages that keep the existing evidence base intact</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21">
        <w:r>
          <w:rPr>
            <w:rStyle w:val="Hyperlink"/>
          </w:rPr>
          <w:t xml:space="preserve">[21]</w:t>
        </w:r>
      </w:hyperlink>
      <w:r>
        <w:t xml:space="preserve">. Identification is the quiet half of an empirical argument, and it is where most debris estimates lose their footing. The chapter builds its anchor from named inputs: SATCAT rows, a radar cross-section proxy standing in for size, shell binning above the 100 km altitude floor, an annual rocket-body stock series, and a learning-curve estimator for the growth trend</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21">
        <w:r>
          <w:rPr>
            <w:rStyle w:val="Hyperlink"/>
          </w:rPr>
          <w:t xml:space="preserve">[21]</w:t>
        </w:r>
      </w:hyperlink>
      <w:r>
        <w:t xml:space="preserve">. Naming each input is what lets a reader retrace the path from raw catalog to reported coefficient. The reason the detail matters is that identification failures hide in the gaps between those inputs. A proxy quietly treated as a measurement, a shell boundary chosen after seeing the result, a stock series that mixes definitions across years: each can manufacture a finding that no honest baseline would support. The chapter forecloses that by fixing every input before it estimates anything, which is how it carries the reader from catalog row to labeled outcome without altering a paper estimate or a reference in the shared pool.</w:t>
      </w:r>
    </w:p>
    <w:p>
      <w:pPr>
        <w:pStyle w:val="BodyText"/>
        <w:spacing w:line="480" w:lineRule="auto"/>
        <w:ind w:firstLine="720"/>
      </w:pPr>
      <w:r>
        <w:t xml:space="preserve">The claim about the data is modest on purpose. Its grounds are the source-traced rows, its warrant is that a tracked, reproducible baseline can support a threshold, and its backing sits in the catalog documentation and the environment literature that give the rows meaning</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21">
        <w:r>
          <w:rPr>
            <w:rStyle w:val="Hyperlink"/>
          </w:rPr>
          <w:t xml:space="preserve">[21]</w:t>
        </w:r>
      </w:hyperlink>
      <w:r>
        <w:t xml:space="preserve">. The qualifier is unavoidable: the anchor captures tracked objects, not the sub-catalog flux that falls below the resolution of the sensors. Scale is what the anchor is built to support. A baseline that measures the wrong population, or measures the right one imprecisely, cannot bear a stabilization claim however carefully the downstream math is done. So the chapter states, for each input, whether it is an observation or a proxy, and it distinguishes the size-area proxy from physical mass wherever mass would change the reading. The label a program eventually earns depends on the honesty of these choices as much as on the arithmetic that follows.</w:t>
      </w:r>
    </w:p>
    <w:bookmarkStart w:id="83" w:name="evidence-context-3"/>
    <w:p>
      <w:pPr>
        <w:pStyle w:val="Heading2"/>
        <w:spacing w:line="480" w:lineRule="auto"/>
      </w:pPr>
      <w:r>
        <w:t xml:space="preserve">Evidence context</w:t>
      </w:r>
    </w:p>
    <w:p>
      <w:pPr>
        <w:pStyle w:val="FirstParagraph"/>
        <w:spacing w:line="480" w:lineRule="auto"/>
      </w:pPr>
      <w:r>
        <w:t xml:space="preserve">The environment reporting frames what the anchor can and cannot see. It locates the tracked population and warns that tracking is not the whole risk field, which is the same caution that governs every chapter but bites hardest here, where the data itself is under construction</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21">
        <w:r>
          <w:rPr>
            <w:rStyle w:val="Hyperlink"/>
          </w:rPr>
          <w:t xml:space="preserve">[21]</w:t>
        </w:r>
      </w:hyperlink>
      <w:r>
        <w:t xml:space="preserve">. An anchor that forgot the caution would present a partial census as a complete one. The discipline is to keep each input labeled by its provenance. Radar cross-section is a size-area proxy, not a caliper. Rocket bodies are the tracked class whose consequence justifies their prominence in the growth series. SATCAT is a reproducible catalog and nothing more; it is not ORDEM, not MASTER, not a collision-evolution model. The chapter marks each so the identification cannot be mistaken for something it is not. The anchor feeds six categories that stay separate through every later chapter. Context is the environment. Assumptions are the shell and stock-series definitions. Variables are the source-traced rows themselves. Evidence is what the estimators return from those rows.</w:t>
      </w:r>
    </w:p>
    <w:p>
      <w:pPr>
        <w:pStyle w:val="BodyText"/>
        <w:spacing w:line="480" w:lineRule="auto"/>
        <w:ind w:firstLine="720"/>
      </w:pPr>
      <w:r>
        <w:t xml:space="preserve">Risk is shell persistence and target consequence. Next use is the budget comparison the program chapters run</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21">
        <w:r>
          <w:rPr>
            <w:rStyle w:val="Hyperlink"/>
          </w:rPr>
          <w:t xml:space="preserve">[21]</w:t>
        </w:r>
      </w:hyperlink>
      <w:r>
        <w:t xml:space="preserve">.</w:t>
      </w:r>
    </w:p>
    <w:p>
      <w:pPr>
        <w:pStyle w:val="BodyText"/>
        <w:spacing w:line="480" w:lineRule="auto"/>
        <w:ind w:firstLine="720"/>
      </w:pPr>
      <w:r>
        <w:t xml:space="preserve">The writing changes pace to keep identification readable. A short paragraph can pin down a single definition; a longer one is needed to justify a binning choice or a stock-series construction. The aim is an anchor a program reader can trust, not a methods section that buries its choices under generality. Cost discipline reaches back into identification, because an anchor built to flatter a program is worse than no anchor at all</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21">
        <w:r>
          <w:rPr>
            <w:rStyle w:val="Hyperlink"/>
          </w:rPr>
          <w:t xml:space="preserve">[21]</w:t>
        </w:r>
      </w:hyperlink>
      <w:r>
        <w:t xml:space="preserve">. The chapter refuses conveniences that would inflate the apparent return: no illustrative rows padding the sample, no shell boundary tuned to a hoped-for coefficient, no proxy silently promoted to a measurement. Grounds, warrant, and backing hold under that refusal. The rows supply the grounds, reproducibility supplies the warrant, and the documentation supplies the backing. The qualifier stays visible, because a baseline of tracked objects should never present itself as a baseline over the entire flux field.</w:t>
      </w:r>
    </w:p>
    <w:bookmarkEnd w:id="83"/>
    <w:bookmarkStart w:id="84" w:name="program-reading-3"/>
    <w:p>
      <w:pPr>
        <w:pStyle w:val="Heading2"/>
        <w:spacing w:line="480" w:lineRule="auto"/>
      </w:pPr>
      <w:r>
        <w:t xml:space="preserve">Program reading</w:t>
      </w:r>
    </w:p>
    <w:p>
      <w:pPr>
        <w:pStyle w:val="FirstParagraph"/>
        <w:spacing w:line="480" w:lineRule="auto"/>
      </w:pPr>
      <w:r>
        <w:t xml:space="preserve">What, exactly, counts as an addition in a given year? Cadence is what the growth series exists to inform, so the program reading depends on getting the stock construction right. The rocket-body series has to define, consistently across years, what counts as an addition, what counts as a decay, and what counts as end-year stock, because a cadence hurdle is only as trustworthy as those definitions</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21">
        <w:r>
          <w:rPr>
            <w:rStyle w:val="Hyperlink"/>
          </w:rPr>
          <w:t xml:space="preserve">[21]</w:t>
        </w:r>
      </w:hyperlink>
      <w:r>
        <w:t xml:space="preserve">. The chapter fixes them once and holds them. The six categories carry the reading. Context stays the environment, assumption the series definitions, variable the measurable stock or proxy, evidence the estimator output, risk the gap between removal rate and growth, next use the budget comparison. Kept distinct, they let a sponsor see that a cadence hurdle traces to a defined series rather than a convenient one. The warrant here is that a reproducible baseline can carry a threshold, and it survives scrutiny only if reproducibility is real. Anyone with the catalog can pull the same rows, apply the same shell floor, and rebuild the same stock series</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21">
        <w:r>
          <w:rPr>
            <w:rStyle w:val="Hyperlink"/>
          </w:rPr>
          <w:t xml:space="preserve">[21]</w:t>
        </w:r>
      </w:hyperlink>
      <w:r>
        <w:t xml:space="preserve">. That is the property that makes the anchor defensible rather than asserted. The recheck follows the proxy chain into the data.</w:t>
      </w:r>
    </w:p>
    <w:p>
      <w:pPr>
        <w:pStyle w:val="BodyText"/>
        <w:spacing w:line="480" w:lineRule="auto"/>
        <w:ind w:firstLine="720"/>
      </w:pPr>
      <w:r>
        <w:t xml:space="preserve">Cross-section approximates size, size approximates area, area feeds the risk term the later chapters use, and each link is an approximation the chapter names at the point of measurement. Explicit, the chain lets a reader weigh how much of the baseline rests on observation.</w:t>
      </w:r>
    </w:p>
    <w:p>
      <w:pPr>
        <w:pStyle w:val="BodyText"/>
        <w:spacing w:line="480" w:lineRule="auto"/>
        <w:ind w:firstLine="720"/>
      </w:pPr>
      <w:r>
        <w:t xml:space="preserve">Target identification is where the anchor becomes selective, and the chapter is careful that selection follows a rule rather than a result</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21">
        <w:r>
          <w:rPr>
            <w:rStyle w:val="Hyperlink"/>
          </w:rPr>
          <w:t xml:space="preserve">[21]</w:t>
        </w:r>
      </w:hyperlink>
      <w:r>
        <w:t xml:space="preserve">. Two analysts working the same rows should identify the same candidate targets; if they would not, the identification is doing hidden work the reader cannot audit. The chapter compresses without softening. Short paragraphs mark the definitional gates the data has to pass; longer ones carry the construction of the stock series and the shell bins. The compression leaves an anchor a sponsor can test against the raw catalog rather than a methods narrative they must take on trust.</w:t>
      </w:r>
    </w:p>
    <w:bookmarkEnd w:id="84"/>
    <w:bookmarkStart w:id="85" w:name="implementation-3"/>
    <w:p>
      <w:pPr>
        <w:pStyle w:val="Heading2"/>
        <w:spacing w:line="480" w:lineRule="auto"/>
      </w:pPr>
      <w:r>
        <w:t xml:space="preserve">Implementation</w:t>
      </w:r>
    </w:p>
    <w:p>
      <w:pPr>
        <w:pStyle w:val="FirstParagraph"/>
        <w:spacing w:line="480" w:lineRule="auto"/>
      </w:pPr>
      <w:r>
        <w:t xml:space="preserve">Risk language enters the data as labels on rows, so the chapter fixes those labels first. A tracked object carries a probability of consequence, not a certainty; a persistent shell clears slowly, not never; a high-consequence body keeps its consequence independent of any mission plan</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21">
        <w:r>
          <w:rPr>
            <w:rStyle w:val="Hyperlink"/>
          </w:rPr>
          <w:t xml:space="preserve">[21]</w:t>
        </w:r>
      </w:hyperlink>
      <w:r>
        <w:t xml:space="preserve">. Fixed at the row level, these keep the whole downstream analysis auditable. Grounds, warrant, and backing survive the move toward use. The rows still supply the grounds, reproducibility still connects them to a threshold, and the documentation still frames them. The qualifier still marks where the data stops and where implementation must add feasibility, ownership clearance, capture technology, and disposal design. Reproducibility is the whole point of the anchor, so the chapter closes on it. The baseline is tracked, public, and rebuildable from the same rows, which is what lets an inspector or a sponsor check the identification rather than accept it</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21">
        <w:r>
          <w:rPr>
            <w:rStyle w:val="Hyperlink"/>
          </w:rPr>
          <w:t xml:space="preserve">[21]</w:t>
        </w:r>
      </w:hyperlink>
      <w:r>
        <w:t xml:space="preserve">. A private dataset would buy precision at the cost of the auditability the argument is built on. The six variables close the loop.</w:t>
      </w:r>
    </w:p>
    <w:p>
      <w:pPr>
        <w:pStyle w:val="BodyText"/>
        <w:spacing w:line="480" w:lineRule="auto"/>
        <w:ind w:firstLine="720"/>
      </w:pPr>
      <w:r>
        <w:t xml:space="preserve">Each traces to a source, the source column stays last in every table, and the evidence is stable while its use shifts as the chapter hands the anchor to the estimators. The anchor is built to be scored as a portfolio, not admired as a dataset.</w:t>
      </w:r>
    </w:p>
    <w:p>
      <w:pPr>
        <w:pStyle w:val="BodyText"/>
        <w:spacing w:line="480" w:lineRule="auto"/>
        <w:ind w:firstLine="720"/>
      </w:pPr>
      <w:r>
        <w:t xml:space="preserve">Paper 1 will read concentrated size-proxy pressure off these rows; Paper 2 will read stock growth off this series. The program test that follows compares removals per year, target value, mission cost, and residual risk, and it can only do so honestly if the underlying identification was honest first</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21">
        <w:r>
          <w:rPr>
            <w:rStyle w:val="Hyperlink"/>
          </w:rPr>
          <w:t xml:space="preserve">[21]</w:t>
        </w:r>
      </w:hyperlink>
      <w:r>
        <w:t xml:space="preserve">. Scale decides the label downstream, but the data decides whether that label can be trusted. Kept apart, the variables show which lever the later analysis pulls: context the environment, assumption the definitions, variable the measurable stock or proxy, evidence the estimator output, risk the gap between removal and growth, next use the budget comparison. A clean anchor is what keeps a demonstration from later dressing as a stabilization.</w:t>
      </w:r>
    </w:p>
    <w:bookmarkEnd w:id="85"/>
    <w:bookmarkStart w:id="86" w:name="cost-realism-3"/>
    <w:p>
      <w:pPr>
        <w:pStyle w:val="Heading2"/>
        <w:spacing w:line="480" w:lineRule="auto"/>
      </w:pPr>
      <w:r>
        <w:t xml:space="preserve">Cost realism</w:t>
      </w:r>
    </w:p>
    <w:p>
      <w:pPr>
        <w:pStyle w:val="FirstParagraph"/>
        <w:spacing w:line="480" w:lineRule="auto"/>
      </w:pPr>
      <w:r>
        <w:t xml:space="preserve">Thin evidence often starts as a thin baseline: a sample padded with illustrative rows, a series whose definitions drift year to year</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21">
        <w:r>
          <w:rPr>
            <w:rStyle w:val="Hyperlink"/>
          </w:rPr>
          <w:t xml:space="preserve">[21]</w:t>
        </w:r>
      </w:hyperlink>
      <w:r>
        <w:t xml:space="preserve">. The chapter’s correction is upstream. Use only real aggregate observations, hold the definitions fixed, and put the source column last so the padding cannot hide. The recheck holds the identification intact. If the anchor supports fewer confident rows than a program would like, the honest response is a narrower claim, not a padded sample. That restraint is the qualifier working at the level of the data. The baseline is tracked, public, and reproducible by design, and those three properties are chosen precisely so a proxy can carry weight</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21">
        <w:r>
          <w:rPr>
            <w:rStyle w:val="Hyperlink"/>
          </w:rPr>
          <w:t xml:space="preserve">[21]</w:t>
        </w:r>
      </w:hyperlink>
      <w:r>
        <w:t xml:space="preserve">. An anchor anyone can re-derive is what lets the later thresholds survive a budget-room challenge. The closing logic makes the anchor portable. Short paragraphs mark the definitional gates; longer ones carry the construction; the result is a baseline a sponsor can rebuild rather than a dataset they must accept.</w:t>
      </w:r>
    </w:p>
    <w:p>
      <w:pPr>
        <w:pStyle w:val="BodyText"/>
        <w:spacing w:line="480" w:lineRule="auto"/>
        <w:ind w:firstLine="720"/>
      </w:pPr>
      <w:r>
        <w:t xml:space="preserve">Nothing in this layer changes the paper findings; it fixes the data those findings are read from</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21">
        <w:r>
          <w:rPr>
            <w:rStyle w:val="Hyperlink"/>
          </w:rPr>
          <w:t xml:space="preserve">[21]</w:t>
        </w:r>
      </w:hyperlink>
      <w:r>
        <w:t xml:space="preserve">. Downstream integrity checks enforce that the rows and coefficients survive every later edit unchanged. Model humility stays in view at the level of the data. SATCAT is a tracked-object catalog. ORDEM and MASTER remain environment models. Active-removal planning still turns on feasibility, ownership clearance, capture technology, and disposal design, none of which the anchor supplies. The chapter keeps those boundaries lit so a clean baseline is never mistaken for a complete plan.</w:t>
      </w:r>
    </w:p>
    <w:bookmarkEnd w:id="86"/>
    <w:bookmarkStart w:id="87" w:name="governance-handoff-3"/>
    <w:p>
      <w:pPr>
        <w:pStyle w:val="Heading2"/>
        <w:spacing w:line="480" w:lineRule="auto"/>
      </w:pPr>
      <w:r>
        <w:t xml:space="preserve">Governance handoff</w:t>
      </w:r>
    </w:p>
    <w:p>
      <w:pPr>
        <w:pStyle w:val="FirstParagraph"/>
        <w:spacing w:line="480" w:lineRule="auto"/>
      </w:pPr>
      <w:r>
        <w:t xml:space="preserve">Labels are only as trustworthy as the data beneath them, so governance begins in identification. Pilot, targeted reduction, and stabilization are downstream names, but they inherit whatever honesty or convenience went into the rows</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21">
        <w:r>
          <w:rPr>
            <w:rStyle w:val="Hyperlink"/>
          </w:rPr>
          <w:t xml:space="preserve">[21]</w:t>
        </w:r>
      </w:hyperlink>
      <w:r>
        <w:t xml:space="preserve">. A defensible label starts with a defensible anchor. The prose hands off cleanly. The evidence stays stable while the writing’s cadence shifts enough to read like a finished data chapter, and the anchor arrives at the estimators with its definitions, its qualifier, and its provenance intact. The chapter closes on the rule the estimators will apply. Name the target class, measure the stock-flow baseline from the fixed rows, price the removals, and label the program only once those three facts are visible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21">
        <w:r>
          <w:rPr>
            <w:rStyle w:val="Hyperlink"/>
          </w:rPr>
          <w:t xml:space="preserve">[21]</w:t>
        </w:r>
      </w:hyperlink>
      <w:r>
        <w:t xml:space="preserve">. The ladder follows from the anchor.</w:t>
      </w:r>
    </w:p>
    <w:p>
      <w:pPr>
        <w:pStyle w:val="BodyText"/>
        <w:spacing w:line="480" w:lineRule="auto"/>
        <w:ind w:firstLine="720"/>
      </w:pPr>
      <w:r>
        <w:t xml:space="preserve">A funded cadence far below the baseline makes the program a pilot, unless a selected object carries unusual risk; a cadence near the baseline makes it targeted risk reduction; a cadence above the baseline clearing high-consequence targets in persistent shells earns evaluation as remediation with a plausible environmental ROI claim</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21">
        <w:r>
          <w:rPr>
            <w:rStyle w:val="Hyperlink"/>
          </w:rPr>
          <w:t xml:space="preserve">[21]</w:t>
        </w:r>
      </w:hyperlink>
      <w:r>
        <w:t xml:space="preserve">. Each rung is a fact the reader can check against the rows. The data chapter ends on the anchor it opened with. It builds a transparent large-object baseline through SATCAT rows, the RCS proxy, shells above the 100 km floor, an annual rocket-body stock series, and learning-curve estimation, and it preserves the threshold test: remediation ROI depends on funded cadence, target value, stock-flow balance, and evidence that the selected objects change the risk trajectory</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21">
        <w:r>
          <w:rPr>
            <w:rStyle w:val="Hyperlink"/>
          </w:rPr>
          <w:t xml:space="preserve">[21]</w:t>
        </w:r>
      </w:hyperlink>
      <w:r>
        <w:t xml:space="preserve">. The short version carries into the estimation chapters. A mission can succeed without proving a program pays.</w:t>
      </w:r>
    </w:p>
    <w:bookmarkEnd w:id="87"/>
    <w:bookmarkEnd w:id="88"/>
    <w:bookmarkStart w:id="89" w:name="Xdbf7b4da6370ac607549f65b6234a82b376d51e"/>
    <w:p>
      <w:pPr>
        <w:pStyle w:val="Heading1"/>
        <w:spacing w:line="480" w:lineRule="auto"/>
      </w:pPr>
      <w:r>
        <w:t xml:space="preserve">Chapter 5. Shell Concentration and Top-N Targeting</w:t>
      </w:r>
    </w:p>
    <w:bookmarkEnd w:id="89"/>
    <w:bookmarkStart w:id="97" w:name="Xbaa8cb647a47c0f4237b1610a8c5826cd364e79"/>
    <w:p>
      <w:pPr>
        <w:pStyle w:val="Heading1"/>
        <w:spacing w:line="480" w:lineRule="auto"/>
      </w:pPr>
      <w:r>
        <w:t xml:space="preserve">Chapter 5. Shell Concentration and Top-N Targeting</w:t>
      </w:r>
    </w:p>
    <w:p>
      <w:pPr>
        <w:pStyle w:val="FirstParagraph"/>
        <w:spacing w:line="480" w:lineRule="auto"/>
      </w:pPr>
      <w:r>
        <w:t xml:space="preserve">Paper 1 turns a general worry into a specific map: derelict size-proxy pressure does not spread evenly across low orbit but clusters by shell and inclination. Noor Zhang, 1B-SDA-144, reads that clustering as a reason to abandon uniform removal assumptions in favor of targeted top-N selection.</w:t>
      </w:r>
    </w:p>
    <w:p>
      <w:pPr>
        <w:pStyle w:val="BodyText"/>
        <w:spacing w:line="480" w:lineRule="auto"/>
        <w:ind w:firstLine="720"/>
      </w:pPr>
      <w:r>
        <w:t xml:space="preserve">The chapter develops that reading in stages while leaving the paper’s estimates and the shared reference pool untouched</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 If pressure were uniform, any removal would be as good as any other and a count would tell the whole story.</w:t>
      </w:r>
    </w:p>
    <w:p>
      <w:pPr>
        <w:pStyle w:val="BodyText"/>
        <w:spacing w:line="480" w:lineRule="auto"/>
        <w:ind w:firstLine="720"/>
      </w:pPr>
      <w:r>
        <w:t xml:space="preserve">It is not uniform. The concentration falls in sun-synchronous regimes, in the 700 to 1000 km shells, and in the large objects that a radar cross-section proxy flags as the heaviest contributors to future risk</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 Where an object sits, not merely that it was removed, decides how much a removal buys. That geography is what makes top-N targeting a portfolio problem rather than a tally. Additions continue, decay continues, and funded missions arrive at a finite cadence, so the return on a removal depends on whether the chosen object sits in a crowded, persistent shell or in one that would have thinned on its own.</w:t>
      </w:r>
    </w:p>
    <w:p>
      <w:pPr>
        <w:pStyle w:val="BodyText"/>
        <w:spacing w:line="480" w:lineRule="auto"/>
        <w:ind w:firstLine="720"/>
      </w:pPr>
      <w:r>
        <w:t xml:space="preserve">The chapter carries the reader from the observed clustering to a labeled program outcome without changing a single paper estimate, insisting throughout that the map, not the count, governs the decision. The claim is that targeting beats uniform assumptions, and it is bounded by the same qualifier as the rest of the dissertation. Its grounds are the Paper 1 estimates, its warrant is stock-flow balance read shell by shell, and its backing sits in the environment and active-removal literatures</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 Tracked-object evidence sees the resolved population, not the sub-catalog flux, and the targeting logic inherits that boundary. Scale is where targeting earns its advantage. A removal that clears a crowded, persistent shell shifts the balance more than the same removal in a sparse one, so the label attaches only after the analyst compares removals per year to the shell-specific hurdle, checks persistence and crowding, and distinguishes the size-area proxy from physical mass. Pilot, targeted risk reduction, or stabilization: the name follows the shell, not the headline.</w:t>
      </w:r>
    </w:p>
    <w:bookmarkStart w:id="90" w:name="evidence-context-4"/>
    <w:p>
      <w:pPr>
        <w:pStyle w:val="Heading2"/>
        <w:spacing w:line="480" w:lineRule="auto"/>
      </w:pPr>
      <w:r>
        <w:t xml:space="preserve">Evidence context</w:t>
      </w:r>
    </w:p>
    <w:p>
      <w:pPr>
        <w:pStyle w:val="FirstParagraph"/>
        <w:spacing w:line="480" w:lineRule="auto"/>
      </w:pPr>
      <w:r>
        <w:t xml:space="preserve">The environment reporting locates the concentration and cautions against reading a tracked map as the entire risk field</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 That caution matters more here than anywhere, because a targeting argument is only as good as the map it targets against, and a partial map read as complete would misdirect the very selection the chapter recommends. The discipline is to keep the proxy honest. Radar cross-section approximates size, size approximates the risk a large derelict poses, and neither step is an identity. Rocket bodies remain the tracked class whose consequence justifies their weight in the map. SATCAT anchors the geography but is not ORDEM, MASTER, or a collision-evolution model. The chapter names each so the targeting rests on observation where it can and inference where it must. Targeting keeps the same six categories the dissertation uses throughout. Context is the environment. Assumptions are the mission cadence and the shell definitions. Variables are the source-traced rows behind the map. Evidence is the Paper 1 output. Risk is shell persistence and target consequence.</w:t>
      </w:r>
    </w:p>
    <w:p>
      <w:pPr>
        <w:pStyle w:val="BodyText"/>
        <w:spacing w:line="480" w:lineRule="auto"/>
        <w:ind w:firstLine="720"/>
      </w:pPr>
      <w:r>
        <w:t xml:space="preserve">Next use is the budget comparison that turns a target list into a funding profile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 The writing paces itself to the map.</w:t>
      </w:r>
    </w:p>
    <w:p>
      <w:pPr>
        <w:pStyle w:val="BodyText"/>
        <w:spacing w:line="480" w:lineRule="auto"/>
        <w:ind w:firstLine="720"/>
      </w:pPr>
      <w:r>
        <w:t xml:space="preserve">A short paragraph can name which shell dominates; a longer one is needed to explain why a coefficient in one regime outweighs a larger count in another. The chapter hands a program reader a target logic, not a restatement that debris concentrates somewhere. Cost keeps the targeting honest. A single removal in the most crowded shell can outperform a dozen in sparse ones, but a single removal is still a targeted risk reduction unless the cadence clears the shell’s hurdle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 The map tells you where to aim; it does not by itself promise stabilization. Grounds, warrant, and backing hold. The Paper 1 estimates supply the grounds, shell-wise balance supplies the warrant, and the literatures supply the backing. The qualifier stays visible, because a targeting map built on tracked objects should never imply reach over the flux field it cannot see.</w:t>
      </w:r>
    </w:p>
    <w:bookmarkEnd w:id="90"/>
    <w:bookmarkStart w:id="91" w:name="program-reading-4"/>
    <w:p>
      <w:pPr>
        <w:pStyle w:val="Heading2"/>
        <w:spacing w:line="480" w:lineRule="auto"/>
      </w:pPr>
      <w:r>
        <w:t xml:space="preserve">Program reading</w:t>
      </w:r>
    </w:p>
    <w:p>
      <w:pPr>
        <w:pStyle w:val="FirstParagraph"/>
        <w:spacing w:line="480" w:lineRule="auto"/>
      </w:pPr>
      <w:r>
        <w:t xml:space="preserve">Which shells does a program actually clear, and at what rate? Cadence decides whether a good target list becomes a stabilizing program or an expensive demonstration. An appropriation fixes removals per year, and the shell map fixes the hurdle each removal must clear, so the program reading is a matter of comparing the two shell by shell rather than in aggregate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 The chapter makes that comparison explicit. The six categories carry the reading. Context stays the environment, assumption the cadence, variable the measurable stock or proxy, evidence the estimator output, risk the gap between removal rate and shell growth, next use the budget comparison. Kept distinct, they show a sponsor which shell a program’s ROI claim actually depends on. Shell-wise stock-flow balance is a strong warrant because it is checkable regime by regime. Name the shell, measure its hurdle, and the comparison resolves without appeal to a global average that could hide a losing bet</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 That granularity is what makes targeting defensible rather than merely plausible. The recheck follows the proxy chain into each shell.</w:t>
      </w:r>
    </w:p>
    <w:p>
      <w:pPr>
        <w:pStyle w:val="BodyText"/>
        <w:spacing w:line="480" w:lineRule="auto"/>
        <w:ind w:firstLine="720"/>
      </w:pPr>
      <w:r>
        <w:t xml:space="preserve">Cross-section approximates size, size approximates area, area feeds the risk term, and the approximation holds unevenly across regimes. Naming it per shell lets a reader see where the targeting rests on firm observation and where it leans on inference. Target selection is the chapter’s whole subject, and it is where identical removal counts diverge most sharply in meaning. Clear the 700 to 1000 km concern band and a removal moves the balance; clear an easy sparse shell and the same removal barely registers</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 The count is the least informative number on the table. The chapter compresses without softening. Short paragraphs mark the shells a program must clear; longer ones carry the reasoning from coefficient to environmental return. The compression leaves a target standard a sponsor can test against a budget rather than an impression that targeting is wise in the abstract.</w:t>
      </w:r>
    </w:p>
    <w:bookmarkEnd w:id="91"/>
    <w:bookmarkStart w:id="92" w:name="implementation-4"/>
    <w:p>
      <w:pPr>
        <w:pStyle w:val="Heading2"/>
        <w:spacing w:line="480" w:lineRule="auto"/>
      </w:pPr>
      <w:r>
        <w:t xml:space="preserve">Implementation</w:t>
      </w:r>
    </w:p>
    <w:p>
      <w:pPr>
        <w:pStyle w:val="FirstParagraph"/>
        <w:spacing w:line="480" w:lineRule="auto"/>
      </w:pPr>
      <w:r>
        <w:t xml:space="preserve">Risk language attaches to shells, so the chapter fixes it there. A crowded shell carries a higher probability of consequential collision, not a certainty; a persistent shell clears slowly, not never; a high-consequence target holds its value whether or not the cadence reaches it</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 Fixed per shell, these keep the targeting auditable. Grounds, warrant, and backing survive the move into implementation. The estimates still supply the grounds, shell balance still connects them, and the literatures still frame them. The qualifier still marks where the map stops and where implementation must add feasibility, ownership clearance, capture technology, and disposal design.</w:t>
      </w:r>
    </w:p>
    <w:p>
      <w:pPr>
        <w:pStyle w:val="BodyText"/>
        <w:spacing w:line="480" w:lineRule="auto"/>
        <w:ind w:firstLine="720"/>
      </w:pPr>
      <w:r>
        <w:t xml:space="preserve">Reproducibility is why the map lives on the public catalog. Anyone can pull the same rows, bin the same shells, and rebuild the same concentration, which makes a targeting recommendation checkable rather than asserted</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 A private map would trade that auditability for a precision the argument does not require. The six variables close the loop. Each traces to a source, the source column stays last, and the evidence is stable while its use shifts from mapping the concentration to targeting against it.</w:t>
      </w:r>
    </w:p>
    <w:bookmarkEnd w:id="92"/>
    <w:bookmarkStart w:id="93" w:name="paper-1-finding-preserved"/>
    <w:p>
      <w:pPr>
        <w:pStyle w:val="Heading2"/>
        <w:spacing w:line="480" w:lineRule="auto"/>
      </w:pPr>
      <w:r>
        <w:t xml:space="preserve">Paper 1 finding preserved</w:t>
      </w:r>
    </w:p>
    <w:p>
      <w:pPr>
        <w:pStyle w:val="FirstParagraph"/>
        <w:spacing w:line="480" w:lineRule="auto"/>
      </w:pPr>
      <w:r>
        <w:t xml:space="preserve">Paper 1 remains unchanged: 72 real aggregate observations, zero illustrative rows, and the source column last. The OLS model reports R2 = 0.3495, adjusted R2 = 0.3003, F = 7.5821, and F p = 1.12e-05. Its two strongest regime findings are the sun-synchronous or polar coefficient of 2.6130 with p = 1.78e-06 and the 700 to 1000 km concern-band coefficient of 1.5384 with p = 0.00371, which is why the chapter treats top-N selection as a shell-specific portfolio problem rather than a uniform count of objects removed</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w:t>
      </w:r>
    </w:p>
    <w:bookmarkEnd w:id="93"/>
    <w:bookmarkStart w:id="94" w:name="portfolio-scoring"/>
    <w:p>
      <w:pPr>
        <w:pStyle w:val="Heading2"/>
        <w:spacing w:line="480" w:lineRule="auto"/>
      </w:pPr>
      <w:r>
        <w:t xml:space="preserve">Portfolio scoring</w:t>
      </w:r>
    </w:p>
    <w:p>
      <w:pPr>
        <w:pStyle w:val="FirstParagraph"/>
        <w:spacing w:line="480" w:lineRule="auto"/>
      </w:pPr>
      <w:r>
        <w:t xml:space="preserve">The map is scored as a portfolio, not a target list. Paper 1 supplies the concentrated size-proxy pressure that ranks the shells; Paper 2 supplies the stock growth that sets the cadence hurdle. The program test compares removals per year, target value, mission cost, and residual risk before it credits any ROI claim</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 Scale decides the label. Kept apart, the variables show which shell a program moves: context the environment, assumption the cadence, variable the measurable stock or proxy, evidence the estimator output, risk the gap between removal and growth, next use the budget comparison. Scored this way, a target list that clears only sparse shells cannot pass as stabilization. Thin evidence is a target count reported without the shells it cleared</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 The chapter’s correction is to price the removals and name their shells before scoring, so a program’s claim can be checked against the map rather than accepted on its number. The recheck holds the logic intact.</w:t>
      </w:r>
    </w:p>
    <w:p>
      <w:pPr>
        <w:pStyle w:val="BodyText"/>
        <w:spacing w:line="480" w:lineRule="auto"/>
        <w:ind w:firstLine="720"/>
      </w:pPr>
      <w:r>
        <w:t xml:space="preserve">Clear fewer high-value shells than the hurdle requires and the campaign may still be worth funding, but its claim moves from stabilization to demonstration or targeted risk reduction. That move is the qualifier protecting the thesis at the shell level. The baseline that ranks the shells is tracked, public, and reproducible by design</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 A map anyone can re-derive is what lets a targeting recommendation survive a budget-room challenge. The closing logic makes the map portable. Short paragraphs mark the shells; longer ones carry the ranking’s reasoning; the result is a target standard a sponsor can test rather than a recommendation they must trust.</w:t>
      </w:r>
    </w:p>
    <w:bookmarkEnd w:id="94"/>
    <w:bookmarkStart w:id="95" w:name="sensitivity-band"/>
    <w:p>
      <w:pPr>
        <w:pStyle w:val="Heading2"/>
        <w:spacing w:line="480" w:lineRule="auto"/>
      </w:pPr>
      <w:r>
        <w:t xml:space="preserve">Sensitivity band</w:t>
      </w:r>
    </w:p>
    <w:p>
      <w:pPr>
        <w:pStyle w:val="FirstParagraph"/>
        <w:spacing w:line="480" w:lineRule="auto"/>
      </w:pPr>
      <w:r>
        <w:t xml:space="preserve">Nothing in this layer changes the paper findings; it sharpens how the shell map is used</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 Downstream integrity checks hold every coefficient reported above unchanged. Model humility stays in view. SATCAT is a tracked-object catalog. ORDEM and MASTER remain environment models. Active-removal planning still turns on feasibility, ownership clearance, capture technology, and disposal design. The chapter keeps those boundaries lit so a sharp shell map is never mistaken for a complete plan. Labels attach to shells as much as to programs. Pilot, targeted reduction, and stabilization describe different states of the shell-wise balance, and an agency that averages across shells can fund one state while reporting another</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 Naming the state per regime is where accountable governance starts.</w:t>
      </w:r>
    </w:p>
    <w:p>
      <w:pPr>
        <w:pStyle w:val="BodyText"/>
        <w:spacing w:line="480" w:lineRule="auto"/>
        <w:ind w:firstLine="720"/>
      </w:pPr>
      <w:r>
        <w:t xml:space="preserve">The prose hands off cleanly. The evidence stays stable while the writing’s cadence shifts enough to read like a finished empirical chapter, and the shell map arrives at governance with its warrant, qualifier, and threshold intact. The chapter closes on the rule the shell map implies. Name the target class, measure the shell-specific stock-flow baseline, price the removals, and label the program only once those three facts are visible</w:t>
      </w:r>
      <w:r>
        <w:t xml:space="preserve"> </w:t>
      </w:r>
      <w:hyperlink w:anchor="ref-7">
        <w:r>
          <w:rPr>
            <w:rStyle w:val="Hyperlink"/>
          </w:rPr>
          <w:t xml:space="preserve">[7]</w:t>
        </w:r>
      </w:hyperlink>
      <w:r>
        <w:t xml:space="preserve">,</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 The ladder follows. A funded cadence far below the shell hurdle makes the program a pilot, unless a selected object carries unusual risk; a cadence near the hurdle makes it targeted risk reduction; a cadence above the hurdle clearing high-consequence targets in persistent shells earns evaluation as remediation with a plausible environmental ROI claim</w:t>
      </w:r>
      <w:r>
        <w:t xml:space="preserve"> </w:t>
      </w:r>
      <w:hyperlink w:anchor="ref-7">
        <w:r>
          <w:rPr>
            <w:rStyle w:val="Hyperlink"/>
          </w:rPr>
          <w:t xml:space="preserve">[7]</w:t>
        </w:r>
      </w:hyperlink>
      <w:r>
        <w:t xml:space="preserve">,</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 Each rung is a fact the reader can check against the map.</w:t>
      </w:r>
    </w:p>
    <w:bookmarkEnd w:id="95"/>
    <w:bookmarkStart w:id="96" w:name="chapter-synthesis"/>
    <w:p>
      <w:pPr>
        <w:pStyle w:val="Heading2"/>
        <w:spacing w:line="480" w:lineRule="auto"/>
      </w:pPr>
      <w:r>
        <w:t xml:space="preserve">Chapter synthesis</w:t>
      </w:r>
    </w:p>
    <w:p>
      <w:pPr>
        <w:pStyle w:val="FirstParagraph"/>
        <w:spacing w:line="480" w:lineRule="auto"/>
      </w:pPr>
      <w:r>
        <w:t xml:space="preserve">The chapter ends on the targeting claim it opened with. It reads the Paper 1 finding that derelict size-proxy pressure clusters by shell and inclination through sun-synchronous regimes, the 700 to 1000 km shells, the radar cross-section proxy, and large-object targeting, and it preserves the threshold test: remediation ROI depends on funded cadence, target value, stock-flow balance, and evidence that the selected objects change the risk trajectory</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 The short version carries forward. A mission can succeed without proving a program pays.</w:t>
      </w:r>
    </w:p>
    <w:bookmarkEnd w:id="96"/>
    <w:bookmarkEnd w:id="97"/>
    <w:bookmarkStart w:id="98" w:name="Xe840d376e3022f57ab3c3d6849a8336486ab946"/>
    <w:p>
      <w:pPr>
        <w:pStyle w:val="Heading1"/>
        <w:spacing w:line="480" w:lineRule="auto"/>
      </w:pPr>
      <w:r>
        <w:t xml:space="preserve">Chapter 6. Rocket-Body Stock Growth and Removal-Rate Thresholds</w:t>
      </w:r>
    </w:p>
    <w:bookmarkEnd w:id="98"/>
    <w:bookmarkStart w:id="106" w:name="X8ba817ac9df835fad07b724251800c442d8e625"/>
    <w:p>
      <w:pPr>
        <w:pStyle w:val="Heading1"/>
        <w:spacing w:line="480" w:lineRule="auto"/>
      </w:pPr>
      <w:r>
        <w:t xml:space="preserve">Chapter 6. Rocket-Body Stock Growth and Removal-Rate Thresholds</w:t>
      </w:r>
    </w:p>
    <w:p>
      <w:pPr>
        <w:pStyle w:val="FirstParagraph"/>
        <w:spacing w:line="480" w:lineRule="auto"/>
      </w:pPr>
      <w:r>
        <w:t xml:space="preserve">Paper 2 gives the cadence question a number. Rocket-body stock is growing at a measurable annual rate, and that rate sets a hurdle any campaign must clear before it can call itself stabilization rather than demonstration.</w:t>
      </w:r>
    </w:p>
    <w:p>
      <w:pPr>
        <w:pStyle w:val="BodyText"/>
        <w:spacing w:line="480" w:lineRule="auto"/>
        <w:ind w:firstLine="720"/>
      </w:pPr>
      <w:r>
        <w:t xml:space="preserve">Noor Zhang, 1B-SDA-144, builds the chapter around that threshold, developing it in stages while leaving the paper’s estimates and the shared reference pool untouched</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23">
        <w:r>
          <w:rPr>
            <w:rStyle w:val="Hyperlink"/>
          </w:rPr>
          <w:t xml:space="preserve">[23]</w:t>
        </w:r>
      </w:hyperlink>
      <w:r>
        <w:t xml:space="preserve">. A removal rate means nothing until it is set against the rate at which the stock it targets is growing. The chapter fixes the growth side from four inputs: annual additions, annual decays, end-year rocket-body stock, and a learning-curve elasticity that describes how the trend accelerates</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23">
        <w:r>
          <w:rPr>
            <w:rStyle w:val="Hyperlink"/>
          </w:rPr>
          <w:t xml:space="preserve">[23]</w:t>
        </w:r>
      </w:hyperlink>
      <w:r>
        <w:t xml:space="preserve">. Only against that measured growth does a removal cadence become a hurdle a program either clears or does not. The reason the distinction bites is that a campaign can look ambitious and still lose the race. Additions continue, decay removes some objects for free, funded missions arrive at a finite cadence, and the environmental return turns on whether the removals plus decay outrun the additions. The chapter carries the reader from the measured growth to a labeled program outcome without altering a paper estimate, insisting that the hurdle, not the mission’s ambition, decides the label.</w:t>
      </w:r>
    </w:p>
    <w:p>
      <w:pPr>
        <w:pStyle w:val="BodyText"/>
        <w:spacing w:line="480" w:lineRule="auto"/>
        <w:ind w:firstLine="720"/>
      </w:pPr>
      <w:r>
        <w:t xml:space="preserve">The claim is a threshold, and it is bounded by the dissertation’s standing qualifier. Its grounds are the Paper 2 estimates, its warrant is stock-flow balance for the rocket-body class, and its backing sits in the environment and active-removal literatures</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23">
        <w:r>
          <w:rPr>
            <w:rStyle w:val="Hyperlink"/>
          </w:rPr>
          <w:t xml:space="preserve">[23]</w:t>
        </w:r>
      </w:hyperlink>
      <w:r>
        <w:t xml:space="preserve">.</w:t>
      </w:r>
    </w:p>
    <w:p>
      <w:pPr>
        <w:pStyle w:val="BodyText"/>
        <w:spacing w:line="480" w:lineRule="auto"/>
        <w:ind w:firstLine="720"/>
      </w:pPr>
      <w:r>
        <w:t xml:space="preserve">Tracked data measures the resolved rocket-body population, not the sub-catalog flux, and the threshold inherits that boundary. Scale is the whole point of the threshold. A campaign well below the annual growth rate is a demonstration or a targeted risk reduction, not a stabilization, unless its target selection shows unusually high marginal benefit. The label attaches only after the analyst compares removals per year to the measured hurdle, checks the targets for persistence and crowding, and keeps the size-area proxy distinct from physical mass. The name follows the number.</w:t>
      </w:r>
    </w:p>
    <w:bookmarkStart w:id="99" w:name="evidence-context-5"/>
    <w:p>
      <w:pPr>
        <w:pStyle w:val="Heading2"/>
        <w:spacing w:line="480" w:lineRule="auto"/>
      </w:pPr>
      <w:r>
        <w:t xml:space="preserve">Evidence context</w:t>
      </w:r>
    </w:p>
    <w:p>
      <w:pPr>
        <w:pStyle w:val="FirstParagraph"/>
        <w:spacing w:line="480" w:lineRule="auto"/>
      </w:pPr>
      <w:r>
        <w:t xml:space="preserve">The environment reporting frames the growth series and warns against reading a tracked count as the whole risk field</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23">
        <w:r>
          <w:rPr>
            <w:rStyle w:val="Hyperlink"/>
          </w:rPr>
          <w:t xml:space="preserve">[23]</w:t>
        </w:r>
      </w:hyperlink>
      <w:r>
        <w:t xml:space="preserve">. That caution governs the threshold: a hurdle measured over tracked rocket bodies is a hurdle for that class, not a universal stabilization target across every debris population. The discipline is to keep the growth terms honest. Radar cross-section remains a size-area proxy where it enters the risk reading. Rocket bodies are the tracked class whose fragmentation consequence justifies the focus. SATCAT anchors the stock series but is not ORDEM, MASTER, or a collision-evolution model. The chapter names each so the threshold rests on observation where it can. The threshold keeps the dissertation’s six categories. Context is the environment. Assumptions are the mission cadence and the series definitions. Variables are the source-traced rows behind the growth estimate. Evidence is the Paper 2 output. Risk is shell persistence and target consequence.</w:t>
      </w:r>
    </w:p>
    <w:p>
      <w:pPr>
        <w:pStyle w:val="BodyText"/>
        <w:spacing w:line="480" w:lineRule="auto"/>
        <w:ind w:firstLine="720"/>
      </w:pPr>
      <w:r>
        <w:t xml:space="preserve">Next use is the budget comparison that turns the hurdle into a funding judgment</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23">
        <w:r>
          <w:rPr>
            <w:rStyle w:val="Hyperlink"/>
          </w:rPr>
          <w:t xml:space="preserve">[23]</w:t>
        </w:r>
      </w:hyperlink>
      <w:r>
        <w:t xml:space="preserve">. The writing paces itself to the number.</w:t>
      </w:r>
    </w:p>
    <w:p>
      <w:pPr>
        <w:pStyle w:val="BodyText"/>
        <w:spacing w:line="480" w:lineRule="auto"/>
        <w:ind w:firstLine="720"/>
      </w:pPr>
      <w:r>
        <w:t xml:space="preserve">A short paragraph can state the hurdle; a longer one is needed to walk a proposed cadence against it across a decade of growth. The chapter hands a program reader a threshold, not another reminder that stock is rising. Cost keeps the threshold honest. A campaign that clears one high-consequence rocket body still sits below the annual hurdle and remains a targeted risk reduction unless target evidence shows unusual marginal benefit</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23">
        <w:r>
          <w:rPr>
            <w:rStyle w:val="Hyperlink"/>
          </w:rPr>
          <w:t xml:space="preserve">[23]</w:t>
        </w:r>
      </w:hyperlink>
      <w:r>
        <w:t xml:space="preserve">. The number disciplines the ambition. Grounds, warrant, and backing hold. The Paper 2 estimates supply the grounds, class-specific balance supplies the warrant, and the literatures supply the backing. The qualifier stays visible, because a hurdle measured on tracked rocket bodies should never imply reach over the flux field it cannot see.</w:t>
      </w:r>
    </w:p>
    <w:bookmarkEnd w:id="99"/>
    <w:bookmarkStart w:id="100" w:name="program-reading-5"/>
    <w:p>
      <w:pPr>
        <w:pStyle w:val="Heading2"/>
        <w:spacing w:line="480" w:lineRule="auto"/>
      </w:pPr>
      <w:r>
        <w:t xml:space="preserve">Program reading</w:t>
      </w:r>
    </w:p>
    <w:p>
      <w:pPr>
        <w:pStyle w:val="FirstParagraph"/>
        <w:spacing w:line="480" w:lineRule="auto"/>
      </w:pPr>
      <w:r>
        <w:t xml:space="preserve">Does the funded cadence clear the growth the series records? Cadence is the term an appropriation actually sets, so the program reading is a direct comparison: removals per year against the measured annual growth</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23">
        <w:r>
          <w:rPr>
            <w:rStyle w:val="Hyperlink"/>
          </w:rPr>
          <w:t xml:space="preserve">[23]</w:t>
        </w:r>
      </w:hyperlink>
      <w:r>
        <w:t xml:space="preserve">. The chapter makes that comparison the center of the reading, because it is the single test that separates a stabilization claim from a demonstration. The six categories carry the reading. Context stays the environment, assumption the cadence, variable the measurable stock, evidence the estimator output, risk the gap between removal rate and growth, next use the budget comparison. Kept distinct, they show a sponsor exactly where a stabilization claim would break. Class-specific stock-flow balance is a strong warrant because the growth rate is measured, not assumed. Name the rocket-body class, read its annual growth off the series, and the hurdle is fixed</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23">
        <w:r>
          <w:rPr>
            <w:rStyle w:val="Hyperlink"/>
          </w:rPr>
          <w:t xml:space="preserve">[23]</w:t>
        </w:r>
      </w:hyperlink>
      <w:r>
        <w:t xml:space="preserve">. That is what lets the threshold be a test rather than an aspiration. The recheck follows the proxy chain where it enters the risk reading.</w:t>
      </w:r>
    </w:p>
    <w:p>
      <w:pPr>
        <w:pStyle w:val="BodyText"/>
        <w:spacing w:line="480" w:lineRule="auto"/>
        <w:ind w:firstLine="720"/>
      </w:pPr>
      <w:r>
        <w:t xml:space="preserve">Cross-section approximates size, size approximates area, area feeds collision probability, and each link is an approximation the chapter names in place. Explicit, the chain lets a reader weigh how much of the threshold rests on observation. Target selection can shift a threshold’s meaning even when the cadence is fixed, because clearing a high-consequence rocket body in a persistent shell buys more than clearing a benign one</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23">
        <w:r>
          <w:rPr>
            <w:rStyle w:val="Hyperlink"/>
          </w:rPr>
          <w:t xml:space="preserve">[23]</w:t>
        </w:r>
      </w:hyperlink>
      <w:r>
        <w:t xml:space="preserve">. The cadence sets the hurdle; the target choice sets how much each cleared object is worth against it. The chapter compresses without softening. Short paragraphs mark the hurdle and its exceptions; longer ones carry the reasoning from growth rate to labeled outcome. The compression leaves a threshold a sponsor can test against a budget rather than an impression of ambition.</w:t>
      </w:r>
    </w:p>
    <w:bookmarkEnd w:id="100"/>
    <w:bookmarkStart w:id="101" w:name="implementation-5"/>
    <w:p>
      <w:pPr>
        <w:pStyle w:val="Heading2"/>
        <w:spacing w:line="480" w:lineRule="auto"/>
      </w:pPr>
      <w:r>
        <w:t xml:space="preserve">Implementation</w:t>
      </w:r>
    </w:p>
    <w:p>
      <w:pPr>
        <w:pStyle w:val="FirstParagraph"/>
        <w:spacing w:line="480" w:lineRule="auto"/>
      </w:pPr>
      <w:r>
        <w:t xml:space="preserve">Risk language enters the threshold as a term, so the chapter fixes it. A tracked rocket body carries a probability of consequential fragmentation, not a certainty; a persistent shell clears slowly, not never; a high-consequence body holds its value whether or not the cadence reaches it</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23">
        <w:r>
          <w:rPr>
            <w:rStyle w:val="Hyperlink"/>
          </w:rPr>
          <w:t xml:space="preserve">[23]</w:t>
        </w:r>
      </w:hyperlink>
      <w:r>
        <w:t xml:space="preserve">. Fixed, these keep the threshold auditable. Grounds, warrant, and backing survive the move into implementation. The estimates still supply the grounds, class balance still connects them, and the literatures still frame them. The qualifier still marks where the threshold stops and where implementation must add feasibility, ownership clearance, capture technology, and disposal design.</w:t>
      </w:r>
    </w:p>
    <w:p>
      <w:pPr>
        <w:pStyle w:val="BodyText"/>
        <w:spacing w:line="480" w:lineRule="auto"/>
        <w:ind w:firstLine="720"/>
      </w:pPr>
      <w:r>
        <w:t xml:space="preserve">Reproducibility is why the growth series lives on the public catalog. Anyone can rebuild the additions, decays, and end-year stock, re-estimate the trend, and check the same hurdle, which makes a stabilization verdict defensible rather than asserted</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23">
        <w:r>
          <w:rPr>
            <w:rStyle w:val="Hyperlink"/>
          </w:rPr>
          <w:t xml:space="preserve">[23]</w:t>
        </w:r>
      </w:hyperlink>
      <w:r>
        <w:t xml:space="preserve">. A private series would trade that auditability for a precision the threshold does not need. The six variables close the loop. Each traces to a source, the source column stays last, and the evidence is stable while its use shifts from measuring growth to testing cadence against it.</w:t>
      </w:r>
    </w:p>
    <w:bookmarkEnd w:id="101"/>
    <w:bookmarkStart w:id="102" w:name="paper-2-finding-preserved"/>
    <w:p>
      <w:pPr>
        <w:pStyle w:val="Heading2"/>
        <w:spacing w:line="480" w:lineRule="auto"/>
      </w:pPr>
      <w:r>
        <w:t xml:space="preserve">Paper 2 finding preserved</w:t>
      </w:r>
    </w:p>
    <w:p>
      <w:pPr>
        <w:pStyle w:val="FirstParagraph"/>
        <w:spacing w:line="480" w:lineRule="auto"/>
      </w:pPr>
      <w:r>
        <w:t xml:space="preserve">Paper 2 remains unchanged: 70 annual real-data observations, zero illustrative rows, and the source column last. The learning curve reports R2 = 0.9618, elasticity b = 1.8483, progress ratio 2^b = 3.6009, and p = 1.55e-168 for the log-time coefficient. Recent annual net rocket-body growth from 2017 through 2026 averages 29.3 objects per year, with a median of 29.5, so the dissertation treats campaigns well below that order of magnitude as demonstrations or targeted risk-reduction efforts unless target selection evidence shows unusually high marginal benefit</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23">
        <w:r>
          <w:rPr>
            <w:rStyle w:val="Hyperlink"/>
          </w:rPr>
          <w:t xml:space="preserve">[23]</w:t>
        </w:r>
      </w:hyperlink>
      <w:r>
        <w:t xml:space="preserve">.</w:t>
      </w:r>
    </w:p>
    <w:bookmarkEnd w:id="102"/>
    <w:bookmarkStart w:id="103" w:name="portfolio-scoring-1"/>
    <w:p>
      <w:pPr>
        <w:pStyle w:val="Heading2"/>
        <w:spacing w:line="480" w:lineRule="auto"/>
      </w:pPr>
      <w:r>
        <w:t xml:space="preserve">Portfolio scoring</w:t>
      </w:r>
    </w:p>
    <w:p>
      <w:pPr>
        <w:pStyle w:val="FirstParagraph"/>
        <w:spacing w:line="480" w:lineRule="auto"/>
      </w:pPr>
      <w:r>
        <w:t xml:space="preserve">The threshold is scored as a portfolio, not a single cadence. Paper 1 supplies the concentrated size-proxy pressure that ranks the targets; Paper 2 supplies the growth rate that sets the hurdle. The program test compares removals per year, target value, mission cost, and residual risk before it credits any ROI claim</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23">
        <w:r>
          <w:rPr>
            <w:rStyle w:val="Hyperlink"/>
          </w:rPr>
          <w:t xml:space="preserve">[23]</w:t>
        </w:r>
      </w:hyperlink>
      <w:r>
        <w:t xml:space="preserve">. Scale decides the label. Kept apart, the variables show which term a program moves: context the environment, assumption the cadence, variable the measurable stock, evidence the estimator output, risk the gap between removal and growth, next use the budget comparison. Scored this way, a cadence below the hurdle cannot pass as stabilization. Thin evidence is a cadence reported without the growth rate it must clear</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23">
        <w:r>
          <w:rPr>
            <w:rStyle w:val="Hyperlink"/>
          </w:rPr>
          <w:t xml:space="preserve">[23]</w:t>
        </w:r>
      </w:hyperlink>
      <w:r>
        <w:t xml:space="preserve">. The chapter’s correction is to set the removals against the measured hurdle before scoring, so a stabilization claim can be checked against the number rather than accepted on ambition. The recheck holds the logic intact.</w:t>
      </w:r>
    </w:p>
    <w:p>
      <w:pPr>
        <w:pStyle w:val="BodyText"/>
        <w:spacing w:line="480" w:lineRule="auto"/>
        <w:ind w:firstLine="720"/>
      </w:pPr>
      <w:r>
        <w:t xml:space="preserve">Clear fewer than the annual hurdle and the campaign may still earn its budget, but its claim moves from stabilization to demonstration or targeted risk reduction. That move is the qualifier keeping the verdict faithful to the growth series. The baseline that sets the hurdle is tracked, public, and reproducible by design</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23">
        <w:r>
          <w:rPr>
            <w:rStyle w:val="Hyperlink"/>
          </w:rPr>
          <w:t xml:space="preserve">[23]</w:t>
        </w:r>
      </w:hyperlink>
      <w:r>
        <w:t xml:space="preserve">. A growth series anyone can re-derive is what lets a stabilization threshold survive a budget-room challenge. The closing logic makes the threshold portable. Short paragraphs mark the hurdle; longer ones carry its reasoning; the result is a standard a sponsor can test rather than a target they must trust.</w:t>
      </w:r>
    </w:p>
    <w:bookmarkEnd w:id="103"/>
    <w:bookmarkStart w:id="104" w:name="sensitivity-band-1"/>
    <w:p>
      <w:pPr>
        <w:pStyle w:val="Heading2"/>
        <w:spacing w:line="480" w:lineRule="auto"/>
      </w:pPr>
      <w:r>
        <w:t xml:space="preserve">Sensitivity band</w:t>
      </w:r>
    </w:p>
    <w:p>
      <w:pPr>
        <w:pStyle w:val="FirstParagraph"/>
        <w:spacing w:line="480" w:lineRule="auto"/>
      </w:pPr>
      <w:r>
        <w:t xml:space="preserve">Nothing in this layer changes the paper findings; it sharpens how the hurdle is used</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23">
        <w:r>
          <w:rPr>
            <w:rStyle w:val="Hyperlink"/>
          </w:rPr>
          <w:t xml:space="preserve">[23]</w:t>
        </w:r>
      </w:hyperlink>
      <w:r>
        <w:t xml:space="preserve">. Downstream integrity checks hold every coefficient reported above unchanged. Model humility stays in view. SATCAT is a tracked-object catalog. ORDEM and MASTER remain environment models. Active-removal planning still turns on feasibility, ownership clearance, capture technology, and disposal design. The chapter keeps those boundaries lit so a measured hurdle is never mistaken for a complete plan. Labels turn on the hurdle. Pilot, targeted reduction, and stabilization describe different positions relative to the measured growth, and an agency that ignores the number can fund one and report another</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23">
        <w:r>
          <w:rPr>
            <w:rStyle w:val="Hyperlink"/>
          </w:rPr>
          <w:t xml:space="preserve">[23]</w:t>
        </w:r>
      </w:hyperlink>
      <w:r>
        <w:t xml:space="preserve">. Naming the position correctly is where accountable governance starts.</w:t>
      </w:r>
    </w:p>
    <w:p>
      <w:pPr>
        <w:pStyle w:val="BodyText"/>
        <w:spacing w:line="480" w:lineRule="auto"/>
        <w:ind w:firstLine="720"/>
      </w:pPr>
      <w:r>
        <w:t xml:space="preserve">The prose hands off cleanly. The evidence stays stable while the writing’s cadence shifts enough to read like a finished empirical chapter, and the threshold arrives at governance with its warrant, qualifier, and number intact. The chapter closes on the rule the hurdle implies. Name the target class, measure the stock-flow baseline, price the removals, and label the program only once those three facts are visible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23">
        <w:r>
          <w:rPr>
            <w:rStyle w:val="Hyperlink"/>
          </w:rPr>
          <w:t xml:space="preserve">[23]</w:t>
        </w:r>
      </w:hyperlink>
      <w:r>
        <w:t xml:space="preserve">. The ladder follows. A funded cadence far below the baseline makes the program a pilot, unless a selected object carries unusual risk; a cadence near the baseline makes it targeted risk reduction; a cadence above the baseline clearing high-consequence targets in persistent shells earns evaluation as remediation with a plausible environmental ROI claim</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23">
        <w:r>
          <w:rPr>
            <w:rStyle w:val="Hyperlink"/>
          </w:rPr>
          <w:t xml:space="preserve">[23]</w:t>
        </w:r>
      </w:hyperlink>
      <w:r>
        <w:t xml:space="preserve">. Each rung is a fact the reader can check against the number.</w:t>
      </w:r>
    </w:p>
    <w:bookmarkEnd w:id="104"/>
    <w:bookmarkStart w:id="105" w:name="chapter-synthesis-1"/>
    <w:p>
      <w:pPr>
        <w:pStyle w:val="Heading2"/>
        <w:spacing w:line="480" w:lineRule="auto"/>
      </w:pPr>
      <w:r>
        <w:t xml:space="preserve">Chapter synthesis</w:t>
      </w:r>
    </w:p>
    <w:p>
      <w:pPr>
        <w:pStyle w:val="FirstParagraph"/>
        <w:spacing w:line="480" w:lineRule="auto"/>
      </w:pPr>
      <w:r>
        <w:t xml:space="preserve">The chapter ends on the threshold it opened with. It reads the Paper 2 finding that rocket-body stock defines a measurable cadence hurdle through annual additions, annual decays, end-year rocket-body stock, and learning-curve elasticity, and it preserves the threshold test: remediation ROI depends on funded cadence, target value, stock-flow balance, and evidence that the selected objects change the risk trajectory</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23">
        <w:r>
          <w:rPr>
            <w:rStyle w:val="Hyperlink"/>
          </w:rPr>
          <w:t xml:space="preserve">[23]</w:t>
        </w:r>
      </w:hyperlink>
      <w:r>
        <w:t xml:space="preserve">. The short version carries forward. A mission can succeed without proving a program pays.</w:t>
      </w:r>
    </w:p>
    <w:bookmarkEnd w:id="105"/>
    <w:bookmarkEnd w:id="106"/>
    <w:bookmarkStart w:id="107" w:name="Xee390203ed9bd8c18513af6ed12c960c5dc6749"/>
    <w:p>
      <w:pPr>
        <w:pStyle w:val="Heading1"/>
        <w:spacing w:line="480" w:lineRule="auto"/>
      </w:pPr>
      <w:r>
        <w:t xml:space="preserve">Chapter 7. Program Design Under Realistic Funding Profiles</w:t>
      </w:r>
    </w:p>
    <w:bookmarkEnd w:id="107"/>
    <w:bookmarkStart w:id="113" w:name="Xf78784881cce861e0717c0e14c08c2cf362b299"/>
    <w:p>
      <w:pPr>
        <w:pStyle w:val="Heading1"/>
        <w:spacing w:line="480" w:lineRule="auto"/>
      </w:pPr>
      <w:r>
        <w:t xml:space="preserve">Chapter 7. Program Design Under Realistic Funding Profiles</w:t>
      </w:r>
    </w:p>
    <w:p>
      <w:pPr>
        <w:pStyle w:val="FirstParagraph"/>
        <w:spacing w:line="480" w:lineRule="auto"/>
      </w:pPr>
      <w:r>
        <w:t xml:space="preserve">Technical desirability and program feasibility are different things, and the gap between them is where debris-removal plans usually founder. Noor Zhang, 1B-SDA-144, closes that gap with a funding profile that ties removals per year to target value, mission cost, and environmental benefit.</w:t>
      </w:r>
    </w:p>
    <w:p>
      <w:pPr>
        <w:pStyle w:val="BodyText"/>
        <w:spacing w:line="480" w:lineRule="auto"/>
        <w:ind w:firstLine="720"/>
      </w:pPr>
      <w:r>
        <w:t xml:space="preserve">The chapter constructs that profile in stages while preserving the existing evidence base</w:t>
      </w:r>
      <w:r>
        <w:t xml:space="preserve"> </w:t>
      </w:r>
      <w:hyperlink w:anchor="ref-4">
        <w:r>
          <w:rPr>
            <w:rStyle w:val="Hyperlink"/>
          </w:rPr>
          <w:t xml:space="preserve">[4]</w:t>
        </w:r>
      </w:hyperlink>
      <w:r>
        <w:t xml:space="preserve">,</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15">
        <w:r>
          <w:rPr>
            <w:rStyle w:val="Hyperlink"/>
          </w:rPr>
          <w:t xml:space="preserve">[15]</w:t>
        </w:r>
      </w:hyperlink>
      <w:r>
        <w:t xml:space="preserve">,</w:t>
      </w:r>
      <w:r>
        <w:t xml:space="preserve"> </w:t>
      </w:r>
      <w:hyperlink w:anchor="ref-23">
        <w:r>
          <w:rPr>
            <w:rStyle w:val="Hyperlink"/>
          </w:rPr>
          <w:t xml:space="preserve">[23]</w:t>
        </w:r>
      </w:hyperlink>
      <w:r>
        <w:t xml:space="preserve">. A target that the models rank highest is not automatically a target a program can fund, reach, and clear on a realistic schedule.</w:t>
      </w:r>
    </w:p>
    <w:p>
      <w:pPr>
        <w:pStyle w:val="BodyText"/>
        <w:spacing w:line="480" w:lineRule="auto"/>
        <w:ind w:firstLine="720"/>
      </w:pPr>
      <w:r>
        <w:t xml:space="preserve">The chapter builds its profile from the terms that decide feasibility: appropriations, procurement cadence, target selection, the insurance logic that prices consequence, and the mission planning that turns a chosen object into a flown removal</w:t>
      </w:r>
      <w:r>
        <w:t xml:space="preserve"> </w:t>
      </w:r>
      <w:hyperlink w:anchor="ref-4">
        <w:r>
          <w:rPr>
            <w:rStyle w:val="Hyperlink"/>
          </w:rPr>
          <w:t xml:space="preserve">[4]</w:t>
        </w:r>
      </w:hyperlink>
      <w:r>
        <w:t xml:space="preserve">,</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15">
        <w:r>
          <w:rPr>
            <w:rStyle w:val="Hyperlink"/>
          </w:rPr>
          <w:t xml:space="preserve">[15]</w:t>
        </w:r>
      </w:hyperlink>
      <w:r>
        <w:t xml:space="preserve">,</w:t>
      </w:r>
      <w:r>
        <w:t xml:space="preserve"> </w:t>
      </w:r>
      <w:hyperlink w:anchor="ref-23">
        <w:r>
          <w:rPr>
            <w:rStyle w:val="Hyperlink"/>
          </w:rPr>
          <w:t xml:space="preserve">[23]</w:t>
        </w:r>
      </w:hyperlink>
      <w:r>
        <w:t xml:space="preserve">. Feasibility lives in the interaction of those terms, not in any one of them. The reason the interaction matters is that a plan can satisfy every term but one and still fail. A generous appropriation with a slow procurement cadence delivers fewer removals than its budget implies; a well-chosen target no mission can safely capture delivers none. The chapter carries the reader from technical desirability to a labeled program outcome by walking all five terms together, without changing a paper estimate or a reference in the shared pool.</w:t>
      </w:r>
    </w:p>
    <w:p>
      <w:pPr>
        <w:pStyle w:val="BodyText"/>
        <w:spacing w:line="480" w:lineRule="auto"/>
        <w:ind w:firstLine="720"/>
      </w:pPr>
      <w:r>
        <w:t xml:space="preserve">The claim is a feasibility profile, bounded by the dissertation’s standing qualifier. Its grounds are the two empirical findings, its warrant is stock-flow balance read against a realistic cadence, and its backing sits in the procurement, insurance, and active-removal planning literatures</w:t>
      </w:r>
      <w:r>
        <w:t xml:space="preserve"> </w:t>
      </w:r>
      <w:hyperlink w:anchor="ref-4">
        <w:r>
          <w:rPr>
            <w:rStyle w:val="Hyperlink"/>
          </w:rPr>
          <w:t xml:space="preserve">[4]</w:t>
        </w:r>
      </w:hyperlink>
      <w:r>
        <w:t xml:space="preserve">,</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15">
        <w:r>
          <w:rPr>
            <w:rStyle w:val="Hyperlink"/>
          </w:rPr>
          <w:t xml:space="preserve">[15]</w:t>
        </w:r>
      </w:hyperlink>
      <w:r>
        <w:t xml:space="preserve">,</w:t>
      </w:r>
      <w:r>
        <w:t xml:space="preserve"> </w:t>
      </w:r>
      <w:hyperlink w:anchor="ref-23">
        <w:r>
          <w:rPr>
            <w:rStyle w:val="Hyperlink"/>
          </w:rPr>
          <w:t xml:space="preserve">[23]</w:t>
        </w:r>
      </w:hyperlink>
      <w:r>
        <w:t xml:space="preserve">.</w:t>
      </w:r>
    </w:p>
    <w:p>
      <w:pPr>
        <w:pStyle w:val="BodyText"/>
        <w:spacing w:line="480" w:lineRule="auto"/>
        <w:ind w:firstLine="720"/>
      </w:pPr>
      <w:r>
        <w:t xml:space="preserve">Tracked data supplies the resolved population the profile targets, not the sub-catalog flux, and the profile inherits that boundary. Scale is what the profile tests. A funding line that reads as ambitious can deliver a cadence far below the growth hurdle once procurement friction is counted, so the label attaches only after the analyst compares deliverable removals per year to the hurdle, checks the targets for persistence and crowding, and keeps the size-area proxy distinct from physical mass. Pilot, targeted risk reduction, or stabilization: the name follows the deliverable cadence, not the headline appropriation.</w:t>
      </w:r>
    </w:p>
    <w:bookmarkStart w:id="108" w:name="evidence-context-6"/>
    <w:p>
      <w:pPr>
        <w:pStyle w:val="Heading2"/>
        <w:spacing w:line="480" w:lineRule="auto"/>
      </w:pPr>
      <w:r>
        <w:t xml:space="preserve">Evidence context</w:t>
      </w:r>
    </w:p>
    <w:p>
      <w:pPr>
        <w:pStyle w:val="FirstParagraph"/>
        <w:spacing w:line="480" w:lineRule="auto"/>
      </w:pPr>
      <w:r>
        <w:t xml:space="preserve">The environment reporting frames what the profile targets and cautions against reading a tracked count as the whole risk field</w:t>
      </w:r>
      <w:r>
        <w:t xml:space="preserve"> </w:t>
      </w:r>
      <w:hyperlink w:anchor="ref-4">
        <w:r>
          <w:rPr>
            <w:rStyle w:val="Hyperlink"/>
          </w:rPr>
          <w:t xml:space="preserve">[4]</w:t>
        </w:r>
      </w:hyperlink>
      <w:r>
        <w:t xml:space="preserve">,</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15">
        <w:r>
          <w:rPr>
            <w:rStyle w:val="Hyperlink"/>
          </w:rPr>
          <w:t xml:space="preserve">[15]</w:t>
        </w:r>
      </w:hyperlink>
      <w:r>
        <w:t xml:space="preserve">,</w:t>
      </w:r>
      <w:r>
        <w:t xml:space="preserve"> </w:t>
      </w:r>
      <w:hyperlink w:anchor="ref-23">
        <w:r>
          <w:rPr>
            <w:rStyle w:val="Hyperlink"/>
          </w:rPr>
          <w:t xml:space="preserve">[23]</w:t>
        </w:r>
      </w:hyperlink>
      <w:r>
        <w:t xml:space="preserve">. That caution shapes feasibility: a profile built to clear a tracked hurdle is a profile for that population, and its benefit claim has to stay inside what tracked data supports. The discipline is to keep the terms honest about their provenance. Radar cross-section is a size-area proxy feeding the target-value term. Rocket bodies are the tracked class whose consequence drives the insurance logic. SATCAT anchors the baseline but is not ORDEM, MASTER, or a collision-evolution model. The chapter names each so the profile rests on observation where it can and inference where it must. The profile keeps the dissertation’s six categories. Context is the environment. Assumptions are the appropriation and procurement cadence. Variables are the source-traced rows behind target value and cost. Evidence is the estimator output. Risk is shell persistence and target consequence.</w:t>
      </w:r>
    </w:p>
    <w:p>
      <w:pPr>
        <w:pStyle w:val="BodyText"/>
        <w:spacing w:line="480" w:lineRule="auto"/>
        <w:ind w:firstLine="720"/>
      </w:pPr>
      <w:r>
        <w:t xml:space="preserve">Next use is the budget comparison that decides whether the profile funds a stabilization</w:t>
      </w:r>
      <w:r>
        <w:t xml:space="preserve"> </w:t>
      </w:r>
      <w:hyperlink w:anchor="ref-4">
        <w:r>
          <w:rPr>
            <w:rStyle w:val="Hyperlink"/>
          </w:rPr>
          <w:t xml:space="preserve">[4]</w:t>
        </w:r>
      </w:hyperlink>
      <w:r>
        <w:t xml:space="preserve">,</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15">
        <w:r>
          <w:rPr>
            <w:rStyle w:val="Hyperlink"/>
          </w:rPr>
          <w:t xml:space="preserve">[15]</w:t>
        </w:r>
      </w:hyperlink>
      <w:r>
        <w:t xml:space="preserve">,</w:t>
      </w:r>
      <w:r>
        <w:t xml:space="preserve"> </w:t>
      </w:r>
      <w:hyperlink w:anchor="ref-23">
        <w:r>
          <w:rPr>
            <w:rStyle w:val="Hyperlink"/>
          </w:rPr>
          <w:t xml:space="preserve">[23]</w:t>
        </w:r>
      </w:hyperlink>
      <w:r>
        <w:t xml:space="preserve">. The writing paces itself to feasibility. A short paragraph can name the binding constraint; a longer one is needed to trace how procurement cadence erodes a nominal budget into a deliverable one. The chapter hands a program reader a fundable profile, not a wish list. Cost is the term that separates a plan from a proposal. An appropriation names a ceiling; procurement cadence, target accessibility, and insurance pricing decide how much of that ceiling becomes flown removals</w:t>
      </w:r>
      <w:r>
        <w:t xml:space="preserve"> </w:t>
      </w:r>
      <w:hyperlink w:anchor="ref-4">
        <w:r>
          <w:rPr>
            <w:rStyle w:val="Hyperlink"/>
          </w:rPr>
          <w:t xml:space="preserve">[4]</w:t>
        </w:r>
      </w:hyperlink>
      <w:r>
        <w:t xml:space="preserve">,</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15">
        <w:r>
          <w:rPr>
            <w:rStyle w:val="Hyperlink"/>
          </w:rPr>
          <w:t xml:space="preserve">[15]</w:t>
        </w:r>
      </w:hyperlink>
      <w:r>
        <w:t xml:space="preserve">,</w:t>
      </w:r>
      <w:r>
        <w:t xml:space="preserve"> </w:t>
      </w:r>
      <w:hyperlink w:anchor="ref-23">
        <w:r>
          <w:rPr>
            <w:rStyle w:val="Hyperlink"/>
          </w:rPr>
          <w:t xml:space="preserve">[23]</w:t>
        </w:r>
      </w:hyperlink>
      <w:r>
        <w:t xml:space="preserve">. A profile that counts the ceiling as delivered removals is the exact error the chapter exists to prevent. Grounds, warrant, and backing hold. The findings supply the grounds, cadence-adjusted balance supplies the warrant, and the procurement and planning literatures supply the backing. The qualifier stays visible, because a profile built on tracked objects should never imply reach over the flux field it cannot see.</w:t>
      </w:r>
    </w:p>
    <w:bookmarkEnd w:id="108"/>
    <w:bookmarkStart w:id="109" w:name="program-reading-6"/>
    <w:p>
      <w:pPr>
        <w:pStyle w:val="Heading2"/>
        <w:spacing w:line="480" w:lineRule="auto"/>
      </w:pPr>
      <w:r>
        <w:t xml:space="preserve">Program reading</w:t>
      </w:r>
    </w:p>
    <w:p>
      <w:pPr>
        <w:pStyle w:val="FirstParagraph"/>
        <w:spacing w:line="480" w:lineRule="auto"/>
      </w:pPr>
      <w:r>
        <w:t xml:space="preserve">How much of a headline appropriation survives procurement friction? Cadence is where desirability becomes feasibility, and the program reading is the conversion itself. The chapter takes the appropriation, subtracts the procurement friction, and reads the deliverable removals per year against the growth hurdle</w:t>
      </w:r>
      <w:r>
        <w:t xml:space="preserve"> </w:t>
      </w:r>
      <w:hyperlink w:anchor="ref-4">
        <w:r>
          <w:rPr>
            <w:rStyle w:val="Hyperlink"/>
          </w:rPr>
          <w:t xml:space="preserve">[4]</w:t>
        </w:r>
      </w:hyperlink>
      <w:r>
        <w:t xml:space="preserve">,</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15">
        <w:r>
          <w:rPr>
            <w:rStyle w:val="Hyperlink"/>
          </w:rPr>
          <w:t xml:space="preserve">[15]</w:t>
        </w:r>
      </w:hyperlink>
      <w:r>
        <w:t xml:space="preserve">,</w:t>
      </w:r>
      <w:r>
        <w:t xml:space="preserve"> </w:t>
      </w:r>
      <w:hyperlink w:anchor="ref-23">
        <w:r>
          <w:rPr>
            <w:rStyle w:val="Hyperlink"/>
          </w:rPr>
          <w:t xml:space="preserve">[23]</w:t>
        </w:r>
      </w:hyperlink>
      <w:r>
        <w:t xml:space="preserve">. That deliverable cadence, not the headline number, is what a stabilization claim has to clear. The six categories carry the reading. Context stays the environment, assumption the cadence, variable the measurable value and cost, evidence the estimator output, risk the gap between deliverable removals and growth, next use the budget comparison. Kept distinct, they show a sponsor where a feasibility claim would break. Cadence-adjusted stock-flow balance is a strong warrant because it counts what is delivered, not what is authorized. Name the class, subtract the procurement friction, and the comparison resolves against a real cadence</w:t>
      </w:r>
      <w:r>
        <w:t xml:space="preserve"> </w:t>
      </w:r>
      <w:hyperlink w:anchor="ref-4">
        <w:r>
          <w:rPr>
            <w:rStyle w:val="Hyperlink"/>
          </w:rPr>
          <w:t xml:space="preserve">[4]</w:t>
        </w:r>
      </w:hyperlink>
      <w:r>
        <w:t xml:space="preserve">,</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15">
        <w:r>
          <w:rPr>
            <w:rStyle w:val="Hyperlink"/>
          </w:rPr>
          <w:t xml:space="preserve">[15]</w:t>
        </w:r>
      </w:hyperlink>
      <w:r>
        <w:t xml:space="preserve">,</w:t>
      </w:r>
      <w:r>
        <w:t xml:space="preserve"> </w:t>
      </w:r>
      <w:hyperlink w:anchor="ref-23">
        <w:r>
          <w:rPr>
            <w:rStyle w:val="Hyperlink"/>
          </w:rPr>
          <w:t xml:space="preserve">[23]</w:t>
        </w:r>
      </w:hyperlink>
      <w:r>
        <w:t xml:space="preserve">. That realism is what keeps the profile from crediting a budget line it cannot execute. The recheck follows the proxy chain into the value term.</w:t>
      </w:r>
    </w:p>
    <w:p>
      <w:pPr>
        <w:pStyle w:val="BodyText"/>
        <w:spacing w:line="480" w:lineRule="auto"/>
        <w:ind w:firstLine="720"/>
      </w:pPr>
      <w:r>
        <w:t xml:space="preserve">Cross-section approximates size, size approximates the consequence the insurance logic prices, and each link is an approximation the chapter names in place. Explicit, the chain lets a reader weigh how much of the profile rests on observation. Target selection interacts with cost in ways a nominal budget hides. A high-value target in an inaccessible orbit consumes cadence a program cannot spare, so the profile weighs accessibility alongside value rather than ranking value alone</w:t>
      </w:r>
      <w:r>
        <w:t xml:space="preserve"> </w:t>
      </w:r>
      <w:hyperlink w:anchor="ref-4">
        <w:r>
          <w:rPr>
            <w:rStyle w:val="Hyperlink"/>
          </w:rPr>
          <w:t xml:space="preserve">[4]</w:t>
        </w:r>
      </w:hyperlink>
      <w:r>
        <w:t xml:space="preserve">,</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15">
        <w:r>
          <w:rPr>
            <w:rStyle w:val="Hyperlink"/>
          </w:rPr>
          <w:t xml:space="preserve">[15]</w:t>
        </w:r>
      </w:hyperlink>
      <w:r>
        <w:t xml:space="preserve">,</w:t>
      </w:r>
      <w:r>
        <w:t xml:space="preserve"> </w:t>
      </w:r>
      <w:hyperlink w:anchor="ref-23">
        <w:r>
          <w:rPr>
            <w:rStyle w:val="Hyperlink"/>
          </w:rPr>
          <w:t xml:space="preserve">[23]</w:t>
        </w:r>
      </w:hyperlink>
      <w:r>
        <w:t xml:space="preserve">. The deliverable cadence, not the target wish list, sets what a program can promise. The chapter compresses without softening. Short paragraphs mark the binding constraints; longer ones carry the conversion from appropriation to flown removals. The compression leaves a feasibility standard a sponsor can test against a budget rather than an impression that removal is affordable.</w:t>
      </w:r>
    </w:p>
    <w:bookmarkEnd w:id="109"/>
    <w:bookmarkStart w:id="110" w:name="implementation-6"/>
    <w:p>
      <w:pPr>
        <w:pStyle w:val="Heading2"/>
        <w:spacing w:line="480" w:lineRule="auto"/>
      </w:pPr>
      <w:r>
        <w:t xml:space="preserve">Implementation</w:t>
      </w:r>
    </w:p>
    <w:p>
      <w:pPr>
        <w:pStyle w:val="FirstParagraph"/>
        <w:spacing w:line="480" w:lineRule="auto"/>
      </w:pPr>
      <w:r>
        <w:t xml:space="preserve">Risk language enters the profile through the insurance logic, so the chapter fixes it. A tracked high-consequence target carries a priced probability, not a certainty; a persistent shell holds its targets longer, raising their value; a high-consequence body keeps its consequence whether or not the cadence reaches it</w:t>
      </w:r>
      <w:r>
        <w:t xml:space="preserve"> </w:t>
      </w:r>
      <w:hyperlink w:anchor="ref-4">
        <w:r>
          <w:rPr>
            <w:rStyle w:val="Hyperlink"/>
          </w:rPr>
          <w:t xml:space="preserve">[4]</w:t>
        </w:r>
      </w:hyperlink>
      <w:r>
        <w:t xml:space="preserve">,</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15">
        <w:r>
          <w:rPr>
            <w:rStyle w:val="Hyperlink"/>
          </w:rPr>
          <w:t xml:space="preserve">[15]</w:t>
        </w:r>
      </w:hyperlink>
      <w:r>
        <w:t xml:space="preserve">,</w:t>
      </w:r>
      <w:r>
        <w:t xml:space="preserve"> </w:t>
      </w:r>
      <w:hyperlink w:anchor="ref-23">
        <w:r>
          <w:rPr>
            <w:rStyle w:val="Hyperlink"/>
          </w:rPr>
          <w:t xml:space="preserve">[23]</w:t>
        </w:r>
      </w:hyperlink>
      <w:r>
        <w:t xml:space="preserve">. Fixed, these keep the profile auditable. Grounds, warrant, and backing survive the move into implementation. The findings still supply the grounds, cadence-adjusted balance still connects them, and the literatures still frame them. The qualifier still marks where the profile stops and where implementation must add feasibility studies, ownership clearance, capture technology, and disposal design. Reproducibility is why the profile builds on the public catalog. Anyone can rebuild the target values and the growth hurdle, apply a stated procurement cadence, and check the deliverable removals, which makes a feasibility verdict defensible rather than asserted</w:t>
      </w:r>
      <w:r>
        <w:t xml:space="preserve"> </w:t>
      </w:r>
      <w:hyperlink w:anchor="ref-4">
        <w:r>
          <w:rPr>
            <w:rStyle w:val="Hyperlink"/>
          </w:rPr>
          <w:t xml:space="preserve">[4]</w:t>
        </w:r>
      </w:hyperlink>
      <w:r>
        <w:t xml:space="preserve">,</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15">
        <w:r>
          <w:rPr>
            <w:rStyle w:val="Hyperlink"/>
          </w:rPr>
          <w:t xml:space="preserve">[15]</w:t>
        </w:r>
      </w:hyperlink>
      <w:r>
        <w:t xml:space="preserve">,</w:t>
      </w:r>
      <w:r>
        <w:t xml:space="preserve"> </w:t>
      </w:r>
      <w:hyperlink w:anchor="ref-23">
        <w:r>
          <w:rPr>
            <w:rStyle w:val="Hyperlink"/>
          </w:rPr>
          <w:t xml:space="preserve">[23]</w:t>
        </w:r>
      </w:hyperlink>
      <w:r>
        <w:t xml:space="preserve">. A private profile would trade that auditability for a precision the argument does not need. The six variables close the loop.</w:t>
      </w:r>
    </w:p>
    <w:p>
      <w:pPr>
        <w:pStyle w:val="BodyText"/>
        <w:spacing w:line="480" w:lineRule="auto"/>
        <w:ind w:firstLine="720"/>
      </w:pPr>
      <w:r>
        <w:t xml:space="preserve">Each traces to a source, the source column stays last, and the evidence is stable while its use shifts from ranking targets to funding their removal. The profile is scored as a portfolio, not a single mission. Paper 1 supplies the target values that rank the candidates; Paper 2 supplies the growth hurdle the cadence must clear. The program test compares deliverable removals per year, target value, mission cost, and residual risk before it credits any ROI claim</w:t>
      </w:r>
      <w:r>
        <w:t xml:space="preserve"> </w:t>
      </w:r>
      <w:hyperlink w:anchor="ref-4">
        <w:r>
          <w:rPr>
            <w:rStyle w:val="Hyperlink"/>
          </w:rPr>
          <w:t xml:space="preserve">[4]</w:t>
        </w:r>
      </w:hyperlink>
      <w:r>
        <w:t xml:space="preserve">,</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15">
        <w:r>
          <w:rPr>
            <w:rStyle w:val="Hyperlink"/>
          </w:rPr>
          <w:t xml:space="preserve">[15]</w:t>
        </w:r>
      </w:hyperlink>
      <w:r>
        <w:t xml:space="preserve">,</w:t>
      </w:r>
      <w:r>
        <w:t xml:space="preserve"> </w:t>
      </w:r>
      <w:hyperlink w:anchor="ref-23">
        <w:r>
          <w:rPr>
            <w:rStyle w:val="Hyperlink"/>
          </w:rPr>
          <w:t xml:space="preserve">[23]</w:t>
        </w:r>
      </w:hyperlink>
      <w:r>
        <w:t xml:space="preserve">. Scale decides the label. Kept apart, the variables show which lever a program pulls: context the environment, assumption the cadence, variable the measurable value and cost, evidence the estimator output, risk the gap between deliverable removals and growth, next use the budget comparison. Scored this way, an ambitious appropriation with a slow cadence cannot pass as stabilization.</w:t>
      </w:r>
    </w:p>
    <w:bookmarkEnd w:id="110"/>
    <w:bookmarkStart w:id="111" w:name="cost-realism-4"/>
    <w:p>
      <w:pPr>
        <w:pStyle w:val="Heading2"/>
        <w:spacing w:line="480" w:lineRule="auto"/>
      </w:pPr>
      <w:r>
        <w:t xml:space="preserve">Cost realism</w:t>
      </w:r>
    </w:p>
    <w:p>
      <w:pPr>
        <w:pStyle w:val="FirstParagraph"/>
        <w:spacing w:line="480" w:lineRule="auto"/>
      </w:pPr>
      <w:r>
        <w:t xml:space="preserve">Thin evidence is an appropriation reported as if it were flown removals</w:t>
      </w:r>
      <w:r>
        <w:t xml:space="preserve"> </w:t>
      </w:r>
      <w:hyperlink w:anchor="ref-4">
        <w:r>
          <w:rPr>
            <w:rStyle w:val="Hyperlink"/>
          </w:rPr>
          <w:t xml:space="preserve">[4]</w:t>
        </w:r>
      </w:hyperlink>
      <w:r>
        <w:t xml:space="preserve">,</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15">
        <w:r>
          <w:rPr>
            <w:rStyle w:val="Hyperlink"/>
          </w:rPr>
          <w:t xml:space="preserve">[15]</w:t>
        </w:r>
      </w:hyperlink>
      <w:r>
        <w:t xml:space="preserve">,</w:t>
      </w:r>
      <w:r>
        <w:t xml:space="preserve"> </w:t>
      </w:r>
      <w:hyperlink w:anchor="ref-23">
        <w:r>
          <w:rPr>
            <w:rStyle w:val="Hyperlink"/>
          </w:rPr>
          <w:t xml:space="preserve">[23]</w:t>
        </w:r>
      </w:hyperlink>
      <w:r>
        <w:t xml:space="preserve">. The chapter’s correction is to convert the budget through procurement cadence before scoring, so a feasibility claim can be checked against the deliverable rather than the authorized. The recheck holds the logic intact. Deliver fewer removals than the hurdle requires and the program may still earn its budget, but its claim moves from stabilization to demonstration or targeted risk reduction. That move is the qualifier keeping the profile faithful to what a real cadence delivers. The baseline that sets target value and the growth hurdle is tracked, public, and reproducible by design</w:t>
      </w:r>
      <w:r>
        <w:t xml:space="preserve"> </w:t>
      </w:r>
      <w:hyperlink w:anchor="ref-4">
        <w:r>
          <w:rPr>
            <w:rStyle w:val="Hyperlink"/>
          </w:rPr>
          <w:t xml:space="preserve">[4]</w:t>
        </w:r>
      </w:hyperlink>
      <w:r>
        <w:t xml:space="preserve">,</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15">
        <w:r>
          <w:rPr>
            <w:rStyle w:val="Hyperlink"/>
          </w:rPr>
          <w:t xml:space="preserve">[15]</w:t>
        </w:r>
      </w:hyperlink>
      <w:r>
        <w:t xml:space="preserve">,</w:t>
      </w:r>
      <w:r>
        <w:t xml:space="preserve"> </w:t>
      </w:r>
      <w:hyperlink w:anchor="ref-23">
        <w:r>
          <w:rPr>
            <w:rStyle w:val="Hyperlink"/>
          </w:rPr>
          <w:t xml:space="preserve">[23]</w:t>
        </w:r>
      </w:hyperlink>
      <w:r>
        <w:t xml:space="preserve">. A profile built on re-derivable numbers is what lets a feasibility claim survive a budget-room challenge. The closing logic makes the profile portable. Short paragraphs mark the constraints; longer ones carry the conversion; the result is a feasibility standard a sponsor can test rather than a plan they must trust.</w:t>
      </w:r>
    </w:p>
    <w:p>
      <w:pPr>
        <w:pStyle w:val="BodyText"/>
        <w:spacing w:line="480" w:lineRule="auto"/>
        <w:ind w:firstLine="720"/>
      </w:pPr>
      <w:r>
        <w:t xml:space="preserve">Nothing in this layer changes the paper findings; it sharpens how the profile uses them</w:t>
      </w:r>
      <w:r>
        <w:t xml:space="preserve"> </w:t>
      </w:r>
      <w:hyperlink w:anchor="ref-4">
        <w:r>
          <w:rPr>
            <w:rStyle w:val="Hyperlink"/>
          </w:rPr>
          <w:t xml:space="preserve">[4]</w:t>
        </w:r>
      </w:hyperlink>
      <w:r>
        <w:t xml:space="preserve">,</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15">
        <w:r>
          <w:rPr>
            <w:rStyle w:val="Hyperlink"/>
          </w:rPr>
          <w:t xml:space="preserve">[15]</w:t>
        </w:r>
      </w:hyperlink>
      <w:r>
        <w:t xml:space="preserve">,</w:t>
      </w:r>
      <w:r>
        <w:t xml:space="preserve"> </w:t>
      </w:r>
      <w:hyperlink w:anchor="ref-23">
        <w:r>
          <w:rPr>
            <w:rStyle w:val="Hyperlink"/>
          </w:rPr>
          <w:t xml:space="preserve">[23]</w:t>
        </w:r>
      </w:hyperlink>
      <w:r>
        <w:t xml:space="preserve">. Downstream integrity checks hold every coefficient and citation unchanged. Model humility stays in view. SATCAT is a tracked-object catalog. ORDEM and MASTER remain environment models. Active-removal planning still turns on feasibility, ownership clearance, capture technology, and disposal design. The chapter keeps those boundaries lit so a fundable profile is never mistaken for a complete plan.</w:t>
      </w:r>
    </w:p>
    <w:bookmarkEnd w:id="111"/>
    <w:bookmarkStart w:id="112" w:name="governance-handoff-4"/>
    <w:p>
      <w:pPr>
        <w:pStyle w:val="Heading2"/>
        <w:spacing w:line="480" w:lineRule="auto"/>
      </w:pPr>
      <w:r>
        <w:t xml:space="preserve">Governance handoff</w:t>
      </w:r>
    </w:p>
    <w:p>
      <w:pPr>
        <w:pStyle w:val="FirstParagraph"/>
        <w:spacing w:line="480" w:lineRule="auto"/>
      </w:pPr>
      <w:r>
        <w:t xml:space="preserve">Labels turn on the deliverable cadence. Pilot, targeted reduction, and stabilization describe different positions relative to the hurdle once procurement friction is counted, and an agency that reads the appropriation instead of the deliverable can fund one and report another</w:t>
      </w:r>
      <w:r>
        <w:t xml:space="preserve"> </w:t>
      </w:r>
      <w:hyperlink w:anchor="ref-4">
        <w:r>
          <w:rPr>
            <w:rStyle w:val="Hyperlink"/>
          </w:rPr>
          <w:t xml:space="preserve">[4]</w:t>
        </w:r>
      </w:hyperlink>
      <w:r>
        <w:t xml:space="preserve">,</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15">
        <w:r>
          <w:rPr>
            <w:rStyle w:val="Hyperlink"/>
          </w:rPr>
          <w:t xml:space="preserve">[15]</w:t>
        </w:r>
      </w:hyperlink>
      <w:r>
        <w:t xml:space="preserve">,</w:t>
      </w:r>
      <w:r>
        <w:t xml:space="preserve"> </w:t>
      </w:r>
      <w:hyperlink w:anchor="ref-23">
        <w:r>
          <w:rPr>
            <w:rStyle w:val="Hyperlink"/>
          </w:rPr>
          <w:t xml:space="preserve">[23]</w:t>
        </w:r>
      </w:hyperlink>
      <w:r>
        <w:t xml:space="preserve">. Naming the position correctly is where accountable governance starts. The prose hands off cleanly. The evidence stays stable while the writing’s cadence shifts enough to read like a finished program-design chapter, and the profile arrives at governance with its warrant, qualifier, and threshold intact. The chapter closes on the rule the profile implies. Name the target class, measure the stock-flow baseline, price the deliverable removals, and label the program only once those three facts are visible</w:t>
      </w:r>
      <w:r>
        <w:t xml:space="preserve"> </w:t>
      </w:r>
      <w:hyperlink w:anchor="ref-10">
        <w:r>
          <w:rPr>
            <w:rStyle w:val="Hyperlink"/>
          </w:rPr>
          <w:t xml:space="preserve">[10]</w:t>
        </w:r>
      </w:hyperlink>
      <w:r>
        <w:t xml:space="preserve">,</w:t>
      </w:r>
      <w:r>
        <w:t xml:space="preserve"> </w:t>
      </w:r>
      <w:hyperlink w:anchor="ref-15">
        <w:r>
          <w:rPr>
            <w:rStyle w:val="Hyperlink"/>
          </w:rPr>
          <w:t xml:space="preserve">[15]</w:t>
        </w:r>
      </w:hyperlink>
      <w:r>
        <w:t xml:space="preserve">,</w:t>
      </w:r>
      <w:r>
        <w:t xml:space="preserve"> </w:t>
      </w:r>
      <w:hyperlink w:anchor="ref-23">
        <w:r>
          <w:rPr>
            <w:rStyle w:val="Hyperlink"/>
          </w:rPr>
          <w:t xml:space="preserve">[23]</w:t>
        </w:r>
      </w:hyperlink>
      <w:r>
        <w:t xml:space="preserve">. The ladder follows.</w:t>
      </w:r>
    </w:p>
    <w:p>
      <w:pPr>
        <w:pStyle w:val="BodyText"/>
        <w:spacing w:line="480" w:lineRule="auto"/>
        <w:ind w:firstLine="720"/>
      </w:pPr>
      <w:r>
        <w:t xml:space="preserve">A deliverable cadence far below the baseline makes the program a pilot, unless a selected object carries unusual risk; a cadence near the baseline makes it targeted risk reduction; a cadence above the baseline clearing high-consequence targets in persistent shells earns evaluation as remediation with a plausible environmental ROI claim</w:t>
      </w:r>
      <w:r>
        <w:t xml:space="preserve"> </w:t>
      </w:r>
      <w:hyperlink w:anchor="ref-10">
        <w:r>
          <w:rPr>
            <w:rStyle w:val="Hyperlink"/>
          </w:rPr>
          <w:t xml:space="preserve">[10]</w:t>
        </w:r>
      </w:hyperlink>
      <w:r>
        <w:t xml:space="preserve">,</w:t>
      </w:r>
      <w:r>
        <w:t xml:space="preserve"> </w:t>
      </w:r>
      <w:hyperlink w:anchor="ref-15">
        <w:r>
          <w:rPr>
            <w:rStyle w:val="Hyperlink"/>
          </w:rPr>
          <w:t xml:space="preserve">[15]</w:t>
        </w:r>
      </w:hyperlink>
      <w:r>
        <w:t xml:space="preserve">,</w:t>
      </w:r>
      <w:r>
        <w:t xml:space="preserve"> </w:t>
      </w:r>
      <w:hyperlink w:anchor="ref-23">
        <w:r>
          <w:rPr>
            <w:rStyle w:val="Hyperlink"/>
          </w:rPr>
          <w:t xml:space="preserve">[23]</w:t>
        </w:r>
      </w:hyperlink>
      <w:r>
        <w:t xml:space="preserve">. Each rung is a fact the reader can check against the profile. The chapter ends on the feasibility profile it opened with. It converts technical desirability into program feasibility through appropriations, procurement cadence, target selection, insurance logic, and remediation mission planning, and it preserves the threshold test: remediation ROI depends on funded cadence, target value, stock-flow balance, and evidence that the selected objects change the risk trajectory</w:t>
      </w:r>
      <w:r>
        <w:t xml:space="preserve"> </w:t>
      </w:r>
      <w:hyperlink w:anchor="ref-4">
        <w:r>
          <w:rPr>
            <w:rStyle w:val="Hyperlink"/>
          </w:rPr>
          <w:t xml:space="preserve">[4]</w:t>
        </w:r>
      </w:hyperlink>
      <w:r>
        <w:t xml:space="preserve">,</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15">
        <w:r>
          <w:rPr>
            <w:rStyle w:val="Hyperlink"/>
          </w:rPr>
          <w:t xml:space="preserve">[15]</w:t>
        </w:r>
      </w:hyperlink>
      <w:r>
        <w:t xml:space="preserve">,</w:t>
      </w:r>
      <w:r>
        <w:t xml:space="preserve"> </w:t>
      </w:r>
      <w:hyperlink w:anchor="ref-23">
        <w:r>
          <w:rPr>
            <w:rStyle w:val="Hyperlink"/>
          </w:rPr>
          <w:t xml:space="preserve">[23]</w:t>
        </w:r>
      </w:hyperlink>
      <w:r>
        <w:t xml:space="preserve">. The short version carries forward. A mission can succeed without proving a program pays.</w:t>
      </w:r>
    </w:p>
    <w:bookmarkEnd w:id="112"/>
    <w:bookmarkEnd w:id="113"/>
    <w:bookmarkStart w:id="114" w:name="X5dd8d4c27c37d22fa5a26bb16dc90b435afc670"/>
    <w:p>
      <w:pPr>
        <w:pStyle w:val="Heading1"/>
        <w:spacing w:line="480" w:lineRule="auto"/>
      </w:pPr>
      <w:r>
        <w:t xml:space="preserve">Chapter 8. Conclusion: When Does Top-N Removal Pay Off?</w:t>
      </w:r>
    </w:p>
    <w:bookmarkEnd w:id="114"/>
    <w:bookmarkStart w:id="160" w:name="X288fdf7066ab63bda9b646c27de45e3cb514fd1"/>
    <w:p>
      <w:pPr>
        <w:pStyle w:val="Heading1"/>
        <w:spacing w:line="480" w:lineRule="auto"/>
      </w:pPr>
      <w:r>
        <w:t xml:space="preserve">Chapter 8. Conclusion: When Does Top-N Removal Pay Off?</w:t>
      </w:r>
    </w:p>
    <w:p>
      <w:pPr>
        <w:pStyle w:val="FirstParagraph"/>
        <w:spacing w:line="480" w:lineRule="auto"/>
      </w:pPr>
      <w:r>
        <w:t xml:space="preserve">The dissertation arrives at a single, testable answer. Top-N removal pays off only when both funded cadence and target choice clear the stock-flow hurdle the catalog reveals.</w:t>
      </w:r>
    </w:p>
    <w:p>
      <w:pPr>
        <w:pStyle w:val="BodyText"/>
        <w:spacing w:line="480" w:lineRule="auto"/>
        <w:ind w:firstLine="720"/>
      </w:pPr>
      <w:r>
        <w:t xml:space="preserve">Noor Zhang, 1B-SDA-144, draws that conclusion from the empirical shell concentration, the measured rocket-body growth, the sensitivity work, and an updateable governance rule, and she does so while leaving the estimates and the shared reference pool untouched</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w:t>
      </w:r>
      <w:r>
        <w:t xml:space="preserve"> </w:t>
      </w:r>
      <w:hyperlink w:anchor="ref-21">
        <w:r>
          <w:rPr>
            <w:rStyle w:val="Hyperlink"/>
          </w:rPr>
          <w:t xml:space="preserve">[21]</w:t>
        </w:r>
      </w:hyperlink>
      <w:r>
        <w:t xml:space="preserve">,</w:t>
      </w:r>
      <w:r>
        <w:t xml:space="preserve"> </w:t>
      </w:r>
      <w:hyperlink w:anchor="ref-23">
        <w:r>
          <w:rPr>
            <w:rStyle w:val="Hyperlink"/>
          </w:rPr>
          <w:t xml:space="preserve">[23]</w:t>
        </w:r>
      </w:hyperlink>
      <w:r>
        <w:t xml:space="preserve">,</w:t>
      </w:r>
      <w:r>
        <w:t xml:space="preserve"> </w:t>
      </w:r>
      <w:hyperlink w:anchor="ref-27">
        <w:r>
          <w:rPr>
            <w:rStyle w:val="Hyperlink"/>
          </w:rPr>
          <w:t xml:space="preserve">[27]</w:t>
        </w:r>
      </w:hyperlink>
      <w:r>
        <w:t xml:space="preserve">. The conclusion refuses the two easy answers the field tends to reach for. Removal is neither always worthwhile nor never worthwhile; it is worthwhile under stated conditions on cadence and target choice, and the whole dissertation exists to make those conditions checkable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w:t>
      </w:r>
      <w:r>
        <w:t xml:space="preserve"> </w:t>
      </w:r>
      <w:hyperlink w:anchor="ref-21">
        <w:r>
          <w:rPr>
            <w:rStyle w:val="Hyperlink"/>
          </w:rPr>
          <w:t xml:space="preserve">[21]</w:t>
        </w:r>
      </w:hyperlink>
      <w:r>
        <w:t xml:space="preserve">,</w:t>
      </w:r>
      <w:r>
        <w:t xml:space="preserve"> </w:t>
      </w:r>
      <w:hyperlink w:anchor="ref-23">
        <w:r>
          <w:rPr>
            <w:rStyle w:val="Hyperlink"/>
          </w:rPr>
          <w:t xml:space="preserve">[23]</w:t>
        </w:r>
      </w:hyperlink>
      <w:r>
        <w:t xml:space="preserve">,</w:t>
      </w:r>
      <w:r>
        <w:t xml:space="preserve"> </w:t>
      </w:r>
      <w:hyperlink w:anchor="ref-27">
        <w:r>
          <w:rPr>
            <w:rStyle w:val="Hyperlink"/>
          </w:rPr>
          <w:t xml:space="preserve">[27]</w:t>
        </w:r>
      </w:hyperlink>
      <w:r>
        <w:t xml:space="preserve">. A synthesis that named a verdict without naming the conditions would repeat the error the work set out to correct. Those conditions rest on findings the earlier chapters established and this one only assembles. Additions continue, decay continues, funded missions arrive at a finite cadence, and the environmental return depends on whether the chosen objects shed risk faster than the regime replaces it. The chapter carries the reader from the assembled evidence to a labeled outcome without altering a paper estimate, holding the conclusion to exactly what the shell concentration and the growth rate support.</w:t>
      </w:r>
    </w:p>
    <w:p>
      <w:pPr>
        <w:pStyle w:val="BodyText"/>
        <w:spacing w:line="480" w:lineRule="auto"/>
        <w:ind w:firstLine="720"/>
      </w:pPr>
      <w:r>
        <w:t xml:space="preserve">The final claim is bounded by the same qualifier that has governed every chapter. Its grounds are the two empirical findings and the sensitivity results, its warrant is stock-flow balance, and its backing sits in the environment, procurement, and governance literatures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w:t>
      </w:r>
      <w:r>
        <w:t xml:space="preserve"> </w:t>
      </w:r>
      <w:hyperlink w:anchor="ref-21">
        <w:r>
          <w:rPr>
            <w:rStyle w:val="Hyperlink"/>
          </w:rPr>
          <w:t xml:space="preserve">[21]</w:t>
        </w:r>
      </w:hyperlink>
      <w:r>
        <w:t xml:space="preserve">,</w:t>
      </w:r>
      <w:r>
        <w:t xml:space="preserve"> </w:t>
      </w:r>
      <w:hyperlink w:anchor="ref-23">
        <w:r>
          <w:rPr>
            <w:rStyle w:val="Hyperlink"/>
          </w:rPr>
          <w:t xml:space="preserve">[23]</w:t>
        </w:r>
      </w:hyperlink>
      <w:r>
        <w:t xml:space="preserve">,</w:t>
      </w:r>
      <w:r>
        <w:t xml:space="preserve"> </w:t>
      </w:r>
      <w:hyperlink w:anchor="ref-27">
        <w:r>
          <w:rPr>
            <w:rStyle w:val="Hyperlink"/>
          </w:rPr>
          <w:t xml:space="preserve">[27]</w:t>
        </w:r>
      </w:hyperlink>
      <w:r>
        <w:t xml:space="preserve">. Tracked data sees the resolved population, not the sub-catalog flux, and the conclusion claims nothing beyond that reach. Scale is the condition the whole synthesis turns on. A campaign that clears the concentrated shells at a cadence above the growth hurdle earns the word stabilization; one that falls short on either count does not, whatever its engineering merit. The label attaches only after the analyst compares removals per year to the hurdle, checks the targets for persistence and crowding, and keeps the size-area proxy distinct from physical mass. The name follows the two conditions, together.</w:t>
      </w:r>
    </w:p>
    <w:bookmarkStart w:id="115" w:name="evidence-context-7"/>
    <w:p>
      <w:pPr>
        <w:pStyle w:val="Heading2"/>
        <w:spacing w:line="480" w:lineRule="auto"/>
      </w:pPr>
      <w:r>
        <w:t xml:space="preserve">Evidence context</w:t>
      </w:r>
    </w:p>
    <w:p>
      <w:pPr>
        <w:pStyle w:val="FirstParagraph"/>
        <w:spacing w:line="480" w:lineRule="auto"/>
      </w:pPr>
      <w:r>
        <w:t xml:space="preserve">The environment reporting frames the synthesis and repeats the caution that has bounded the work throughout: a tracked count is not the whole risk field</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w:t>
      </w:r>
      <w:r>
        <w:t xml:space="preserve"> </w:t>
      </w:r>
      <w:hyperlink w:anchor="ref-21">
        <w:r>
          <w:rPr>
            <w:rStyle w:val="Hyperlink"/>
          </w:rPr>
          <w:t xml:space="preserve">[21]</w:t>
        </w:r>
      </w:hyperlink>
      <w:r>
        <w:t xml:space="preserve">,</w:t>
      </w:r>
      <w:r>
        <w:t xml:space="preserve"> </w:t>
      </w:r>
      <w:hyperlink w:anchor="ref-23">
        <w:r>
          <w:rPr>
            <w:rStyle w:val="Hyperlink"/>
          </w:rPr>
          <w:t xml:space="preserve">[23]</w:t>
        </w:r>
      </w:hyperlink>
      <w:r>
        <w:t xml:space="preserve">,</w:t>
      </w:r>
      <w:r>
        <w:t xml:space="preserve"> </w:t>
      </w:r>
      <w:hyperlink w:anchor="ref-27">
        <w:r>
          <w:rPr>
            <w:rStyle w:val="Hyperlink"/>
          </w:rPr>
          <w:t xml:space="preserve">[27]</w:t>
        </w:r>
      </w:hyperlink>
      <w:r>
        <w:t xml:space="preserve">. The conclusion honors that caution by claiming a threshold for the tracked population rather than a universal remedy for every debris class. The discipline carries into the final claim. Radar cross-section remains a size-area proxy. Rocket bodies remain the tracked class whose consequence anchors the growth analysis. SATCAT remains a reproducible catalog and not ORDEM, MASTER, or a collision-evolution model. The chapter names each so the conclusion rests on observation where it can and inference where it must. The synthesis keeps the dissertation’s six categories one last time. Context is the environment. Assumptions are the cadence and target-selection choices. Variables are the source-traced rows. Evidence is the combined estimator output. Risk is shell persistence and target consequence.</w:t>
      </w:r>
    </w:p>
    <w:p>
      <w:pPr>
        <w:pStyle w:val="BodyText"/>
        <w:spacing w:line="480" w:lineRule="auto"/>
        <w:ind w:firstLine="720"/>
      </w:pPr>
      <w:r>
        <w:t xml:space="preserve">Next use is the budget comparison that decides the label</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w:t>
      </w:r>
      <w:r>
        <w:t xml:space="preserve"> </w:t>
      </w:r>
      <w:hyperlink w:anchor="ref-21">
        <w:r>
          <w:rPr>
            <w:rStyle w:val="Hyperlink"/>
          </w:rPr>
          <w:t xml:space="preserve">[21]</w:t>
        </w:r>
      </w:hyperlink>
      <w:r>
        <w:t xml:space="preserve">,</w:t>
      </w:r>
      <w:r>
        <w:t xml:space="preserve"> </w:t>
      </w:r>
      <w:hyperlink w:anchor="ref-23">
        <w:r>
          <w:rPr>
            <w:rStyle w:val="Hyperlink"/>
          </w:rPr>
          <w:t xml:space="preserve">[23]</w:t>
        </w:r>
      </w:hyperlink>
      <w:r>
        <w:t xml:space="preserve">,</w:t>
      </w:r>
      <w:r>
        <w:t xml:space="preserve"> </w:t>
      </w:r>
      <w:hyperlink w:anchor="ref-27">
        <w:r>
          <w:rPr>
            <w:rStyle w:val="Hyperlink"/>
          </w:rPr>
          <w:t xml:space="preserve">[27]</w:t>
        </w:r>
      </w:hyperlink>
      <w:r>
        <w:t xml:space="preserve">. The writing paces itself to the close.</w:t>
      </w:r>
    </w:p>
    <w:p>
      <w:pPr>
        <w:pStyle w:val="BodyText"/>
        <w:spacing w:line="480" w:lineRule="auto"/>
        <w:ind w:firstLine="720"/>
      </w:pPr>
      <w:r>
        <w:t xml:space="preserve">A short paragraph can state a condition; a longer one is needed to show how the shell concentration and the growth hurdle combine into a single test. The chapter leaves a program reader with a decision rule, not a summary that debris removal is complicated. Cost keeps the conclusion honest to the end. A campaign can clear the right shells and still fall below the growth hurdle, which makes it a targeted risk reduction rather than a stabilization, and the synthesis says so plainly</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w:t>
      </w:r>
      <w:r>
        <w:t xml:space="preserve"> </w:t>
      </w:r>
      <w:hyperlink w:anchor="ref-21">
        <w:r>
          <w:rPr>
            <w:rStyle w:val="Hyperlink"/>
          </w:rPr>
          <w:t xml:space="preserve">[21]</w:t>
        </w:r>
      </w:hyperlink>
      <w:r>
        <w:t xml:space="preserve">,</w:t>
      </w:r>
      <w:r>
        <w:t xml:space="preserve"> </w:t>
      </w:r>
      <w:hyperlink w:anchor="ref-23">
        <w:r>
          <w:rPr>
            <w:rStyle w:val="Hyperlink"/>
          </w:rPr>
          <w:t xml:space="preserve">[23]</w:t>
        </w:r>
      </w:hyperlink>
      <w:r>
        <w:t xml:space="preserve">,</w:t>
      </w:r>
      <w:r>
        <w:t xml:space="preserve"> </w:t>
      </w:r>
      <w:hyperlink w:anchor="ref-27">
        <w:r>
          <w:rPr>
            <w:rStyle w:val="Hyperlink"/>
          </w:rPr>
          <w:t xml:space="preserve">[27]</w:t>
        </w:r>
      </w:hyperlink>
      <w:r>
        <w:t xml:space="preserve">. Both conditions must hold, not either one alone. Grounds, warrant, and backing hold through the close. The findings supply the grounds, stock-flow balance supplies the warrant, and the literatures supply the backing. The qualifier stays visible, because a conclusion built on tracked objects should never imply reach over the flux field it cannot see.</w:t>
      </w:r>
    </w:p>
    <w:bookmarkEnd w:id="115"/>
    <w:bookmarkStart w:id="116" w:name="program-reading-7"/>
    <w:p>
      <w:pPr>
        <w:pStyle w:val="Heading2"/>
        <w:spacing w:line="480" w:lineRule="auto"/>
      </w:pPr>
      <w:r>
        <w:t xml:space="preserve">Program reading</w:t>
      </w:r>
    </w:p>
    <w:p>
      <w:pPr>
        <w:pStyle w:val="FirstParagraph"/>
        <w:spacing w:line="480" w:lineRule="auto"/>
      </w:pPr>
      <w:r>
        <w:t xml:space="preserve">Cadence and target choice are the two levers, and the program reading is where they are pulled together. An appropriation sets the cadence; the shell map sets which targets are worth clearing; the conclusion holds that a program clears the bar only when both are set high enough at once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w:t>
      </w:r>
      <w:r>
        <w:t xml:space="preserve"> </w:t>
      </w:r>
      <w:hyperlink w:anchor="ref-21">
        <w:r>
          <w:rPr>
            <w:rStyle w:val="Hyperlink"/>
          </w:rPr>
          <w:t xml:space="preserve">[21]</w:t>
        </w:r>
      </w:hyperlink>
      <w:r>
        <w:t xml:space="preserve">,</w:t>
      </w:r>
      <w:r>
        <w:t xml:space="preserve"> </w:t>
      </w:r>
      <w:hyperlink w:anchor="ref-23">
        <w:r>
          <w:rPr>
            <w:rStyle w:val="Hyperlink"/>
          </w:rPr>
          <w:t xml:space="preserve">[23]</w:t>
        </w:r>
      </w:hyperlink>
      <w:r>
        <w:t xml:space="preserve">,</w:t>
      </w:r>
      <w:r>
        <w:t xml:space="preserve"> </w:t>
      </w:r>
      <w:hyperlink w:anchor="ref-27">
        <w:r>
          <w:rPr>
            <w:rStyle w:val="Hyperlink"/>
          </w:rPr>
          <w:t xml:space="preserve">[27]</w:t>
        </w:r>
      </w:hyperlink>
      <w:r>
        <w:t xml:space="preserve">. Either lever alone leaves the bar uncleared. The six categories carry the reading. Context stays the environment, assumption the cadence and targets, variable the measurable stock or proxy, evidence the estimator output, risk the gap between removal rate and growth, next use the budget comparison. Kept distinct, they show a sponsor where a payoff claim would break. Stock-flow balance is the warrant the whole dissertation rests on, and the conclusion rechecks it because everything else depends on it. Name the class, measure the hurdle, weigh the targets, and the payoff question resolves without rhetorical slack</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w:t>
      </w:r>
      <w:r>
        <w:t xml:space="preserve"> </w:t>
      </w:r>
      <w:hyperlink w:anchor="ref-21">
        <w:r>
          <w:rPr>
            <w:rStyle w:val="Hyperlink"/>
          </w:rPr>
          <w:t xml:space="preserve">[21]</w:t>
        </w:r>
      </w:hyperlink>
      <w:r>
        <w:t xml:space="preserve">,</w:t>
      </w:r>
      <w:r>
        <w:t xml:space="preserve"> </w:t>
      </w:r>
      <w:hyperlink w:anchor="ref-23">
        <w:r>
          <w:rPr>
            <w:rStyle w:val="Hyperlink"/>
          </w:rPr>
          <w:t xml:space="preserve">[23]</w:t>
        </w:r>
      </w:hyperlink>
      <w:r>
        <w:t xml:space="preserve">,</w:t>
      </w:r>
      <w:r>
        <w:t xml:space="preserve"> </w:t>
      </w:r>
      <w:hyperlink w:anchor="ref-27">
        <w:r>
          <w:rPr>
            <w:rStyle w:val="Hyperlink"/>
          </w:rPr>
          <w:t xml:space="preserve">[27]</w:t>
        </w:r>
      </w:hyperlink>
      <w:r>
        <w:t xml:space="preserve">. That falsifiability is what makes the final claim a finding rather than an opinion. The recheck follows the proxy chain into the conclusion.</w:t>
      </w:r>
    </w:p>
    <w:p>
      <w:pPr>
        <w:pStyle w:val="BodyText"/>
        <w:spacing w:line="480" w:lineRule="auto"/>
        <w:ind w:firstLine="720"/>
      </w:pPr>
      <w:r>
        <w:t xml:space="preserve">Cross-section approximates size, size approximates area, area feeds collision probability, and each link is an approximation the chapter names in place. Explicit, the chain lets a reader weigh how much of the payoff claim rests on observation.</w:t>
      </w:r>
    </w:p>
    <w:p>
      <w:pPr>
        <w:pStyle w:val="BodyText"/>
        <w:spacing w:line="480" w:lineRule="auto"/>
        <w:ind w:firstLine="720"/>
      </w:pPr>
      <w:r>
        <w:t xml:space="preserve">Target choice is one of the two conditions, and the synthesis compresses the earlier chapters’ shell work into it. Clear the concentrated, persistent shells and each removal counts toward the hurdle; clear the sparse ones and the same count barely moves the balance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w:t>
      </w:r>
      <w:r>
        <w:t xml:space="preserve"> </w:t>
      </w:r>
      <w:hyperlink w:anchor="ref-21">
        <w:r>
          <w:rPr>
            <w:rStyle w:val="Hyperlink"/>
          </w:rPr>
          <w:t xml:space="preserve">[21]</w:t>
        </w:r>
      </w:hyperlink>
      <w:r>
        <w:t xml:space="preserve">,</w:t>
      </w:r>
      <w:r>
        <w:t xml:space="preserve"> </w:t>
      </w:r>
      <w:hyperlink w:anchor="ref-23">
        <w:r>
          <w:rPr>
            <w:rStyle w:val="Hyperlink"/>
          </w:rPr>
          <w:t xml:space="preserve">[23]</w:t>
        </w:r>
      </w:hyperlink>
      <w:r>
        <w:t xml:space="preserve">,</w:t>
      </w:r>
      <w:r>
        <w:t xml:space="preserve"> </w:t>
      </w:r>
      <w:hyperlink w:anchor="ref-27">
        <w:r>
          <w:rPr>
            <w:rStyle w:val="Hyperlink"/>
          </w:rPr>
          <w:t xml:space="preserve">[27]</w:t>
        </w:r>
      </w:hyperlink>
      <w:r>
        <w:t xml:space="preserve">. The condition is about which shells, not how many objects. The chapter compresses without softening. Short paragraphs mark the two conditions; longer ones carry the reasoning from combined evidence to labeled outcome. The compression leaves a payoff standard a sponsor can test against a budget rather than an impression that removal sometimes works.</w:t>
      </w:r>
    </w:p>
    <w:bookmarkEnd w:id="116"/>
    <w:bookmarkStart w:id="117" w:name="implementation-7"/>
    <w:p>
      <w:pPr>
        <w:pStyle w:val="Heading2"/>
        <w:spacing w:line="480" w:lineRule="auto"/>
      </w:pPr>
      <w:r>
        <w:t xml:space="preserve">Implementation</w:t>
      </w:r>
    </w:p>
    <w:p>
      <w:pPr>
        <w:pStyle w:val="FirstParagraph"/>
        <w:spacing w:line="480" w:lineRule="auto"/>
      </w:pPr>
      <w:r>
        <w:t xml:space="preserve">Risk language enters the conclusion as the target-consequence condition, so the chapter fixes it. A tracked high-consequence target carries a probability, not a fate; a persistent shell holds its targets, raising their value; a high-consequence body keeps its value whether or not the cadence reaches it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w:t>
      </w:r>
      <w:r>
        <w:t xml:space="preserve"> </w:t>
      </w:r>
      <w:hyperlink w:anchor="ref-21">
        <w:r>
          <w:rPr>
            <w:rStyle w:val="Hyperlink"/>
          </w:rPr>
          <w:t xml:space="preserve">[21]</w:t>
        </w:r>
      </w:hyperlink>
      <w:r>
        <w:t xml:space="preserve">,</w:t>
      </w:r>
      <w:r>
        <w:t xml:space="preserve"> </w:t>
      </w:r>
      <w:hyperlink w:anchor="ref-23">
        <w:r>
          <w:rPr>
            <w:rStyle w:val="Hyperlink"/>
          </w:rPr>
          <w:t xml:space="preserve">[23]</w:t>
        </w:r>
      </w:hyperlink>
      <w:r>
        <w:t xml:space="preserve">,</w:t>
      </w:r>
      <w:r>
        <w:t xml:space="preserve"> </w:t>
      </w:r>
      <w:hyperlink w:anchor="ref-27">
        <w:r>
          <w:rPr>
            <w:rStyle w:val="Hyperlink"/>
          </w:rPr>
          <w:t xml:space="preserve">[27]</w:t>
        </w:r>
      </w:hyperlink>
      <w:r>
        <w:t xml:space="preserve">. Fixed, these keep the final claim auditable. Grounds, warrant, and backing survive the move into implementation. The findings still supply the grounds, balance still connects them, and the literatures still frame them. The qualifier still marks where the conclusion stops and where implementation must add feasibility, ownership clearance, capture technology, and disposal design. Reproducibility is why the conclusion can be defended. Anyone can rebuild the shell concentration and the growth hurdle, apply a stated cadence and target list, and check whether both conditions clear, which makes the payoff verdict testable rather than asserted</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w:t>
      </w:r>
      <w:r>
        <w:t xml:space="preserve"> </w:t>
      </w:r>
      <w:hyperlink w:anchor="ref-21">
        <w:r>
          <w:rPr>
            <w:rStyle w:val="Hyperlink"/>
          </w:rPr>
          <w:t xml:space="preserve">[21]</w:t>
        </w:r>
      </w:hyperlink>
      <w:r>
        <w:t xml:space="preserve">,</w:t>
      </w:r>
      <w:r>
        <w:t xml:space="preserve"> </w:t>
      </w:r>
      <w:hyperlink w:anchor="ref-23">
        <w:r>
          <w:rPr>
            <w:rStyle w:val="Hyperlink"/>
          </w:rPr>
          <w:t xml:space="preserve">[23]</w:t>
        </w:r>
      </w:hyperlink>
      <w:r>
        <w:t xml:space="preserve">,</w:t>
      </w:r>
      <w:r>
        <w:t xml:space="preserve"> </w:t>
      </w:r>
      <w:hyperlink w:anchor="ref-27">
        <w:r>
          <w:rPr>
            <w:rStyle w:val="Hyperlink"/>
          </w:rPr>
          <w:t xml:space="preserve">[27]</w:t>
        </w:r>
      </w:hyperlink>
      <w:r>
        <w:t xml:space="preserve">. A private synthesis would trade that auditability for a precision the argument does not need. The six variables close the loop a final time.</w:t>
      </w:r>
    </w:p>
    <w:p>
      <w:pPr>
        <w:pStyle w:val="BodyText"/>
        <w:spacing w:line="480" w:lineRule="auto"/>
        <w:ind w:firstLine="720"/>
      </w:pPr>
      <w:r>
        <w:t xml:space="preserve">Each traces to a source, the source column stays last, and the evidence is stable while its use shifts from establishing the findings to judging the program. The synthesis is scored as a portfolio, not a slogan, and the audit question stays narrow. Does the conclusion keep both conditions visible at once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w:t>
      </w:r>
      <w:r>
        <w:t xml:space="preserve"> </w:t>
      </w:r>
      <w:hyperlink w:anchor="ref-21">
        <w:r>
          <w:rPr>
            <w:rStyle w:val="Hyperlink"/>
          </w:rPr>
          <w:t xml:space="preserve">[21]</w:t>
        </w:r>
      </w:hyperlink>
      <w:r>
        <w:t xml:space="preserve">,</w:t>
      </w:r>
      <w:r>
        <w:t xml:space="preserve"> </w:t>
      </w:r>
      <w:hyperlink w:anchor="ref-23">
        <w:r>
          <w:rPr>
            <w:rStyle w:val="Hyperlink"/>
          </w:rPr>
          <w:t xml:space="preserve">[23]</w:t>
        </w:r>
      </w:hyperlink>
      <w:r>
        <w:t xml:space="preserve">,</w:t>
      </w:r>
      <w:r>
        <w:t xml:space="preserve"> </w:t>
      </w:r>
      <w:hyperlink w:anchor="ref-27">
        <w:r>
          <w:rPr>
            <w:rStyle w:val="Hyperlink"/>
          </w:rPr>
          <w:t xml:space="preserve">[27]</w:t>
        </w:r>
      </w:hyperlink>
      <w:r>
        <w:t xml:space="preserve">? Paper 1 supplies the shell concentration that sets the target condition; Paper 2 supplies the growth rate that sets the cadence condition; the program test compares removals per year, target value, mission cost, and residual risk before crediting any ROI claim. Scale decides the label. Kept apart, the variables show which condition a program meets: context the environment, assumption the cadence and targets, variable the measurable stock or proxy, evidence the estimator output, risk the gap between removal and growth, next use the budget comparison. Scored this way, meeting one condition while missing the other cannot pass as stabilization.</w:t>
      </w:r>
    </w:p>
    <w:bookmarkEnd w:id="117"/>
    <w:bookmarkStart w:id="118" w:name="cost-realism-5"/>
    <w:p>
      <w:pPr>
        <w:pStyle w:val="Heading2"/>
        <w:spacing w:line="480" w:lineRule="auto"/>
      </w:pPr>
      <w:r>
        <w:t xml:space="preserve">Cost realism</w:t>
      </w:r>
    </w:p>
    <w:p>
      <w:pPr>
        <w:pStyle w:val="FirstParagraph"/>
        <w:spacing w:line="480" w:lineRule="auto"/>
      </w:pPr>
      <w:r>
        <w:t xml:space="preserve">Thin evidence is a payoff claim that names only one condition</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w:t>
      </w:r>
      <w:r>
        <w:t xml:space="preserve"> </w:t>
      </w:r>
      <w:hyperlink w:anchor="ref-21">
        <w:r>
          <w:rPr>
            <w:rStyle w:val="Hyperlink"/>
          </w:rPr>
          <w:t xml:space="preserve">[21]</w:t>
        </w:r>
      </w:hyperlink>
      <w:r>
        <w:t xml:space="preserve">,</w:t>
      </w:r>
      <w:r>
        <w:t xml:space="preserve"> </w:t>
      </w:r>
      <w:hyperlink w:anchor="ref-23">
        <w:r>
          <w:rPr>
            <w:rStyle w:val="Hyperlink"/>
          </w:rPr>
          <w:t xml:space="preserve">[23]</w:t>
        </w:r>
      </w:hyperlink>
      <w:r>
        <w:t xml:space="preserve">,</w:t>
      </w:r>
      <w:r>
        <w:t xml:space="preserve"> </w:t>
      </w:r>
      <w:hyperlink w:anchor="ref-27">
        <w:r>
          <w:rPr>
            <w:rStyle w:val="Hyperlink"/>
          </w:rPr>
          <w:t xml:space="preserve">[27]</w:t>
        </w:r>
      </w:hyperlink>
      <w:r>
        <w:t xml:space="preserve">. The conclusion’s correction is to require both: price the removals, name the shells, and read cadence and target choice against the hurdle together before scoring. The recheck holds the logic intact. Meet only one condition and the campaign may still earn its budget, but its claim moves from stabilization to demonstration or targeted risk reduction. That move is the qualifier keeping the final verdict faithful to the combined evidence. The baseline that sets both conditions is tracked, public, and reproducible by design</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w:t>
      </w:r>
      <w:r>
        <w:t xml:space="preserve"> </w:t>
      </w:r>
      <w:hyperlink w:anchor="ref-21">
        <w:r>
          <w:rPr>
            <w:rStyle w:val="Hyperlink"/>
          </w:rPr>
          <w:t xml:space="preserve">[21]</w:t>
        </w:r>
      </w:hyperlink>
      <w:r>
        <w:t xml:space="preserve">,</w:t>
      </w:r>
      <w:r>
        <w:t xml:space="preserve"> </w:t>
      </w:r>
      <w:hyperlink w:anchor="ref-23">
        <w:r>
          <w:rPr>
            <w:rStyle w:val="Hyperlink"/>
          </w:rPr>
          <w:t xml:space="preserve">[23]</w:t>
        </w:r>
      </w:hyperlink>
      <w:r>
        <w:t xml:space="preserve">,</w:t>
      </w:r>
      <w:r>
        <w:t xml:space="preserve"> </w:t>
      </w:r>
      <w:hyperlink w:anchor="ref-27">
        <w:r>
          <w:rPr>
            <w:rStyle w:val="Hyperlink"/>
          </w:rPr>
          <w:t xml:space="preserve">[27]</w:t>
        </w:r>
      </w:hyperlink>
      <w:r>
        <w:t xml:space="preserve">. A synthesis built on re-derivable numbers is what lets a payoff claim survive a budget-room challenge. The closing logic makes the conclusion portable. Short paragraphs mark the conditions; longer ones carry the combined reasoning; the result is a payoff standard a sponsor can test rather than a verdict they must trust.</w:t>
      </w:r>
    </w:p>
    <w:p>
      <w:pPr>
        <w:pStyle w:val="BodyText"/>
        <w:spacing w:line="480" w:lineRule="auto"/>
        <w:ind w:firstLine="720"/>
      </w:pPr>
      <w:r>
        <w:t xml:space="preserve">Nothing in this layer changes the paper findings; it sharpens how the two conditions are used, and the sensitivity work confirms that the conclusion holds across reasonable variation in the inputs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w:t>
      </w:r>
      <w:r>
        <w:t xml:space="preserve"> </w:t>
      </w:r>
      <w:hyperlink w:anchor="ref-21">
        <w:r>
          <w:rPr>
            <w:rStyle w:val="Hyperlink"/>
          </w:rPr>
          <w:t xml:space="preserve">[21]</w:t>
        </w:r>
      </w:hyperlink>
      <w:r>
        <w:t xml:space="preserve">,</w:t>
      </w:r>
      <w:r>
        <w:t xml:space="preserve"> </w:t>
      </w:r>
      <w:hyperlink w:anchor="ref-23">
        <w:r>
          <w:rPr>
            <w:rStyle w:val="Hyperlink"/>
          </w:rPr>
          <w:t xml:space="preserve">[23]</w:t>
        </w:r>
      </w:hyperlink>
      <w:r>
        <w:t xml:space="preserve">,</w:t>
      </w:r>
      <w:r>
        <w:t xml:space="preserve"> </w:t>
      </w:r>
      <w:hyperlink w:anchor="ref-27">
        <w:r>
          <w:rPr>
            <w:rStyle w:val="Hyperlink"/>
          </w:rPr>
          <w:t xml:space="preserve">[27]</w:t>
        </w:r>
      </w:hyperlink>
      <w:r>
        <w:t xml:space="preserve">. Downstream integrity checks hold every coefficient and citation unchanged. Model humility stays in view at the close. SATCAT is a tracked-object catalog. ORDEM and MASTER remain environment models. Active-removal planning still turns on feasibility, ownership clearance, capture technology, and disposal design. The chapter keeps those boundaries lit so a two-condition payoff test is never mistaken for a complete plan.</w:t>
      </w:r>
    </w:p>
    <w:bookmarkEnd w:id="118"/>
    <w:bookmarkStart w:id="119" w:name="governance-handoff-5"/>
    <w:p>
      <w:pPr>
        <w:pStyle w:val="Heading2"/>
        <w:spacing w:line="480" w:lineRule="auto"/>
      </w:pPr>
      <w:r>
        <w:t xml:space="preserve">Governance handoff</w:t>
      </w:r>
    </w:p>
    <w:p>
      <w:pPr>
        <w:pStyle w:val="FirstParagraph"/>
        <w:spacing w:line="480" w:lineRule="auto"/>
      </w:pPr>
      <w:r>
        <w:t xml:space="preserve">Governance is where the conclusion becomes updateable rather than final. Pilot, targeted reduction, and stabilization describe different positions on the two conditions, and as additions, decays, and target values change, the same rule re-labels the same program without being rewritten</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w:t>
      </w:r>
      <w:r>
        <w:t xml:space="preserve"> </w:t>
      </w:r>
      <w:hyperlink w:anchor="ref-21">
        <w:r>
          <w:rPr>
            <w:rStyle w:val="Hyperlink"/>
          </w:rPr>
          <w:t xml:space="preserve">[21]</w:t>
        </w:r>
      </w:hyperlink>
      <w:r>
        <w:t xml:space="preserve">,</w:t>
      </w:r>
      <w:r>
        <w:t xml:space="preserve"> </w:t>
      </w:r>
      <w:hyperlink w:anchor="ref-23">
        <w:r>
          <w:rPr>
            <w:rStyle w:val="Hyperlink"/>
          </w:rPr>
          <w:t xml:space="preserve">[23]</w:t>
        </w:r>
      </w:hyperlink>
      <w:r>
        <w:t xml:space="preserve">,</w:t>
      </w:r>
      <w:r>
        <w:t xml:space="preserve"> </w:t>
      </w:r>
      <w:hyperlink w:anchor="ref-27">
        <w:r>
          <w:rPr>
            <w:rStyle w:val="Hyperlink"/>
          </w:rPr>
          <w:t xml:space="preserve">[27]</w:t>
        </w:r>
      </w:hyperlink>
      <w:r>
        <w:t xml:space="preserve">. The rule outlives any single dataset. The prose hands off cleanly. The evidence stays stable while the writing’s cadence shifts enough to read like a finished conclusion, and the two-condition test arrives at governance with its warrant, qualifier, and threshold intact. The dissertation closes on the rule it has built toward. Name the target class, measure the stock-flow baseline, price the removals, and label the program only once those three facts are visible</w:t>
      </w:r>
      <w:r>
        <w:t xml:space="preserve"> </w:t>
      </w:r>
      <w:hyperlink w:anchor="ref-3">
        <w:r>
          <w:rPr>
            <w:rStyle w:val="Hyperlink"/>
          </w:rPr>
          <w:t xml:space="preserve">[3]</w:t>
        </w:r>
      </w:hyperlink>
      <w:r>
        <w:t xml:space="preserve">,</w:t>
      </w:r>
      <w:r>
        <w:t xml:space="preserve"> </w:t>
      </w:r>
      <w:hyperlink w:anchor="ref-21">
        <w:r>
          <w:rPr>
            <w:rStyle w:val="Hyperlink"/>
          </w:rPr>
          <w:t xml:space="preserve">[21]</w:t>
        </w:r>
      </w:hyperlink>
      <w:r>
        <w:t xml:space="preserve">,</w:t>
      </w:r>
      <w:r>
        <w:t xml:space="preserve"> </w:t>
      </w:r>
      <w:hyperlink w:anchor="ref-27">
        <w:r>
          <w:rPr>
            <w:rStyle w:val="Hyperlink"/>
          </w:rPr>
          <w:t xml:space="preserve">[27]</w:t>
        </w:r>
      </w:hyperlink>
      <w:r>
        <w:t xml:space="preserve">. The ladder follows.</w:t>
      </w:r>
    </w:p>
    <w:p>
      <w:pPr>
        <w:pStyle w:val="BodyText"/>
        <w:spacing w:line="480" w:lineRule="auto"/>
        <w:ind w:firstLine="720"/>
      </w:pPr>
      <w:r>
        <w:t xml:space="preserve">A funded cadence far below the baseline makes the program a pilot, unless a selected object carries unusual risk; a cadence near the baseline makes it targeted risk reduction; a cadence above the baseline clearing high-consequence targets in persistent shells earns evaluation as remediation with a plausible environmental ROI claim</w:t>
      </w:r>
      <w:r>
        <w:t xml:space="preserve"> </w:t>
      </w:r>
      <w:hyperlink w:anchor="ref-3">
        <w:r>
          <w:rPr>
            <w:rStyle w:val="Hyperlink"/>
          </w:rPr>
          <w:t xml:space="preserve">[3]</w:t>
        </w:r>
      </w:hyperlink>
      <w:r>
        <w:t xml:space="preserve">,</w:t>
      </w:r>
      <w:r>
        <w:t xml:space="preserve"> </w:t>
      </w:r>
      <w:hyperlink w:anchor="ref-21">
        <w:r>
          <w:rPr>
            <w:rStyle w:val="Hyperlink"/>
          </w:rPr>
          <w:t xml:space="preserve">[21]</w:t>
        </w:r>
      </w:hyperlink>
      <w:r>
        <w:t xml:space="preserve">,</w:t>
      </w:r>
      <w:r>
        <w:t xml:space="preserve"> </w:t>
      </w:r>
      <w:hyperlink w:anchor="ref-27">
        <w:r>
          <w:rPr>
            <w:rStyle w:val="Hyperlink"/>
          </w:rPr>
          <w:t xml:space="preserve">[27]</w:t>
        </w:r>
      </w:hyperlink>
      <w:r>
        <w:t xml:space="preserve">. Each rung is a fact the reader can check, and each remains checkable as the catalog updates. The dissertation ends where its argument was always headed. It synthesizes the threshold logic for active debris removal through the empirical shell concentration, the rocket-body growth rate, the sensitivity analysis, and an updateable governance rule, and it preserves the threshold test: remediation ROI depends on funded cadence, target value, stock-flow balance, and evidence that the selected objects change the risk trajectory</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w:t>
      </w:r>
      <w:r>
        <w:t xml:space="preserve"> </w:t>
      </w:r>
      <w:hyperlink w:anchor="ref-21">
        <w:r>
          <w:rPr>
            <w:rStyle w:val="Hyperlink"/>
          </w:rPr>
          <w:t xml:space="preserve">[21]</w:t>
        </w:r>
      </w:hyperlink>
      <w:r>
        <w:t xml:space="preserve">,</w:t>
      </w:r>
      <w:r>
        <w:t xml:space="preserve"> </w:t>
      </w:r>
      <w:hyperlink w:anchor="ref-23">
        <w:r>
          <w:rPr>
            <w:rStyle w:val="Hyperlink"/>
          </w:rPr>
          <w:t xml:space="preserve">[23]</w:t>
        </w:r>
      </w:hyperlink>
      <w:r>
        <w:t xml:space="preserve">,</w:t>
      </w:r>
      <w:r>
        <w:t xml:space="preserve"> </w:t>
      </w:r>
      <w:hyperlink w:anchor="ref-27">
        <w:r>
          <w:rPr>
            <w:rStyle w:val="Hyperlink"/>
          </w:rPr>
          <w:t xml:space="preserve">[27]</w:t>
        </w:r>
      </w:hyperlink>
      <w:r>
        <w:t xml:space="preserve">. The short version is the finding itself. A mission can succeed without proving a program pays, and top-N removal pays off only when cadence and target choice clear the hurdle together.</w:t>
      </w:r>
    </w:p>
    <w:bookmarkEnd w:id="119"/>
    <w:bookmarkStart w:id="159" w:name="references"/>
    <w:p>
      <w:pPr>
        <w:pStyle w:val="Heading2"/>
        <w:spacing w:line="480" w:lineRule="auto"/>
      </w:pPr>
      <w:r>
        <w:t xml:space="preserve">References</w:t>
      </w:r>
    </w:p>
    <w:p>
      <w:pPr>
        <w:pStyle w:val="FirstParagraph"/>
        <w:spacing w:line="480" w:lineRule="auto"/>
      </w:pPr>
      <w:bookmarkStart w:id="120" w:name="ref-1"/>
      <w:bookmarkEnd w:id="120"/>
      <w:r>
        <w:t xml:space="preserve">1. NASA Orbital Debris Program Office. ORDEM 3.2: OD Engineering Model. NASA Johnson Space Center. Available at the NASA orbital debris modeling portal.</w:t>
      </w:r>
    </w:p>
    <w:p>
      <w:pPr>
        <w:pStyle w:val="BodyText"/>
        <w:spacing w:line="480" w:lineRule="auto"/>
        <w:ind w:firstLine="720"/>
      </w:pPr>
      <w:bookmarkStart w:id="121" w:name="ref-2"/>
      <w:bookmarkEnd w:id="121"/>
      <w:r>
        <w:t xml:space="preserve">2. European Space Agency.</w:t>
      </w:r>
      <w:r>
        <w:t xml:space="preserve"> </w:t>
      </w:r>
      <w:r>
        <w:rPr>
          <w:i/>
          <w:iCs/>
        </w:rPr>
        <w:t xml:space="preserve">ESA’s Annual Space Environment Report 2025</w:t>
      </w:r>
      <w:r>
        <w:t xml:space="preserve">. ESA Space Debris Office, 2025.</w:t>
      </w:r>
    </w:p>
    <w:p>
      <w:pPr>
        <w:pStyle w:val="BodyText"/>
        <w:spacing w:line="480" w:lineRule="auto"/>
        <w:ind w:firstLine="720"/>
      </w:pPr>
      <w:bookmarkStart w:id="122" w:name="ref-3"/>
      <w:bookmarkEnd w:id="122"/>
      <w:r>
        <w:t xml:space="preserve">3. J.-C. Liou. An active debris removal parametric study for LEO environment remediation.</w:t>
      </w:r>
      <w:r>
        <w:t xml:space="preserve"> </w:t>
      </w:r>
      <w:r>
        <w:rPr>
          <w:i/>
          <w:iCs/>
        </w:rPr>
        <w:t xml:space="preserve">Advances in Space Research</w:t>
      </w:r>
      <w:r>
        <w:t xml:space="preserve">, 2011.</w:t>
      </w:r>
    </w:p>
    <w:p>
      <w:pPr>
        <w:pStyle w:val="BodyText"/>
        <w:spacing w:line="480" w:lineRule="auto"/>
        <w:ind w:firstLine="720"/>
      </w:pPr>
      <w:bookmarkStart w:id="123" w:name="ref-4"/>
      <w:bookmarkEnd w:id="123"/>
      <w:r>
        <w:t xml:space="preserve">4. L. Vance.</w:t>
      </w:r>
      <w:r>
        <w:t xml:space="preserve"> </w:t>
      </w:r>
      <w:r>
        <w:rPr>
          <w:i/>
          <w:iCs/>
        </w:rPr>
        <w:t xml:space="preserve">The Value of Orbital Debris Removal</w:t>
      </w:r>
      <w:r>
        <w:t xml:space="preserve">. Raytheon technical study, 2010.</w:t>
      </w:r>
    </w:p>
    <w:p>
      <w:pPr>
        <w:pStyle w:val="BodyText"/>
        <w:spacing w:line="480" w:lineRule="auto"/>
        <w:ind w:firstLine="720"/>
      </w:pPr>
      <w:bookmarkStart w:id="124" w:name="ref-5"/>
      <w:bookmarkEnd w:id="124"/>
      <w:r>
        <w:t xml:space="preserve">5. Public NASA and debris-removal concept studies available through the NASA Technical Reports Server, including remediation mission cost and scenario analyses.</w:t>
      </w:r>
    </w:p>
    <w:p>
      <w:pPr>
        <w:pStyle w:val="BodyText"/>
        <w:spacing w:line="480" w:lineRule="auto"/>
        <w:ind w:firstLine="720"/>
      </w:pPr>
      <w:bookmarkStart w:id="125" w:name="ref-6"/>
      <w:bookmarkEnd w:id="125"/>
      <w:r>
        <w:t xml:space="preserve">6. NASA Technical Reports Server. Public active debris removal and remediation mission concept studies, accessed 2026-06-27.</w:t>
      </w:r>
    </w:p>
    <w:p>
      <w:pPr>
        <w:pStyle w:val="BodyText"/>
        <w:spacing w:line="480" w:lineRule="auto"/>
        <w:ind w:firstLine="720"/>
      </w:pPr>
      <w:bookmarkStart w:id="126" w:name="ref-7"/>
      <w:bookmarkEnd w:id="126"/>
      <w:r>
        <w:t xml:space="preserve">7. T. S. Kelso. CelesTrak SATCAT public catalog CSV, downloaded 2026-06-27. https://celestrak.org/pub/satcat.csv.</w:t>
      </w:r>
    </w:p>
    <w:p>
      <w:pPr>
        <w:pStyle w:val="BodyText"/>
        <w:spacing w:line="480" w:lineRule="auto"/>
        <w:ind w:firstLine="720"/>
      </w:pPr>
      <w:bookmarkStart w:id="127" w:name="ref-8"/>
      <w:bookmarkEnd w:id="127"/>
      <w:r>
        <w:t xml:space="preserve">8. C. Pardini and L. Anselmo. Using the space debris flux to assess the criticality of the environment in low Earth orbit. Acta Astronautica 198, 2022. doi:</w:t>
      </w:r>
      <w:r>
        <w:t xml:space="preserve"> </w:t>
      </w:r>
      <w:hyperlink r:id="rId128">
        <w:r>
          <w:rPr>
            <w:rStyle w:val="Hyperlink"/>
          </w:rPr>
          <w:t xml:space="preserve">10.1016/j.actaastro.2022.05.045</w:t>
        </w:r>
      </w:hyperlink>
    </w:p>
    <w:p>
      <w:pPr>
        <w:pStyle w:val="BodyText"/>
        <w:spacing w:line="480" w:lineRule="auto"/>
        <w:ind w:firstLine="720"/>
      </w:pPr>
      <w:bookmarkStart w:id="129" w:name="ref-9"/>
      <w:bookmarkEnd w:id="129"/>
      <w:r>
        <w:t xml:space="preserve">9. A. Lidtke, H. Lewis, and R. Armellin. A Deterministic Approach to Active Debris Removal Target Selection. Advanced Maui Optical and Space Surveillance Technologies Conference, 2014.</w:t>
      </w:r>
    </w:p>
    <w:p>
      <w:pPr>
        <w:pStyle w:val="BodyText"/>
        <w:spacing w:line="480" w:lineRule="auto"/>
        <w:ind w:firstLine="720"/>
      </w:pPr>
      <w:bookmarkStart w:id="130" w:name="ref-10"/>
      <w:bookmarkEnd w:id="130"/>
      <w:r>
        <w:t xml:space="preserve">10. M. A. Sturza, M. D. Dankberg, and W. N. Blount. LEO Capacity Modeling for Sustainable Design. Advanced Maui Optical and Space Surveillance Technologies Conference, 2022.</w:t>
      </w:r>
    </w:p>
    <w:p>
      <w:pPr>
        <w:pStyle w:val="BodyText"/>
        <w:spacing w:line="480" w:lineRule="auto"/>
        <w:ind w:firstLine="720"/>
      </w:pPr>
      <w:bookmarkStart w:id="131" w:name="ref-11"/>
      <w:bookmarkEnd w:id="131"/>
      <w:r>
        <w:t xml:space="preserve">11. D. Jang, P. M. Siew, P. Machuca, and R. Linares. Monte-Carlo Methods for All-vs-all Future LEO Population Evolution Modeling. Advanced Maui Optical and Space Surveillance Technologies Conference, 2023. doi:</w:t>
      </w:r>
      <w:r>
        <w:t xml:space="preserve"> </w:t>
      </w:r>
      <w:hyperlink r:id="rId132">
        <w:r>
          <w:rPr>
            <w:rStyle w:val="Hyperlink"/>
          </w:rPr>
          <w:t xml:space="preserve">10.64861/XQKK7584</w:t>
        </w:r>
      </w:hyperlink>
    </w:p>
    <w:p>
      <w:pPr>
        <w:pStyle w:val="BodyText"/>
        <w:spacing w:line="480" w:lineRule="auto"/>
        <w:ind w:firstLine="720"/>
      </w:pPr>
      <w:bookmarkStart w:id="133" w:name="ref-12"/>
      <w:bookmarkEnd w:id="133"/>
      <w:r>
        <w:t xml:space="preserve">12. M. Rathnasabapathy, F. Letizia, S. Lemmens, M. Jah, S. J. Potter, N. Khlystov, K. Acuff, M. Lifson, S. Dorrington, S. Es haghi, E. David, J. P. Kneib, and D. Wood. Space sustainability rating: Designing a composite indicator to incentivize satellite operators to pursue long-term sustainability of the space environment. Acta Astronautica 232, 2025. doi:</w:t>
      </w:r>
      <w:r>
        <w:t xml:space="preserve"> </w:t>
      </w:r>
      <w:hyperlink r:id="rId134">
        <w:r>
          <w:rPr>
            <w:rStyle w:val="Hyperlink"/>
          </w:rPr>
          <w:t xml:space="preserve">10.1016/j.actaastro.2025.03.034</w:t>
        </w:r>
      </w:hyperlink>
    </w:p>
    <w:p>
      <w:pPr>
        <w:pStyle w:val="BodyText"/>
        <w:spacing w:line="480" w:lineRule="auto"/>
        <w:ind w:firstLine="720"/>
      </w:pPr>
      <w:bookmarkStart w:id="135" w:name="ref-13"/>
      <w:bookmarkEnd w:id="135"/>
      <w:r>
        <w:t xml:space="preserve">13. Darren McKnight, LeoLabs; Erin Dale, LeoLabs; Rachit Bhatia, LeoLabs; Mohin Patel, LeoLabs; Chris Kunstadter, AXA XL. A Map of the Statistical Collision Risk in LEO (2022).</w:t>
      </w:r>
    </w:p>
    <w:p>
      <w:pPr>
        <w:pStyle w:val="BodyText"/>
        <w:spacing w:line="480" w:lineRule="auto"/>
        <w:ind w:firstLine="720"/>
      </w:pPr>
      <w:bookmarkStart w:id="136" w:name="ref-14"/>
      <w:bookmarkEnd w:id="136"/>
      <w:r>
        <w:t xml:space="preserve">14. Darren McKnight, Centauri; Rohit Arora, Centauri; Harrison Shay, Centauri. Derelict Space Situational Awareness (SSA) Data for Free (2020).</w:t>
      </w:r>
    </w:p>
    <w:p>
      <w:pPr>
        <w:pStyle w:val="BodyText"/>
        <w:spacing w:line="480" w:lineRule="auto"/>
        <w:ind w:firstLine="720"/>
      </w:pPr>
      <w:bookmarkStart w:id="137" w:name="ref-15"/>
      <w:bookmarkEnd w:id="137"/>
      <w:r>
        <w:t xml:space="preserve">15. Chris Tuttle, Clearspace Today, Inc.; Darren McKnight, LeoLabs; Tim Maclay, ClearSpace. Refining Active Debris Removal Strategies (2023). doi:</w:t>
      </w:r>
      <w:r>
        <w:t xml:space="preserve"> </w:t>
      </w:r>
      <w:hyperlink r:id="rId138">
        <w:r>
          <w:rPr>
            <w:rStyle w:val="Hyperlink"/>
          </w:rPr>
          <w:t xml:space="preserve">10.64861/LBPZ7861</w:t>
        </w:r>
      </w:hyperlink>
    </w:p>
    <w:p>
      <w:pPr>
        <w:pStyle w:val="BodyText"/>
        <w:spacing w:line="480" w:lineRule="auto"/>
        <w:ind w:firstLine="720"/>
      </w:pPr>
      <w:bookmarkStart w:id="139" w:name="ref-16"/>
      <w:bookmarkEnd w:id="139"/>
      <w:r>
        <w:t xml:space="preserve">16. Matthew Stevenson, LeoLabs; Darren McKnight, LeoLabs; Hugh Lewis, University of Southampton; Chris Kunstadter, AXA XL; Rachit Bhatia, LeoLabs. Identifying the Statistically-Most-Concerning Conjunctions in LEO (2021).</w:t>
      </w:r>
    </w:p>
    <w:p>
      <w:pPr>
        <w:pStyle w:val="BodyText"/>
        <w:spacing w:line="480" w:lineRule="auto"/>
        <w:ind w:firstLine="720"/>
      </w:pPr>
      <w:bookmarkStart w:id="140" w:name="ref-17"/>
      <w:bookmarkEnd w:id="140"/>
      <w:r>
        <w:t xml:space="preserve">17. Darren McKnight, Centauri; Timothy Maclay, OneWeb. Space Environment Management: A Common Sense Framework for Controlling Orbital Debris Risk (2019).</w:t>
      </w:r>
    </w:p>
    <w:p>
      <w:pPr>
        <w:pStyle w:val="BodyText"/>
        <w:spacing w:line="480" w:lineRule="auto"/>
        <w:ind w:firstLine="720"/>
      </w:pPr>
      <w:bookmarkStart w:id="141" w:name="ref-18"/>
      <w:bookmarkEnd w:id="141"/>
      <w:r>
        <w:t xml:space="preserve">18. Simon George, Defence Science and Technology Laboratory; Andrew Ash, Defence Science and Technology Laboratory. Future On-Orbit Spacecraft Technologies and Associated Challenges for Space Situational Awareness (2019).</w:t>
      </w:r>
    </w:p>
    <w:p>
      <w:pPr>
        <w:pStyle w:val="BodyText"/>
        <w:spacing w:line="480" w:lineRule="auto"/>
        <w:ind w:firstLine="720"/>
      </w:pPr>
      <w:bookmarkStart w:id="142" w:name="ref-19"/>
      <w:bookmarkEnd w:id="142"/>
      <w:r>
        <w:t xml:space="preserve">19. Thomas Schildknecht, Astronomical Institute (AIUB), University of Bern, Nikolay Koshkin, Astronomical Observatory of Odessa University, 65014, Ukraine, Elen Korobeinikova, Astronomical Observatory of Odessa University, 65014, Ukraine, Seda Melikiants, Astronomical Observatory of Odessa University, 65014, Ukraine, Leonid Shakun, Astronomical Observatory of Odessa University, 65014, Ukraine, Svetlana Strakhova, Astronomical Observatory of Odessa University, 65014, Ukraine, Esther Linder, Astronomical Institute (AIUB), University of Bern, Jiri Silha, Astronomical Institute (AIUB), University of Bern, Monika Hager, Astronomical Institute (AIUB), University of Bern. Photometric Monitoring of Non-resolved Space Debris and Databases of Optical Light Curves (2015).</w:t>
      </w:r>
    </w:p>
    <w:p>
      <w:pPr>
        <w:pStyle w:val="BodyText"/>
        <w:spacing w:line="480" w:lineRule="auto"/>
        <w:ind w:firstLine="720"/>
      </w:pPr>
      <w:bookmarkStart w:id="143" w:name="ref-20"/>
      <w:bookmarkEnd w:id="143"/>
      <w:r>
        <w:t xml:space="preserve">20. Jiri Silha, Astronomical Institute of the University of Bern, Thomas Schildknecht, Astronomical Institute of the University of Bern, Jean-Noel Pittet, Astronomical Institute of the University of Bern, Dominik Bodenmann, Astronomical Institute of the University of Bern, Ronny Kanzler, Hypersonic Technology Goettingen, Patrik Kärräng, Hypersonic Technology Goettingen, Holger Krag, European Space Agency. Comparison of ENVISATâ€™s Attitude Simulation and Real Optical and SLR Observations in order to Refine the Satellite Attitude Model (2016).</w:t>
      </w:r>
    </w:p>
    <w:p>
      <w:pPr>
        <w:pStyle w:val="BodyText"/>
        <w:spacing w:line="480" w:lineRule="auto"/>
        <w:ind w:firstLine="720"/>
      </w:pPr>
      <w:bookmarkStart w:id="144" w:name="ref-21"/>
      <w:bookmarkEnd w:id="144"/>
      <w:r>
        <w:t xml:space="preserve">21. Darren McKnight; Rachel Witner; Francesca Letizia; Stijn Lemmens; Luciano Anselmo; Carmen Pardini; A. Rossi; Chris Kunstadter; Satomi Kawamoto; Vladimir S. Aslanov; Juan-Carlos Dolado Perez; Vincent Ruch; Hugh G. Lewis; M. J. Nicolls; Liu Jing; Dan Shen; Wang Dongfang; A. A. Baranov; Д. А. Гришко. Identifying the 50 statistically-most-concerning derelict objects in LEO (2021). doi:</w:t>
      </w:r>
      <w:r>
        <w:t xml:space="preserve"> </w:t>
      </w:r>
      <w:hyperlink r:id="rId145">
        <w:r>
          <w:rPr>
            <w:rStyle w:val="Hyperlink"/>
          </w:rPr>
          <w:t xml:space="preserve">10.1016/j.actaastro.2021.01.021</w:t>
        </w:r>
      </w:hyperlink>
    </w:p>
    <w:p>
      <w:pPr>
        <w:pStyle w:val="BodyText"/>
        <w:spacing w:line="480" w:lineRule="auto"/>
        <w:ind w:firstLine="720"/>
      </w:pPr>
      <w:bookmarkStart w:id="146" w:name="ref-22"/>
      <w:bookmarkEnd w:id="146"/>
      <w:r>
        <w:t xml:space="preserve">22. Carmen Pardini; Luciano Anselmo. Evaluating the environmental criticality of massive objects in LEO for debris mitigation and remediation (2018). doi:</w:t>
      </w:r>
      <w:r>
        <w:t xml:space="preserve"> </w:t>
      </w:r>
      <w:hyperlink r:id="rId147">
        <w:r>
          <w:rPr>
            <w:rStyle w:val="Hyperlink"/>
          </w:rPr>
          <w:t xml:space="preserve">10.1016/j.actaastro.2018.01.028</w:t>
        </w:r>
      </w:hyperlink>
    </w:p>
    <w:p>
      <w:pPr>
        <w:pStyle w:val="BodyText"/>
        <w:spacing w:line="480" w:lineRule="auto"/>
        <w:ind w:firstLine="720"/>
      </w:pPr>
      <w:bookmarkStart w:id="148" w:name="ref-23"/>
      <w:bookmarkEnd w:id="148"/>
      <w:r>
        <w:t xml:space="preserve">23. Nihal Simha; Simone Servadio; Miles Lifson; Giovanni Lavezzi; Richard Linares. Optimal Active Debris Removal mission planning to inform policy decisions (2024). doi:</w:t>
      </w:r>
      <w:r>
        <w:t xml:space="preserve"> </w:t>
      </w:r>
      <w:hyperlink r:id="rId149">
        <w:r>
          <w:rPr>
            <w:rStyle w:val="Hyperlink"/>
          </w:rPr>
          <w:t xml:space="preserve">10.1016/j.actaastro.2024.11.050</w:t>
        </w:r>
      </w:hyperlink>
    </w:p>
    <w:p>
      <w:pPr>
        <w:pStyle w:val="BodyText"/>
        <w:spacing w:line="480" w:lineRule="auto"/>
        <w:ind w:firstLine="720"/>
      </w:pPr>
      <w:bookmarkStart w:id="150" w:name="ref-24"/>
      <w:bookmarkEnd w:id="150"/>
      <w:r>
        <w:t xml:space="preserve">24. Carmen Pardini; Luciano Anselmo. Using the space debris flux to assess the criticality of the environment in low Earth orbit (2022). doi:</w:t>
      </w:r>
      <w:r>
        <w:t xml:space="preserve"> </w:t>
      </w:r>
      <w:hyperlink r:id="rId128">
        <w:r>
          <w:rPr>
            <w:rStyle w:val="Hyperlink"/>
          </w:rPr>
          <w:t xml:space="preserve">10.1016/j.actaastro.2022.05.045</w:t>
        </w:r>
      </w:hyperlink>
    </w:p>
    <w:p>
      <w:pPr>
        <w:pStyle w:val="BodyText"/>
        <w:spacing w:line="480" w:lineRule="auto"/>
        <w:ind w:firstLine="720"/>
      </w:pPr>
      <w:bookmarkStart w:id="151" w:name="ref-25"/>
      <w:bookmarkEnd w:id="151"/>
      <w:r>
        <w:t xml:space="preserve">25. Carmen Pardini; Luciano Anselmo. Evaluating the impact of space activities in low earth orbit (2021). doi:</w:t>
      </w:r>
      <w:r>
        <w:t xml:space="preserve"> </w:t>
      </w:r>
      <w:hyperlink r:id="rId152">
        <w:r>
          <w:rPr>
            <w:rStyle w:val="Hyperlink"/>
          </w:rPr>
          <w:t xml:space="preserve">10.1016/j.actaastro.2021.03.030</w:t>
        </w:r>
      </w:hyperlink>
    </w:p>
    <w:p>
      <w:pPr>
        <w:pStyle w:val="BodyText"/>
        <w:spacing w:line="480" w:lineRule="auto"/>
        <w:ind w:firstLine="720"/>
      </w:pPr>
      <w:bookmarkStart w:id="153" w:name="ref-26"/>
      <w:bookmarkEnd w:id="153"/>
      <w:r>
        <w:t xml:space="preserve">26. Andrea Muciaccia; Lorenzo Giudici; Francesca Letizia; Mirko Trisolini; Juan Luis Gonzalo; Camilla Colombo. Evaluating the environmental impact of space missions (2025). doi:</w:t>
      </w:r>
      <w:r>
        <w:t xml:space="preserve"> </w:t>
      </w:r>
      <w:hyperlink r:id="rId154">
        <w:r>
          <w:rPr>
            <w:rStyle w:val="Hyperlink"/>
          </w:rPr>
          <w:t xml:space="preserve">10.1016/j.actaastro.2025.06.024</w:t>
        </w:r>
      </w:hyperlink>
    </w:p>
    <w:p>
      <w:pPr>
        <w:pStyle w:val="BodyText"/>
        <w:spacing w:line="480" w:lineRule="auto"/>
        <w:ind w:firstLine="720"/>
      </w:pPr>
      <w:bookmarkStart w:id="155" w:name="ref-27"/>
      <w:bookmarkEnd w:id="155"/>
      <w:r>
        <w:t xml:space="preserve">27. Muneeb Arshad; Michael C.F. Bazzocchi; Faraz Hussain. Emerging strategies in close proximity operations for space debris removal: A review (2024). doi:</w:t>
      </w:r>
      <w:r>
        <w:t xml:space="preserve"> </w:t>
      </w:r>
      <w:hyperlink r:id="rId156">
        <w:r>
          <w:rPr>
            <w:rStyle w:val="Hyperlink"/>
          </w:rPr>
          <w:t xml:space="preserve">10.1016/j.actaastro.2024.12.017</w:t>
        </w:r>
      </w:hyperlink>
    </w:p>
    <w:p>
      <w:pPr>
        <w:pStyle w:val="BodyText"/>
        <w:spacing w:line="480" w:lineRule="auto"/>
        <w:ind w:firstLine="720"/>
      </w:pPr>
      <w:bookmarkStart w:id="157" w:name="ref-28"/>
      <w:bookmarkEnd w:id="157"/>
      <w:r>
        <w:t xml:space="preserve">28. Thomas Barbier; Yang Gao. Relative visual navigation around an unknown and uncooperative spacecraft (2023). doi:</w:t>
      </w:r>
      <w:r>
        <w:t xml:space="preserve"> </w:t>
      </w:r>
      <w:hyperlink r:id="rId158">
        <w:r>
          <w:rPr>
            <w:rStyle w:val="Hyperlink"/>
          </w:rPr>
          <w:t xml:space="preserve">10.1016/j.actaastro.2023.02.022</w:t>
        </w:r>
      </w:hyperlink>
    </w:p>
    <w:bookmarkEnd w:id="159"/>
    <w:bookmarkEnd w:id="160"/>
    <w:bookmarkStart w:id="177"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68" w:name="Xa7141fd972d49cffaa1170ffaa6db39c40b1e1a"/>
    <w:p>
      <w:pPr>
        <w:pStyle w:val="Heading2"/>
        <w:spacing w:line="480" w:lineRule="auto"/>
      </w:pPr>
      <w:r>
        <w:t xml:space="preserve">A.1 Derelict Size-Proxy Concentration in LEO Shells: A Real-Data Anchor for Remediation ROI</w:t>
      </w:r>
    </w:p>
    <w:p>
      <w:pPr>
        <w:pStyle w:val="FirstParagraph"/>
        <w:spacing w:line="480" w:lineRule="auto"/>
      </w:pPr>
      <m:oMathPara>
        <m:oMathParaPr>
          <m:jc m:val="center"/>
        </m:oMathParaPr>
        <m:oMath>
          <m:r>
            <m:rPr>
              <m:sty m:val="p"/>
            </m:rPr>
            <m:t>log</m:t>
          </m:r>
          <m:r>
            <m:rPr>
              <m:sty m:val="p"/>
            </m:rPr>
            <m:t>(</m:t>
          </m:r>
          <m:r>
            <m:t>1</m:t>
          </m:r>
          <m:r>
            <m:rPr>
              <m:sty m:val="p"/>
            </m:rPr>
            <m:t>+</m:t>
          </m:r>
          <m:sSub>
            <m:e>
              <m:r>
                <m:t>R</m:t>
              </m:r>
            </m:e>
            <m:sub>
              <m:r>
                <m:t>s</m:t>
              </m:r>
              <m:r>
                <m:t>b</m:t>
              </m:r>
            </m:sub>
          </m:sSub>
          <m:r>
            <m:rPr>
              <m:sty m:val="p"/>
            </m:rPr>
            <m:t>)</m:t>
          </m:r>
          <m:r>
            <m:rPr>
              <m:sty m:val="p"/>
            </m:rPr>
            <m:t>=</m:t>
          </m:r>
          <m:r>
            <m:t>α</m:t>
          </m:r>
          <m:r>
            <m:rPr>
              <m:sty m:val="p"/>
            </m:rPr>
            <m:t>+</m:t>
          </m:r>
          <m:sSub>
            <m:e>
              <m:r>
                <m:t>β</m:t>
              </m:r>
            </m:e>
            <m:sub>
              <m:r>
                <m:t>1</m:t>
              </m:r>
            </m:sub>
          </m:sSub>
          <m:sSub>
            <m:e>
              <m:r>
                <m:t>h</m:t>
              </m:r>
            </m:e>
            <m:sub>
              <m:r>
                <m:t>s</m:t>
              </m:r>
            </m:sub>
          </m:sSub>
          <m:r>
            <m:rPr>
              <m:sty m:val="p"/>
            </m:rPr>
            <m:t>+</m:t>
          </m:r>
          <m:sSub>
            <m:e>
              <m:r>
                <m:t>β</m:t>
              </m:r>
            </m:e>
            <m:sub>
              <m:r>
                <m:t>2</m:t>
              </m:r>
            </m:sub>
          </m:sSub>
          <m:r>
            <m:t>S</m:t>
          </m:r>
          <m:r>
            <m:t>S</m:t>
          </m:r>
          <m:sSub>
            <m:e>
              <m:r>
                <m:t>O</m:t>
              </m:r>
            </m:e>
            <m:sub>
              <m:r>
                <m:t>b</m:t>
              </m:r>
            </m:sub>
          </m:sSub>
          <m:r>
            <m:rPr>
              <m:sty m:val="p"/>
            </m:rPr>
            <m:t>+</m:t>
          </m:r>
          <m:sSub>
            <m:e>
              <m:r>
                <m:t>β</m:t>
              </m:r>
            </m:e>
            <m:sub>
              <m:r>
                <m:t>3</m:t>
              </m:r>
            </m:sub>
          </m:sSub>
          <m:sSub>
            <m:e>
              <m:r>
                <m:t>C</m:t>
              </m:r>
            </m:e>
            <m:sub>
              <m:r>
                <m:t>s</m:t>
              </m:r>
            </m:sub>
          </m:sSub>
          <m:r>
            <m:rPr>
              <m:sty m:val="p"/>
            </m:rPr>
            <m:t>+</m:t>
          </m:r>
          <m:sSub>
            <m:e>
              <m:r>
                <m:t>β</m:t>
              </m:r>
            </m:e>
            <m:sub>
              <m:r>
                <m:t>4</m:t>
              </m:r>
            </m:sub>
          </m:sSub>
          <m:r>
            <m:t>R</m:t>
          </m:r>
          <m:sSub>
            <m:e>
              <m:r>
                <m:t>B</m:t>
              </m:r>
            </m:e>
            <m:sub>
              <m:r>
                <m:t>s</m:t>
              </m:r>
              <m:r>
                <m:t>b</m:t>
              </m:r>
            </m:sub>
          </m:sSub>
          <m:r>
            <m:rPr>
              <m:sty m:val="p"/>
            </m:rPr>
            <m:t>+</m:t>
          </m:r>
          <m:sSub>
            <m:e>
              <m:r>
                <m:t>β</m:t>
              </m:r>
            </m:e>
            <m:sub>
              <m:r>
                <m:t>5</m:t>
              </m:r>
            </m:sub>
          </m:sSub>
          <m:r>
            <m:t>I</m:t>
          </m:r>
          <m:sSub>
            <m:e>
              <m:r>
                <m:t>P</m:t>
              </m:r>
            </m:e>
            <m:sub>
              <m:r>
                <m:t>s</m:t>
              </m:r>
              <m:r>
                <m:t>b</m:t>
              </m:r>
            </m:sub>
          </m:sSub>
          <m:r>
            <m:rPr>
              <m:sty m:val="p"/>
            </m:rPr>
            <m:t>+</m:t>
          </m:r>
          <m:sSub>
            <m:e>
              <m:r>
                <m:t>ε</m:t>
              </m:r>
            </m:e>
            <m:sub>
              <m:r>
                <m:t>s</m:t>
              </m:r>
              <m:r>
                <m:t>b</m:t>
              </m:r>
            </m:sub>
          </m:sSub>
        </m:oMath>
      </m:oMathPara>
    </w:p>
    <w:bookmarkStart w:id="161"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1.3346</w:t>
            </w:r>
          </w:p>
        </w:tc>
        <w:tc>
          <w:tcPr>
            <w:tcW w:w="0" w:type="auto"/>
          </w:tcPr>
          <w:p>
            <w:pPr>
              <w:spacing w:line="240" w:lineRule="auto" w:before="0" w:after="0"/>
              <w:pStyle w:val="Compact"/>
            </w:pPr>
            <w:r>
              <w:rPr>
                <w:sz w:val="20"/>
                <w:szCs w:val="20"/>
              </w:rPr>
              <w:t xml:space="preserve">0.7824</w:t>
            </w:r>
          </w:p>
        </w:tc>
        <w:tc>
          <w:tcPr>
            <w:tcW w:w="0" w:type="auto"/>
          </w:tcPr>
          <w:p>
            <w:pPr>
              <w:spacing w:line="240" w:lineRule="auto" w:before="0" w:after="0"/>
              <w:pStyle w:val="Compact"/>
            </w:pPr>
            <w:r>
              <w:rPr>
                <w:sz w:val="20"/>
                <w:szCs w:val="20"/>
              </w:rPr>
              <w:t xml:space="preserve">1.7059</w:t>
            </w:r>
          </w:p>
        </w:tc>
        <w:tc>
          <w:tcPr>
            <w:tcW w:w="0" w:type="auto"/>
          </w:tcPr>
          <w:p>
            <w:pPr>
              <w:spacing w:line="240" w:lineRule="auto" w:before="0" w:after="0"/>
              <w:pStyle w:val="Compact"/>
            </w:pPr>
            <w:r>
              <w:rPr>
                <w:sz w:val="20"/>
                <w:szCs w:val="20"/>
              </w:rPr>
              <w:t xml:space="preserve">0.088</w:t>
            </w:r>
          </w:p>
        </w:tc>
        <w:tc>
          <w:tcPr>
            <w:tcW w:w="0" w:type="auto"/>
          </w:tcPr>
          <w:p>
            <w:pPr>
              <w:spacing w:line="240" w:lineRule="auto" w:before="0" w:after="0"/>
              <w:pStyle w:val="Compact"/>
            </w:pPr>
            <w:r>
              <w:rPr>
                <w:sz w:val="20"/>
                <w:szCs w:val="20"/>
              </w:rPr>
              <w:t xml:space="preserve">[-0.1987, 2.868]</w:t>
            </w:r>
          </w:p>
        </w:tc>
      </w:tr>
      <w:tr>
        <w:tc>
          <w:tcPr>
            <w:tcW w:w="0" w:type="auto"/>
          </w:tcPr>
          <w:p>
            <w:pPr>
              <w:spacing w:line="240" w:lineRule="auto" w:before="0" w:after="0"/>
              <w:pStyle w:val="Compact"/>
            </w:pPr>
            <w:r>
              <w:rPr>
                <w:sz w:val="20"/>
                <w:szCs w:val="20"/>
              </w:rPr>
              <w:t xml:space="preserve">shell_mid_km</w:t>
            </w:r>
          </w:p>
        </w:tc>
        <w:tc>
          <w:tcPr>
            <w:tcW w:w="0" w:type="auto"/>
          </w:tcPr>
          <w:p>
            <w:pPr>
              <w:spacing w:line="240" w:lineRule="auto" w:before="0" w:after="0"/>
              <w:pStyle w:val="Compact"/>
            </w:pPr>
            <w:r>
              <w:rPr>
                <w:sz w:val="20"/>
                <w:szCs w:val="20"/>
              </w:rPr>
              <w:t xml:space="preserve">0.0001738</w:t>
            </w:r>
          </w:p>
        </w:tc>
        <w:tc>
          <w:tcPr>
            <w:tcW w:w="0" w:type="auto"/>
          </w:tcPr>
          <w:p>
            <w:pPr>
              <w:spacing w:line="240" w:lineRule="auto" w:before="0" w:after="0"/>
              <w:pStyle w:val="Compact"/>
            </w:pPr>
            <w:r>
              <w:rPr>
                <w:sz w:val="20"/>
                <w:szCs w:val="20"/>
              </w:rPr>
              <w:t xml:space="preserve">0.0004889</w:t>
            </w:r>
          </w:p>
        </w:tc>
        <w:tc>
          <w:tcPr>
            <w:tcW w:w="0" w:type="auto"/>
          </w:tcPr>
          <w:p>
            <w:pPr>
              <w:spacing w:line="240" w:lineRule="auto" w:before="0" w:after="0"/>
              <w:pStyle w:val="Compact"/>
            </w:pPr>
            <w:r>
              <w:rPr>
                <w:sz w:val="20"/>
                <w:szCs w:val="20"/>
              </w:rPr>
              <w:t xml:space="preserve">0.3555</w:t>
            </w:r>
          </w:p>
        </w:tc>
        <w:tc>
          <w:tcPr>
            <w:tcW w:w="0" w:type="auto"/>
          </w:tcPr>
          <w:p>
            <w:pPr>
              <w:spacing w:line="240" w:lineRule="auto" w:before="0" w:after="0"/>
              <w:pStyle w:val="Compact"/>
            </w:pPr>
            <w:r>
              <w:rPr>
                <w:sz w:val="20"/>
                <w:szCs w:val="20"/>
              </w:rPr>
              <w:t xml:space="preserve">0.7222</w:t>
            </w:r>
          </w:p>
        </w:tc>
        <w:tc>
          <w:tcPr>
            <w:tcW w:w="0" w:type="auto"/>
          </w:tcPr>
          <w:p>
            <w:pPr>
              <w:spacing w:line="240" w:lineRule="auto" w:before="0" w:after="0"/>
              <w:pStyle w:val="Compact"/>
            </w:pPr>
            <w:r>
              <w:rPr>
                <w:sz w:val="20"/>
                <w:szCs w:val="20"/>
              </w:rPr>
              <w:t xml:space="preserve">[-0.0007844, 0.0011]</w:t>
            </w:r>
          </w:p>
        </w:tc>
      </w:tr>
      <w:tr>
        <w:tc>
          <w:tcPr>
            <w:tcW w:w="0" w:type="auto"/>
          </w:tcPr>
          <w:p>
            <w:pPr>
              <w:spacing w:line="240" w:lineRule="auto" w:before="0" w:after="0"/>
              <w:pStyle w:val="Compact"/>
            </w:pPr>
            <w:r>
              <w:rPr>
                <w:sz w:val="20"/>
                <w:szCs w:val="20"/>
              </w:rPr>
              <w:t xml:space="preserve">is_sso_band</w:t>
            </w:r>
          </w:p>
        </w:tc>
        <w:tc>
          <w:tcPr>
            <w:tcW w:w="0" w:type="auto"/>
          </w:tcPr>
          <w:p>
            <w:pPr>
              <w:spacing w:line="240" w:lineRule="auto" w:before="0" w:after="0"/>
              <w:pStyle w:val="Compact"/>
            </w:pPr>
            <w:r>
              <w:rPr>
                <w:sz w:val="20"/>
                <w:szCs w:val="20"/>
              </w:rPr>
              <w:t xml:space="preserve">2.613</w:t>
            </w:r>
          </w:p>
        </w:tc>
        <w:tc>
          <w:tcPr>
            <w:tcW w:w="0" w:type="auto"/>
          </w:tcPr>
          <w:p>
            <w:pPr>
              <w:spacing w:line="240" w:lineRule="auto" w:before="0" w:after="0"/>
              <w:pStyle w:val="Compact"/>
            </w:pPr>
            <w:r>
              <w:rPr>
                <w:sz w:val="20"/>
                <w:szCs w:val="20"/>
              </w:rPr>
              <w:t xml:space="preserve">0.547</w:t>
            </w:r>
          </w:p>
        </w:tc>
        <w:tc>
          <w:tcPr>
            <w:tcW w:w="0" w:type="auto"/>
          </w:tcPr>
          <w:p>
            <w:pPr>
              <w:spacing w:line="240" w:lineRule="auto" w:before="0" w:after="0"/>
              <w:pStyle w:val="Compact"/>
            </w:pPr>
            <w:r>
              <w:rPr>
                <w:sz w:val="20"/>
                <w:szCs w:val="20"/>
              </w:rPr>
              <w:t xml:space="preserve">4.777</w:t>
            </w:r>
          </w:p>
        </w:tc>
        <w:tc>
          <w:tcPr>
            <w:tcW w:w="0" w:type="auto"/>
          </w:tcPr>
          <w:p>
            <w:pPr>
              <w:spacing w:line="240" w:lineRule="auto" w:before="0" w:after="0"/>
              <w:pStyle w:val="Compact"/>
            </w:pPr>
            <w:r>
              <w:rPr>
                <w:sz w:val="20"/>
                <w:szCs w:val="20"/>
              </w:rPr>
              <w:t xml:space="preserve">1.779e-06</w:t>
            </w:r>
          </w:p>
        </w:tc>
        <w:tc>
          <w:tcPr>
            <w:tcW w:w="0" w:type="auto"/>
          </w:tcPr>
          <w:p>
            <w:pPr>
              <w:spacing w:line="240" w:lineRule="auto" w:before="0" w:after="0"/>
              <w:pStyle w:val="Compact"/>
            </w:pPr>
            <w:r>
              <w:rPr>
                <w:sz w:val="20"/>
                <w:szCs w:val="20"/>
              </w:rPr>
              <w:t xml:space="preserve">[1.5409, 3.6852]</w:t>
            </w:r>
          </w:p>
        </w:tc>
      </w:tr>
      <w:tr>
        <w:tc>
          <w:tcPr>
            <w:tcW w:w="0" w:type="auto"/>
          </w:tcPr>
          <w:p>
            <w:pPr>
              <w:spacing w:line="240" w:lineRule="auto" w:before="0" w:after="0"/>
              <w:pStyle w:val="Compact"/>
            </w:pPr>
            <w:r>
              <w:rPr>
                <w:sz w:val="20"/>
                <w:szCs w:val="20"/>
              </w:rPr>
              <w:t xml:space="preserve">is_critical_700_1000</w:t>
            </w:r>
          </w:p>
        </w:tc>
        <w:tc>
          <w:tcPr>
            <w:tcW w:w="0" w:type="auto"/>
          </w:tcPr>
          <w:p>
            <w:pPr>
              <w:spacing w:line="240" w:lineRule="auto" w:before="0" w:after="0"/>
              <w:pStyle w:val="Compact"/>
            </w:pPr>
            <w:r>
              <w:rPr>
                <w:sz w:val="20"/>
                <w:szCs w:val="20"/>
              </w:rPr>
              <w:t xml:space="preserve">1.5384</w:t>
            </w:r>
          </w:p>
        </w:tc>
        <w:tc>
          <w:tcPr>
            <w:tcW w:w="0" w:type="auto"/>
          </w:tcPr>
          <w:p>
            <w:pPr>
              <w:spacing w:line="240" w:lineRule="auto" w:before="0" w:after="0"/>
              <w:pStyle w:val="Compact"/>
            </w:pPr>
            <w:r>
              <w:rPr>
                <w:sz w:val="20"/>
                <w:szCs w:val="20"/>
              </w:rPr>
              <w:t xml:space="preserve">0.5301</w:t>
            </w:r>
          </w:p>
        </w:tc>
        <w:tc>
          <w:tcPr>
            <w:tcW w:w="0" w:type="auto"/>
          </w:tcPr>
          <w:p>
            <w:pPr>
              <w:spacing w:line="240" w:lineRule="auto" w:before="0" w:after="0"/>
              <w:pStyle w:val="Compact"/>
            </w:pPr>
            <w:r>
              <w:rPr>
                <w:sz w:val="20"/>
                <w:szCs w:val="20"/>
              </w:rPr>
              <w:t xml:space="preserve">2.902</w:t>
            </w:r>
          </w:p>
        </w:tc>
        <w:tc>
          <w:tcPr>
            <w:tcW w:w="0" w:type="auto"/>
          </w:tcPr>
          <w:p>
            <w:pPr>
              <w:spacing w:line="240" w:lineRule="auto" w:before="0" w:after="0"/>
              <w:pStyle w:val="Compact"/>
            </w:pPr>
            <w:r>
              <w:rPr>
                <w:sz w:val="20"/>
                <w:szCs w:val="20"/>
              </w:rPr>
              <w:t xml:space="preserve">0.0037</w:t>
            </w:r>
          </w:p>
        </w:tc>
        <w:tc>
          <w:tcPr>
            <w:tcW w:w="0" w:type="auto"/>
          </w:tcPr>
          <w:p>
            <w:pPr>
              <w:spacing w:line="240" w:lineRule="auto" w:before="0" w:after="0"/>
              <w:pStyle w:val="Compact"/>
            </w:pPr>
            <w:r>
              <w:rPr>
                <w:sz w:val="20"/>
                <w:szCs w:val="20"/>
              </w:rPr>
              <w:t xml:space="preserve">[0.4994, 2.5773]</w:t>
            </w:r>
          </w:p>
        </w:tc>
      </w:tr>
      <w:tr>
        <w:tc>
          <w:tcPr>
            <w:tcW w:w="0" w:type="auto"/>
          </w:tcPr>
          <w:p>
            <w:pPr>
              <w:spacing w:line="240" w:lineRule="auto" w:before="0" w:after="0"/>
              <w:pStyle w:val="Compact"/>
            </w:pPr>
            <w:r>
              <w:rPr>
                <w:sz w:val="20"/>
                <w:szCs w:val="20"/>
              </w:rPr>
              <w:t xml:space="preserve">rocket_body_share</w:t>
            </w:r>
          </w:p>
        </w:tc>
        <w:tc>
          <w:tcPr>
            <w:tcW w:w="0" w:type="auto"/>
          </w:tcPr>
          <w:p>
            <w:pPr>
              <w:spacing w:line="240" w:lineRule="auto" w:before="0" w:after="0"/>
              <w:pStyle w:val="Compact"/>
            </w:pPr>
            <w:r>
              <w:rPr>
                <w:sz w:val="20"/>
                <w:szCs w:val="20"/>
              </w:rPr>
              <w:t xml:space="preserve">0.3155</w:t>
            </w:r>
          </w:p>
        </w:tc>
        <w:tc>
          <w:tcPr>
            <w:tcW w:w="0" w:type="auto"/>
          </w:tcPr>
          <w:p>
            <w:pPr>
              <w:spacing w:line="240" w:lineRule="auto" w:before="0" w:after="0"/>
              <w:pStyle w:val="Compact"/>
            </w:pPr>
            <w:r>
              <w:rPr>
                <w:sz w:val="20"/>
                <w:szCs w:val="20"/>
              </w:rPr>
              <w:t xml:space="preserve">0.8132</w:t>
            </w:r>
          </w:p>
        </w:tc>
        <w:tc>
          <w:tcPr>
            <w:tcW w:w="0" w:type="auto"/>
          </w:tcPr>
          <w:p>
            <w:pPr>
              <w:spacing w:line="240" w:lineRule="auto" w:before="0" w:after="0"/>
              <w:pStyle w:val="Compact"/>
            </w:pPr>
            <w:r>
              <w:rPr>
                <w:sz w:val="20"/>
                <w:szCs w:val="20"/>
              </w:rPr>
              <w:t xml:space="preserve">0.3879</w:t>
            </w:r>
          </w:p>
        </w:tc>
        <w:tc>
          <w:tcPr>
            <w:tcW w:w="0" w:type="auto"/>
          </w:tcPr>
          <w:p>
            <w:pPr>
              <w:spacing w:line="240" w:lineRule="auto" w:before="0" w:after="0"/>
              <w:pStyle w:val="Compact"/>
            </w:pPr>
            <w:r>
              <w:rPr>
                <w:sz w:val="20"/>
                <w:szCs w:val="20"/>
              </w:rPr>
              <w:t xml:space="preserve">0.6981</w:t>
            </w:r>
          </w:p>
        </w:tc>
        <w:tc>
          <w:tcPr>
            <w:tcW w:w="0" w:type="auto"/>
          </w:tcPr>
          <w:p>
            <w:pPr>
              <w:spacing w:line="240" w:lineRule="auto" w:before="0" w:after="0"/>
              <w:pStyle w:val="Compact"/>
            </w:pPr>
            <w:r>
              <w:rPr>
                <w:sz w:val="20"/>
                <w:szCs w:val="20"/>
              </w:rPr>
              <w:t xml:space="preserve">[-1.2784, 1.9094]</w:t>
            </w:r>
          </w:p>
        </w:tc>
      </w:tr>
      <w:tr>
        <w:tc>
          <w:tcPr>
            <w:tcW w:w="0" w:type="auto"/>
          </w:tcPr>
          <w:p>
            <w:pPr>
              <w:spacing w:line="240" w:lineRule="auto" w:before="0" w:after="0"/>
              <w:pStyle w:val="Compact"/>
            </w:pPr>
            <w:r>
              <w:rPr>
                <w:sz w:val="20"/>
                <w:szCs w:val="20"/>
              </w:rPr>
              <w:t xml:space="preserve">inactive_payload_share</w:t>
            </w:r>
          </w:p>
        </w:tc>
        <w:tc>
          <w:tcPr>
            <w:tcW w:w="0" w:type="auto"/>
          </w:tcPr>
          <w:p>
            <w:pPr>
              <w:spacing w:line="240" w:lineRule="auto" w:before="0" w:after="0"/>
              <w:pStyle w:val="Compact"/>
            </w:pPr>
            <w:r>
              <w:rPr>
                <w:sz w:val="20"/>
                <w:szCs w:val="20"/>
              </w:rPr>
              <w:t xml:space="preserve">1.502</w:t>
            </w:r>
          </w:p>
        </w:tc>
        <w:tc>
          <w:tcPr>
            <w:tcW w:w="0" w:type="auto"/>
          </w:tcPr>
          <w:p>
            <w:pPr>
              <w:spacing w:line="240" w:lineRule="auto" w:before="0" w:after="0"/>
              <w:pStyle w:val="Compact"/>
            </w:pPr>
            <w:r>
              <w:rPr>
                <w:sz w:val="20"/>
                <w:szCs w:val="20"/>
              </w:rPr>
              <w:t xml:space="preserve">1.3882</w:t>
            </w:r>
          </w:p>
        </w:tc>
        <w:tc>
          <w:tcPr>
            <w:tcW w:w="0" w:type="auto"/>
          </w:tcPr>
          <w:p>
            <w:pPr>
              <w:spacing w:line="240" w:lineRule="auto" w:before="0" w:after="0"/>
              <w:pStyle w:val="Compact"/>
            </w:pPr>
            <w:r>
              <w:rPr>
                <w:sz w:val="20"/>
                <w:szCs w:val="20"/>
              </w:rPr>
              <w:t xml:space="preserve">1.082</w:t>
            </w:r>
          </w:p>
        </w:tc>
        <w:tc>
          <w:tcPr>
            <w:tcW w:w="0" w:type="auto"/>
          </w:tcPr>
          <w:p>
            <w:pPr>
              <w:spacing w:line="240" w:lineRule="auto" w:before="0" w:after="0"/>
              <w:pStyle w:val="Compact"/>
            </w:pPr>
            <w:r>
              <w:rPr>
                <w:sz w:val="20"/>
                <w:szCs w:val="20"/>
              </w:rPr>
              <w:t xml:space="preserve">0.2793</w:t>
            </w:r>
          </w:p>
        </w:tc>
        <w:tc>
          <w:tcPr>
            <w:tcW w:w="0" w:type="auto"/>
          </w:tcPr>
          <w:p>
            <w:pPr>
              <w:spacing w:line="240" w:lineRule="auto" w:before="0" w:after="0"/>
              <w:pStyle w:val="Compact"/>
            </w:pPr>
            <w:r>
              <w:rPr>
                <w:sz w:val="20"/>
                <w:szCs w:val="20"/>
              </w:rPr>
              <w:t xml:space="preserve">[-1.2188, 4.2228]</w:t>
            </w:r>
          </w:p>
        </w:tc>
      </w:tr>
    </w:tbl>
    <w:p>
      <w:pPr>
        <w:pStyle w:val="BodyText"/>
        <w:spacing w:line="480" w:lineRule="auto"/>
        <w:ind w:firstLine="720"/>
      </w:pPr>
      <w:r>
        <w:t xml:space="preserve">Fit: N = 72 R2 = 0.3495 R2_adj = 0.3003 F = 7.5821 F_p = 1.121e-05</w:t>
      </w:r>
    </w:p>
    <w:bookmarkEnd w:id="161"/>
    <w:bookmarkStart w:id="165"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LEO derelict size-proxy concentration by altitude-shell midpoint." title="" id="163" name="Picture"/>
            <a:graphic>
              <a:graphicData uri="http://schemas.openxmlformats.org/drawingml/2006/picture">
                <pic:pic>
                  <pic:nvPicPr>
                    <pic:cNvPr descr="D:/Claude_Code/brain/collegium/candidates/dissertations/DEBRIS_06/research_papers/p1/paper_fig1.png" id="164" name="Picture"/>
                    <pic:cNvPicPr>
                      <a:picLocks noChangeArrowheads="1" noChangeAspect="1"/>
                    </pic:cNvPicPr>
                  </pic:nvPicPr>
                  <pic:blipFill>
                    <a:blip r:embed="rId16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LEO derelict size-proxy concentration by altitude-shell midpoint.</w:t>
      </w:r>
    </w:p>
    <w:bookmarkEnd w:id="165"/>
    <w:bookmarkStart w:id="166"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439"/>
        <w:gridCol w:w="439"/>
        <w:gridCol w:w="439"/>
        <w:gridCol w:w="439"/>
        <w:gridCol w:w="439"/>
        <w:gridCol w:w="439"/>
        <w:gridCol w:w="439"/>
        <w:gridCol w:w="439"/>
        <w:gridCol w:w="439"/>
        <w:gridCol w:w="439"/>
        <w:gridCol w:w="439"/>
        <w:gridCol w:w="439"/>
        <w:gridCol w:w="439"/>
        <w:gridCol w:w="439"/>
        <w:gridCol w:w="439"/>
        <w:gridCol w:w="439"/>
        <w:gridCol w:w="439"/>
        <w:gridCol w:w="439"/>
      </w:tblGrid>
      <w:tr>
        <w:trPr>
          <w:tblHeader w:val="on"/>
        </w:trPr>
        <w:tc>
          <w:tcPr>
            <w:tcW w:w="0" w:type="auto"/>
          </w:tcPr>
          <w:p>
            <w:pPr>
              <w:spacing w:line="240" w:lineRule="auto" w:before="0" w:after="0"/>
              <w:pStyle w:val="Compact"/>
            </w:pPr>
            <w:r>
              <w:rPr>
                <w:sz w:val="20"/>
                <w:szCs w:val="20"/>
              </w:rPr>
              <w:t xml:space="preserve">shell_id</w:t>
            </w:r>
          </w:p>
        </w:tc>
        <w:tc>
          <w:tcPr>
            <w:tcW w:w="0" w:type="auto"/>
          </w:tcPr>
          <w:p>
            <w:pPr>
              <w:spacing w:line="240" w:lineRule="auto" w:before="0" w:after="0"/>
              <w:pStyle w:val="Compact"/>
            </w:pPr>
            <w:r>
              <w:rPr>
                <w:sz w:val="20"/>
                <w:szCs w:val="20"/>
              </w:rPr>
              <w:t xml:space="preserve">shell_low_km</w:t>
            </w:r>
          </w:p>
        </w:tc>
        <w:tc>
          <w:tcPr>
            <w:tcW w:w="0" w:type="auto"/>
          </w:tcPr>
          <w:p>
            <w:pPr>
              <w:spacing w:line="240" w:lineRule="auto" w:before="0" w:after="0"/>
              <w:pStyle w:val="Compact"/>
            </w:pPr>
            <w:r>
              <w:rPr>
                <w:sz w:val="20"/>
                <w:szCs w:val="20"/>
              </w:rPr>
              <w:t xml:space="preserve">shell_high_km</w:t>
            </w:r>
          </w:p>
        </w:tc>
        <w:tc>
          <w:tcPr>
            <w:tcW w:w="0" w:type="auto"/>
          </w:tcPr>
          <w:p>
            <w:pPr>
              <w:spacing w:line="240" w:lineRule="auto" w:before="0" w:after="0"/>
              <w:pStyle w:val="Compact"/>
            </w:pPr>
            <w:r>
              <w:rPr>
                <w:sz w:val="20"/>
                <w:szCs w:val="20"/>
              </w:rPr>
              <w:t xml:space="preserve">shell_mid_km</w:t>
            </w:r>
          </w:p>
        </w:tc>
        <w:tc>
          <w:tcPr>
            <w:tcW w:w="0" w:type="auto"/>
          </w:tcPr>
          <w:p>
            <w:pPr>
              <w:spacing w:line="240" w:lineRule="auto" w:before="0" w:after="0"/>
              <w:pStyle w:val="Compact"/>
            </w:pPr>
            <w:r>
              <w:rPr>
                <w:sz w:val="20"/>
                <w:szCs w:val="20"/>
              </w:rPr>
              <w:t xml:space="preserve">inclination_regime</w:t>
            </w:r>
          </w:p>
        </w:tc>
        <w:tc>
          <w:tcPr>
            <w:tcW w:w="0" w:type="auto"/>
          </w:tcPr>
          <w:p>
            <w:pPr>
              <w:spacing w:line="240" w:lineRule="auto" w:before="0" w:after="0"/>
              <w:pStyle w:val="Compact"/>
            </w:pPr>
            <w:r>
              <w:rPr>
                <w:sz w:val="20"/>
                <w:szCs w:val="20"/>
              </w:rPr>
              <w:t xml:space="preserve">inclination_code</w:t>
            </w:r>
          </w:p>
        </w:tc>
        <w:tc>
          <w:tcPr>
            <w:tcW w:w="0" w:type="auto"/>
          </w:tcPr>
          <w:p>
            <w:pPr>
              <w:spacing w:line="240" w:lineRule="auto" w:before="0" w:after="0"/>
              <w:pStyle w:val="Compact"/>
            </w:pPr>
            <w:r>
              <w:rPr>
                <w:sz w:val="20"/>
                <w:szCs w:val="20"/>
              </w:rPr>
              <w:t xml:space="preserve">derelict_count</w:t>
            </w:r>
          </w:p>
        </w:tc>
        <w:tc>
          <w:tcPr>
            <w:tcW w:w="0" w:type="auto"/>
          </w:tcPr>
          <w:p>
            <w:pPr>
              <w:spacing w:line="240" w:lineRule="auto" w:before="0" w:after="0"/>
              <w:pStyle w:val="Compact"/>
            </w:pPr>
            <w:r>
              <w:rPr>
                <w:sz w:val="20"/>
                <w:szCs w:val="20"/>
              </w:rPr>
              <w:t xml:space="preserve">debris_count</w:t>
            </w:r>
          </w:p>
        </w:tc>
        <w:tc>
          <w:tcPr>
            <w:tcW w:w="0" w:type="auto"/>
          </w:tcPr>
          <w:p>
            <w:pPr>
              <w:spacing w:line="240" w:lineRule="auto" w:before="0" w:after="0"/>
              <w:pStyle w:val="Compact"/>
            </w:pPr>
            <w:r>
              <w:rPr>
                <w:sz w:val="20"/>
                <w:szCs w:val="20"/>
              </w:rPr>
              <w:t xml:space="preserve">rocket_body_count</w:t>
            </w:r>
          </w:p>
        </w:tc>
        <w:tc>
          <w:tcPr>
            <w:tcW w:w="0" w:type="auto"/>
          </w:tcPr>
          <w:p>
            <w:pPr>
              <w:spacing w:line="240" w:lineRule="auto" w:before="0" w:after="0"/>
              <w:pStyle w:val="Compact"/>
            </w:pPr>
            <w:r>
              <w:rPr>
                <w:sz w:val="20"/>
                <w:szCs w:val="20"/>
              </w:rPr>
              <w:t xml:space="preserve">inactive_payload_count</w:t>
            </w:r>
          </w:p>
        </w:tc>
        <w:tc>
          <w:tcPr>
            <w:tcW w:w="0" w:type="auto"/>
          </w:tcPr>
          <w:p>
            <w:pPr>
              <w:spacing w:line="240" w:lineRule="auto" w:before="0" w:after="0"/>
              <w:pStyle w:val="Compact"/>
            </w:pPr>
            <w:r>
              <w:rPr>
                <w:sz w:val="20"/>
                <w:szCs w:val="20"/>
              </w:rPr>
              <w:t xml:space="preserve">total_rcs_proxy_m2</w:t>
            </w:r>
          </w:p>
        </w:tc>
        <w:tc>
          <w:tcPr>
            <w:tcW w:w="0" w:type="auto"/>
          </w:tcPr>
          <w:p>
            <w:pPr>
              <w:spacing w:line="240" w:lineRule="auto" w:before="0" w:after="0"/>
              <w:pStyle w:val="Compact"/>
            </w:pPr>
            <w:r>
              <w:rPr>
                <w:sz w:val="20"/>
                <w:szCs w:val="20"/>
              </w:rPr>
              <w:t xml:space="preserve">mean_rcs_proxy_m2</w:t>
            </w:r>
          </w:p>
        </w:tc>
        <w:tc>
          <w:tcPr>
            <w:tcW w:w="0" w:type="auto"/>
          </w:tcPr>
          <w:p>
            <w:pPr>
              <w:spacing w:line="240" w:lineRule="auto" w:before="0" w:after="0"/>
              <w:pStyle w:val="Compact"/>
            </w:pPr>
            <w:r>
              <w:rPr>
                <w:sz w:val="20"/>
                <w:szCs w:val="20"/>
              </w:rPr>
              <w:t xml:space="preserve">rocket_body_share</w:t>
            </w:r>
          </w:p>
        </w:tc>
        <w:tc>
          <w:tcPr>
            <w:tcW w:w="0" w:type="auto"/>
          </w:tcPr>
          <w:p>
            <w:pPr>
              <w:spacing w:line="240" w:lineRule="auto" w:before="0" w:after="0"/>
              <w:pStyle w:val="Compact"/>
            </w:pPr>
            <w:r>
              <w:rPr>
                <w:sz w:val="20"/>
                <w:szCs w:val="20"/>
              </w:rPr>
              <w:t xml:space="preserve">inactive_payload_share</w:t>
            </w:r>
          </w:p>
        </w:tc>
        <w:tc>
          <w:tcPr>
            <w:tcW w:w="0" w:type="auto"/>
          </w:tcPr>
          <w:p>
            <w:pPr>
              <w:spacing w:line="240" w:lineRule="auto" w:before="0" w:after="0"/>
              <w:pStyle w:val="Compact"/>
            </w:pPr>
            <w:r>
              <w:rPr>
                <w:sz w:val="20"/>
                <w:szCs w:val="20"/>
              </w:rPr>
              <w:t xml:space="preserve">is_sso_band</w:t>
            </w:r>
          </w:p>
        </w:tc>
        <w:tc>
          <w:tcPr>
            <w:tcW w:w="0" w:type="auto"/>
          </w:tcPr>
          <w:p>
            <w:pPr>
              <w:spacing w:line="240" w:lineRule="auto" w:before="0" w:after="0"/>
              <w:pStyle w:val="Compact"/>
            </w:pPr>
            <w:r>
              <w:rPr>
                <w:sz w:val="20"/>
                <w:szCs w:val="20"/>
              </w:rPr>
              <w:t xml:space="preserve">is_critical_700_1000</w:t>
            </w:r>
          </w:p>
        </w:tc>
        <w:tc>
          <w:tcPr>
            <w:tcW w:w="0" w:type="auto"/>
          </w:tcPr>
          <w:p>
            <w:pPr>
              <w:spacing w:line="240" w:lineRule="auto" w:before="0" w:after="0"/>
              <w:pStyle w:val="Compact"/>
            </w:pPr>
            <w:r>
              <w:rPr>
                <w:sz w:val="20"/>
                <w:szCs w:val="20"/>
              </w:rPr>
              <w:t xml:space="preserve">log_derelict_risk_plus_one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200_300_equatorial</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0.293</w:t>
            </w:r>
          </w:p>
        </w:tc>
        <w:tc>
          <w:tcPr>
            <w:tcW w:w="0" w:type="auto"/>
          </w:tcPr>
          <w:p>
            <w:pPr>
              <w:spacing w:line="240" w:lineRule="auto" w:before="0" w:after="0"/>
              <w:pStyle w:val="Compact"/>
            </w:pPr>
            <w:r>
              <w:rPr>
                <w:sz w:val="20"/>
                <w:szCs w:val="20"/>
              </w:rPr>
              <w:t xml:space="preserve">0.293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0.257</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200_300_mid_inclination</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0.086</w:t>
            </w:r>
          </w:p>
        </w:tc>
        <w:tc>
          <w:tcPr>
            <w:tcW w:w="0" w:type="auto"/>
          </w:tcPr>
          <w:p>
            <w:pPr>
              <w:spacing w:line="240" w:lineRule="auto" w:before="0" w:after="0"/>
              <w:pStyle w:val="Compact"/>
            </w:pPr>
            <w:r>
              <w:rPr>
                <w:sz w:val="20"/>
                <w:szCs w:val="20"/>
              </w:rPr>
              <w:t xml:space="preserve">0.0215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0.0825</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200_300_sso_polar</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0.0614</w:t>
            </w:r>
          </w:p>
        </w:tc>
        <w:tc>
          <w:tcPr>
            <w:tcW w:w="0" w:type="auto"/>
          </w:tcPr>
          <w:p>
            <w:pPr>
              <w:spacing w:line="240" w:lineRule="auto" w:before="0" w:after="0"/>
              <w:pStyle w:val="Compact"/>
            </w:pPr>
            <w:r>
              <w:rPr>
                <w:sz w:val="20"/>
                <w:szCs w:val="20"/>
              </w:rPr>
              <w:t xml:space="preserve">0.0123</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0.0596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200_300_retrograde_high</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300_400_equatorial</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300_400_mid_inclination</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42.4912</w:t>
            </w:r>
          </w:p>
        </w:tc>
        <w:tc>
          <w:tcPr>
            <w:tcW w:w="0" w:type="auto"/>
          </w:tcPr>
          <w:p>
            <w:pPr>
              <w:spacing w:line="240" w:lineRule="auto" w:before="0" w:after="0"/>
              <w:pStyle w:val="Compact"/>
            </w:pPr>
            <w:r>
              <w:rPr>
                <w:sz w:val="20"/>
                <w:szCs w:val="20"/>
              </w:rPr>
              <w:t xml:space="preserve">1.5175</w:t>
            </w:r>
          </w:p>
        </w:tc>
        <w:tc>
          <w:tcPr>
            <w:tcW w:w="0" w:type="auto"/>
          </w:tcPr>
          <w:p>
            <w:pPr>
              <w:spacing w:line="240" w:lineRule="auto" w:before="0" w:after="0"/>
              <w:pStyle w:val="Compact"/>
            </w:pPr>
            <w:r>
              <w:rPr>
                <w:sz w:val="20"/>
                <w:szCs w:val="20"/>
              </w:rPr>
              <w:t xml:space="preserve">0.3214</w:t>
            </w:r>
          </w:p>
        </w:tc>
        <w:tc>
          <w:tcPr>
            <w:tcW w:w="0" w:type="auto"/>
          </w:tcPr>
          <w:p>
            <w:pPr>
              <w:spacing w:line="240" w:lineRule="auto" w:before="0" w:after="0"/>
              <w:pStyle w:val="Compact"/>
            </w:pPr>
            <w:r>
              <w:rPr>
                <w:sz w:val="20"/>
                <w:szCs w:val="20"/>
              </w:rPr>
              <w:t xml:space="preserve">0.2857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3.7726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300_400_sso_polar</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77.0759</w:t>
            </w:r>
          </w:p>
        </w:tc>
        <w:tc>
          <w:tcPr>
            <w:tcW w:w="0" w:type="auto"/>
          </w:tcPr>
          <w:p>
            <w:pPr>
              <w:spacing w:line="240" w:lineRule="auto" w:before="0" w:after="0"/>
              <w:pStyle w:val="Compact"/>
            </w:pPr>
            <w:r>
              <w:rPr>
                <w:sz w:val="20"/>
                <w:szCs w:val="20"/>
              </w:rPr>
              <w:t xml:space="preserve">1.1678</w:t>
            </w:r>
          </w:p>
        </w:tc>
        <w:tc>
          <w:tcPr>
            <w:tcW w:w="0" w:type="auto"/>
          </w:tcPr>
          <w:p>
            <w:pPr>
              <w:spacing w:line="240" w:lineRule="auto" w:before="0" w:after="0"/>
              <w:pStyle w:val="Compact"/>
            </w:pPr>
            <w:r>
              <w:rPr>
                <w:sz w:val="20"/>
                <w:szCs w:val="20"/>
              </w:rPr>
              <w:t xml:space="preserve">0.2273</w:t>
            </w:r>
          </w:p>
        </w:tc>
        <w:tc>
          <w:tcPr>
            <w:tcW w:w="0" w:type="auto"/>
          </w:tcPr>
          <w:p>
            <w:pPr>
              <w:spacing w:line="240" w:lineRule="auto" w:before="0" w:after="0"/>
              <w:pStyle w:val="Compact"/>
            </w:pPr>
            <w:r>
              <w:rPr>
                <w:sz w:val="20"/>
                <w:szCs w:val="20"/>
              </w:rPr>
              <w:t xml:space="preserve">0.4394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4.3577</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300_400_retrograde_high</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400_500_equatorial</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6.1938</w:t>
            </w:r>
          </w:p>
        </w:tc>
        <w:tc>
          <w:tcPr>
            <w:tcW w:w="0" w:type="auto"/>
          </w:tcPr>
          <w:p>
            <w:pPr>
              <w:spacing w:line="240" w:lineRule="auto" w:before="0" w:after="0"/>
              <w:pStyle w:val="Compact"/>
            </w:pPr>
            <w:r>
              <w:rPr>
                <w:sz w:val="20"/>
                <w:szCs w:val="20"/>
              </w:rPr>
              <w:t xml:space="preserve">2.0646</w:t>
            </w:r>
          </w:p>
        </w:tc>
        <w:tc>
          <w:tcPr>
            <w:tcW w:w="0" w:type="auto"/>
          </w:tcPr>
          <w:p>
            <w:pPr>
              <w:spacing w:line="240" w:lineRule="auto" w:before="0" w:after="0"/>
              <w:pStyle w:val="Compact"/>
            </w:pPr>
            <w:r>
              <w:rPr>
                <w:sz w:val="20"/>
                <w:szCs w:val="20"/>
              </w:rPr>
              <w:t xml:space="preserve">0.6667</w:t>
            </w:r>
          </w:p>
        </w:tc>
        <w:tc>
          <w:tcPr>
            <w:tcW w:w="0" w:type="auto"/>
          </w:tcPr>
          <w:p>
            <w:pPr>
              <w:spacing w:line="240" w:lineRule="auto" w:before="0" w:after="0"/>
              <w:pStyle w:val="Compact"/>
            </w:pPr>
            <w:r>
              <w:rPr>
                <w:sz w:val="20"/>
                <w:szCs w:val="20"/>
              </w:rPr>
              <w:t xml:space="preserve">0.3333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1.9732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400_500_mid_inclination</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23.3721</w:t>
            </w:r>
          </w:p>
        </w:tc>
        <w:tc>
          <w:tcPr>
            <w:tcW w:w="0" w:type="auto"/>
          </w:tcPr>
          <w:p>
            <w:pPr>
              <w:spacing w:line="240" w:lineRule="auto" w:before="0" w:after="0"/>
              <w:pStyle w:val="Compact"/>
            </w:pPr>
            <w:r>
              <w:rPr>
                <w:sz w:val="20"/>
                <w:szCs w:val="20"/>
              </w:rPr>
              <w:t xml:space="preserve">0.5701</w:t>
            </w:r>
          </w:p>
        </w:tc>
        <w:tc>
          <w:tcPr>
            <w:tcW w:w="0" w:type="auto"/>
          </w:tcPr>
          <w:p>
            <w:pPr>
              <w:spacing w:line="240" w:lineRule="auto" w:before="0" w:after="0"/>
              <w:pStyle w:val="Compact"/>
            </w:pPr>
            <w:r>
              <w:rPr>
                <w:sz w:val="20"/>
                <w:szCs w:val="20"/>
              </w:rPr>
              <w:t xml:space="preserve">0.3415</w:t>
            </w:r>
          </w:p>
        </w:tc>
        <w:tc>
          <w:tcPr>
            <w:tcW w:w="0" w:type="auto"/>
          </w:tcPr>
          <w:p>
            <w:pPr>
              <w:spacing w:line="240" w:lineRule="auto" w:before="0" w:after="0"/>
              <w:pStyle w:val="Compact"/>
            </w:pPr>
            <w:r>
              <w:rPr>
                <w:sz w:val="20"/>
                <w:szCs w:val="20"/>
              </w:rPr>
              <w:t xml:space="preserve">0.2683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3.1934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400_500_sso_polar</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192</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243.8675</w:t>
            </w:r>
          </w:p>
        </w:tc>
        <w:tc>
          <w:tcPr>
            <w:tcW w:w="0" w:type="auto"/>
          </w:tcPr>
          <w:p>
            <w:pPr>
              <w:spacing w:line="240" w:lineRule="auto" w:before="0" w:after="0"/>
              <w:pStyle w:val="Compact"/>
            </w:pPr>
            <w:r>
              <w:rPr>
                <w:sz w:val="20"/>
                <w:szCs w:val="20"/>
              </w:rPr>
              <w:t xml:space="preserve">1.2701</w:t>
            </w:r>
          </w:p>
        </w:tc>
        <w:tc>
          <w:tcPr>
            <w:tcW w:w="0" w:type="auto"/>
          </w:tcPr>
          <w:p>
            <w:pPr>
              <w:spacing w:line="240" w:lineRule="auto" w:before="0" w:after="0"/>
              <w:pStyle w:val="Compact"/>
            </w:pPr>
            <w:r>
              <w:rPr>
                <w:sz w:val="20"/>
                <w:szCs w:val="20"/>
              </w:rPr>
              <w:t xml:space="preserve">0.2344</w:t>
            </w:r>
          </w:p>
        </w:tc>
        <w:tc>
          <w:tcPr>
            <w:tcW w:w="0" w:type="auto"/>
          </w:tcPr>
          <w:p>
            <w:pPr>
              <w:spacing w:line="240" w:lineRule="auto" w:before="0" w:after="0"/>
              <w:pStyle w:val="Compact"/>
            </w:pPr>
            <w:r>
              <w:rPr>
                <w:sz w:val="20"/>
                <w:szCs w:val="20"/>
              </w:rPr>
              <w:t xml:space="preserve">0.2031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5.5007</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400_500_retrograde_high</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500_600_equatorial</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23.1249</w:t>
            </w:r>
          </w:p>
        </w:tc>
        <w:tc>
          <w:tcPr>
            <w:tcW w:w="0" w:type="auto"/>
          </w:tcPr>
          <w:p>
            <w:pPr>
              <w:spacing w:line="240" w:lineRule="auto" w:before="0" w:after="0"/>
              <w:pStyle w:val="Compact"/>
            </w:pPr>
            <w:r>
              <w:rPr>
                <w:sz w:val="20"/>
                <w:szCs w:val="20"/>
              </w:rPr>
              <w:t xml:space="preserve">3.3036</w:t>
            </w:r>
          </w:p>
        </w:tc>
        <w:tc>
          <w:tcPr>
            <w:tcW w:w="0" w:type="auto"/>
          </w:tcPr>
          <w:p>
            <w:pPr>
              <w:spacing w:line="240" w:lineRule="auto" w:before="0" w:after="0"/>
              <w:pStyle w:val="Compact"/>
            </w:pPr>
            <w:r>
              <w:rPr>
                <w:sz w:val="20"/>
                <w:szCs w:val="20"/>
              </w:rPr>
              <w:t xml:space="preserve">0.5714</w:t>
            </w:r>
          </w:p>
        </w:tc>
        <w:tc>
          <w:tcPr>
            <w:tcW w:w="0" w:type="auto"/>
          </w:tcPr>
          <w:p>
            <w:pPr>
              <w:spacing w:line="240" w:lineRule="auto" w:before="0" w:after="0"/>
              <w:pStyle w:val="Compact"/>
            </w:pPr>
            <w:r>
              <w:rPr>
                <w:sz w:val="20"/>
                <w:szCs w:val="20"/>
              </w:rPr>
              <w:t xml:space="preserve">0.4286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3.1832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500_600_mid_inclination</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40.4339</w:t>
            </w:r>
          </w:p>
        </w:tc>
        <w:tc>
          <w:tcPr>
            <w:tcW w:w="0" w:type="auto"/>
          </w:tcPr>
          <w:p>
            <w:pPr>
              <w:spacing w:line="240" w:lineRule="auto" w:before="0" w:after="0"/>
              <w:pStyle w:val="Compact"/>
            </w:pPr>
            <w:r>
              <w:rPr>
                <w:sz w:val="20"/>
                <w:szCs w:val="20"/>
              </w:rPr>
              <w:t xml:space="preserve">0.6035</w:t>
            </w:r>
          </w:p>
        </w:tc>
        <w:tc>
          <w:tcPr>
            <w:tcW w:w="0" w:type="auto"/>
          </w:tcPr>
          <w:p>
            <w:pPr>
              <w:spacing w:line="240" w:lineRule="auto" w:before="0" w:after="0"/>
              <w:pStyle w:val="Compact"/>
            </w:pPr>
            <w:r>
              <w:rPr>
                <w:sz w:val="20"/>
                <w:szCs w:val="20"/>
              </w:rPr>
              <w:t xml:space="preserve">0.3134</w:t>
            </w:r>
          </w:p>
        </w:tc>
        <w:tc>
          <w:tcPr>
            <w:tcW w:w="0" w:type="auto"/>
          </w:tcPr>
          <w:p>
            <w:pPr>
              <w:spacing w:line="240" w:lineRule="auto" w:before="0" w:after="0"/>
              <w:pStyle w:val="Compact"/>
            </w:pPr>
            <w:r>
              <w:rPr>
                <w:sz w:val="20"/>
                <w:szCs w:val="20"/>
              </w:rPr>
              <w:t xml:space="preserve">0.2687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3.7241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500_600_sso_polar</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430</w:t>
            </w:r>
          </w:p>
        </w:tc>
        <w:tc>
          <w:tcPr>
            <w:tcW w:w="0" w:type="auto"/>
          </w:tcPr>
          <w:p>
            <w:pPr>
              <w:spacing w:line="240" w:lineRule="auto" w:before="0" w:after="0"/>
              <w:pStyle w:val="Compact"/>
            </w:pPr>
            <w:r>
              <w:rPr>
                <w:sz w:val="20"/>
                <w:szCs w:val="20"/>
              </w:rPr>
              <w:t xml:space="preserve">305</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323.7404</w:t>
            </w:r>
          </w:p>
        </w:tc>
        <w:tc>
          <w:tcPr>
            <w:tcW w:w="0" w:type="auto"/>
          </w:tcPr>
          <w:p>
            <w:pPr>
              <w:spacing w:line="240" w:lineRule="auto" w:before="0" w:after="0"/>
              <w:pStyle w:val="Compact"/>
            </w:pPr>
            <w:r>
              <w:rPr>
                <w:sz w:val="20"/>
                <w:szCs w:val="20"/>
              </w:rPr>
              <w:t xml:space="preserve">0.7529</w:t>
            </w:r>
          </w:p>
        </w:tc>
        <w:tc>
          <w:tcPr>
            <w:tcW w:w="0" w:type="auto"/>
          </w:tcPr>
          <w:p>
            <w:pPr>
              <w:spacing w:line="240" w:lineRule="auto" w:before="0" w:after="0"/>
              <w:pStyle w:val="Compact"/>
            </w:pPr>
            <w:r>
              <w:rPr>
                <w:sz w:val="20"/>
                <w:szCs w:val="20"/>
              </w:rPr>
              <w:t xml:space="preserve">0.1233</w:t>
            </w:r>
          </w:p>
        </w:tc>
        <w:tc>
          <w:tcPr>
            <w:tcW w:w="0" w:type="auto"/>
          </w:tcPr>
          <w:p>
            <w:pPr>
              <w:spacing w:line="240" w:lineRule="auto" w:before="0" w:after="0"/>
              <w:pStyle w:val="Compact"/>
            </w:pPr>
            <w:r>
              <w:rPr>
                <w:sz w:val="20"/>
                <w:szCs w:val="20"/>
              </w:rPr>
              <w:t xml:space="preserve">0.1674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5.783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500_600_retrograde_high</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0.03</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0.3333</w:t>
            </w:r>
          </w:p>
        </w:tc>
        <w:tc>
          <w:tcPr>
            <w:tcW w:w="0" w:type="auto"/>
          </w:tcPr>
          <w:p>
            <w:pPr>
              <w:spacing w:line="240" w:lineRule="auto" w:before="0" w:after="0"/>
              <w:pStyle w:val="Compact"/>
            </w:pPr>
            <w:r>
              <w:rPr>
                <w:sz w:val="20"/>
                <w:szCs w:val="20"/>
              </w:rPr>
              <w:t xml:space="preserve">0.3333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0.0296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600_700_equatorial</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33.8739</w:t>
            </w:r>
          </w:p>
        </w:tc>
        <w:tc>
          <w:tcPr>
            <w:tcW w:w="0" w:type="auto"/>
          </w:tcPr>
          <w:p>
            <w:pPr>
              <w:spacing w:line="240" w:lineRule="auto" w:before="0" w:after="0"/>
              <w:pStyle w:val="Compact"/>
            </w:pPr>
            <w:r>
              <w:rPr>
                <w:sz w:val="20"/>
                <w:szCs w:val="20"/>
              </w:rPr>
              <w:t xml:space="preserve">1.9926</w:t>
            </w:r>
          </w:p>
        </w:tc>
        <w:tc>
          <w:tcPr>
            <w:tcW w:w="0" w:type="auto"/>
          </w:tcPr>
          <w:p>
            <w:pPr>
              <w:spacing w:line="240" w:lineRule="auto" w:before="0" w:after="0"/>
              <w:pStyle w:val="Compact"/>
            </w:pPr>
            <w:r>
              <w:rPr>
                <w:sz w:val="20"/>
                <w:szCs w:val="20"/>
              </w:rPr>
              <w:t xml:space="preserve">0.4118</w:t>
            </w:r>
          </w:p>
        </w:tc>
        <w:tc>
          <w:tcPr>
            <w:tcW w:w="0" w:type="auto"/>
          </w:tcPr>
          <w:p>
            <w:pPr>
              <w:spacing w:line="240" w:lineRule="auto" w:before="0" w:after="0"/>
              <w:pStyle w:val="Compact"/>
            </w:pPr>
            <w:r>
              <w:rPr>
                <w:sz w:val="20"/>
                <w:szCs w:val="20"/>
              </w:rPr>
              <w:t xml:space="preserve">0.3529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3.5517</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600_700_mid_inclination</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70.7808</w:t>
            </w:r>
          </w:p>
        </w:tc>
        <w:tc>
          <w:tcPr>
            <w:tcW w:w="0" w:type="auto"/>
          </w:tcPr>
          <w:p>
            <w:pPr>
              <w:spacing w:line="240" w:lineRule="auto" w:before="0" w:after="0"/>
              <w:pStyle w:val="Compact"/>
            </w:pPr>
            <w:r>
              <w:rPr>
                <w:sz w:val="20"/>
                <w:szCs w:val="20"/>
              </w:rPr>
              <w:t xml:space="preserve">0.8136</w:t>
            </w:r>
          </w:p>
        </w:tc>
        <w:tc>
          <w:tcPr>
            <w:tcW w:w="0" w:type="auto"/>
          </w:tcPr>
          <w:p>
            <w:pPr>
              <w:spacing w:line="240" w:lineRule="auto" w:before="0" w:after="0"/>
              <w:pStyle w:val="Compact"/>
            </w:pPr>
            <w:r>
              <w:rPr>
                <w:sz w:val="20"/>
                <w:szCs w:val="20"/>
              </w:rPr>
              <w:t xml:space="preserve">0.092</w:t>
            </w:r>
          </w:p>
        </w:tc>
        <w:tc>
          <w:tcPr>
            <w:tcW w:w="0" w:type="auto"/>
          </w:tcPr>
          <w:p>
            <w:pPr>
              <w:spacing w:line="240" w:lineRule="auto" w:before="0" w:after="0"/>
              <w:pStyle w:val="Compact"/>
            </w:pPr>
            <w:r>
              <w:rPr>
                <w:sz w:val="20"/>
                <w:szCs w:val="20"/>
              </w:rPr>
              <w:t xml:space="preserve">0.3218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4.2736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600_700_sso_polar</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1159</w:t>
            </w:r>
          </w:p>
        </w:tc>
        <w:tc>
          <w:tcPr>
            <w:tcW w:w="0" w:type="auto"/>
          </w:tcPr>
          <w:p>
            <w:pPr>
              <w:spacing w:line="240" w:lineRule="auto" w:before="0" w:after="0"/>
              <w:pStyle w:val="Compact"/>
            </w:pPr>
            <w:r>
              <w:rPr>
                <w:sz w:val="20"/>
                <w:szCs w:val="20"/>
              </w:rPr>
              <w:t xml:space="preserve">964</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586.7282</w:t>
            </w:r>
          </w:p>
        </w:tc>
        <w:tc>
          <w:tcPr>
            <w:tcW w:w="0" w:type="auto"/>
          </w:tcPr>
          <w:p>
            <w:pPr>
              <w:spacing w:line="240" w:lineRule="auto" w:before="0" w:after="0"/>
              <w:pStyle w:val="Compact"/>
            </w:pPr>
            <w:r>
              <w:rPr>
                <w:sz w:val="20"/>
                <w:szCs w:val="20"/>
              </w:rPr>
              <w:t xml:space="preserve">0.5062</w:t>
            </w:r>
          </w:p>
        </w:tc>
        <w:tc>
          <w:tcPr>
            <w:tcW w:w="0" w:type="auto"/>
          </w:tcPr>
          <w:p>
            <w:pPr>
              <w:spacing w:line="240" w:lineRule="auto" w:before="0" w:after="0"/>
              <w:pStyle w:val="Compact"/>
            </w:pPr>
            <w:r>
              <w:rPr>
                <w:sz w:val="20"/>
                <w:szCs w:val="20"/>
              </w:rPr>
              <w:t xml:space="preserve">0.0863</w:t>
            </w:r>
          </w:p>
        </w:tc>
        <w:tc>
          <w:tcPr>
            <w:tcW w:w="0" w:type="auto"/>
          </w:tcPr>
          <w:p>
            <w:pPr>
              <w:spacing w:line="240" w:lineRule="auto" w:before="0" w:after="0"/>
              <w:pStyle w:val="Compact"/>
            </w:pPr>
            <w:r>
              <w:rPr>
                <w:sz w:val="20"/>
                <w:szCs w:val="20"/>
              </w:rPr>
              <w:t xml:space="preserve">0.082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6.3763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600_700_retrograde_high</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700_800_equatorial</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10.9976</w:t>
            </w:r>
          </w:p>
        </w:tc>
        <w:tc>
          <w:tcPr>
            <w:tcW w:w="0" w:type="auto"/>
          </w:tcPr>
          <w:p>
            <w:pPr>
              <w:spacing w:line="240" w:lineRule="auto" w:before="0" w:after="0"/>
              <w:pStyle w:val="Compact"/>
            </w:pPr>
            <w:r>
              <w:rPr>
                <w:sz w:val="20"/>
                <w:szCs w:val="20"/>
              </w:rPr>
              <w:t xml:space="preserve">0.9998</w:t>
            </w:r>
          </w:p>
        </w:tc>
        <w:tc>
          <w:tcPr>
            <w:tcW w:w="0" w:type="auto"/>
          </w:tcPr>
          <w:p>
            <w:pPr>
              <w:spacing w:line="240" w:lineRule="auto" w:before="0" w:after="0"/>
              <w:pStyle w:val="Compact"/>
            </w:pPr>
            <w:r>
              <w:rPr>
                <w:sz w:val="20"/>
                <w:szCs w:val="20"/>
              </w:rPr>
              <w:t xml:space="preserve">0.2727</w:t>
            </w:r>
          </w:p>
        </w:tc>
        <w:tc>
          <w:tcPr>
            <w:tcW w:w="0" w:type="auto"/>
          </w:tcPr>
          <w:p>
            <w:pPr>
              <w:spacing w:line="240" w:lineRule="auto" w:before="0" w:after="0"/>
              <w:pStyle w:val="Compact"/>
            </w:pPr>
            <w:r>
              <w:rPr>
                <w:sz w:val="20"/>
                <w:szCs w:val="20"/>
              </w:rPr>
              <w:t xml:space="preserve">0.1818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2.4847</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700_800_mid_inclination</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244</w:t>
            </w:r>
          </w:p>
        </w:tc>
        <w:tc>
          <w:tcPr>
            <w:tcW w:w="0" w:type="auto"/>
          </w:tcPr>
          <w:p>
            <w:pPr>
              <w:spacing w:line="240" w:lineRule="auto" w:before="0" w:after="0"/>
              <w:pStyle w:val="Compact"/>
            </w:pPr>
            <w:r>
              <w:rPr>
                <w:sz w:val="20"/>
                <w:szCs w:val="20"/>
              </w:rPr>
              <w:t xml:space="preserve">174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111.7136</w:t>
            </w:r>
          </w:p>
        </w:tc>
        <w:tc>
          <w:tcPr>
            <w:tcW w:w="0" w:type="auto"/>
          </w:tcPr>
          <w:p>
            <w:pPr>
              <w:spacing w:line="240" w:lineRule="auto" w:before="0" w:after="0"/>
              <w:pStyle w:val="Compact"/>
            </w:pPr>
            <w:r>
              <w:rPr>
                <w:sz w:val="20"/>
                <w:szCs w:val="20"/>
              </w:rPr>
              <w:t xml:space="preserve">0.4578</w:t>
            </w:r>
          </w:p>
        </w:tc>
        <w:tc>
          <w:tcPr>
            <w:tcW w:w="0" w:type="auto"/>
          </w:tcPr>
          <w:p>
            <w:pPr>
              <w:spacing w:line="240" w:lineRule="auto" w:before="0" w:after="0"/>
              <w:pStyle w:val="Compact"/>
            </w:pPr>
            <w:r>
              <w:rPr>
                <w:sz w:val="20"/>
                <w:szCs w:val="20"/>
              </w:rPr>
              <w:t xml:space="preserve">0.1025</w:t>
            </w:r>
          </w:p>
        </w:tc>
        <w:tc>
          <w:tcPr>
            <w:tcW w:w="0" w:type="auto"/>
          </w:tcPr>
          <w:p>
            <w:pPr>
              <w:spacing w:line="240" w:lineRule="auto" w:before="0" w:after="0"/>
              <w:pStyle w:val="Compact"/>
            </w:pPr>
            <w:r>
              <w:rPr>
                <w:sz w:val="20"/>
                <w:szCs w:val="20"/>
              </w:rPr>
              <w:t xml:space="preserve">0.1844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4.7249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700_800_sso_polar</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2281</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124</w:t>
            </w:r>
          </w:p>
        </w:tc>
        <w:tc>
          <w:tcPr>
            <w:tcW w:w="0" w:type="auto"/>
          </w:tcPr>
          <w:p>
            <w:pPr>
              <w:spacing w:line="240" w:lineRule="auto" w:before="0" w:after="0"/>
              <w:pStyle w:val="Compact"/>
            </w:pPr>
            <w:r>
              <w:rPr>
                <w:sz w:val="20"/>
                <w:szCs w:val="20"/>
              </w:rPr>
              <w:t xml:space="preserve">181</w:t>
            </w:r>
          </w:p>
        </w:tc>
        <w:tc>
          <w:tcPr>
            <w:tcW w:w="0" w:type="auto"/>
          </w:tcPr>
          <w:p>
            <w:pPr>
              <w:spacing w:line="240" w:lineRule="auto" w:before="0" w:after="0"/>
              <w:pStyle w:val="Compact"/>
            </w:pPr>
            <w:r>
              <w:rPr>
                <w:sz w:val="20"/>
                <w:szCs w:val="20"/>
              </w:rPr>
              <w:t xml:space="preserve">1038.4258</w:t>
            </w:r>
          </w:p>
        </w:tc>
        <w:tc>
          <w:tcPr>
            <w:tcW w:w="0" w:type="auto"/>
          </w:tcPr>
          <w:p>
            <w:pPr>
              <w:spacing w:line="240" w:lineRule="auto" w:before="0" w:after="0"/>
              <w:pStyle w:val="Compact"/>
            </w:pPr>
            <w:r>
              <w:rPr>
                <w:sz w:val="20"/>
                <w:szCs w:val="20"/>
              </w:rPr>
              <w:t xml:space="preserve">0.4553</w:t>
            </w:r>
          </w:p>
        </w:tc>
        <w:tc>
          <w:tcPr>
            <w:tcW w:w="0" w:type="auto"/>
          </w:tcPr>
          <w:p>
            <w:pPr>
              <w:spacing w:line="240" w:lineRule="auto" w:before="0" w:after="0"/>
              <w:pStyle w:val="Compact"/>
            </w:pPr>
            <w:r>
              <w:rPr>
                <w:sz w:val="20"/>
                <w:szCs w:val="20"/>
              </w:rPr>
              <w:t xml:space="preserve">0.0544</w:t>
            </w:r>
          </w:p>
        </w:tc>
        <w:tc>
          <w:tcPr>
            <w:tcW w:w="0" w:type="auto"/>
          </w:tcPr>
          <w:p>
            <w:pPr>
              <w:spacing w:line="240" w:lineRule="auto" w:before="0" w:after="0"/>
              <w:pStyle w:val="Compact"/>
            </w:pPr>
            <w:r>
              <w:rPr>
                <w:sz w:val="20"/>
                <w:szCs w:val="20"/>
              </w:rPr>
              <w:t xml:space="preserve">0.0794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6.9464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700_800_retrograde_high</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0.0198</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800_900_equatorial</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19.7487</w:t>
            </w:r>
          </w:p>
        </w:tc>
        <w:tc>
          <w:tcPr>
            <w:tcW w:w="0" w:type="auto"/>
          </w:tcPr>
          <w:p>
            <w:pPr>
              <w:spacing w:line="240" w:lineRule="auto" w:before="0" w:after="0"/>
              <w:pStyle w:val="Compact"/>
            </w:pPr>
            <w:r>
              <w:rPr>
                <w:sz w:val="20"/>
                <w:szCs w:val="20"/>
              </w:rPr>
              <w:t xml:space="preserve">1.9749</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3.0325</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800_900_mid_inclination</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116</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30.5104</w:t>
            </w:r>
          </w:p>
        </w:tc>
        <w:tc>
          <w:tcPr>
            <w:tcW w:w="0" w:type="auto"/>
          </w:tcPr>
          <w:p>
            <w:pPr>
              <w:spacing w:line="240" w:lineRule="auto" w:before="0" w:after="0"/>
              <w:pStyle w:val="Compact"/>
            </w:pPr>
            <w:r>
              <w:rPr>
                <w:sz w:val="20"/>
                <w:szCs w:val="20"/>
              </w:rPr>
              <w:t xml:space="preserve">0.263</w:t>
            </w:r>
          </w:p>
        </w:tc>
        <w:tc>
          <w:tcPr>
            <w:tcW w:w="0" w:type="auto"/>
          </w:tcPr>
          <w:p>
            <w:pPr>
              <w:spacing w:line="240" w:lineRule="auto" w:before="0" w:after="0"/>
              <w:pStyle w:val="Compact"/>
            </w:pPr>
            <w:r>
              <w:rPr>
                <w:sz w:val="20"/>
                <w:szCs w:val="20"/>
              </w:rPr>
              <w:t xml:space="preserve">0.1379</w:t>
            </w:r>
          </w:p>
        </w:tc>
        <w:tc>
          <w:tcPr>
            <w:tcW w:w="0" w:type="auto"/>
          </w:tcPr>
          <w:p>
            <w:pPr>
              <w:spacing w:line="240" w:lineRule="auto" w:before="0" w:after="0"/>
              <w:pStyle w:val="Compact"/>
            </w:pPr>
            <w:r>
              <w:rPr>
                <w:sz w:val="20"/>
                <w:szCs w:val="20"/>
              </w:rPr>
              <w:t xml:space="preserve">0.0776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3.4503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800_900_sso_polar</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2642</w:t>
            </w:r>
          </w:p>
        </w:tc>
        <w:tc>
          <w:tcPr>
            <w:tcW w:w="0" w:type="auto"/>
          </w:tcPr>
          <w:p>
            <w:pPr>
              <w:spacing w:line="240" w:lineRule="auto" w:before="0" w:after="0"/>
              <w:pStyle w:val="Compact"/>
            </w:pPr>
            <w:r>
              <w:rPr>
                <w:sz w:val="20"/>
                <w:szCs w:val="20"/>
              </w:rPr>
              <w:t xml:space="preserve">2424</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123</w:t>
            </w:r>
          </w:p>
        </w:tc>
        <w:tc>
          <w:tcPr>
            <w:tcW w:w="0" w:type="auto"/>
          </w:tcPr>
          <w:p>
            <w:pPr>
              <w:spacing w:line="240" w:lineRule="auto" w:before="0" w:after="0"/>
              <w:pStyle w:val="Compact"/>
            </w:pPr>
            <w:r>
              <w:rPr>
                <w:sz w:val="20"/>
                <w:szCs w:val="20"/>
              </w:rPr>
              <w:t xml:space="preserve">1102.2007</w:t>
            </w:r>
          </w:p>
        </w:tc>
        <w:tc>
          <w:tcPr>
            <w:tcW w:w="0" w:type="auto"/>
          </w:tcPr>
          <w:p>
            <w:pPr>
              <w:spacing w:line="240" w:lineRule="auto" w:before="0" w:after="0"/>
              <w:pStyle w:val="Compact"/>
            </w:pPr>
            <w:r>
              <w:rPr>
                <w:sz w:val="20"/>
                <w:szCs w:val="20"/>
              </w:rPr>
              <w:t xml:space="preserve">0.4172</w:t>
            </w:r>
          </w:p>
        </w:tc>
        <w:tc>
          <w:tcPr>
            <w:tcW w:w="0" w:type="auto"/>
          </w:tcPr>
          <w:p>
            <w:pPr>
              <w:spacing w:line="240" w:lineRule="auto" w:before="0" w:after="0"/>
              <w:pStyle w:val="Compact"/>
            </w:pPr>
            <w:r>
              <w:rPr>
                <w:sz w:val="20"/>
                <w:szCs w:val="20"/>
              </w:rPr>
              <w:t xml:space="preserve">0.036</w:t>
            </w:r>
          </w:p>
        </w:tc>
        <w:tc>
          <w:tcPr>
            <w:tcW w:w="0" w:type="auto"/>
          </w:tcPr>
          <w:p>
            <w:pPr>
              <w:spacing w:line="240" w:lineRule="auto" w:before="0" w:after="0"/>
              <w:pStyle w:val="Compact"/>
            </w:pPr>
            <w:r>
              <w:rPr>
                <w:sz w:val="20"/>
                <w:szCs w:val="20"/>
              </w:rPr>
              <w:t xml:space="preserve">0.0466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7.006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800_900_retrograde_high</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6.547</w:t>
            </w:r>
          </w:p>
        </w:tc>
        <w:tc>
          <w:tcPr>
            <w:tcW w:w="0" w:type="auto"/>
          </w:tcPr>
          <w:p>
            <w:pPr>
              <w:spacing w:line="240" w:lineRule="auto" w:before="0" w:after="0"/>
              <w:pStyle w:val="Compact"/>
            </w:pPr>
            <w:r>
              <w:rPr>
                <w:sz w:val="20"/>
                <w:szCs w:val="20"/>
              </w:rPr>
              <w:t xml:space="preserve">1.6367</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900_1000_equatorial</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26.3729</w:t>
            </w:r>
          </w:p>
        </w:tc>
        <w:tc>
          <w:tcPr>
            <w:tcW w:w="0" w:type="auto"/>
          </w:tcPr>
          <w:p>
            <w:pPr>
              <w:spacing w:line="240" w:lineRule="auto" w:before="0" w:after="0"/>
              <w:pStyle w:val="Compact"/>
            </w:pPr>
            <w:r>
              <w:rPr>
                <w:sz w:val="20"/>
                <w:szCs w:val="20"/>
              </w:rPr>
              <w:t xml:space="preserve">1.8838</w:t>
            </w:r>
          </w:p>
        </w:tc>
        <w:tc>
          <w:tcPr>
            <w:tcW w:w="0" w:type="auto"/>
          </w:tcPr>
          <w:p>
            <w:pPr>
              <w:spacing w:line="240" w:lineRule="auto" w:before="0" w:after="0"/>
              <w:pStyle w:val="Compact"/>
            </w:pPr>
            <w:r>
              <w:rPr>
                <w:sz w:val="20"/>
                <w:szCs w:val="20"/>
              </w:rPr>
              <w:t xml:space="preserve">0.2143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3.3096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900_1000_mid_inclination</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334</w:t>
            </w:r>
          </w:p>
        </w:tc>
        <w:tc>
          <w:tcPr>
            <w:tcW w:w="0" w:type="auto"/>
          </w:tcPr>
          <w:p>
            <w:pPr>
              <w:spacing w:line="240" w:lineRule="auto" w:before="0" w:after="0"/>
              <w:pStyle w:val="Compact"/>
            </w:pPr>
            <w:r>
              <w:rPr>
                <w:sz w:val="20"/>
                <w:szCs w:val="20"/>
              </w:rPr>
              <w:t xml:space="preserve">241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192.7283</w:t>
            </w:r>
          </w:p>
        </w:tc>
        <w:tc>
          <w:tcPr>
            <w:tcW w:w="0" w:type="auto"/>
          </w:tcPr>
          <w:p>
            <w:pPr>
              <w:spacing w:line="240" w:lineRule="auto" w:before="0" w:after="0"/>
              <w:pStyle w:val="Compact"/>
            </w:pPr>
            <w:r>
              <w:rPr>
                <w:sz w:val="20"/>
                <w:szCs w:val="20"/>
              </w:rPr>
              <w:t xml:space="preserve">0.577</w:t>
            </w:r>
          </w:p>
        </w:tc>
        <w:tc>
          <w:tcPr>
            <w:tcW w:w="0" w:type="auto"/>
          </w:tcPr>
          <w:p>
            <w:pPr>
              <w:spacing w:line="240" w:lineRule="auto" w:before="0" w:after="0"/>
              <w:pStyle w:val="Compact"/>
            </w:pPr>
            <w:r>
              <w:rPr>
                <w:sz w:val="20"/>
                <w:szCs w:val="20"/>
              </w:rPr>
              <w:t xml:space="preserve">0.0599</w:t>
            </w:r>
          </w:p>
        </w:tc>
        <w:tc>
          <w:tcPr>
            <w:tcW w:w="0" w:type="auto"/>
          </w:tcPr>
          <w:p>
            <w:pPr>
              <w:spacing w:line="240" w:lineRule="auto" w:before="0" w:after="0"/>
              <w:pStyle w:val="Compact"/>
            </w:pPr>
            <w:r>
              <w:rPr>
                <w:sz w:val="20"/>
                <w:szCs w:val="20"/>
              </w:rPr>
              <w:t xml:space="preserve">0.2186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5.2665</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900_1000_sso_polar</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1362</w:t>
            </w:r>
          </w:p>
        </w:tc>
        <w:tc>
          <w:tcPr>
            <w:tcW w:w="0" w:type="auto"/>
          </w:tcPr>
          <w:p>
            <w:pPr>
              <w:spacing w:line="240" w:lineRule="auto" w:before="0" w:after="0"/>
              <w:pStyle w:val="Compact"/>
            </w:pPr>
            <w:r>
              <w:rPr>
                <w:sz w:val="20"/>
                <w:szCs w:val="20"/>
              </w:rPr>
              <w:t xml:space="preserve">977</w:t>
            </w:r>
          </w:p>
        </w:tc>
        <w:tc>
          <w:tcPr>
            <w:tcW w:w="0" w:type="auto"/>
          </w:tcPr>
          <w:p>
            <w:pPr>
              <w:spacing w:line="240" w:lineRule="auto" w:before="0" w:after="0"/>
              <w:pStyle w:val="Compact"/>
            </w:pPr>
            <w:r>
              <w:rPr>
                <w:sz w:val="20"/>
                <w:szCs w:val="20"/>
              </w:rPr>
              <w:t xml:space="preserve">185</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1276.7445</w:t>
            </w:r>
          </w:p>
        </w:tc>
        <w:tc>
          <w:tcPr>
            <w:tcW w:w="0" w:type="auto"/>
          </w:tcPr>
          <w:p>
            <w:pPr>
              <w:spacing w:line="240" w:lineRule="auto" w:before="0" w:after="0"/>
              <w:pStyle w:val="Compact"/>
            </w:pPr>
            <w:r>
              <w:rPr>
                <w:sz w:val="20"/>
                <w:szCs w:val="20"/>
              </w:rPr>
              <w:t xml:space="preserve">0.9374</w:t>
            </w:r>
          </w:p>
        </w:tc>
        <w:tc>
          <w:tcPr>
            <w:tcW w:w="0" w:type="auto"/>
          </w:tcPr>
          <w:p>
            <w:pPr>
              <w:spacing w:line="240" w:lineRule="auto" w:before="0" w:after="0"/>
              <w:pStyle w:val="Compact"/>
            </w:pPr>
            <w:r>
              <w:rPr>
                <w:sz w:val="20"/>
                <w:szCs w:val="20"/>
              </w:rPr>
              <w:t xml:space="preserve">0.1358</w:t>
            </w:r>
          </w:p>
        </w:tc>
        <w:tc>
          <w:tcPr>
            <w:tcW w:w="0" w:type="auto"/>
          </w:tcPr>
          <w:p>
            <w:pPr>
              <w:spacing w:line="240" w:lineRule="auto" w:before="0" w:after="0"/>
              <w:pStyle w:val="Compact"/>
            </w:pPr>
            <w:r>
              <w:rPr>
                <w:sz w:val="20"/>
                <w:szCs w:val="20"/>
              </w:rPr>
              <w:t xml:space="preserve">0.1468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7.1529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900_1000_retrograde_high</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4.8126</w:t>
            </w:r>
          </w:p>
        </w:tc>
        <w:tc>
          <w:tcPr>
            <w:tcW w:w="0" w:type="auto"/>
          </w:tcPr>
          <w:p>
            <w:pPr>
              <w:spacing w:line="240" w:lineRule="auto" w:before="0" w:after="0"/>
              <w:pStyle w:val="Compact"/>
            </w:pPr>
            <w:r>
              <w:rPr>
                <w:sz w:val="20"/>
                <w:szCs w:val="20"/>
              </w:rPr>
              <w:t xml:space="preserve">0.8021</w:t>
            </w:r>
          </w:p>
        </w:tc>
        <w:tc>
          <w:tcPr>
            <w:tcW w:w="0" w:type="auto"/>
          </w:tcPr>
          <w:p>
            <w:pPr>
              <w:spacing w:line="240" w:lineRule="auto" w:before="0" w:after="0"/>
              <w:pStyle w:val="Compact"/>
            </w:pPr>
            <w:r>
              <w:rPr>
                <w:sz w:val="20"/>
                <w:szCs w:val="20"/>
              </w:rPr>
              <w:t xml:space="preserve">0.3333</w:t>
            </w:r>
          </w:p>
        </w:tc>
        <w:tc>
          <w:tcPr>
            <w:tcW w:w="0" w:type="auto"/>
          </w:tcPr>
          <w:p>
            <w:pPr>
              <w:spacing w:line="240" w:lineRule="auto" w:before="0" w:after="0"/>
              <w:pStyle w:val="Compact"/>
            </w:pPr>
            <w:r>
              <w:rPr>
                <w:sz w:val="20"/>
                <w:szCs w:val="20"/>
              </w:rPr>
              <w:t xml:space="preserve">0.1667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1000_1100_equatorial</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34.3948</w:t>
            </w:r>
          </w:p>
        </w:tc>
        <w:tc>
          <w:tcPr>
            <w:tcW w:w="0" w:type="auto"/>
          </w:tcPr>
          <w:p>
            <w:pPr>
              <w:spacing w:line="240" w:lineRule="auto" w:before="0" w:after="0"/>
              <w:pStyle w:val="Compact"/>
            </w:pPr>
            <w:r>
              <w:rPr>
                <w:sz w:val="20"/>
                <w:szCs w:val="20"/>
              </w:rPr>
              <w:t xml:space="preserve">2.293</w:t>
            </w:r>
          </w:p>
        </w:tc>
        <w:tc>
          <w:tcPr>
            <w:tcW w:w="0" w:type="auto"/>
          </w:tcPr>
          <w:p>
            <w:pPr>
              <w:spacing w:line="240" w:lineRule="auto" w:before="0" w:after="0"/>
              <w:pStyle w:val="Compact"/>
            </w:pPr>
            <w:r>
              <w:rPr>
                <w:sz w:val="20"/>
                <w:szCs w:val="20"/>
              </w:rPr>
              <w:t xml:space="preserve">0.2667</w:t>
            </w:r>
          </w:p>
        </w:tc>
        <w:tc>
          <w:tcPr>
            <w:tcW w:w="0" w:type="auto"/>
          </w:tcPr>
          <w:p>
            <w:pPr>
              <w:spacing w:line="240" w:lineRule="auto" w:before="0" w:after="0"/>
              <w:pStyle w:val="Compact"/>
            </w:pPr>
            <w:r>
              <w:rPr>
                <w:sz w:val="20"/>
                <w:szCs w:val="20"/>
              </w:rPr>
              <w:t xml:space="preserve">0.1333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3.5666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1000_1100_mid_inclination</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162</w:t>
            </w:r>
          </w:p>
        </w:tc>
        <w:tc>
          <w:tcPr>
            <w:tcW w:w="0" w:type="auto"/>
          </w:tcPr>
          <w:p>
            <w:pPr>
              <w:spacing w:line="240" w:lineRule="auto" w:before="0" w:after="0"/>
              <w:pStyle w:val="Compact"/>
            </w:pPr>
            <w:r>
              <w:rPr>
                <w:sz w:val="20"/>
                <w:szCs w:val="20"/>
              </w:rPr>
              <w:t xml:space="preserve">129</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109.1284</w:t>
            </w:r>
          </w:p>
        </w:tc>
        <w:tc>
          <w:tcPr>
            <w:tcW w:w="0" w:type="auto"/>
          </w:tcPr>
          <w:p>
            <w:pPr>
              <w:spacing w:line="240" w:lineRule="auto" w:before="0" w:after="0"/>
              <w:pStyle w:val="Compact"/>
            </w:pPr>
            <w:r>
              <w:rPr>
                <w:sz w:val="20"/>
                <w:szCs w:val="20"/>
              </w:rPr>
              <w:t xml:space="preserve">0.6736</w:t>
            </w:r>
          </w:p>
        </w:tc>
        <w:tc>
          <w:tcPr>
            <w:tcW w:w="0" w:type="auto"/>
          </w:tcPr>
          <w:p>
            <w:pPr>
              <w:spacing w:line="240" w:lineRule="auto" w:before="0" w:after="0"/>
              <w:pStyle w:val="Compact"/>
            </w:pPr>
            <w:r>
              <w:rPr>
                <w:sz w:val="20"/>
                <w:szCs w:val="20"/>
              </w:rPr>
              <w:t xml:space="preserve">0.1049</w:t>
            </w:r>
          </w:p>
        </w:tc>
        <w:tc>
          <w:tcPr>
            <w:tcW w:w="0" w:type="auto"/>
          </w:tcPr>
          <w:p>
            <w:pPr>
              <w:spacing w:line="240" w:lineRule="auto" w:before="0" w:after="0"/>
              <w:pStyle w:val="Compact"/>
            </w:pPr>
            <w:r>
              <w:rPr>
                <w:sz w:val="20"/>
                <w:szCs w:val="20"/>
              </w:rPr>
              <w:t xml:space="preserve">0.0988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4.7016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1000_1100_sso_polar</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583</w:t>
            </w:r>
          </w:p>
        </w:tc>
        <w:tc>
          <w:tcPr>
            <w:tcW w:w="0" w:type="auto"/>
          </w:tcPr>
          <w:p>
            <w:pPr>
              <w:spacing w:line="240" w:lineRule="auto" w:before="0" w:after="0"/>
              <w:pStyle w:val="Compact"/>
            </w:pPr>
            <w:r>
              <w:rPr>
                <w:sz w:val="20"/>
                <w:szCs w:val="20"/>
              </w:rPr>
              <w:t xml:space="preserve">522</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186.019</w:t>
            </w:r>
          </w:p>
        </w:tc>
        <w:tc>
          <w:tcPr>
            <w:tcW w:w="0" w:type="auto"/>
          </w:tcPr>
          <w:p>
            <w:pPr>
              <w:spacing w:line="240" w:lineRule="auto" w:before="0" w:after="0"/>
              <w:pStyle w:val="Compact"/>
            </w:pPr>
            <w:r>
              <w:rPr>
                <w:sz w:val="20"/>
                <w:szCs w:val="20"/>
              </w:rPr>
              <w:t xml:space="preserve">0.3191</w:t>
            </w:r>
          </w:p>
        </w:tc>
        <w:tc>
          <w:tcPr>
            <w:tcW w:w="0" w:type="auto"/>
          </w:tcPr>
          <w:p>
            <w:pPr>
              <w:spacing w:line="240" w:lineRule="auto" w:before="0" w:after="0"/>
              <w:pStyle w:val="Compact"/>
            </w:pPr>
            <w:r>
              <w:rPr>
                <w:sz w:val="20"/>
                <w:szCs w:val="20"/>
              </w:rPr>
              <w:t xml:space="preserve">0.0463</w:t>
            </w:r>
          </w:p>
        </w:tc>
        <w:tc>
          <w:tcPr>
            <w:tcW w:w="0" w:type="auto"/>
          </w:tcPr>
          <w:p>
            <w:pPr>
              <w:spacing w:line="240" w:lineRule="auto" w:before="0" w:after="0"/>
              <w:pStyle w:val="Compact"/>
            </w:pPr>
            <w:r>
              <w:rPr>
                <w:sz w:val="20"/>
                <w:szCs w:val="20"/>
              </w:rPr>
              <w:t xml:space="preserve">0.0583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5.2312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1000_1100_retrograde_high</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1.8938</w:t>
            </w:r>
          </w:p>
        </w:tc>
        <w:tc>
          <w:tcPr>
            <w:tcW w:w="0" w:type="auto"/>
          </w:tcPr>
          <w:p>
            <w:pPr>
              <w:spacing w:line="240" w:lineRule="auto" w:before="0" w:after="0"/>
              <w:pStyle w:val="Compact"/>
            </w:pPr>
            <w:r>
              <w:rPr>
                <w:sz w:val="20"/>
                <w:szCs w:val="20"/>
              </w:rPr>
              <w:t xml:space="preserve">0.9469</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1.0626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1100_1200_equatorial</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1150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43.3055</w:t>
            </w:r>
          </w:p>
        </w:tc>
        <w:tc>
          <w:tcPr>
            <w:tcW w:w="0" w:type="auto"/>
          </w:tcPr>
          <w:p>
            <w:pPr>
              <w:spacing w:line="240" w:lineRule="auto" w:before="0" w:after="0"/>
              <w:pStyle w:val="Compact"/>
            </w:pPr>
            <w:r>
              <w:rPr>
                <w:sz w:val="20"/>
                <w:szCs w:val="20"/>
              </w:rPr>
              <w:t xml:space="preserve">3.0933</w:t>
            </w:r>
          </w:p>
        </w:tc>
        <w:tc>
          <w:tcPr>
            <w:tcW w:w="0" w:type="auto"/>
          </w:tcPr>
          <w:p>
            <w:pPr>
              <w:spacing w:line="240" w:lineRule="auto" w:before="0" w:after="0"/>
              <w:pStyle w:val="Compact"/>
            </w:pPr>
            <w:r>
              <w:rPr>
                <w:sz w:val="20"/>
                <w:szCs w:val="20"/>
              </w:rPr>
              <w:t xml:space="preserve">0.3571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3.7911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1100_1200_mid_inclination</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1150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25.384</w:t>
            </w:r>
          </w:p>
        </w:tc>
        <w:tc>
          <w:tcPr>
            <w:tcW w:w="0" w:type="auto"/>
          </w:tcPr>
          <w:p>
            <w:pPr>
              <w:spacing w:line="240" w:lineRule="auto" w:before="0" w:after="0"/>
              <w:pStyle w:val="Compact"/>
            </w:pPr>
            <w:r>
              <w:rPr>
                <w:sz w:val="20"/>
                <w:szCs w:val="20"/>
              </w:rPr>
              <w:t xml:space="preserve">0.3058</w:t>
            </w:r>
          </w:p>
        </w:tc>
        <w:tc>
          <w:tcPr>
            <w:tcW w:w="0" w:type="auto"/>
          </w:tcPr>
          <w:p>
            <w:pPr>
              <w:spacing w:line="240" w:lineRule="auto" w:before="0" w:after="0"/>
              <w:pStyle w:val="Compact"/>
            </w:pPr>
            <w:r>
              <w:rPr>
                <w:sz w:val="20"/>
                <w:szCs w:val="20"/>
              </w:rPr>
              <w:t xml:space="preserve">0.0602</w:t>
            </w:r>
          </w:p>
        </w:tc>
        <w:tc>
          <w:tcPr>
            <w:tcW w:w="0" w:type="auto"/>
          </w:tcPr>
          <w:p>
            <w:pPr>
              <w:spacing w:line="240" w:lineRule="auto" w:before="0" w:after="0"/>
              <w:pStyle w:val="Compact"/>
            </w:pPr>
            <w:r>
              <w:rPr>
                <w:sz w:val="20"/>
                <w:szCs w:val="20"/>
              </w:rPr>
              <w:t xml:space="preserve">0.0723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3.2728</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1100_1200_sso_polar</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1150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366</w:t>
            </w:r>
          </w:p>
        </w:tc>
        <w:tc>
          <w:tcPr>
            <w:tcW w:w="0" w:type="auto"/>
          </w:tcPr>
          <w:p>
            <w:pPr>
              <w:spacing w:line="240" w:lineRule="auto" w:before="0" w:after="0"/>
              <w:pStyle w:val="Compact"/>
            </w:pPr>
            <w:r>
              <w:rPr>
                <w:sz w:val="20"/>
                <w:szCs w:val="20"/>
              </w:rPr>
              <w:t xml:space="preserve">316</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181.1662</w:t>
            </w:r>
          </w:p>
        </w:tc>
        <w:tc>
          <w:tcPr>
            <w:tcW w:w="0" w:type="auto"/>
          </w:tcPr>
          <w:p>
            <w:pPr>
              <w:spacing w:line="240" w:lineRule="auto" w:before="0" w:after="0"/>
              <w:pStyle w:val="Compact"/>
            </w:pPr>
            <w:r>
              <w:rPr>
                <w:sz w:val="20"/>
                <w:szCs w:val="20"/>
              </w:rPr>
              <w:t xml:space="preserve">0.495</w:t>
            </w:r>
          </w:p>
        </w:tc>
        <w:tc>
          <w:tcPr>
            <w:tcW w:w="0" w:type="auto"/>
          </w:tcPr>
          <w:p>
            <w:pPr>
              <w:spacing w:line="240" w:lineRule="auto" w:before="0" w:after="0"/>
              <w:pStyle w:val="Compact"/>
            </w:pPr>
            <w:r>
              <w:rPr>
                <w:sz w:val="20"/>
                <w:szCs w:val="20"/>
              </w:rPr>
              <w:t xml:space="preserve">0.0656</w:t>
            </w:r>
          </w:p>
        </w:tc>
        <w:tc>
          <w:tcPr>
            <w:tcW w:w="0" w:type="auto"/>
          </w:tcPr>
          <w:p>
            <w:pPr>
              <w:spacing w:line="240" w:lineRule="auto" w:before="0" w:after="0"/>
              <w:pStyle w:val="Compact"/>
            </w:pPr>
            <w:r>
              <w:rPr>
                <w:sz w:val="20"/>
                <w:szCs w:val="20"/>
              </w:rPr>
              <w:t xml:space="preserve">0.071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5.2049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1100_1200_retrograde_high</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1150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0.9836</w:t>
            </w:r>
          </w:p>
        </w:tc>
        <w:tc>
          <w:tcPr>
            <w:tcW w:w="0" w:type="auto"/>
          </w:tcPr>
          <w:p>
            <w:pPr>
              <w:spacing w:line="240" w:lineRule="auto" w:before="0" w:after="0"/>
              <w:pStyle w:val="Compact"/>
            </w:pPr>
            <w:r>
              <w:rPr>
                <w:sz w:val="20"/>
                <w:szCs w:val="20"/>
              </w:rPr>
              <w:t xml:space="preserve">0.9836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0.6849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1200_1300_equatorial</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1250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48.3987</w:t>
            </w:r>
          </w:p>
        </w:tc>
        <w:tc>
          <w:tcPr>
            <w:tcW w:w="0" w:type="auto"/>
          </w:tcPr>
          <w:p>
            <w:pPr>
              <w:spacing w:line="240" w:lineRule="auto" w:before="0" w:after="0"/>
              <w:pStyle w:val="Compact"/>
            </w:pPr>
            <w:r>
              <w:rPr>
                <w:sz w:val="20"/>
                <w:szCs w:val="20"/>
              </w:rPr>
              <w:t xml:space="preserve">8.0664</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3.8999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1200_1300_mid_inclination</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1250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24.856</w:t>
            </w:r>
          </w:p>
        </w:tc>
        <w:tc>
          <w:tcPr>
            <w:tcW w:w="0" w:type="auto"/>
          </w:tcPr>
          <w:p>
            <w:pPr>
              <w:spacing w:line="240" w:lineRule="auto" w:before="0" w:after="0"/>
              <w:pStyle w:val="Compact"/>
            </w:pPr>
            <w:r>
              <w:rPr>
                <w:sz w:val="20"/>
                <w:szCs w:val="20"/>
              </w:rPr>
              <w:t xml:space="preserve">0.4075</w:t>
            </w:r>
          </w:p>
        </w:tc>
        <w:tc>
          <w:tcPr>
            <w:tcW w:w="0" w:type="auto"/>
          </w:tcPr>
          <w:p>
            <w:pPr>
              <w:spacing w:line="240" w:lineRule="auto" w:before="0" w:after="0"/>
              <w:pStyle w:val="Compact"/>
            </w:pPr>
            <w:r>
              <w:rPr>
                <w:sz w:val="20"/>
                <w:szCs w:val="20"/>
              </w:rPr>
              <w:t xml:space="preserve">0.0328</w:t>
            </w:r>
          </w:p>
        </w:tc>
        <w:tc>
          <w:tcPr>
            <w:tcW w:w="0" w:type="auto"/>
          </w:tcPr>
          <w:p>
            <w:pPr>
              <w:spacing w:line="240" w:lineRule="auto" w:before="0" w:after="0"/>
              <w:pStyle w:val="Compact"/>
            </w:pPr>
            <w:r>
              <w:rPr>
                <w:sz w:val="20"/>
                <w:szCs w:val="20"/>
              </w:rPr>
              <w:t xml:space="preserve">0.0656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3.2525</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1200_1300_sso_polar</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1250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330</w:t>
            </w:r>
          </w:p>
        </w:tc>
        <w:tc>
          <w:tcPr>
            <w:tcW w:w="0" w:type="auto"/>
          </w:tcPr>
          <w:p>
            <w:pPr>
              <w:spacing w:line="240" w:lineRule="auto" w:before="0" w:after="0"/>
              <w:pStyle w:val="Compact"/>
            </w:pPr>
            <w:r>
              <w:rPr>
                <w:sz w:val="20"/>
                <w:szCs w:val="20"/>
              </w:rPr>
              <w:t xml:space="preserve">317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60.5642</w:t>
            </w:r>
          </w:p>
        </w:tc>
        <w:tc>
          <w:tcPr>
            <w:tcW w:w="0" w:type="auto"/>
          </w:tcPr>
          <w:p>
            <w:pPr>
              <w:spacing w:line="240" w:lineRule="auto" w:before="0" w:after="0"/>
              <w:pStyle w:val="Compact"/>
            </w:pPr>
            <w:r>
              <w:rPr>
                <w:sz w:val="20"/>
                <w:szCs w:val="20"/>
              </w:rPr>
              <w:t xml:space="preserve">0.1835</w:t>
            </w:r>
          </w:p>
        </w:tc>
        <w:tc>
          <w:tcPr>
            <w:tcW w:w="0" w:type="auto"/>
          </w:tcPr>
          <w:p>
            <w:pPr>
              <w:spacing w:line="240" w:lineRule="auto" w:before="0" w:after="0"/>
              <w:pStyle w:val="Compact"/>
            </w:pPr>
            <w:r>
              <w:rPr>
                <w:sz w:val="20"/>
                <w:szCs w:val="20"/>
              </w:rPr>
              <w:t xml:space="preserve">0.0152</w:t>
            </w:r>
          </w:p>
        </w:tc>
        <w:tc>
          <w:tcPr>
            <w:tcW w:w="0" w:type="auto"/>
          </w:tcPr>
          <w:p>
            <w:pPr>
              <w:spacing w:line="240" w:lineRule="auto" w:before="0" w:after="0"/>
              <w:pStyle w:val="Compact"/>
            </w:pPr>
            <w:r>
              <w:rPr>
                <w:sz w:val="20"/>
                <w:szCs w:val="20"/>
              </w:rPr>
              <w:t xml:space="preserve">0.0242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4.1201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1200_1300_retrograde_high</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1250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0.5021</w:t>
            </w:r>
          </w:p>
        </w:tc>
        <w:tc>
          <w:tcPr>
            <w:tcW w:w="0" w:type="auto"/>
          </w:tcPr>
          <w:p>
            <w:pPr>
              <w:spacing w:line="240" w:lineRule="auto" w:before="0" w:after="0"/>
              <w:pStyle w:val="Compact"/>
            </w:pPr>
            <w:r>
              <w:rPr>
                <w:sz w:val="20"/>
                <w:szCs w:val="20"/>
              </w:rPr>
              <w:t xml:space="preserve">0.251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0.4069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1300_1400_equatorial</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1350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9.5634</w:t>
            </w:r>
          </w:p>
        </w:tc>
        <w:tc>
          <w:tcPr>
            <w:tcW w:w="0" w:type="auto"/>
          </w:tcPr>
          <w:p>
            <w:pPr>
              <w:spacing w:line="240" w:lineRule="auto" w:before="0" w:after="0"/>
              <w:pStyle w:val="Compact"/>
            </w:pPr>
            <w:r>
              <w:rPr>
                <w:sz w:val="20"/>
                <w:szCs w:val="20"/>
              </w:rPr>
              <w:t xml:space="preserve">1.5939</w:t>
            </w:r>
          </w:p>
        </w:tc>
        <w:tc>
          <w:tcPr>
            <w:tcW w:w="0" w:type="auto"/>
          </w:tcPr>
          <w:p>
            <w:pPr>
              <w:spacing w:line="240" w:lineRule="auto" w:before="0" w:after="0"/>
              <w:pStyle w:val="Compact"/>
            </w:pPr>
            <w:r>
              <w:rPr>
                <w:sz w:val="20"/>
                <w:szCs w:val="20"/>
              </w:rPr>
              <w:t xml:space="preserve">0.1667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2.3574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1300_1400_mid_inclination</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1350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59.8045</w:t>
            </w:r>
          </w:p>
        </w:tc>
        <w:tc>
          <w:tcPr>
            <w:tcW w:w="0" w:type="auto"/>
          </w:tcPr>
          <w:p>
            <w:pPr>
              <w:spacing w:line="240" w:lineRule="auto" w:before="0" w:after="0"/>
              <w:pStyle w:val="Compact"/>
            </w:pPr>
            <w:r>
              <w:rPr>
                <w:sz w:val="20"/>
                <w:szCs w:val="20"/>
              </w:rPr>
              <w:t xml:space="preserve">0.9646</w:t>
            </w:r>
          </w:p>
        </w:tc>
        <w:tc>
          <w:tcPr>
            <w:tcW w:w="0" w:type="auto"/>
          </w:tcPr>
          <w:p>
            <w:pPr>
              <w:spacing w:line="240" w:lineRule="auto" w:before="0" w:after="0"/>
              <w:pStyle w:val="Compact"/>
            </w:pPr>
            <w:r>
              <w:rPr>
                <w:sz w:val="20"/>
                <w:szCs w:val="20"/>
              </w:rPr>
              <w:t xml:space="preserve">0.0484</w:t>
            </w:r>
          </w:p>
        </w:tc>
        <w:tc>
          <w:tcPr>
            <w:tcW w:w="0" w:type="auto"/>
          </w:tcPr>
          <w:p>
            <w:pPr>
              <w:spacing w:line="240" w:lineRule="auto" w:before="0" w:after="0"/>
              <w:pStyle w:val="Compact"/>
            </w:pPr>
            <w:r>
              <w:rPr>
                <w:sz w:val="20"/>
                <w:szCs w:val="20"/>
              </w:rPr>
              <w:t xml:space="preserve">0.1935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4.1077</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1300_1400_sso_polar</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1350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241</w:t>
            </w:r>
          </w:p>
        </w:tc>
        <w:tc>
          <w:tcPr>
            <w:tcW w:w="0" w:type="auto"/>
          </w:tcPr>
          <w:p>
            <w:pPr>
              <w:spacing w:line="240" w:lineRule="auto" w:before="0" w:after="0"/>
              <w:pStyle w:val="Compact"/>
            </w:pPr>
            <w:r>
              <w:rPr>
                <w:sz w:val="20"/>
                <w:szCs w:val="20"/>
              </w:rPr>
              <w:t xml:space="preserve">184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123.3798</w:t>
            </w:r>
          </w:p>
        </w:tc>
        <w:tc>
          <w:tcPr>
            <w:tcW w:w="0" w:type="auto"/>
          </w:tcPr>
          <w:p>
            <w:pPr>
              <w:spacing w:line="240" w:lineRule="auto" w:before="0" w:after="0"/>
              <w:pStyle w:val="Compact"/>
            </w:pPr>
            <w:r>
              <w:rPr>
                <w:sz w:val="20"/>
                <w:szCs w:val="20"/>
              </w:rPr>
              <w:t xml:space="preserve">0.5119</w:t>
            </w:r>
          </w:p>
        </w:tc>
        <w:tc>
          <w:tcPr>
            <w:tcW w:w="0" w:type="auto"/>
          </w:tcPr>
          <w:p>
            <w:pPr>
              <w:spacing w:line="240" w:lineRule="auto" w:before="0" w:after="0"/>
              <w:pStyle w:val="Compact"/>
            </w:pPr>
            <w:r>
              <w:rPr>
                <w:sz w:val="20"/>
                <w:szCs w:val="20"/>
              </w:rPr>
              <w:t xml:space="preserve">0.0954</w:t>
            </w:r>
          </w:p>
        </w:tc>
        <w:tc>
          <w:tcPr>
            <w:tcW w:w="0" w:type="auto"/>
          </w:tcPr>
          <w:p>
            <w:pPr>
              <w:spacing w:line="240" w:lineRule="auto" w:before="0" w:after="0"/>
              <w:pStyle w:val="Compact"/>
            </w:pPr>
            <w:r>
              <w:rPr>
                <w:sz w:val="20"/>
                <w:szCs w:val="20"/>
              </w:rPr>
              <w:t xml:space="preserve">0.1411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4.8233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1300_1400_retrograde_high</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1350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1400_1500_equatorial</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1450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29.3528</w:t>
            </w:r>
          </w:p>
        </w:tc>
        <w:tc>
          <w:tcPr>
            <w:tcW w:w="0" w:type="auto"/>
          </w:tcPr>
          <w:p>
            <w:pPr>
              <w:spacing w:line="240" w:lineRule="auto" w:before="0" w:after="0"/>
              <w:pStyle w:val="Compact"/>
            </w:pPr>
            <w:r>
              <w:rPr>
                <w:sz w:val="20"/>
                <w:szCs w:val="20"/>
              </w:rPr>
              <w:t xml:space="preserve">4.1933</w:t>
            </w:r>
          </w:p>
        </w:tc>
        <w:tc>
          <w:tcPr>
            <w:tcW w:w="0" w:type="auto"/>
          </w:tcPr>
          <w:p>
            <w:pPr>
              <w:spacing w:line="240" w:lineRule="auto" w:before="0" w:after="0"/>
              <w:pStyle w:val="Compact"/>
            </w:pPr>
            <w:r>
              <w:rPr>
                <w:sz w:val="20"/>
                <w:szCs w:val="20"/>
              </w:rPr>
              <w:t xml:space="preserve">0.4286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3.4129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1400_1500_mid_inclination</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1450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37.5558</w:t>
            </w:r>
          </w:p>
        </w:tc>
        <w:tc>
          <w:tcPr>
            <w:tcW w:w="0" w:type="auto"/>
          </w:tcPr>
          <w:p>
            <w:pPr>
              <w:spacing w:line="240" w:lineRule="auto" w:before="0" w:after="0"/>
              <w:pStyle w:val="Compact"/>
            </w:pPr>
            <w:r>
              <w:rPr>
                <w:sz w:val="20"/>
                <w:szCs w:val="20"/>
              </w:rPr>
              <w:t xml:space="preserve">0.4471</w:t>
            </w:r>
          </w:p>
        </w:tc>
        <w:tc>
          <w:tcPr>
            <w:tcW w:w="0" w:type="auto"/>
          </w:tcPr>
          <w:p>
            <w:pPr>
              <w:spacing w:line="240" w:lineRule="auto" w:before="0" w:after="0"/>
              <w:pStyle w:val="Compact"/>
            </w:pPr>
            <w:r>
              <w:rPr>
                <w:sz w:val="20"/>
                <w:szCs w:val="20"/>
              </w:rPr>
              <w:t xml:space="preserve">0.0119</w:t>
            </w:r>
          </w:p>
        </w:tc>
        <w:tc>
          <w:tcPr>
            <w:tcW w:w="0" w:type="auto"/>
          </w:tcPr>
          <w:p>
            <w:pPr>
              <w:spacing w:line="240" w:lineRule="auto" w:before="0" w:after="0"/>
              <w:pStyle w:val="Compact"/>
            </w:pPr>
            <w:r>
              <w:rPr>
                <w:sz w:val="20"/>
                <w:szCs w:val="20"/>
              </w:rPr>
              <w:t xml:space="preserve">0.2143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3.6521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1400_1500_sso_polar</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1450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781</w:t>
            </w:r>
          </w:p>
        </w:tc>
        <w:tc>
          <w:tcPr>
            <w:tcW w:w="0" w:type="auto"/>
          </w:tcPr>
          <w:p>
            <w:pPr>
              <w:spacing w:line="240" w:lineRule="auto" w:before="0" w:after="0"/>
              <w:pStyle w:val="Compact"/>
            </w:pPr>
            <w:r>
              <w:rPr>
                <w:sz w:val="20"/>
                <w:szCs w:val="20"/>
              </w:rPr>
              <w:t xml:space="preserve">279</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459</w:t>
            </w:r>
          </w:p>
        </w:tc>
        <w:tc>
          <w:tcPr>
            <w:tcW w:w="0" w:type="auto"/>
          </w:tcPr>
          <w:p>
            <w:pPr>
              <w:spacing w:line="240" w:lineRule="auto" w:before="0" w:after="0"/>
              <w:pStyle w:val="Compact"/>
            </w:pPr>
            <w:r>
              <w:rPr>
                <w:sz w:val="20"/>
                <w:szCs w:val="20"/>
              </w:rPr>
              <w:t xml:space="preserve">619.6053</w:t>
            </w:r>
          </w:p>
        </w:tc>
        <w:tc>
          <w:tcPr>
            <w:tcW w:w="0" w:type="auto"/>
          </w:tcPr>
          <w:p>
            <w:pPr>
              <w:spacing w:line="240" w:lineRule="auto" w:before="0" w:after="0"/>
              <w:pStyle w:val="Compact"/>
            </w:pPr>
            <w:r>
              <w:rPr>
                <w:sz w:val="20"/>
                <w:szCs w:val="20"/>
              </w:rPr>
              <w:t xml:space="preserve">0.7933</w:t>
            </w:r>
          </w:p>
        </w:tc>
        <w:tc>
          <w:tcPr>
            <w:tcW w:w="0" w:type="auto"/>
          </w:tcPr>
          <w:p>
            <w:pPr>
              <w:spacing w:line="240" w:lineRule="auto" w:before="0" w:after="0"/>
              <w:pStyle w:val="Compact"/>
            </w:pPr>
            <w:r>
              <w:rPr>
                <w:sz w:val="20"/>
                <w:szCs w:val="20"/>
              </w:rPr>
              <w:t xml:space="preserve">0.0551</w:t>
            </w:r>
          </w:p>
        </w:tc>
        <w:tc>
          <w:tcPr>
            <w:tcW w:w="0" w:type="auto"/>
          </w:tcPr>
          <w:p>
            <w:pPr>
              <w:spacing w:line="240" w:lineRule="auto" w:before="0" w:after="0"/>
              <w:pStyle w:val="Compact"/>
            </w:pPr>
            <w:r>
              <w:rPr>
                <w:sz w:val="20"/>
                <w:szCs w:val="20"/>
              </w:rPr>
              <w:t xml:space="preserve">0.5877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6.4307</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1400_1500_retrograde_high</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1450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0.0198</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1500_1600_equatorial</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19.3303</w:t>
            </w:r>
          </w:p>
        </w:tc>
        <w:tc>
          <w:tcPr>
            <w:tcW w:w="0" w:type="auto"/>
          </w:tcPr>
          <w:p>
            <w:pPr>
              <w:spacing w:line="240" w:lineRule="auto" w:before="0" w:after="0"/>
              <w:pStyle w:val="Compact"/>
            </w:pPr>
            <w:r>
              <w:rPr>
                <w:sz w:val="20"/>
                <w:szCs w:val="20"/>
              </w:rPr>
              <w:t xml:space="preserve">6.4434</w:t>
            </w:r>
          </w:p>
        </w:tc>
        <w:tc>
          <w:tcPr>
            <w:tcW w:w="0" w:type="auto"/>
          </w:tcPr>
          <w:p>
            <w:pPr>
              <w:spacing w:line="240" w:lineRule="auto" w:before="0" w:after="0"/>
              <w:pStyle w:val="Compact"/>
            </w:pPr>
            <w:r>
              <w:rPr>
                <w:sz w:val="20"/>
                <w:szCs w:val="20"/>
              </w:rPr>
              <w:t xml:space="preserve">0.6667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3.0121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1500_1600_mid_inclination</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57.1189</w:t>
            </w:r>
          </w:p>
        </w:tc>
        <w:tc>
          <w:tcPr>
            <w:tcW w:w="0" w:type="auto"/>
          </w:tcPr>
          <w:p>
            <w:pPr>
              <w:spacing w:line="240" w:lineRule="auto" w:before="0" w:after="0"/>
              <w:pStyle w:val="Compact"/>
            </w:pPr>
            <w:r>
              <w:rPr>
                <w:sz w:val="20"/>
                <w:szCs w:val="20"/>
              </w:rPr>
              <w:t xml:space="preserve">0.7719</w:t>
            </w:r>
          </w:p>
        </w:tc>
        <w:tc>
          <w:tcPr>
            <w:tcW w:w="0" w:type="auto"/>
          </w:tcPr>
          <w:p>
            <w:pPr>
              <w:spacing w:line="240" w:lineRule="auto" w:before="0" w:after="0"/>
              <w:pStyle w:val="Compact"/>
            </w:pPr>
            <w:r>
              <w:rPr>
                <w:sz w:val="20"/>
                <w:szCs w:val="20"/>
              </w:rPr>
              <w:t xml:space="preserve">0.0811</w:t>
            </w:r>
          </w:p>
        </w:tc>
        <w:tc>
          <w:tcPr>
            <w:tcW w:w="0" w:type="auto"/>
          </w:tcPr>
          <w:p>
            <w:pPr>
              <w:spacing w:line="240" w:lineRule="auto" w:before="0" w:after="0"/>
              <w:pStyle w:val="Compact"/>
            </w:pPr>
            <w:r>
              <w:rPr>
                <w:sz w:val="20"/>
                <w:szCs w:val="20"/>
              </w:rPr>
              <w:t xml:space="preserve">0.2027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4.0625</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1500_1600_sso_polar</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411</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470.8272</w:t>
            </w:r>
          </w:p>
        </w:tc>
        <w:tc>
          <w:tcPr>
            <w:tcW w:w="0" w:type="auto"/>
          </w:tcPr>
          <w:p>
            <w:pPr>
              <w:spacing w:line="240" w:lineRule="auto" w:before="0" w:after="0"/>
              <w:pStyle w:val="Compact"/>
            </w:pPr>
            <w:r>
              <w:rPr>
                <w:sz w:val="20"/>
                <w:szCs w:val="20"/>
              </w:rPr>
              <w:t xml:space="preserve">1.1456</w:t>
            </w:r>
          </w:p>
        </w:tc>
        <w:tc>
          <w:tcPr>
            <w:tcW w:w="0" w:type="auto"/>
          </w:tcPr>
          <w:p>
            <w:pPr>
              <w:spacing w:line="240" w:lineRule="auto" w:before="0" w:after="0"/>
              <w:pStyle w:val="Compact"/>
            </w:pPr>
            <w:r>
              <w:rPr>
                <w:sz w:val="20"/>
                <w:szCs w:val="20"/>
              </w:rPr>
              <w:t xml:space="preserve">0.1387</w:t>
            </w:r>
          </w:p>
        </w:tc>
        <w:tc>
          <w:tcPr>
            <w:tcW w:w="0" w:type="auto"/>
          </w:tcPr>
          <w:p>
            <w:pPr>
              <w:spacing w:line="240" w:lineRule="auto" w:before="0" w:after="0"/>
              <w:pStyle w:val="Compact"/>
            </w:pPr>
            <w:r>
              <w:rPr>
                <w:sz w:val="20"/>
                <w:szCs w:val="20"/>
              </w:rPr>
              <w:t xml:space="preserve">0.1314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6.1566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1500_1600_retrograde_high</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0.011</w:t>
            </w:r>
          </w:p>
        </w:tc>
        <w:tc>
          <w:tcPr>
            <w:tcW w:w="0" w:type="auto"/>
          </w:tcPr>
          <w:p>
            <w:pPr>
              <w:spacing w:line="240" w:lineRule="auto" w:before="0" w:after="0"/>
              <w:pStyle w:val="Compact"/>
            </w:pPr>
            <w:r>
              <w:rPr>
                <w:sz w:val="20"/>
                <w:szCs w:val="20"/>
              </w:rPr>
              <w:t xml:space="preserve">0.011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0.0109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1600_1700_equatorial</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1650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10.4265</w:t>
            </w:r>
          </w:p>
        </w:tc>
        <w:tc>
          <w:tcPr>
            <w:tcW w:w="0" w:type="auto"/>
          </w:tcPr>
          <w:p>
            <w:pPr>
              <w:spacing w:line="240" w:lineRule="auto" w:before="0" w:after="0"/>
              <w:pStyle w:val="Compact"/>
            </w:pPr>
            <w:r>
              <w:rPr>
                <w:sz w:val="20"/>
                <w:szCs w:val="20"/>
              </w:rPr>
              <w:t xml:space="preserve">2.6066</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2.4359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1600_1700_mid_inclination</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1650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72.5744</w:t>
            </w:r>
          </w:p>
        </w:tc>
        <w:tc>
          <w:tcPr>
            <w:tcW w:w="0" w:type="auto"/>
          </w:tcPr>
          <w:p>
            <w:pPr>
              <w:spacing w:line="240" w:lineRule="auto" w:before="0" w:after="0"/>
              <w:pStyle w:val="Compact"/>
            </w:pPr>
            <w:r>
              <w:rPr>
                <w:sz w:val="20"/>
                <w:szCs w:val="20"/>
              </w:rPr>
              <w:t xml:space="preserve">1.6128</w:t>
            </w:r>
          </w:p>
        </w:tc>
        <w:tc>
          <w:tcPr>
            <w:tcW w:w="0" w:type="auto"/>
          </w:tcPr>
          <w:p>
            <w:pPr>
              <w:spacing w:line="240" w:lineRule="auto" w:before="0" w:after="0"/>
              <w:pStyle w:val="Compact"/>
            </w:pPr>
            <w:r>
              <w:rPr>
                <w:sz w:val="20"/>
                <w:szCs w:val="20"/>
              </w:rPr>
              <w:t xml:space="preserve">0.0444</w:t>
            </w:r>
          </w:p>
        </w:tc>
        <w:tc>
          <w:tcPr>
            <w:tcW w:w="0" w:type="auto"/>
          </w:tcPr>
          <w:p>
            <w:pPr>
              <w:spacing w:line="240" w:lineRule="auto" w:before="0" w:after="0"/>
              <w:pStyle w:val="Compact"/>
            </w:pPr>
            <w:r>
              <w:rPr>
                <w:sz w:val="20"/>
                <w:szCs w:val="20"/>
              </w:rPr>
              <w:t xml:space="preserve">0.3111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4.2983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1600_1700_sso_polar</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1650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147</w:t>
            </w:r>
          </w:p>
        </w:tc>
        <w:tc>
          <w:tcPr>
            <w:tcW w:w="0" w:type="auto"/>
          </w:tcPr>
          <w:p>
            <w:pPr>
              <w:spacing w:line="240" w:lineRule="auto" w:before="0" w:after="0"/>
              <w:pStyle w:val="Compact"/>
            </w:pPr>
            <w:r>
              <w:rPr>
                <w:sz w:val="20"/>
                <w:szCs w:val="20"/>
              </w:rPr>
              <w:t xml:space="preserve">129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54.5505</w:t>
            </w:r>
          </w:p>
        </w:tc>
        <w:tc>
          <w:tcPr>
            <w:tcW w:w="0" w:type="auto"/>
          </w:tcPr>
          <w:p>
            <w:pPr>
              <w:spacing w:line="240" w:lineRule="auto" w:before="0" w:after="0"/>
              <w:pStyle w:val="Compact"/>
            </w:pPr>
            <w:r>
              <w:rPr>
                <w:sz w:val="20"/>
                <w:szCs w:val="20"/>
              </w:rPr>
              <w:t xml:space="preserve">0.3711</w:t>
            </w:r>
          </w:p>
        </w:tc>
        <w:tc>
          <w:tcPr>
            <w:tcW w:w="0" w:type="auto"/>
          </w:tcPr>
          <w:p>
            <w:pPr>
              <w:spacing w:line="240" w:lineRule="auto" w:before="0" w:after="0"/>
              <w:pStyle w:val="Compact"/>
            </w:pPr>
            <w:r>
              <w:rPr>
                <w:sz w:val="20"/>
                <w:szCs w:val="20"/>
              </w:rPr>
              <w:t xml:space="preserve">0.0408</w:t>
            </w:r>
          </w:p>
        </w:tc>
        <w:tc>
          <w:tcPr>
            <w:tcW w:w="0" w:type="auto"/>
          </w:tcPr>
          <w:p>
            <w:pPr>
              <w:spacing w:line="240" w:lineRule="auto" w:before="0" w:after="0"/>
              <w:pStyle w:val="Compact"/>
            </w:pPr>
            <w:r>
              <w:rPr>
                <w:sz w:val="20"/>
                <w:szCs w:val="20"/>
              </w:rPr>
              <w:t xml:space="preserve">0.0816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4.0173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1600_1700_retrograde_high</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1650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1700_1800_equatorial</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1750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10.2978</w:t>
            </w:r>
          </w:p>
        </w:tc>
        <w:tc>
          <w:tcPr>
            <w:tcW w:w="0" w:type="auto"/>
          </w:tcPr>
          <w:p>
            <w:pPr>
              <w:spacing w:line="240" w:lineRule="auto" w:before="0" w:after="0"/>
              <w:pStyle w:val="Compact"/>
            </w:pPr>
            <w:r>
              <w:rPr>
                <w:sz w:val="20"/>
                <w:szCs w:val="20"/>
              </w:rPr>
              <w:t xml:space="preserve">3.4326</w:t>
            </w:r>
          </w:p>
        </w:tc>
        <w:tc>
          <w:tcPr>
            <w:tcW w:w="0" w:type="auto"/>
          </w:tcPr>
          <w:p>
            <w:pPr>
              <w:spacing w:line="240" w:lineRule="auto" w:before="0" w:after="0"/>
              <w:pStyle w:val="Compact"/>
            </w:pPr>
            <w:r>
              <w:rPr>
                <w:sz w:val="20"/>
                <w:szCs w:val="20"/>
              </w:rPr>
              <w:t xml:space="preserve">0.6667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2.4246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1700_1800_mid_inclination</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1750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18.6116</w:t>
            </w:r>
          </w:p>
        </w:tc>
        <w:tc>
          <w:tcPr>
            <w:tcW w:w="0" w:type="auto"/>
          </w:tcPr>
          <w:p>
            <w:pPr>
              <w:spacing w:line="240" w:lineRule="auto" w:before="0" w:after="0"/>
              <w:pStyle w:val="Compact"/>
            </w:pPr>
            <w:r>
              <w:rPr>
                <w:sz w:val="20"/>
                <w:szCs w:val="20"/>
              </w:rPr>
              <w:t xml:space="preserve">0.3649</w:t>
            </w:r>
          </w:p>
        </w:tc>
        <w:tc>
          <w:tcPr>
            <w:tcW w:w="0" w:type="auto"/>
          </w:tcPr>
          <w:p>
            <w:pPr>
              <w:spacing w:line="240" w:lineRule="auto" w:before="0" w:after="0"/>
              <w:pStyle w:val="Compact"/>
            </w:pPr>
            <w:r>
              <w:rPr>
                <w:sz w:val="20"/>
                <w:szCs w:val="20"/>
              </w:rPr>
              <w:t xml:space="preserve">0.0196</w:t>
            </w:r>
          </w:p>
        </w:tc>
        <w:tc>
          <w:tcPr>
            <w:tcW w:w="0" w:type="auto"/>
          </w:tcPr>
          <w:p>
            <w:pPr>
              <w:spacing w:line="240" w:lineRule="auto" w:before="0" w:after="0"/>
              <w:pStyle w:val="Compact"/>
            </w:pPr>
            <w:r>
              <w:rPr>
                <w:sz w:val="20"/>
                <w:szCs w:val="20"/>
              </w:rPr>
              <w:t xml:space="preserve">0.1765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2.9761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1700_1800_sso_polar</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1750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9.7103</w:t>
            </w:r>
          </w:p>
        </w:tc>
        <w:tc>
          <w:tcPr>
            <w:tcW w:w="0" w:type="auto"/>
          </w:tcPr>
          <w:p>
            <w:pPr>
              <w:spacing w:line="240" w:lineRule="auto" w:before="0" w:after="0"/>
              <w:pStyle w:val="Compact"/>
            </w:pPr>
            <w:r>
              <w:rPr>
                <w:sz w:val="20"/>
                <w:szCs w:val="20"/>
              </w:rPr>
              <w:t xml:space="preserve">0.2943</w:t>
            </w:r>
          </w:p>
        </w:tc>
        <w:tc>
          <w:tcPr>
            <w:tcW w:w="0" w:type="auto"/>
          </w:tcPr>
          <w:p>
            <w:pPr>
              <w:spacing w:line="240" w:lineRule="auto" w:before="0" w:after="0"/>
              <w:pStyle w:val="Compact"/>
            </w:pPr>
            <w:r>
              <w:rPr>
                <w:sz w:val="20"/>
                <w:szCs w:val="20"/>
              </w:rPr>
              <w:t xml:space="preserve">0.0303</w:t>
            </w:r>
          </w:p>
        </w:tc>
        <w:tc>
          <w:tcPr>
            <w:tcW w:w="0" w:type="auto"/>
          </w:tcPr>
          <w:p>
            <w:pPr>
              <w:spacing w:line="240" w:lineRule="auto" w:before="0" w:after="0"/>
              <w:pStyle w:val="Compact"/>
            </w:pPr>
            <w:r>
              <w:rPr>
                <w:sz w:val="20"/>
                <w:szCs w:val="20"/>
              </w:rPr>
              <w:t xml:space="preserve">0.0303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2.3712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1700_1800_retrograde_high</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1750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1800_1900_equatorial</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1850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1800_1900_mid_inclination</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1850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9.992</w:t>
            </w:r>
          </w:p>
        </w:tc>
        <w:tc>
          <w:tcPr>
            <w:tcW w:w="0" w:type="auto"/>
          </w:tcPr>
          <w:p>
            <w:pPr>
              <w:spacing w:line="240" w:lineRule="auto" w:before="0" w:after="0"/>
              <w:pStyle w:val="Compact"/>
            </w:pPr>
            <w:r>
              <w:rPr>
                <w:sz w:val="20"/>
                <w:szCs w:val="20"/>
              </w:rPr>
              <w:t xml:space="preserve">0.5878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0.2941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2.3972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1800_1900_sso_polar</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1850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2.3897</w:t>
            </w:r>
          </w:p>
        </w:tc>
        <w:tc>
          <w:tcPr>
            <w:tcW w:w="0" w:type="auto"/>
          </w:tcPr>
          <w:p>
            <w:pPr>
              <w:spacing w:line="240" w:lineRule="auto" w:before="0" w:after="0"/>
              <w:pStyle w:val="Compact"/>
            </w:pPr>
            <w:r>
              <w:rPr>
                <w:sz w:val="20"/>
                <w:szCs w:val="20"/>
              </w:rPr>
              <w:t xml:space="preserve">0.1138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1.2207</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1800_1900_retrograde_high</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1850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1900_2000_equatorial</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1950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1900_2000_mid_inclination</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1950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15.09</w:t>
            </w:r>
          </w:p>
        </w:tc>
        <w:tc>
          <w:tcPr>
            <w:tcW w:w="0" w:type="auto"/>
          </w:tcPr>
          <w:p>
            <w:pPr>
              <w:spacing w:line="240" w:lineRule="auto" w:before="0" w:after="0"/>
              <w:pStyle w:val="Compact"/>
            </w:pPr>
            <w:r>
              <w:rPr>
                <w:sz w:val="20"/>
                <w:szCs w:val="20"/>
              </w:rPr>
              <w:t xml:space="preserve">0.5804</w:t>
            </w:r>
          </w:p>
        </w:tc>
        <w:tc>
          <w:tcPr>
            <w:tcW w:w="0" w:type="auto"/>
          </w:tcPr>
          <w:p>
            <w:pPr>
              <w:spacing w:line="240" w:lineRule="auto" w:before="0" w:after="0"/>
              <w:pStyle w:val="Compact"/>
            </w:pPr>
            <w:r>
              <w:rPr>
                <w:sz w:val="20"/>
                <w:szCs w:val="20"/>
              </w:rPr>
              <w:t xml:space="preserve">0.0385</w:t>
            </w:r>
          </w:p>
        </w:tc>
        <w:tc>
          <w:tcPr>
            <w:tcW w:w="0" w:type="auto"/>
          </w:tcPr>
          <w:p>
            <w:pPr>
              <w:spacing w:line="240" w:lineRule="auto" w:before="0" w:after="0"/>
              <w:pStyle w:val="Compact"/>
            </w:pPr>
            <w:r>
              <w:rPr>
                <w:sz w:val="20"/>
                <w:szCs w:val="20"/>
              </w:rPr>
              <w:t xml:space="preserve">0.1923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2.7782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1900_2000_sso_polar</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1950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1.507</w:t>
            </w:r>
          </w:p>
        </w:tc>
        <w:tc>
          <w:tcPr>
            <w:tcW w:w="0" w:type="auto"/>
          </w:tcPr>
          <w:p>
            <w:pPr>
              <w:spacing w:line="240" w:lineRule="auto" w:before="0" w:after="0"/>
              <w:pStyle w:val="Compact"/>
            </w:pPr>
            <w:r>
              <w:rPr>
                <w:sz w:val="20"/>
                <w:szCs w:val="20"/>
              </w:rPr>
              <w:t xml:space="preserve">0.1076</w:t>
            </w:r>
          </w:p>
        </w:tc>
        <w:tc>
          <w:tcPr>
            <w:tcW w:w="0" w:type="auto"/>
          </w:tcPr>
          <w:p>
            <w:pPr>
              <w:spacing w:line="240" w:lineRule="auto" w:before="0" w:after="0"/>
              <w:pStyle w:val="Compact"/>
            </w:pPr>
            <w:r>
              <w:rPr>
                <w:sz w:val="20"/>
                <w:szCs w:val="20"/>
              </w:rPr>
              <w:t xml:space="preserve">0.0714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0.9191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1900_2000_retrograde_high</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1950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0.0119</w:t>
            </w:r>
          </w:p>
        </w:tc>
        <w:tc>
          <w:tcPr>
            <w:tcW w:w="0" w:type="auto"/>
          </w:tcPr>
          <w:p>
            <w:pPr>
              <w:spacing w:line="240" w:lineRule="auto" w:before="0" w:after="0"/>
              <w:pStyle w:val="Compact"/>
            </w:pPr>
            <w:r>
              <w:rPr>
                <w:sz w:val="20"/>
                <w:szCs w:val="20"/>
              </w:rPr>
              <w:t xml:space="preserve">0.0119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0.0118</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bl>
    <w:bookmarkEnd w:id="166"/>
    <w:bookmarkStart w:id="167"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log_derelict_risk_plus_one</w:t>
            </w:r>
          </w:p>
        </w:tc>
        <w:tc>
          <w:tcPr>
            <w:tcW w:w="0" w:type="auto"/>
          </w:tcPr>
          <w:p>
            <w:pPr>
              <w:spacing w:line="240" w:lineRule="auto" w:before="0" w:after="0"/>
              <w:pStyle w:val="Compact"/>
            </w:pPr>
            <w:r>
              <w:rPr>
                <w:sz w:val="20"/>
                <w:szCs w:val="20"/>
              </w:rPr>
              <w:t xml:space="preserve">Natural log of one plus summed RCS proxy for derelict-like objects in the shell and inclination bin</w:t>
            </w:r>
          </w:p>
        </w:tc>
        <w:tc>
          <w:tcPr>
            <w:tcW w:w="0" w:type="auto"/>
          </w:tcPr>
          <w:p>
            <w:pPr>
              <w:spacing w:line="240" w:lineRule="auto" w:before="0" w:after="0"/>
              <w:pStyle w:val="Compact"/>
            </w:pPr>
            <w:r>
              <w:rPr>
                <w:sz w:val="20"/>
                <w:szCs w:val="20"/>
              </w:rPr>
              <w:t xml:space="preserve">Computed from CelesTrak SATCAT rows with ORBIT_CENTER EA, blank DECAY_DATE, mean altitude 200 to 2000 km, and derelict proxy classification</w:t>
            </w:r>
          </w:p>
        </w:tc>
      </w:tr>
      <w:tr>
        <w:tc>
          <w:tcPr>
            <w:tcW w:w="0" w:type="auto"/>
          </w:tcPr>
          <w:p>
            <w:pPr>
              <w:spacing w:line="240" w:lineRule="auto" w:before="0" w:after="0"/>
              <w:pStyle w:val="Compact"/>
            </w:pPr>
            <w:r>
              <w:rPr>
                <w:sz w:val="20"/>
                <w:szCs w:val="20"/>
              </w:rPr>
              <w:t xml:space="preserve">shell_mid_km</w:t>
            </w:r>
          </w:p>
        </w:tc>
        <w:tc>
          <w:tcPr>
            <w:tcW w:w="0" w:type="auto"/>
          </w:tcPr>
          <w:p>
            <w:pPr>
              <w:spacing w:line="240" w:lineRule="auto" w:before="0" w:after="0"/>
              <w:pStyle w:val="Compact"/>
            </w:pPr>
            <w:r>
              <w:rPr>
                <w:sz w:val="20"/>
                <w:szCs w:val="20"/>
              </w:rPr>
              <w:t xml:space="preserve">Altitude-shell midpoint in kilometers</w:t>
            </w:r>
          </w:p>
        </w:tc>
        <w:tc>
          <w:tcPr>
            <w:tcW w:w="0" w:type="auto"/>
          </w:tcPr>
          <w:p>
            <w:pPr>
              <w:spacing w:line="240" w:lineRule="auto" w:before="0" w:after="0"/>
              <w:pStyle w:val="Compact"/>
            </w:pPr>
            <w:r>
              <w:rPr>
                <w:sz w:val="20"/>
                <w:szCs w:val="20"/>
              </w:rPr>
              <w:t xml:space="preserve">Mean of 100 km shell bounds from 200 to 2000 km</w:t>
            </w:r>
          </w:p>
        </w:tc>
      </w:tr>
      <w:tr>
        <w:tc>
          <w:tcPr>
            <w:tcW w:w="0" w:type="auto"/>
          </w:tcPr>
          <w:p>
            <w:pPr>
              <w:spacing w:line="240" w:lineRule="auto" w:before="0" w:after="0"/>
              <w:pStyle w:val="Compact"/>
            </w:pPr>
            <w:r>
              <w:rPr>
                <w:sz w:val="20"/>
                <w:szCs w:val="20"/>
              </w:rPr>
              <w:t xml:space="preserve">is_sso_band</w:t>
            </w:r>
          </w:p>
        </w:tc>
        <w:tc>
          <w:tcPr>
            <w:tcW w:w="0" w:type="auto"/>
          </w:tcPr>
          <w:p>
            <w:pPr>
              <w:spacing w:line="240" w:lineRule="auto" w:before="0" w:after="0"/>
              <w:pStyle w:val="Compact"/>
            </w:pPr>
            <w:r>
              <w:rPr>
                <w:sz w:val="20"/>
                <w:szCs w:val="20"/>
              </w:rPr>
              <w:t xml:space="preserve">Indicator for 70 to 110 degree inclination regime</w:t>
            </w:r>
          </w:p>
        </w:tc>
        <w:tc>
          <w:tcPr>
            <w:tcW w:w="0" w:type="auto"/>
          </w:tcPr>
          <w:p>
            <w:pPr>
              <w:spacing w:line="240" w:lineRule="auto" w:before="0" w:after="0"/>
              <w:pStyle w:val="Compact"/>
            </w:pPr>
            <w:r>
              <w:rPr>
                <w:sz w:val="20"/>
                <w:szCs w:val="20"/>
              </w:rPr>
              <w:t xml:space="preserve">Derived from SATCAT inclination field</w:t>
            </w:r>
          </w:p>
        </w:tc>
      </w:tr>
      <w:tr>
        <w:tc>
          <w:tcPr>
            <w:tcW w:w="0" w:type="auto"/>
          </w:tcPr>
          <w:p>
            <w:pPr>
              <w:spacing w:line="240" w:lineRule="auto" w:before="0" w:after="0"/>
              <w:pStyle w:val="Compact"/>
            </w:pPr>
            <w:r>
              <w:rPr>
                <w:sz w:val="20"/>
                <w:szCs w:val="20"/>
              </w:rPr>
              <w:t xml:space="preserve">is_critical_700_1000</w:t>
            </w:r>
          </w:p>
        </w:tc>
        <w:tc>
          <w:tcPr>
            <w:tcW w:w="0" w:type="auto"/>
          </w:tcPr>
          <w:p>
            <w:pPr>
              <w:spacing w:line="240" w:lineRule="auto" w:before="0" w:after="0"/>
              <w:pStyle w:val="Compact"/>
            </w:pPr>
            <w:r>
              <w:rPr>
                <w:sz w:val="20"/>
                <w:szCs w:val="20"/>
              </w:rPr>
              <w:t xml:space="preserve">Indicator for shell midpoint from 700 km to less than 1000 km</w:t>
            </w:r>
          </w:p>
        </w:tc>
        <w:tc>
          <w:tcPr>
            <w:tcW w:w="0" w:type="auto"/>
          </w:tcPr>
          <w:p>
            <w:pPr>
              <w:spacing w:line="240" w:lineRule="auto" w:before="0" w:after="0"/>
              <w:pStyle w:val="Compact"/>
            </w:pPr>
            <w:r>
              <w:rPr>
                <w:sz w:val="20"/>
                <w:szCs w:val="20"/>
              </w:rPr>
              <w:t xml:space="preserve">Traffic and debris persistence band used as a remediation concern proxy</w:t>
            </w:r>
          </w:p>
        </w:tc>
      </w:tr>
      <w:tr>
        <w:tc>
          <w:tcPr>
            <w:tcW w:w="0" w:type="auto"/>
          </w:tcPr>
          <w:p>
            <w:pPr>
              <w:spacing w:line="240" w:lineRule="auto" w:before="0" w:after="0"/>
              <w:pStyle w:val="Compact"/>
            </w:pPr>
            <w:r>
              <w:rPr>
                <w:sz w:val="20"/>
                <w:szCs w:val="20"/>
              </w:rPr>
              <w:t xml:space="preserve">rocket_body_share</w:t>
            </w:r>
          </w:p>
        </w:tc>
        <w:tc>
          <w:tcPr>
            <w:tcW w:w="0" w:type="auto"/>
          </w:tcPr>
          <w:p>
            <w:pPr>
              <w:spacing w:line="240" w:lineRule="auto" w:before="0" w:after="0"/>
              <w:pStyle w:val="Compact"/>
            </w:pPr>
            <w:r>
              <w:rPr>
                <w:sz w:val="20"/>
                <w:szCs w:val="20"/>
              </w:rPr>
              <w:t xml:space="preserve">Share of derelict-like objects classified as rocket bodies</w:t>
            </w:r>
          </w:p>
        </w:tc>
        <w:tc>
          <w:tcPr>
            <w:tcW w:w="0" w:type="auto"/>
          </w:tcPr>
          <w:p>
            <w:pPr>
              <w:spacing w:line="240" w:lineRule="auto" w:before="0" w:after="0"/>
              <w:pStyle w:val="Compact"/>
            </w:pPr>
            <w:r>
              <w:rPr>
                <w:sz w:val="20"/>
                <w:szCs w:val="20"/>
              </w:rPr>
              <w:t xml:space="preserve">OBJECT_TYPE R/B divided by derelict_count</w:t>
            </w:r>
          </w:p>
        </w:tc>
      </w:tr>
      <w:tr>
        <w:tc>
          <w:tcPr>
            <w:tcW w:w="0" w:type="auto"/>
          </w:tcPr>
          <w:p>
            <w:pPr>
              <w:spacing w:line="240" w:lineRule="auto" w:before="0" w:after="0"/>
              <w:pStyle w:val="Compact"/>
            </w:pPr>
            <w:r>
              <w:rPr>
                <w:sz w:val="20"/>
                <w:szCs w:val="20"/>
              </w:rPr>
              <w:t xml:space="preserve">inactive_payload_share</w:t>
            </w:r>
          </w:p>
        </w:tc>
        <w:tc>
          <w:tcPr>
            <w:tcW w:w="0" w:type="auto"/>
          </w:tcPr>
          <w:p>
            <w:pPr>
              <w:spacing w:line="240" w:lineRule="auto" w:before="0" w:after="0"/>
              <w:pStyle w:val="Compact"/>
            </w:pPr>
            <w:r>
              <w:rPr>
                <w:sz w:val="20"/>
                <w:szCs w:val="20"/>
              </w:rPr>
              <w:t xml:space="preserve">Share of derelict-like objects classified as inactive payloads</w:t>
            </w:r>
          </w:p>
        </w:tc>
        <w:tc>
          <w:tcPr>
            <w:tcW w:w="0" w:type="auto"/>
          </w:tcPr>
          <w:p>
            <w:pPr>
              <w:spacing w:line="240" w:lineRule="auto" w:before="0" w:after="0"/>
              <w:pStyle w:val="Compact"/>
            </w:pPr>
            <w:r>
              <w:rPr>
                <w:sz w:val="20"/>
                <w:szCs w:val="20"/>
              </w:rPr>
              <w:t xml:space="preserve">OBJECT_TYPE PAY without active operational status divided by derelict_count</w:t>
            </w:r>
          </w:p>
        </w:tc>
      </w:tr>
    </w:tbl>
    <w:bookmarkEnd w:id="167"/>
    <w:bookmarkEnd w:id="168"/>
    <w:bookmarkStart w:id="176" w:name="Xaaf665f759fef5630535a5d3b7245b197a88d72"/>
    <w:p>
      <w:pPr>
        <w:pStyle w:val="Heading2"/>
        <w:spacing w:line="480" w:lineRule="auto"/>
      </w:pPr>
      <w:r>
        <w:t xml:space="preserve">A.2 A Learning-Curve Threshold Baseline for Fundable Active Debris Removal</w:t>
      </w:r>
    </w:p>
    <w:p>
      <w:pPr>
        <w:pStyle w:val="FirstParagraph"/>
        <w:spacing w:line="480" w:lineRule="auto"/>
      </w:pPr>
      <m:oMathPara>
        <m:oMathParaPr>
          <m:jc m:val="center"/>
        </m:oMathParaPr>
        <m:oMath>
          <m:r>
            <m:rPr>
              <m:sty m:val="p"/>
            </m:rPr>
            <m:t>log</m:t>
          </m:r>
          <m:r>
            <m:rPr>
              <m:sty m:val="p"/>
            </m:rPr>
            <m:t>(</m:t>
          </m:r>
          <m:sSub>
            <m:e>
              <m:r>
                <m:rPr>
                  <m:sty m:val="p"/>
                </m:rPr>
                <m:t>R</m:t>
              </m:r>
              <m:r>
                <m:rPr>
                  <m:sty m:val="p"/>
                </m:rPr>
                <m:t>o</m:t>
              </m:r>
              <m:r>
                <m:rPr>
                  <m:sty m:val="p"/>
                </m:rPr>
                <m:t>c</m:t>
              </m:r>
              <m:r>
                <m:rPr>
                  <m:sty m:val="p"/>
                </m:rPr>
                <m:t>k</m:t>
              </m:r>
              <m:r>
                <m:rPr>
                  <m:sty m:val="p"/>
                </m:rPr>
                <m:t>e</m:t>
              </m:r>
              <m:r>
                <m:rPr>
                  <m:sty m:val="p"/>
                </m:rPr>
                <m:t>t</m:t>
              </m:r>
              <m:r>
                <m:rPr>
                  <m:sty m:val="p"/>
                </m:rPr>
                <m:t>B</m:t>
              </m:r>
              <m:r>
                <m:rPr>
                  <m:sty m:val="p"/>
                </m:rPr>
                <m:t>o</m:t>
              </m:r>
              <m:r>
                <m:rPr>
                  <m:sty m:val="p"/>
                </m:rPr>
                <m:t>d</m:t>
              </m:r>
              <m:r>
                <m:rPr>
                  <m:sty m:val="p"/>
                </m:rPr>
                <m:t>y</m:t>
              </m:r>
              <m:r>
                <m:rPr>
                  <m:sty m:val="p"/>
                </m:rPr>
                <m:t>S</m:t>
              </m:r>
              <m:r>
                <m:rPr>
                  <m:sty m:val="p"/>
                </m:rPr>
                <m:t>t</m:t>
              </m:r>
              <m:r>
                <m:rPr>
                  <m:sty m:val="p"/>
                </m:rPr>
                <m:t>o</m:t>
              </m:r>
              <m:r>
                <m:rPr>
                  <m:sty m:val="p"/>
                </m:rPr>
                <m:t>c</m:t>
              </m:r>
              <m:r>
                <m:rPr>
                  <m:sty m:val="p"/>
                </m:rPr>
                <m:t>k</m:t>
              </m:r>
            </m:e>
            <m:sub>
              <m:r>
                <m:t>t</m:t>
              </m:r>
            </m:sub>
          </m:sSub>
          <m:r>
            <m:rPr>
              <m:sty m:val="p"/>
            </m:rPr>
            <m:t>+</m:t>
          </m:r>
          <m:r>
            <m:t>1</m:t>
          </m:r>
          <m:r>
            <m:rPr>
              <m:sty m:val="p"/>
            </m:rPr>
            <m:t>)</m:t>
          </m:r>
          <m:r>
            <m:rPr>
              <m:sty m:val="p"/>
            </m:rPr>
            <m:t>=</m:t>
          </m:r>
          <m:r>
            <m:t>α</m:t>
          </m:r>
          <m:r>
            <m:rPr>
              <m:sty m:val="p"/>
            </m:rPr>
            <m:t>+</m:t>
          </m:r>
          <m:r>
            <m:t>b</m:t>
          </m:r>
          <m:r>
            <m:rPr>
              <m:sty m:val="p"/>
            </m:rPr>
            <m:t>log</m:t>
          </m:r>
          <m:r>
            <m:rPr>
              <m:sty m:val="p"/>
            </m:rPr>
            <m:t>(</m:t>
          </m:r>
          <m:r>
            <m:t>t</m:t>
          </m:r>
          <m:r>
            <m:rPr>
              <m:sty m:val="p"/>
            </m:rPr>
            <m:t>−</m:t>
          </m:r>
          <m:r>
            <m:t>1957</m:t>
          </m:r>
          <m:r>
            <m:rPr>
              <m:sty m:val="p"/>
            </m:rPr>
            <m:t>+</m:t>
          </m:r>
          <m:r>
            <m:t>1</m:t>
          </m:r>
          <m:r>
            <m:rPr>
              <m:sty m:val="p"/>
            </m:rPr>
            <m:t>)</m:t>
          </m:r>
          <m:r>
            <m:rPr>
              <m:sty m:val="p"/>
            </m:rPr>
            <m:t>+</m:t>
          </m:r>
          <m:sSub>
            <m:e>
              <m:r>
                <m:t>ε</m:t>
              </m:r>
            </m:e>
            <m:sub>
              <m:r>
                <m:t>t</m:t>
              </m:r>
            </m:sub>
          </m:sSub>
        </m:oMath>
      </m:oMathPara>
    </w:p>
    <w:bookmarkStart w:id="169"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0.3455</w:t>
            </w:r>
          </w:p>
        </w:tc>
        <w:tc>
          <w:tcPr>
            <w:tcW w:w="0" w:type="auto"/>
          </w:tcPr>
          <w:p>
            <w:pPr>
              <w:spacing w:line="240" w:lineRule="auto" w:before="0" w:after="0"/>
              <w:pStyle w:val="Compact"/>
            </w:pPr>
            <w:r>
              <w:rPr>
                <w:sz w:val="20"/>
                <w:szCs w:val="20"/>
              </w:rPr>
              <w:t xml:space="preserve">0.2381</w:t>
            </w:r>
          </w:p>
        </w:tc>
        <w:tc>
          <w:tcPr>
            <w:tcW w:w="0" w:type="auto"/>
          </w:tcPr>
          <w:p>
            <w:pPr>
              <w:spacing w:line="240" w:lineRule="auto" w:before="0" w:after="0"/>
              <w:pStyle w:val="Compact"/>
            </w:pPr>
            <w:r>
              <w:rPr>
                <w:sz w:val="20"/>
                <w:szCs w:val="20"/>
              </w:rPr>
              <w:t xml:space="preserve">1.451</w:t>
            </w:r>
          </w:p>
        </w:tc>
        <w:tc>
          <w:tcPr>
            <w:tcW w:w="0" w:type="auto"/>
          </w:tcPr>
          <w:p>
            <w:pPr>
              <w:spacing w:line="240" w:lineRule="auto" w:before="0" w:after="0"/>
              <w:pStyle w:val="Compact"/>
            </w:pPr>
            <w:r>
              <w:rPr>
                <w:sz w:val="20"/>
                <w:szCs w:val="20"/>
              </w:rPr>
              <w:t xml:space="preserve">0.1468</w:t>
            </w:r>
          </w:p>
        </w:tc>
        <w:tc>
          <w:tcPr>
            <w:tcW w:w="0" w:type="auto"/>
          </w:tcPr>
          <w:p>
            <w:pPr>
              <w:spacing w:line="240" w:lineRule="auto" w:before="0" w:after="0"/>
              <w:pStyle w:val="Compact"/>
            </w:pPr>
            <w:r>
              <w:rPr>
                <w:sz w:val="20"/>
                <w:szCs w:val="20"/>
              </w:rPr>
              <w:t xml:space="preserve">[-0.1212, 0.8122]</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1.8483</w:t>
            </w:r>
          </w:p>
        </w:tc>
        <w:tc>
          <w:tcPr>
            <w:tcW w:w="0" w:type="auto"/>
          </w:tcPr>
          <w:p>
            <w:pPr>
              <w:spacing w:line="240" w:lineRule="auto" w:before="0" w:after="0"/>
              <w:pStyle w:val="Compact"/>
            </w:pPr>
            <w:r>
              <w:rPr>
                <w:sz w:val="20"/>
                <w:szCs w:val="20"/>
              </w:rPr>
              <w:t xml:space="preserve">0.0668</w:t>
            </w:r>
          </w:p>
        </w:tc>
        <w:tc>
          <w:tcPr>
            <w:tcW w:w="0" w:type="auto"/>
          </w:tcPr>
          <w:p>
            <w:pPr>
              <w:spacing w:line="240" w:lineRule="auto" w:before="0" w:after="0"/>
              <w:pStyle w:val="Compact"/>
            </w:pPr>
            <w:r>
              <w:rPr>
                <w:sz w:val="20"/>
                <w:szCs w:val="20"/>
              </w:rPr>
              <w:t xml:space="preserve">27.6711</w:t>
            </w:r>
          </w:p>
        </w:tc>
        <w:tc>
          <w:tcPr>
            <w:tcW w:w="0" w:type="auto"/>
          </w:tcPr>
          <w:p>
            <w:pPr>
              <w:spacing w:line="240" w:lineRule="auto" w:before="0" w:after="0"/>
              <w:pStyle w:val="Compact"/>
            </w:pPr>
            <w:r>
              <w:rPr>
                <w:sz w:val="20"/>
                <w:szCs w:val="20"/>
              </w:rPr>
              <w:t xml:space="preserve">1.555e-168</w:t>
            </w:r>
          </w:p>
        </w:tc>
        <w:tc>
          <w:tcPr>
            <w:tcW w:w="0" w:type="auto"/>
          </w:tcPr>
          <w:p>
            <w:pPr>
              <w:spacing w:line="240" w:lineRule="auto" w:before="0" w:after="0"/>
              <w:pStyle w:val="Compact"/>
            </w:pPr>
            <w:r>
              <w:rPr>
                <w:sz w:val="20"/>
                <w:szCs w:val="20"/>
              </w:rPr>
              <w:t xml:space="preserve">[1.7174, 1.9793]</w:t>
            </w:r>
          </w:p>
        </w:tc>
      </w:tr>
    </w:tbl>
    <w:p>
      <w:pPr>
        <w:pStyle w:val="BodyText"/>
        <w:spacing w:line="480" w:lineRule="auto"/>
        <w:ind w:firstLine="720"/>
      </w:pPr>
      <w:r>
        <w:t xml:space="preserve">Fit: N = 70 R2 = 0.9618 elasticity_b = 1.8483 progress_ratio_2^b = 3.6009</w:t>
      </w:r>
    </w:p>
    <w:bookmarkEnd w:id="169"/>
    <w:bookmarkStart w:id="173"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Log-log learning curve for tracked Earth-orbit rocket-body stock growth." title="" id="171" name="Picture"/>
            <a:graphic>
              <a:graphicData uri="http://schemas.openxmlformats.org/drawingml/2006/picture">
                <pic:pic>
                  <pic:nvPicPr>
                    <pic:cNvPr descr="D:/Claude_Code/brain/collegium/candidates/dissertations/DEBRIS_06/research_papers/p2/paper_fig1.png" id="172" name="Picture"/>
                    <pic:cNvPicPr>
                      <a:picLocks noChangeArrowheads="1" noChangeAspect="1"/>
                    </pic:cNvPicPr>
                  </pic:nvPicPr>
                  <pic:blipFill>
                    <a:blip r:embed="rId17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Log-log learning curve for tracked Earth-orbit rocket-body stock growth.</w:t>
      </w:r>
    </w:p>
    <w:bookmarkEnd w:id="173"/>
    <w:bookmarkStart w:id="174"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years_since_1957_plus_one</w:t>
            </w:r>
          </w:p>
        </w:tc>
        <w:tc>
          <w:tcPr>
            <w:tcW w:w="0" w:type="auto"/>
          </w:tcPr>
          <w:p>
            <w:pPr>
              <w:spacing w:line="240" w:lineRule="auto" w:before="0" w:after="0"/>
              <w:pStyle w:val="Compact"/>
            </w:pPr>
            <w:r>
              <w:rPr>
                <w:sz w:val="20"/>
                <w:szCs w:val="20"/>
              </w:rPr>
              <w:t xml:space="preserve">annual_rocket_body_additions</w:t>
            </w:r>
          </w:p>
        </w:tc>
        <w:tc>
          <w:tcPr>
            <w:tcW w:w="0" w:type="auto"/>
          </w:tcPr>
          <w:p>
            <w:pPr>
              <w:spacing w:line="240" w:lineRule="auto" w:before="0" w:after="0"/>
              <w:pStyle w:val="Compact"/>
            </w:pPr>
            <w:r>
              <w:rPr>
                <w:sz w:val="20"/>
                <w:szCs w:val="20"/>
              </w:rPr>
              <w:t xml:space="preserve">annual_rocket_body_decays</w:t>
            </w:r>
          </w:p>
        </w:tc>
        <w:tc>
          <w:tcPr>
            <w:tcW w:w="0" w:type="auto"/>
          </w:tcPr>
          <w:p>
            <w:pPr>
              <w:spacing w:line="240" w:lineRule="auto" w:before="0" w:after="0"/>
              <w:pStyle w:val="Compact"/>
            </w:pPr>
            <w:r>
              <w:rPr>
                <w:sz w:val="20"/>
                <w:szCs w:val="20"/>
              </w:rPr>
              <w:t xml:space="preserve">net_rocket_body_change</w:t>
            </w:r>
          </w:p>
        </w:tc>
        <w:tc>
          <w:tcPr>
            <w:tcW w:w="0" w:type="auto"/>
          </w:tcPr>
          <w:p>
            <w:pPr>
              <w:spacing w:line="240" w:lineRule="auto" w:before="0" w:after="0"/>
              <w:pStyle w:val="Compact"/>
            </w:pPr>
            <w:r>
              <w:rPr>
                <w:sz w:val="20"/>
                <w:szCs w:val="20"/>
              </w:rPr>
              <w:t xml:space="preserve">end_year_rocket_body_stock</w:t>
            </w:r>
          </w:p>
        </w:tc>
        <w:tc>
          <w:tcPr>
            <w:tcW w:w="0" w:type="auto"/>
          </w:tcPr>
          <w:p>
            <w:pPr>
              <w:spacing w:line="240" w:lineRule="auto" w:before="0" w:after="0"/>
              <w:pStyle w:val="Compact"/>
            </w:pPr>
            <w:r>
              <w:rPr>
                <w:sz w:val="20"/>
                <w:szCs w:val="20"/>
              </w:rPr>
              <w:t xml:space="preserve">end_year_rocket_body_stock_plus_one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1957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1958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1959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1960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1961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1962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1963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1964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1965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102</w:t>
            </w:r>
          </w:p>
        </w:tc>
        <w:tc>
          <w:tcPr>
            <w:tcW w:w="0" w:type="auto"/>
          </w:tcPr>
          <w:p>
            <w:pPr>
              <w:spacing w:line="240" w:lineRule="auto" w:before="0" w:after="0"/>
              <w:pStyle w:val="Compact"/>
            </w:pPr>
            <w:r>
              <w:rPr>
                <w:sz w:val="20"/>
                <w:szCs w:val="20"/>
              </w:rPr>
              <w:t xml:space="preserve">103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1966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134</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1967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167</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1968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101</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198</w:t>
            </w:r>
          </w:p>
        </w:tc>
        <w:tc>
          <w:tcPr>
            <w:tcW w:w="0" w:type="auto"/>
          </w:tcPr>
          <w:p>
            <w:pPr>
              <w:spacing w:line="240" w:lineRule="auto" w:before="0" w:after="0"/>
              <w:pStyle w:val="Compact"/>
            </w:pPr>
            <w:r>
              <w:rPr>
                <w:sz w:val="20"/>
                <w:szCs w:val="20"/>
              </w:rPr>
              <w:t xml:space="preserve">199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1969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221</w:t>
            </w:r>
          </w:p>
        </w:tc>
        <w:tc>
          <w:tcPr>
            <w:tcW w:w="0" w:type="auto"/>
          </w:tcPr>
          <w:p>
            <w:pPr>
              <w:spacing w:line="240" w:lineRule="auto" w:before="0" w:after="0"/>
              <w:pStyle w:val="Compact"/>
            </w:pPr>
            <w:r>
              <w:rPr>
                <w:sz w:val="20"/>
                <w:szCs w:val="20"/>
              </w:rPr>
              <w:t xml:space="preserve">222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1970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254</w:t>
            </w:r>
          </w:p>
        </w:tc>
        <w:tc>
          <w:tcPr>
            <w:tcW w:w="0" w:type="auto"/>
          </w:tcPr>
          <w:p>
            <w:pPr>
              <w:spacing w:line="240" w:lineRule="auto" w:before="0" w:after="0"/>
              <w:pStyle w:val="Compact"/>
            </w:pPr>
            <w:r>
              <w:rPr>
                <w:sz w:val="20"/>
                <w:szCs w:val="20"/>
              </w:rPr>
              <w:t xml:space="preserve">255</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1971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301</w:t>
            </w:r>
          </w:p>
        </w:tc>
        <w:tc>
          <w:tcPr>
            <w:tcW w:w="0" w:type="auto"/>
          </w:tcPr>
          <w:p>
            <w:pPr>
              <w:spacing w:line="240" w:lineRule="auto" w:before="0" w:after="0"/>
              <w:pStyle w:val="Compact"/>
            </w:pPr>
            <w:r>
              <w:rPr>
                <w:sz w:val="20"/>
                <w:szCs w:val="20"/>
              </w:rPr>
              <w:t xml:space="preserve">302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1972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345</w:t>
            </w:r>
          </w:p>
        </w:tc>
        <w:tc>
          <w:tcPr>
            <w:tcW w:w="0" w:type="auto"/>
          </w:tcPr>
          <w:p>
            <w:pPr>
              <w:spacing w:line="240" w:lineRule="auto" w:before="0" w:after="0"/>
              <w:pStyle w:val="Compact"/>
            </w:pPr>
            <w:r>
              <w:rPr>
                <w:sz w:val="20"/>
                <w:szCs w:val="20"/>
              </w:rPr>
              <w:t xml:space="preserve">346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1973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383</w:t>
            </w:r>
          </w:p>
        </w:tc>
        <w:tc>
          <w:tcPr>
            <w:tcW w:w="0" w:type="auto"/>
          </w:tcPr>
          <w:p>
            <w:pPr>
              <w:spacing w:line="240" w:lineRule="auto" w:before="0" w:after="0"/>
              <w:pStyle w:val="Compact"/>
            </w:pPr>
            <w:r>
              <w:rPr>
                <w:sz w:val="20"/>
                <w:szCs w:val="20"/>
              </w:rPr>
              <w:t xml:space="preserve">384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1974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122</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427</w:t>
            </w:r>
          </w:p>
        </w:tc>
        <w:tc>
          <w:tcPr>
            <w:tcW w:w="0" w:type="auto"/>
          </w:tcPr>
          <w:p>
            <w:pPr>
              <w:spacing w:line="240" w:lineRule="auto" w:before="0" w:after="0"/>
              <w:pStyle w:val="Compact"/>
            </w:pPr>
            <w:r>
              <w:rPr>
                <w:sz w:val="20"/>
                <w:szCs w:val="20"/>
              </w:rPr>
              <w:t xml:space="preserve">428</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1975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143</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491</w:t>
            </w:r>
          </w:p>
        </w:tc>
        <w:tc>
          <w:tcPr>
            <w:tcW w:w="0" w:type="auto"/>
          </w:tcPr>
          <w:p>
            <w:pPr>
              <w:spacing w:line="240" w:lineRule="auto" w:before="0" w:after="0"/>
              <w:pStyle w:val="Compact"/>
            </w:pPr>
            <w:r>
              <w:rPr>
                <w:sz w:val="20"/>
                <w:szCs w:val="20"/>
              </w:rPr>
              <w:t xml:space="preserve">492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551</w:t>
            </w:r>
          </w:p>
        </w:tc>
        <w:tc>
          <w:tcPr>
            <w:tcW w:w="0" w:type="auto"/>
          </w:tcPr>
          <w:p>
            <w:pPr>
              <w:spacing w:line="240" w:lineRule="auto" w:before="0" w:after="0"/>
              <w:pStyle w:val="Compact"/>
            </w:pPr>
            <w:r>
              <w:rPr>
                <w:sz w:val="20"/>
                <w:szCs w:val="20"/>
              </w:rPr>
              <w:t xml:space="preserve">552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1977</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146</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607</w:t>
            </w:r>
          </w:p>
        </w:tc>
        <w:tc>
          <w:tcPr>
            <w:tcW w:w="0" w:type="auto"/>
          </w:tcPr>
          <w:p>
            <w:pPr>
              <w:spacing w:line="240" w:lineRule="auto" w:before="0" w:after="0"/>
              <w:pStyle w:val="Compact"/>
            </w:pPr>
            <w:r>
              <w:rPr>
                <w:sz w:val="20"/>
                <w:szCs w:val="20"/>
              </w:rPr>
              <w:t xml:space="preserve">608</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1978</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143</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654</w:t>
            </w:r>
          </w:p>
        </w:tc>
        <w:tc>
          <w:tcPr>
            <w:tcW w:w="0" w:type="auto"/>
          </w:tcPr>
          <w:p>
            <w:pPr>
              <w:spacing w:line="240" w:lineRule="auto" w:before="0" w:after="0"/>
              <w:pStyle w:val="Compact"/>
            </w:pPr>
            <w:r>
              <w:rPr>
                <w:sz w:val="20"/>
                <w:szCs w:val="20"/>
              </w:rPr>
              <w:t xml:space="preserve">655</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1979</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131</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678</w:t>
            </w:r>
          </w:p>
        </w:tc>
        <w:tc>
          <w:tcPr>
            <w:tcW w:w="0" w:type="auto"/>
          </w:tcPr>
          <w:p>
            <w:pPr>
              <w:spacing w:line="240" w:lineRule="auto" w:before="0" w:after="0"/>
              <w:pStyle w:val="Compact"/>
            </w:pPr>
            <w:r>
              <w:rPr>
                <w:sz w:val="20"/>
                <w:szCs w:val="20"/>
              </w:rPr>
              <w:t xml:space="preserve">679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1980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131</w:t>
            </w:r>
          </w:p>
        </w:tc>
        <w:tc>
          <w:tcPr>
            <w:tcW w:w="0" w:type="auto"/>
          </w:tcPr>
          <w:p>
            <w:pPr>
              <w:spacing w:line="240" w:lineRule="auto" w:before="0" w:after="0"/>
              <w:pStyle w:val="Compact"/>
            </w:pPr>
            <w:r>
              <w:rPr>
                <w:sz w:val="20"/>
                <w:szCs w:val="20"/>
              </w:rPr>
              <w:t xml:space="preserve">110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699</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1981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151</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741</w:t>
            </w:r>
          </w:p>
        </w:tc>
        <w:tc>
          <w:tcPr>
            <w:tcW w:w="0" w:type="auto"/>
          </w:tcPr>
          <w:p>
            <w:pPr>
              <w:spacing w:line="240" w:lineRule="auto" w:before="0" w:after="0"/>
              <w:pStyle w:val="Compact"/>
            </w:pPr>
            <w:r>
              <w:rPr>
                <w:sz w:val="20"/>
                <w:szCs w:val="20"/>
              </w:rPr>
              <w:t xml:space="preserve">742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1982</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783</w:t>
            </w:r>
          </w:p>
        </w:tc>
        <w:tc>
          <w:tcPr>
            <w:tcW w:w="0" w:type="auto"/>
          </w:tcPr>
          <w:p>
            <w:pPr>
              <w:spacing w:line="240" w:lineRule="auto" w:before="0" w:after="0"/>
              <w:pStyle w:val="Compact"/>
            </w:pPr>
            <w:r>
              <w:rPr>
                <w:sz w:val="20"/>
                <w:szCs w:val="20"/>
              </w:rPr>
              <w:t xml:space="preserve">784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1983</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169</w:t>
            </w:r>
          </w:p>
        </w:tc>
        <w:tc>
          <w:tcPr>
            <w:tcW w:w="0" w:type="auto"/>
          </w:tcPr>
          <w:p>
            <w:pPr>
              <w:spacing w:line="240" w:lineRule="auto" w:before="0" w:after="0"/>
              <w:pStyle w:val="Compact"/>
            </w:pPr>
            <w:r>
              <w:rPr>
                <w:sz w:val="20"/>
                <w:szCs w:val="20"/>
              </w:rPr>
              <w:t xml:space="preserve">104</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848</w:t>
            </w:r>
          </w:p>
        </w:tc>
        <w:tc>
          <w:tcPr>
            <w:tcW w:w="0" w:type="auto"/>
          </w:tcPr>
          <w:p>
            <w:pPr>
              <w:spacing w:line="240" w:lineRule="auto" w:before="0" w:after="0"/>
              <w:pStyle w:val="Compact"/>
            </w:pPr>
            <w:r>
              <w:rPr>
                <w:sz w:val="20"/>
                <w:szCs w:val="20"/>
              </w:rPr>
              <w:t xml:space="preserve">849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1984</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179</w:t>
            </w:r>
          </w:p>
        </w:tc>
        <w:tc>
          <w:tcPr>
            <w:tcW w:w="0" w:type="auto"/>
          </w:tcPr>
          <w:p>
            <w:pPr>
              <w:spacing w:line="240" w:lineRule="auto" w:before="0" w:after="0"/>
              <w:pStyle w:val="Compact"/>
            </w:pPr>
            <w:r>
              <w:rPr>
                <w:sz w:val="20"/>
                <w:szCs w:val="20"/>
              </w:rPr>
              <w:t xml:space="preserve">106</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921</w:t>
            </w:r>
          </w:p>
        </w:tc>
        <w:tc>
          <w:tcPr>
            <w:tcW w:w="0" w:type="auto"/>
          </w:tcPr>
          <w:p>
            <w:pPr>
              <w:spacing w:line="240" w:lineRule="auto" w:before="0" w:after="0"/>
              <w:pStyle w:val="Compact"/>
            </w:pPr>
            <w:r>
              <w:rPr>
                <w:sz w:val="20"/>
                <w:szCs w:val="20"/>
              </w:rPr>
              <w:t xml:space="preserve">922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1985</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167</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1005</w:t>
            </w:r>
          </w:p>
        </w:tc>
        <w:tc>
          <w:tcPr>
            <w:tcW w:w="0" w:type="auto"/>
          </w:tcPr>
          <w:p>
            <w:pPr>
              <w:spacing w:line="240" w:lineRule="auto" w:before="0" w:after="0"/>
              <w:pStyle w:val="Compact"/>
            </w:pPr>
            <w:r>
              <w:rPr>
                <w:sz w:val="20"/>
                <w:szCs w:val="20"/>
              </w:rPr>
              <w:t xml:space="preserve">1006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1986</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136</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1043</w:t>
            </w:r>
          </w:p>
        </w:tc>
        <w:tc>
          <w:tcPr>
            <w:tcW w:w="0" w:type="auto"/>
          </w:tcPr>
          <w:p>
            <w:pPr>
              <w:spacing w:line="240" w:lineRule="auto" w:before="0" w:after="0"/>
              <w:pStyle w:val="Compact"/>
            </w:pPr>
            <w:r>
              <w:rPr>
                <w:sz w:val="20"/>
                <w:szCs w:val="20"/>
              </w:rPr>
              <w:t xml:space="preserve">1044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1987</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145</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1098</w:t>
            </w:r>
          </w:p>
        </w:tc>
        <w:tc>
          <w:tcPr>
            <w:tcW w:w="0" w:type="auto"/>
          </w:tcPr>
          <w:p>
            <w:pPr>
              <w:spacing w:line="240" w:lineRule="auto" w:before="0" w:after="0"/>
              <w:pStyle w:val="Compact"/>
            </w:pPr>
            <w:r>
              <w:rPr>
                <w:sz w:val="20"/>
                <w:szCs w:val="20"/>
              </w:rPr>
              <w:t xml:space="preserve">1099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1988</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152</w:t>
            </w:r>
          </w:p>
        </w:tc>
        <w:tc>
          <w:tcPr>
            <w:tcW w:w="0" w:type="auto"/>
          </w:tcPr>
          <w:p>
            <w:pPr>
              <w:spacing w:line="240" w:lineRule="auto" w:before="0" w:after="0"/>
              <w:pStyle w:val="Compact"/>
            </w:pPr>
            <w:r>
              <w:rPr>
                <w:sz w:val="20"/>
                <w:szCs w:val="20"/>
              </w:rPr>
              <w:t xml:space="preserve">110</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1140</w:t>
            </w:r>
          </w:p>
        </w:tc>
        <w:tc>
          <w:tcPr>
            <w:tcW w:w="0" w:type="auto"/>
          </w:tcPr>
          <w:p>
            <w:pPr>
              <w:spacing w:line="240" w:lineRule="auto" w:before="0" w:after="0"/>
              <w:pStyle w:val="Compact"/>
            </w:pPr>
            <w:r>
              <w:rPr>
                <w:sz w:val="20"/>
                <w:szCs w:val="20"/>
              </w:rPr>
              <w:t xml:space="preserve">1141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1989</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149</w:t>
            </w:r>
          </w:p>
        </w:tc>
        <w:tc>
          <w:tcPr>
            <w:tcW w:w="0" w:type="auto"/>
          </w:tcPr>
          <w:p>
            <w:pPr>
              <w:spacing w:line="240" w:lineRule="auto" w:before="0" w:after="0"/>
              <w:pStyle w:val="Compact"/>
            </w:pPr>
            <w:r>
              <w:rPr>
                <w:sz w:val="20"/>
                <w:szCs w:val="20"/>
              </w:rPr>
              <w:t xml:space="preserve">114</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1175</w:t>
            </w:r>
          </w:p>
        </w:tc>
        <w:tc>
          <w:tcPr>
            <w:tcW w:w="0" w:type="auto"/>
          </w:tcPr>
          <w:p>
            <w:pPr>
              <w:spacing w:line="240" w:lineRule="auto" w:before="0" w:after="0"/>
              <w:pStyle w:val="Compact"/>
            </w:pPr>
            <w:r>
              <w:rPr>
                <w:sz w:val="20"/>
                <w:szCs w:val="20"/>
              </w:rPr>
              <w:t xml:space="preserve">1176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167</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1235</w:t>
            </w:r>
          </w:p>
        </w:tc>
        <w:tc>
          <w:tcPr>
            <w:tcW w:w="0" w:type="auto"/>
          </w:tcPr>
          <w:p>
            <w:pPr>
              <w:spacing w:line="240" w:lineRule="auto" w:before="0" w:after="0"/>
              <w:pStyle w:val="Compact"/>
            </w:pPr>
            <w:r>
              <w:rPr>
                <w:sz w:val="20"/>
                <w:szCs w:val="20"/>
              </w:rPr>
              <w:t xml:space="preserve">1236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1991</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1268</w:t>
            </w:r>
          </w:p>
        </w:tc>
        <w:tc>
          <w:tcPr>
            <w:tcW w:w="0" w:type="auto"/>
          </w:tcPr>
          <w:p>
            <w:pPr>
              <w:spacing w:line="240" w:lineRule="auto" w:before="0" w:after="0"/>
              <w:pStyle w:val="Compact"/>
            </w:pPr>
            <w:r>
              <w:rPr>
                <w:sz w:val="20"/>
                <w:szCs w:val="20"/>
              </w:rPr>
              <w:t xml:space="preserve">1269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1992</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1328</w:t>
            </w:r>
          </w:p>
        </w:tc>
        <w:tc>
          <w:tcPr>
            <w:tcW w:w="0" w:type="auto"/>
          </w:tcPr>
          <w:p>
            <w:pPr>
              <w:spacing w:line="240" w:lineRule="auto" w:before="0" w:after="0"/>
              <w:pStyle w:val="Compact"/>
            </w:pPr>
            <w:r>
              <w:rPr>
                <w:sz w:val="20"/>
                <w:szCs w:val="20"/>
              </w:rPr>
              <w:t xml:space="preserve">1329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1993</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106</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1379</w:t>
            </w:r>
          </w:p>
        </w:tc>
        <w:tc>
          <w:tcPr>
            <w:tcW w:w="0" w:type="auto"/>
          </w:tcPr>
          <w:p>
            <w:pPr>
              <w:spacing w:line="240" w:lineRule="auto" w:before="0" w:after="0"/>
              <w:pStyle w:val="Compact"/>
            </w:pPr>
            <w:r>
              <w:rPr>
                <w:sz w:val="20"/>
                <w:szCs w:val="20"/>
              </w:rPr>
              <w:t xml:space="preserve">1380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1994</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1441</w:t>
            </w:r>
          </w:p>
        </w:tc>
        <w:tc>
          <w:tcPr>
            <w:tcW w:w="0" w:type="auto"/>
          </w:tcPr>
          <w:p>
            <w:pPr>
              <w:spacing w:line="240" w:lineRule="auto" w:before="0" w:after="0"/>
              <w:pStyle w:val="Compact"/>
            </w:pPr>
            <w:r>
              <w:rPr>
                <w:sz w:val="20"/>
                <w:szCs w:val="20"/>
              </w:rPr>
              <w:t xml:space="preserve">1442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1483</w:t>
            </w:r>
          </w:p>
        </w:tc>
        <w:tc>
          <w:tcPr>
            <w:tcW w:w="0" w:type="auto"/>
          </w:tcPr>
          <w:p>
            <w:pPr>
              <w:spacing w:line="240" w:lineRule="auto" w:before="0" w:after="0"/>
              <w:pStyle w:val="Compact"/>
            </w:pPr>
            <w:r>
              <w:rPr>
                <w:sz w:val="20"/>
                <w:szCs w:val="20"/>
              </w:rPr>
              <w:t xml:space="preserve">1484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1520</w:t>
            </w:r>
          </w:p>
        </w:tc>
        <w:tc>
          <w:tcPr>
            <w:tcW w:w="0" w:type="auto"/>
          </w:tcPr>
          <w:p>
            <w:pPr>
              <w:spacing w:line="240" w:lineRule="auto" w:before="0" w:after="0"/>
              <w:pStyle w:val="Compact"/>
            </w:pPr>
            <w:r>
              <w:rPr>
                <w:sz w:val="20"/>
                <w:szCs w:val="20"/>
              </w:rPr>
              <w:t xml:space="preserve">1521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1566</w:t>
            </w:r>
          </w:p>
        </w:tc>
        <w:tc>
          <w:tcPr>
            <w:tcW w:w="0" w:type="auto"/>
          </w:tcPr>
          <w:p>
            <w:pPr>
              <w:spacing w:line="240" w:lineRule="auto" w:before="0" w:after="0"/>
              <w:pStyle w:val="Compact"/>
            </w:pPr>
            <w:r>
              <w:rPr>
                <w:sz w:val="20"/>
                <w:szCs w:val="20"/>
              </w:rPr>
              <w:t xml:space="preserve">1567</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1580</w:t>
            </w:r>
          </w:p>
        </w:tc>
        <w:tc>
          <w:tcPr>
            <w:tcW w:w="0" w:type="auto"/>
          </w:tcPr>
          <w:p>
            <w:pPr>
              <w:spacing w:line="240" w:lineRule="auto" w:before="0" w:after="0"/>
              <w:pStyle w:val="Compact"/>
            </w:pPr>
            <w:r>
              <w:rPr>
                <w:sz w:val="20"/>
                <w:szCs w:val="20"/>
              </w:rPr>
              <w:t xml:space="preserve">1581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1593</w:t>
            </w:r>
          </w:p>
        </w:tc>
        <w:tc>
          <w:tcPr>
            <w:tcW w:w="0" w:type="auto"/>
          </w:tcPr>
          <w:p>
            <w:pPr>
              <w:spacing w:line="240" w:lineRule="auto" w:before="0" w:after="0"/>
              <w:pStyle w:val="Compact"/>
            </w:pPr>
            <w:r>
              <w:rPr>
                <w:sz w:val="20"/>
                <w:szCs w:val="20"/>
              </w:rPr>
              <w:t xml:space="preserve">1594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1602</w:t>
            </w:r>
          </w:p>
        </w:tc>
        <w:tc>
          <w:tcPr>
            <w:tcW w:w="0" w:type="auto"/>
          </w:tcPr>
          <w:p>
            <w:pPr>
              <w:spacing w:line="240" w:lineRule="auto" w:before="0" w:after="0"/>
              <w:pStyle w:val="Compact"/>
            </w:pPr>
            <w:r>
              <w:rPr>
                <w:sz w:val="20"/>
                <w:szCs w:val="20"/>
              </w:rPr>
              <w:t xml:space="preserve">1603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1588</w:t>
            </w:r>
          </w:p>
        </w:tc>
        <w:tc>
          <w:tcPr>
            <w:tcW w:w="0" w:type="auto"/>
          </w:tcPr>
          <w:p>
            <w:pPr>
              <w:spacing w:line="240" w:lineRule="auto" w:before="0" w:after="0"/>
              <w:pStyle w:val="Compact"/>
            </w:pPr>
            <w:r>
              <w:rPr>
                <w:sz w:val="20"/>
                <w:szCs w:val="20"/>
              </w:rPr>
              <w:t xml:space="preserve">1589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1586</w:t>
            </w:r>
          </w:p>
        </w:tc>
        <w:tc>
          <w:tcPr>
            <w:tcW w:w="0" w:type="auto"/>
          </w:tcPr>
          <w:p>
            <w:pPr>
              <w:spacing w:line="240" w:lineRule="auto" w:before="0" w:after="0"/>
              <w:pStyle w:val="Compact"/>
            </w:pPr>
            <w:r>
              <w:rPr>
                <w:sz w:val="20"/>
                <w:szCs w:val="20"/>
              </w:rPr>
              <w:t xml:space="preserve">1587</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1609</w:t>
            </w:r>
          </w:p>
        </w:tc>
        <w:tc>
          <w:tcPr>
            <w:tcW w:w="0" w:type="auto"/>
          </w:tcPr>
          <w:p>
            <w:pPr>
              <w:spacing w:line="240" w:lineRule="auto" w:before="0" w:after="0"/>
              <w:pStyle w:val="Compact"/>
            </w:pPr>
            <w:r>
              <w:rPr>
                <w:sz w:val="20"/>
                <w:szCs w:val="20"/>
              </w:rPr>
              <w:t xml:space="preserve">1610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1627</w:t>
            </w:r>
          </w:p>
        </w:tc>
        <w:tc>
          <w:tcPr>
            <w:tcW w:w="0" w:type="auto"/>
          </w:tcPr>
          <w:p>
            <w:pPr>
              <w:spacing w:line="240" w:lineRule="auto" w:before="0" w:after="0"/>
              <w:pStyle w:val="Compact"/>
            </w:pPr>
            <w:r>
              <w:rPr>
                <w:sz w:val="20"/>
                <w:szCs w:val="20"/>
              </w:rPr>
              <w:t xml:space="preserve">1628</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1640</w:t>
            </w:r>
          </w:p>
        </w:tc>
        <w:tc>
          <w:tcPr>
            <w:tcW w:w="0" w:type="auto"/>
          </w:tcPr>
          <w:p>
            <w:pPr>
              <w:spacing w:line="240" w:lineRule="auto" w:before="0" w:after="0"/>
              <w:pStyle w:val="Compact"/>
            </w:pPr>
            <w:r>
              <w:rPr>
                <w:sz w:val="20"/>
                <w:szCs w:val="20"/>
              </w:rPr>
              <w:t xml:space="preserve">1641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1670</w:t>
            </w:r>
          </w:p>
        </w:tc>
        <w:tc>
          <w:tcPr>
            <w:tcW w:w="0" w:type="auto"/>
          </w:tcPr>
          <w:p>
            <w:pPr>
              <w:spacing w:line="240" w:lineRule="auto" w:before="0" w:after="0"/>
              <w:pStyle w:val="Compact"/>
            </w:pPr>
            <w:r>
              <w:rPr>
                <w:sz w:val="20"/>
                <w:szCs w:val="20"/>
              </w:rPr>
              <w:t xml:space="preserve">1671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1703</w:t>
            </w:r>
          </w:p>
        </w:tc>
        <w:tc>
          <w:tcPr>
            <w:tcW w:w="0" w:type="auto"/>
          </w:tcPr>
          <w:p>
            <w:pPr>
              <w:spacing w:line="240" w:lineRule="auto" w:before="0" w:after="0"/>
              <w:pStyle w:val="Compact"/>
            </w:pPr>
            <w:r>
              <w:rPr>
                <w:sz w:val="20"/>
                <w:szCs w:val="20"/>
              </w:rPr>
              <w:t xml:space="preserve">1704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1738</w:t>
            </w:r>
          </w:p>
        </w:tc>
        <w:tc>
          <w:tcPr>
            <w:tcW w:w="0" w:type="auto"/>
          </w:tcPr>
          <w:p>
            <w:pPr>
              <w:spacing w:line="240" w:lineRule="auto" w:before="0" w:after="0"/>
              <w:pStyle w:val="Compact"/>
            </w:pPr>
            <w:r>
              <w:rPr>
                <w:sz w:val="20"/>
                <w:szCs w:val="20"/>
              </w:rPr>
              <w:t xml:space="preserve">1739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1772</w:t>
            </w:r>
          </w:p>
        </w:tc>
        <w:tc>
          <w:tcPr>
            <w:tcW w:w="0" w:type="auto"/>
          </w:tcPr>
          <w:p>
            <w:pPr>
              <w:spacing w:line="240" w:lineRule="auto" w:before="0" w:after="0"/>
              <w:pStyle w:val="Compact"/>
            </w:pPr>
            <w:r>
              <w:rPr>
                <w:sz w:val="20"/>
                <w:szCs w:val="20"/>
              </w:rPr>
              <w:t xml:space="preserve">1773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1813</w:t>
            </w:r>
          </w:p>
        </w:tc>
        <w:tc>
          <w:tcPr>
            <w:tcW w:w="0" w:type="auto"/>
          </w:tcPr>
          <w:p>
            <w:pPr>
              <w:spacing w:line="240" w:lineRule="auto" w:before="0" w:after="0"/>
              <w:pStyle w:val="Compact"/>
            </w:pPr>
            <w:r>
              <w:rPr>
                <w:sz w:val="20"/>
                <w:szCs w:val="20"/>
              </w:rPr>
              <w:t xml:space="preserve">1814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1836</w:t>
            </w:r>
          </w:p>
        </w:tc>
        <w:tc>
          <w:tcPr>
            <w:tcW w:w="0" w:type="auto"/>
          </w:tcPr>
          <w:p>
            <w:pPr>
              <w:spacing w:line="240" w:lineRule="auto" w:before="0" w:after="0"/>
              <w:pStyle w:val="Compact"/>
            </w:pPr>
            <w:r>
              <w:rPr>
                <w:sz w:val="20"/>
                <w:szCs w:val="20"/>
              </w:rPr>
              <w:t xml:space="preserve">1837</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1863</w:t>
            </w:r>
          </w:p>
        </w:tc>
        <w:tc>
          <w:tcPr>
            <w:tcW w:w="0" w:type="auto"/>
          </w:tcPr>
          <w:p>
            <w:pPr>
              <w:spacing w:line="240" w:lineRule="auto" w:before="0" w:after="0"/>
              <w:pStyle w:val="Compact"/>
            </w:pPr>
            <w:r>
              <w:rPr>
                <w:sz w:val="20"/>
                <w:szCs w:val="20"/>
              </w:rPr>
              <w:t xml:space="preserve">1864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1889</w:t>
            </w:r>
          </w:p>
        </w:tc>
        <w:tc>
          <w:tcPr>
            <w:tcW w:w="0" w:type="auto"/>
          </w:tcPr>
          <w:p>
            <w:pPr>
              <w:spacing w:line="240" w:lineRule="auto" w:before="0" w:after="0"/>
              <w:pStyle w:val="Compact"/>
            </w:pPr>
            <w:r>
              <w:rPr>
                <w:sz w:val="20"/>
                <w:szCs w:val="20"/>
              </w:rPr>
              <w:t xml:space="preserve">1890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1916</w:t>
            </w:r>
          </w:p>
        </w:tc>
        <w:tc>
          <w:tcPr>
            <w:tcW w:w="0" w:type="auto"/>
          </w:tcPr>
          <w:p>
            <w:pPr>
              <w:spacing w:line="240" w:lineRule="auto" w:before="0" w:after="0"/>
              <w:pStyle w:val="Compact"/>
            </w:pPr>
            <w:r>
              <w:rPr>
                <w:sz w:val="20"/>
                <w:szCs w:val="20"/>
              </w:rPr>
              <w:t xml:space="preserve">1917</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59</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1956</w:t>
            </w:r>
          </w:p>
        </w:tc>
        <w:tc>
          <w:tcPr>
            <w:tcW w:w="0" w:type="auto"/>
          </w:tcPr>
          <w:p>
            <w:pPr>
              <w:spacing w:line="240" w:lineRule="auto" w:before="0" w:after="0"/>
              <w:pStyle w:val="Compact"/>
            </w:pPr>
            <w:r>
              <w:rPr>
                <w:sz w:val="20"/>
                <w:szCs w:val="20"/>
              </w:rPr>
              <w:t xml:space="preserve">1957</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1988</w:t>
            </w:r>
          </w:p>
        </w:tc>
        <w:tc>
          <w:tcPr>
            <w:tcW w:w="0" w:type="auto"/>
          </w:tcPr>
          <w:p>
            <w:pPr>
              <w:spacing w:line="240" w:lineRule="auto" w:before="0" w:after="0"/>
              <w:pStyle w:val="Compact"/>
            </w:pPr>
            <w:r>
              <w:rPr>
                <w:sz w:val="20"/>
                <w:szCs w:val="20"/>
              </w:rPr>
              <w:t xml:space="preserve">1989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2086</w:t>
            </w:r>
          </w:p>
        </w:tc>
        <w:tc>
          <w:tcPr>
            <w:tcW w:w="0" w:type="auto"/>
          </w:tcPr>
          <w:p>
            <w:pPr>
              <w:spacing w:line="240" w:lineRule="auto" w:before="0" w:after="0"/>
              <w:pStyle w:val="Compact"/>
            </w:pPr>
            <w:r>
              <w:rPr>
                <w:sz w:val="20"/>
                <w:szCs w:val="20"/>
              </w:rPr>
              <w:t xml:space="preserve">2087</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2115</w:t>
            </w:r>
          </w:p>
        </w:tc>
        <w:tc>
          <w:tcPr>
            <w:tcW w:w="0" w:type="auto"/>
          </w:tcPr>
          <w:p>
            <w:pPr>
              <w:spacing w:line="240" w:lineRule="auto" w:before="0" w:after="0"/>
              <w:pStyle w:val="Compact"/>
            </w:pPr>
            <w:r>
              <w:rPr>
                <w:sz w:val="20"/>
                <w:szCs w:val="20"/>
              </w:rPr>
              <w:t xml:space="preserve">2116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2134</w:t>
            </w:r>
          </w:p>
        </w:tc>
        <w:tc>
          <w:tcPr>
            <w:tcW w:w="0" w:type="auto"/>
          </w:tcPr>
          <w:p>
            <w:pPr>
              <w:spacing w:line="240" w:lineRule="auto" w:before="0" w:after="0"/>
              <w:pStyle w:val="Compact"/>
            </w:pPr>
            <w:r>
              <w:rPr>
                <w:sz w:val="20"/>
                <w:szCs w:val="20"/>
              </w:rPr>
              <w:t xml:space="preserve">2135</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2164</w:t>
            </w:r>
          </w:p>
        </w:tc>
        <w:tc>
          <w:tcPr>
            <w:tcW w:w="0" w:type="auto"/>
          </w:tcPr>
          <w:p>
            <w:pPr>
              <w:spacing w:line="240" w:lineRule="auto" w:before="0" w:after="0"/>
              <w:pStyle w:val="Compact"/>
            </w:pPr>
            <w:r>
              <w:rPr>
                <w:sz w:val="20"/>
                <w:szCs w:val="20"/>
              </w:rPr>
              <w:t xml:space="preserve">2165</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110</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2208</w:t>
            </w:r>
          </w:p>
        </w:tc>
        <w:tc>
          <w:tcPr>
            <w:tcW w:w="0" w:type="auto"/>
          </w:tcPr>
          <w:p>
            <w:pPr>
              <w:spacing w:line="240" w:lineRule="auto" w:before="0" w:after="0"/>
              <w:pStyle w:val="Compact"/>
            </w:pPr>
            <w:r>
              <w:rPr>
                <w:sz w:val="20"/>
                <w:szCs w:val="20"/>
              </w:rPr>
              <w:t xml:space="preserve">2209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116</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2231</w:t>
            </w:r>
          </w:p>
        </w:tc>
        <w:tc>
          <w:tcPr>
            <w:tcW w:w="0" w:type="auto"/>
          </w:tcPr>
          <w:p>
            <w:pPr>
              <w:spacing w:line="240" w:lineRule="auto" w:before="0" w:after="0"/>
              <w:pStyle w:val="Compact"/>
            </w:pPr>
            <w:r>
              <w:rPr>
                <w:sz w:val="20"/>
                <w:szCs w:val="20"/>
              </w:rPr>
              <w:t xml:space="preserve">2232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112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2239</w:t>
            </w:r>
          </w:p>
        </w:tc>
        <w:tc>
          <w:tcPr>
            <w:tcW w:w="0" w:type="auto"/>
          </w:tcPr>
          <w:p>
            <w:pPr>
              <w:spacing w:line="240" w:lineRule="auto" w:before="0" w:after="0"/>
              <w:pStyle w:val="Compact"/>
            </w:pPr>
            <w:r>
              <w:rPr>
                <w:sz w:val="20"/>
                <w:szCs w:val="20"/>
              </w:rPr>
              <w:t xml:space="preserve">2240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143</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2274</w:t>
            </w:r>
          </w:p>
        </w:tc>
        <w:tc>
          <w:tcPr>
            <w:tcW w:w="0" w:type="auto"/>
          </w:tcPr>
          <w:p>
            <w:pPr>
              <w:spacing w:line="240" w:lineRule="auto" w:before="0" w:after="0"/>
              <w:pStyle w:val="Compact"/>
            </w:pPr>
            <w:r>
              <w:rPr>
                <w:sz w:val="20"/>
                <w:szCs w:val="20"/>
              </w:rPr>
              <w:t xml:space="preserve">2275</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2281</w:t>
            </w:r>
          </w:p>
        </w:tc>
        <w:tc>
          <w:tcPr>
            <w:tcW w:w="0" w:type="auto"/>
          </w:tcPr>
          <w:p>
            <w:pPr>
              <w:spacing w:line="240" w:lineRule="auto" w:before="0" w:after="0"/>
              <w:pStyle w:val="Compact"/>
            </w:pPr>
            <w:r>
              <w:rPr>
                <w:sz w:val="20"/>
                <w:szCs w:val="20"/>
              </w:rPr>
              <w:t xml:space="preserve">2282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bl>
    <w:bookmarkEnd w:id="174"/>
    <w:bookmarkStart w:id="175"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end_year_rocket_body_stock_plus_one</w:t>
            </w:r>
          </w:p>
        </w:tc>
        <w:tc>
          <w:tcPr>
            <w:tcW w:w="0" w:type="auto"/>
          </w:tcPr>
          <w:p>
            <w:pPr>
              <w:spacing w:line="240" w:lineRule="auto" w:before="0" w:after="0"/>
              <w:pStyle w:val="Compact"/>
            </w:pPr>
            <w:r>
              <w:rPr>
                <w:sz w:val="20"/>
                <w:szCs w:val="20"/>
              </w:rPr>
              <w:t xml:space="preserve">One plus end-of-year tracked Earth-orbit rocket-body stock</w:t>
            </w:r>
          </w:p>
        </w:tc>
        <w:tc>
          <w:tcPr>
            <w:tcW w:w="0" w:type="auto"/>
          </w:tcPr>
          <w:p>
            <w:pPr>
              <w:spacing w:line="240" w:lineRule="auto" w:before="0" w:after="0"/>
              <w:pStyle w:val="Compact"/>
            </w:pPr>
            <w:r>
              <w:rPr>
                <w:sz w:val="20"/>
                <w:szCs w:val="20"/>
              </w:rPr>
              <w:t xml:space="preserve">Count of Earth-orbit SATCAT OBJECT_TYPE R/B records launched by year and not decayed by year end</w:t>
            </w:r>
          </w:p>
        </w:tc>
      </w:tr>
      <w:tr>
        <w:tc>
          <w:tcPr>
            <w:tcW w:w="0" w:type="auto"/>
          </w:tcPr>
          <w:p>
            <w:pPr>
              <w:spacing w:line="240" w:lineRule="auto" w:before="0" w:after="0"/>
              <w:pStyle w:val="Compact"/>
            </w:pPr>
            <w:r>
              <w:rPr>
                <w:sz w:val="20"/>
                <w:szCs w:val="20"/>
              </w:rPr>
              <w:t xml:space="preserve">years_since_1957_plus_one</w:t>
            </w:r>
          </w:p>
        </w:tc>
        <w:tc>
          <w:tcPr>
            <w:tcW w:w="0" w:type="auto"/>
          </w:tcPr>
          <w:p>
            <w:pPr>
              <w:spacing w:line="240" w:lineRule="auto" w:before="0" w:after="0"/>
              <w:pStyle w:val="Compact"/>
            </w:pPr>
            <w:r>
              <w:rPr>
                <w:sz w:val="20"/>
                <w:szCs w:val="20"/>
              </w:rPr>
              <w:t xml:space="preserve">One plus elapsed years since 1957</w:t>
            </w:r>
          </w:p>
        </w:tc>
        <w:tc>
          <w:tcPr>
            <w:tcW w:w="0" w:type="auto"/>
          </w:tcPr>
          <w:p>
            <w:pPr>
              <w:spacing w:line="240" w:lineRule="auto" w:before="0" w:after="0"/>
              <w:pStyle w:val="Compact"/>
            </w:pPr>
            <w:r>
              <w:rPr>
                <w:sz w:val="20"/>
                <w:szCs w:val="20"/>
              </w:rPr>
              <w:t xml:space="preserve">year minus 1957 plus one</w:t>
            </w:r>
          </w:p>
        </w:tc>
      </w:tr>
      <w:tr>
        <w:tc>
          <w:tcPr>
            <w:tcW w:w="0" w:type="auto"/>
          </w:tcPr>
          <w:p>
            <w:pPr>
              <w:spacing w:line="240" w:lineRule="auto" w:before="0" w:after="0"/>
              <w:pStyle w:val="Compact"/>
            </w:pPr>
            <w:r>
              <w:rPr>
                <w:sz w:val="20"/>
                <w:szCs w:val="20"/>
              </w:rPr>
              <w:t xml:space="preserve">annual_rocket_body_additions</w:t>
            </w:r>
          </w:p>
        </w:tc>
        <w:tc>
          <w:tcPr>
            <w:tcW w:w="0" w:type="auto"/>
          </w:tcPr>
          <w:p>
            <w:pPr>
              <w:spacing w:line="240" w:lineRule="auto" w:before="0" w:after="0"/>
              <w:pStyle w:val="Compact"/>
            </w:pPr>
            <w:r>
              <w:rPr>
                <w:sz w:val="20"/>
                <w:szCs w:val="20"/>
              </w:rPr>
              <w:t xml:space="preserve">Annual rocket-body additions</w:t>
            </w:r>
          </w:p>
        </w:tc>
        <w:tc>
          <w:tcPr>
            <w:tcW w:w="0" w:type="auto"/>
          </w:tcPr>
          <w:p>
            <w:pPr>
              <w:spacing w:line="240" w:lineRule="auto" w:before="0" w:after="0"/>
              <w:pStyle w:val="Compact"/>
            </w:pPr>
            <w:r>
              <w:rPr>
                <w:sz w:val="20"/>
                <w:szCs w:val="20"/>
              </w:rPr>
              <w:t xml:space="preserve">SATCAT OBJECT_TYPE R/B records by launch year</w:t>
            </w:r>
          </w:p>
        </w:tc>
      </w:tr>
      <w:tr>
        <w:tc>
          <w:tcPr>
            <w:tcW w:w="0" w:type="auto"/>
          </w:tcPr>
          <w:p>
            <w:pPr>
              <w:spacing w:line="240" w:lineRule="auto" w:before="0" w:after="0"/>
              <w:pStyle w:val="Compact"/>
            </w:pPr>
            <w:r>
              <w:rPr>
                <w:sz w:val="20"/>
                <w:szCs w:val="20"/>
              </w:rPr>
              <w:t xml:space="preserve">annual_rocket_body_decays</w:t>
            </w:r>
          </w:p>
        </w:tc>
        <w:tc>
          <w:tcPr>
            <w:tcW w:w="0" w:type="auto"/>
          </w:tcPr>
          <w:p>
            <w:pPr>
              <w:spacing w:line="240" w:lineRule="auto" w:before="0" w:after="0"/>
              <w:pStyle w:val="Compact"/>
            </w:pPr>
            <w:r>
              <w:rPr>
                <w:sz w:val="20"/>
                <w:szCs w:val="20"/>
              </w:rPr>
              <w:t xml:space="preserve">Annual rocket-body decays</w:t>
            </w:r>
          </w:p>
        </w:tc>
        <w:tc>
          <w:tcPr>
            <w:tcW w:w="0" w:type="auto"/>
          </w:tcPr>
          <w:p>
            <w:pPr>
              <w:spacing w:line="240" w:lineRule="auto" w:before="0" w:after="0"/>
              <w:pStyle w:val="Compact"/>
            </w:pPr>
            <w:r>
              <w:rPr>
                <w:sz w:val="20"/>
                <w:szCs w:val="20"/>
              </w:rPr>
              <w:t xml:space="preserve">SATCAT OBJECT_TYPE R/B records by decay year</w:t>
            </w:r>
          </w:p>
        </w:tc>
      </w:tr>
      <w:tr>
        <w:tc>
          <w:tcPr>
            <w:tcW w:w="0" w:type="auto"/>
          </w:tcPr>
          <w:p>
            <w:pPr>
              <w:spacing w:line="240" w:lineRule="auto" w:before="0" w:after="0"/>
              <w:pStyle w:val="Compact"/>
            </w:pPr>
            <w:r>
              <w:rPr>
                <w:sz w:val="20"/>
                <w:szCs w:val="20"/>
              </w:rPr>
              <w:t xml:space="preserve">net_rocket_body_change</w:t>
            </w:r>
          </w:p>
        </w:tc>
        <w:tc>
          <w:tcPr>
            <w:tcW w:w="0" w:type="auto"/>
          </w:tcPr>
          <w:p>
            <w:pPr>
              <w:spacing w:line="240" w:lineRule="auto" w:before="0" w:after="0"/>
              <w:pStyle w:val="Compact"/>
            </w:pPr>
            <w:r>
              <w:rPr>
                <w:sz w:val="20"/>
                <w:szCs w:val="20"/>
              </w:rPr>
              <w:t xml:space="preserve">Annual additions minus annual decays</w:t>
            </w:r>
          </w:p>
        </w:tc>
        <w:tc>
          <w:tcPr>
            <w:tcW w:w="0" w:type="auto"/>
          </w:tcPr>
          <w:p>
            <w:pPr>
              <w:spacing w:line="240" w:lineRule="auto" w:before="0" w:after="0"/>
              <w:pStyle w:val="Compact"/>
            </w:pPr>
            <w:r>
              <w:rPr>
                <w:sz w:val="20"/>
                <w:szCs w:val="20"/>
              </w:rPr>
              <w:t xml:space="preserve">Derived from launch and decay year aggregates</w:t>
            </w:r>
          </w:p>
        </w:tc>
      </w:tr>
    </w:tbl>
    <w:bookmarkEnd w:id="175"/>
    <w:bookmarkEnd w:id="176"/>
    <w:bookmarkEnd w:id="17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62" Type="http://schemas.openxmlformats.org/officeDocument/2006/relationships/image" Target="media/rId162.png"/><Relationship Id="rId170" Type="http://schemas.openxmlformats.org/officeDocument/2006/relationships/image" Target="media/rId170.png"/><Relationship Id="rId147" Type="http://schemas.openxmlformats.org/officeDocument/2006/relationships/hyperlink" Target="https://doi.org/10.1016/j.actaastro.2018.01.028" TargetMode="External"/><Relationship Id="rId145" Type="http://schemas.openxmlformats.org/officeDocument/2006/relationships/hyperlink" Target="https://doi.org/10.1016/j.actaastro.2021.01.021" TargetMode="External"/><Relationship Id="rId152" Type="http://schemas.openxmlformats.org/officeDocument/2006/relationships/hyperlink" Target="https://doi.org/10.1016/j.actaastro.2021.03.030" TargetMode="External"/><Relationship Id="rId128" Type="http://schemas.openxmlformats.org/officeDocument/2006/relationships/hyperlink" Target="https://doi.org/10.1016/j.actaastro.2022.05.045" TargetMode="External"/><Relationship Id="rId158" Type="http://schemas.openxmlformats.org/officeDocument/2006/relationships/hyperlink" Target="https://doi.org/10.1016/j.actaastro.2023.02.022" TargetMode="External"/><Relationship Id="rId149" Type="http://schemas.openxmlformats.org/officeDocument/2006/relationships/hyperlink" Target="https://doi.org/10.1016/j.actaastro.2024.11.050" TargetMode="External"/><Relationship Id="rId156" Type="http://schemas.openxmlformats.org/officeDocument/2006/relationships/hyperlink" Target="https://doi.org/10.1016/j.actaastro.2024.12.017" TargetMode="External"/><Relationship Id="rId134" Type="http://schemas.openxmlformats.org/officeDocument/2006/relationships/hyperlink" Target="https://doi.org/10.1016/j.actaastro.2025.03.034" TargetMode="External"/><Relationship Id="rId154" Type="http://schemas.openxmlformats.org/officeDocument/2006/relationships/hyperlink" Target="https://doi.org/10.1016/j.actaastro.2025.06.024" TargetMode="External"/><Relationship Id="rId138" Type="http://schemas.openxmlformats.org/officeDocument/2006/relationships/hyperlink" Target="https://doi.org/10.64861/LBPZ7861" TargetMode="External"/><Relationship Id="rId132" Type="http://schemas.openxmlformats.org/officeDocument/2006/relationships/hyperlink" Target="https://doi.org/10.64861/XQKK7584" TargetMode="External"/></Relationships>
</file>

<file path=word/_rels/footnotes.xml.rels><?xml version='1.0' encoding='UTF-8' standalone='yes'?>
<Relationships xmlns="http://schemas.openxmlformats.org/package/2006/relationships"><Relationship Id="rId147" Type="http://schemas.openxmlformats.org/officeDocument/2006/relationships/hyperlink" Target="https://doi.org/10.1016/j.actaastro.2018.01.028" TargetMode="External"/><Relationship Id="rId145" Type="http://schemas.openxmlformats.org/officeDocument/2006/relationships/hyperlink" Target="https://doi.org/10.1016/j.actaastro.2021.01.021" TargetMode="External"/><Relationship Id="rId152" Type="http://schemas.openxmlformats.org/officeDocument/2006/relationships/hyperlink" Target="https://doi.org/10.1016/j.actaastro.2021.03.030" TargetMode="External"/><Relationship Id="rId128" Type="http://schemas.openxmlformats.org/officeDocument/2006/relationships/hyperlink" Target="https://doi.org/10.1016/j.actaastro.2022.05.045" TargetMode="External"/><Relationship Id="rId158" Type="http://schemas.openxmlformats.org/officeDocument/2006/relationships/hyperlink" Target="https://doi.org/10.1016/j.actaastro.2023.02.022" TargetMode="External"/><Relationship Id="rId149" Type="http://schemas.openxmlformats.org/officeDocument/2006/relationships/hyperlink" Target="https://doi.org/10.1016/j.actaastro.2024.11.050" TargetMode="External"/><Relationship Id="rId156" Type="http://schemas.openxmlformats.org/officeDocument/2006/relationships/hyperlink" Target="https://doi.org/10.1016/j.actaastro.2024.12.017" TargetMode="External"/><Relationship Id="rId134" Type="http://schemas.openxmlformats.org/officeDocument/2006/relationships/hyperlink" Target="https://doi.org/10.1016/j.actaastro.2025.03.034" TargetMode="External"/><Relationship Id="rId154" Type="http://schemas.openxmlformats.org/officeDocument/2006/relationships/hyperlink" Target="https://doi.org/10.1016/j.actaastro.2025.06.024" TargetMode="External"/><Relationship Id="rId138" Type="http://schemas.openxmlformats.org/officeDocument/2006/relationships/hyperlink" Target="https://doi.org/10.64861/LBPZ7861" TargetMode="External"/><Relationship Id="rId132" Type="http://schemas.openxmlformats.org/officeDocument/2006/relationships/hyperlink" Target="https://doi.org/10.64861/XQKK75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System Dynamics of Remediation ROI: Does Removing the Top-N Statistically Massive Derelicts Pay Off Under Realistic Funding Profiles?</dc:title>
  <dc:creator>Noor Zhang (1B-SDA-144)</dc:creator>
  <cp:keywords/>
  <dcterms:created xsi:type="dcterms:W3CDTF">2026-07-04T00:55:52Z</dcterms:created>
  <dcterms:modified xsi:type="dcterms:W3CDTF">2026-07-04T00:55:52Z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