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7.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5" w:name="X49a84d1acc81a03200e908f59cbb45a59142f51"/>
    <w:p>
      <w:pPr>
        <w:pStyle w:val="Heading1"/>
      </w:pPr>
      <w:r>
        <w:t xml:space="preserve">Altitude Bands as Sink-Strength Strata: A Cox Proportional-Hazards Model of On-Orbit Survival to Decay in Low Earth Orbit</w:t>
      </w:r>
    </w:p>
    <w:bookmarkStart w:id="61" w:name="introduction"/>
    <w:p>
      <w:pPr>
        <w:pStyle w:val="Heading2"/>
      </w:pPr>
      <w:r>
        <w:t xml:space="preserve">1. Introduction</w:t>
      </w:r>
    </w:p>
    <w:p>
      <w:pPr>
        <w:pStyle w:val="FirstParagraph"/>
      </w:pPr>
      <w:r>
        <w:t xml:space="preserve">The question that organizes this dissertation is whether the onset of self-sustaining fragmentation in low Earth orbit can be detected in the observed catalog before it becomes irreversible. That question has two halves. One concerns the source term, the rate at which collisions generate new fragments. The other concerns the sink term, the rate at which atmospheric drag removes objects from orbit. A band tips toward self-sustaining growth only when the source overtakes the sink, so any detector of the transition must rest on a quantitative account of how strongly each altitude band removes the objects it holds. This paper supplies that account. It estimates, from documented on-orbit survival histories, how the instantaneous hazard of decay depends on the altitude band an object occupies.</w:t>
      </w:r>
    </w:p>
    <w:p>
      <w:pPr>
        <w:pStyle w:val="BodyText"/>
      </w:pPr>
      <w:r>
        <w:t xml:space="preserve">The framing departs from the dominant modeling tradition in a deliberate way. Forward-integrating population models and Monte-Carlo all-versus-all propagators assume a removal rate as an input and reason from it toward a forecast</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 The present paper inverts that posture. It treats the removal rate as the unknown to be recovered from observed lifetimes, using survival analysis on a panel of real objects whose launch and decay epochs are matters of public record. The sink term then ceases to be an assumption and becomes an estimate with a standard error. This is the empirical counterpart to the detector proposed in the prospectus: before one can ask whether a band is approaching the edge of sustainability, one must measure how far the edge sits, and the edge is set by the strength of the band’s sink.</w:t>
      </w:r>
    </w:p>
    <w:p>
      <w:pPr>
        <w:pStyle w:val="FirstParagraph"/>
      </w:pPr>
      <w:r>
        <w:t xml:space="preserve">The estimand is a hazard ratio for altitude. A hazard ratio below one for an increase in altitude band would establish that higher bands remove objects more slowly, that the sink weakens monotonically with altitude, and therefore that the altitude bands operate as graded sink-strength strata. That is the structure a tipping-point detector must presuppose, because self-sustaining fragmentation is first reachable precisely in the high bands where the sink is weakest</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physical mechanism is atmospheric drag. Neutral density falls quasi-exponentially with altitude, so the drag deceleration on an object, and hence the rate at which its orbit contracts, declines steeply as the band rises. The residence time of an object before reentry is therefore an increasing function of altitude, a relationship that the decay-time literature formalizes through King-Hele type integrations of the drag equation and confirms against observed reentries</w:t>
      </w:r>
      <w:r>
        <w:t xml:space="preserve"> </w:t>
      </w:r>
      <w:hyperlink w:anchor="ref-5">
        <m:oMathPara>
          <m:oMathParaPr>
            <m:jc m:val="center"/>
          </m:oMathParaPr>
          <m:oMath>
            <m:r>
              <m:t>5</m:t>
            </m:r>
          </m:oMath>
        </m:oMathPara>
      </w:hyperlink>
      <w:r>
        <w:t xml:space="preserve">. Quarter-century surveys of the cataloged LEO population show the same pattern at the population scale: objects in the lowest bands clear quickly, while bands above roughly 700 to 800 kilometers retain debris for decades to centuries</w:t>
      </w:r>
      <w:r>
        <w:t xml:space="preserve"> </w:t>
      </w:r>
      <w:hyperlink w:anchor="ref-3">
        <m:oMathPara>
          <m:oMathParaPr>
            <m:jc m:val="center"/>
          </m:oMathParaPr>
          <m:oMath>
            <m:r>
              <m:t>3</m:t>
            </m:r>
          </m:oMath>
        </m:oMathPara>
      </w:hyperlink>
      <w:r>
        <w:t xml:space="preserve">.</w:t>
      </w:r>
    </w:p>
    <w:p>
      <w:pPr>
        <w:pStyle w:val="FirstParagraph"/>
      </w:pPr>
      <w:r>
        <w:t xml:space="preserve">Two further forces modulate the hazard. The first is the object’s area-to-mass ratio. For a fixed altitude, a low-area-to-mass object, a massive intact spacecraft or rocket body, experiences weaker drag deceleration than a light, high-area fragment and so survives longer; the experimental fragmentation literature establishes that collisional break-up generates a population skewed toward small, high-area-to-mass fragments whose removal dynamics differ sharply from those of the parent</w:t>
      </w:r>
      <w:r>
        <w:t xml:space="preserve"> </w:t>
      </w:r>
      <w:hyperlink w:anchor="ref-4">
        <m:oMathPara>
          <m:oMathParaPr>
            <m:jc m:val="center"/>
          </m:oMathParaPr>
          <m:oMath>
            <m:r>
              <m:t>4</m:t>
            </m:r>
          </m:oMath>
        </m:oMathPara>
      </w:hyperlink>
      <w:r>
        <w:t xml:space="preserve">. The second is solar activity at and after the launch epoch. Thermospheric density tracks the solar cycle, so an object exposed to elevated solar flux encounters a denser atmosphere and a higher drag, shortening its lifetime; the decay-time estimate is sensitive to the average solar activity experienced during deorbiting</w:t>
      </w:r>
      <w:r>
        <w:t xml:space="preserve"> </w:t>
      </w:r>
      <w:hyperlink w:anchor="ref-5">
        <m:oMathPara>
          <m:oMathParaPr>
            <m:jc m:val="center"/>
          </m:oMathParaPr>
          <m:oMath>
            <m:r>
              <m:t>5</m:t>
            </m:r>
          </m:oMath>
        </m:oMathPara>
      </w:hyperlink>
      <w:r>
        <w:t xml:space="preserve">.</w:t>
      </w:r>
    </w:p>
    <w:p>
      <w:pPr>
        <w:pStyle w:val="FirstParagraph"/>
      </w:pPr>
      <w:r>
        <w:t xml:space="preserve">These mechanisms yield three testable expectations, stated as the alternative against the null of no association.</w:t>
      </w:r>
    </w:p>
    <w:p>
      <w:pPr>
        <w:pStyle w:val="Compact"/>
        <w:numPr>
          <w:ilvl w:val="0"/>
          <w:numId w:val="1001"/>
        </w:numPr>
      </w:pPr>
      <w:r>
        <w:t xml:space="preserve">H1a. The decay hazard declines with altitude band. The hazard ratio for an increase of one hundred kilometers in the mean altitude band is below one.</w:t>
      </w:r>
    </w:p>
    <w:p>
      <w:pPr>
        <w:pStyle w:val="Compact"/>
        <w:numPr>
          <w:ilvl w:val="0"/>
          <w:numId w:val="1001"/>
        </w:numPr>
      </w:pPr>
      <w:r>
        <w:t xml:space="preserve">H1b. Heavy, low-area-to-mass objects face a lower decay hazard than light fragments, holding altitude fixed. The hazard ratio for the heavy-object indicator is below one.</w:t>
      </w:r>
    </w:p>
    <w:p>
      <w:pPr>
        <w:pStyle w:val="Compact"/>
        <w:numPr>
          <w:ilvl w:val="0"/>
          <w:numId w:val="1001"/>
        </w:numPr>
      </w:pPr>
      <w:r>
        <w:t xml:space="preserve">H1c. Objects launched near solar maximum face a higher decay hazard than those launched near solar minimum, holding altitude and object class fixed. The hazard ratio for the solar indicator is above one.</w:t>
      </w:r>
    </w:p>
    <w:p>
      <w:pPr>
        <w:pStyle w:val="FirstParagraph"/>
      </w:pPr>
      <w:r>
        <w:t xml:space="preserve">The null in each case is a hazard ratio statistically indistinguishable from one. H1a is the load-bearing hypothesis, because the existence of a monotone altitude gradient in the sink is what licenses treating altitude bands as ordered strata in any subsequent tipping-point detector.</w:t>
      </w:r>
    </w:p>
    <w:bookmarkEnd w:id="62"/>
    <w:bookmarkStart w:id="63" w:name="data"/>
    <w:p>
      <w:pPr>
        <w:pStyle w:val="Heading2"/>
      </w:pPr>
      <w:r>
        <w:t xml:space="preserve">3. Data</w:t>
      </w:r>
    </w:p>
    <w:p>
      <w:pPr>
        <w:pStyle w:val="FirstParagraph"/>
      </w:pPr>
      <w:r>
        <w:t xml:space="preserve">The unit of observation is an individual resident space object with a documented launch epoch and a documented orbital regime. The sample comprises thirty-four objects spanning the full history of spaceflight, from Sputnik 1 to operational mega-constellation spacecraft, selected for the public availability and traceability of their launch dates, altitude regimes, and decay or status records. Twenty-two of the thirty-four objects had decayed or reentered by the catalog snapshot and contribute observed event times; the remaining twelve were still on orbit at the snapshot and enter the analysis as right-censored observations, their survival times recorded as the elapsed months from launch to the 2026-06 snapshot.</w:t>
      </w:r>
    </w:p>
    <w:p>
      <w:pPr>
        <w:pStyle w:val="BodyText"/>
      </w:pPr>
      <w:r>
        <w:t xml:space="preserve">For each object the dataset records the survival time in months, the decay-event indicator, the mean operational altitude band, the perigee altitude, a binary indicator for heavy low-area-to-mass class, and a binary indicator for elevated solar activity at the launch epoch. Survival times and event status are drawn from the NASA NSSDCA Master Catalog, the United States Space Force Space-Track satellite catalog decay records, and published ESA and Aerospace Corporation reentry records. Altitude bands are taken from cataloged orbital elements and, for the fragment-cloud entries, from the population survey of Pardini and Anselmo</w:t>
      </w:r>
      <w:r>
        <w:t xml:space="preserve"> </w:t>
      </w:r>
      <w:hyperlink w:anchor="ref-3">
        <m:oMathPara>
          <m:oMathParaPr>
            <m:jc m:val="center"/>
          </m:oMathParaPr>
          <m:oMath>
            <m:r>
              <m:t>3</m:t>
            </m:r>
          </m:oMath>
        </m:oMathPara>
      </w:hyperlink>
      <w:r>
        <w:t xml:space="preserve">. Solar-epoch classification follows the NOAA Space Weather Prediction Center solar-cycle record. The final column of the data file cites the specific source for each row. A small number of entries, fewer than nine percent of rows, carry an illustrative marker on the launch epoch where the exact date of a representative class member was not individually resolved; in every such case the altitude regime and survival outcome that drive the model are real and sourced.</w:t>
      </w:r>
    </w:p>
    <w:bookmarkEnd w:id="63"/>
    <w:bookmarkStart w:id="64" w:name="method"/>
    <w:p>
      <w:pPr>
        <w:pStyle w:val="Heading2"/>
      </w:pPr>
      <w:r>
        <w:t xml:space="preserve">4. Method</w:t>
      </w:r>
    </w:p>
    <w:p>
      <w:pPr>
        <w:pStyle w:val="FirstParagraph"/>
      </w:pPr>
      <w:r>
        <w:t xml:space="preserve">The estimator is the Cox proportional-hazards model. It specifies the instantaneous hazard of decay for an object as a baseline hazard, common to all objects and left unspecified, multiplied by an exponential function of the object’s covariates. Writing the hazard as a function of time and the covariate vector, the model is</w:t>
      </w:r>
    </w:p>
    <w:p>
      <w:pPr>
        <w:pStyle w:val="BodyText"/>
      </w:pPr>
      <w:r>
        <w:t xml:space="preserve">h of t given x equals h-naught of t times the exponential of beta-one times the altitude band in hundreds of kilometers plus beta-two times the heavy-object indicator plus beta-three times the solar-activity indicator.</w:t>
      </w:r>
    </w:p>
    <w:p>
      <w:pPr>
        <w:pStyle w:val="BodyText"/>
      </w:pPr>
      <w:r>
        <w:t xml:space="preserve">The Cox form is the appropriate choice for three reasons. First, it accommodates right-censoring directly, which is essential here because twelve objects, including the longest-lived and highest-altitude cases, have not decayed and would bias any analysis that discarded them or treated their current age as a completed lifetime. Second, it estimates the covariate effects without committing to a parametric form for the baseline decay process, which is governed by atmospheric physics too complex to capture in a closed lifetime distribution. Third, its coefficients exponentiate to hazard ratios, the natural quantity for comparing sink strength across bands. The model is fitted by partial-likelihood maximization; coefficients, standard errors, Wald z-statistics, and two-sided p-values are reported, together with the hazard ratio for each covariate. Altitude is entered in units of one hundred kilometers so that the hazard ratio reads as the multiplicative change in decay risk per hundred-kilometer rise in band.</w:t>
      </w:r>
    </w:p>
    <w:bookmarkEnd w:id="64"/>
    <w:bookmarkStart w:id="65" w:name="findings"/>
    <w:p>
      <w:pPr>
        <w:pStyle w:val="Heading2"/>
      </w:pPr>
      <w:r>
        <w:t xml:space="preserve">5. Findings</w:t>
      </w:r>
    </w:p>
    <w:p>
      <w:pPr>
        <w:pStyle w:val="FirstParagraph"/>
      </w:pPr>
      <w:r>
        <w:t xml:space="preserve">The model was fitted on all thirty-four objects, of which twenty-two experienced the decay event. The results confirm the load-bearing hypothesis decisively and the area-to-mass hypothesis at conventional significance, while leaving the solar-activity hypothesis directionally supported but not statistically resolved.</w:t>
      </w:r>
    </w:p>
    <w:p>
      <w:pPr>
        <w:pStyle w:val="BodyText"/>
      </w:pPr>
      <w:r>
        <w:t xml:space="preserve">The altitude coefficient is negative and strongly significant. The estimated coefficient on the altitude band is minus 0.5377 with a standard error of 0.1584, a Wald p-value of 0.0007, and a hazard ratio of 0.584. Each additional one hundred kilometers of altitude band multiplies the instantaneous decay hazard by 0.584, a reduction of roughly forty-two percent per hundred kilometers. The effect is precisely estimated, with the p-value below the one-in-a-thousand level, and it confirms H1a: the sink weakens monotonically and steeply with altitude. This is the empirical warrant for treating altitude bands as ordered sink-strength strata.</w:t>
      </w:r>
    </w:p>
    <w:p>
      <w:pPr>
        <w:pStyle w:val="BodyText"/>
      </w:pPr>
      <w:r>
        <w:t xml:space="preserve">The object-class coefficient is negative and significant. The estimated coefficient on the heavy, low-area-to-mass indicator is minus 1.3329 with a standard error of 0.6187, a p-value of 0.0312, and a hazard ratio of 0.264. Holding altitude and solar epoch fixed, a heavy object faces roughly a quarter of the decay hazard of a light fragment. The direction and significance confirm H1b and align with the physical expectation that high-area-to-mass fragments, the characteristic product of collisional break-up</w:t>
      </w:r>
      <w:r>
        <w:t xml:space="preserve"> </w:t>
      </w:r>
      <w:hyperlink w:anchor="ref-4">
        <m:oMathPara>
          <m:oMathParaPr>
            <m:jc m:val="center"/>
          </m:oMathParaPr>
          <m:oMath>
            <m:r>
              <m:t>4</m:t>
            </m:r>
          </m:oMath>
        </m:oMathPara>
      </w:hyperlink>
      <w:r>
        <w:t xml:space="preserve">, are removed far faster than the intact objects from which they originate. The wider standard error reflects the smaller spread of class membership in the sample.</w:t>
      </w:r>
    </w:p>
    <w:p>
      <w:pPr>
        <w:pStyle w:val="FirstParagraph"/>
      </w:pPr>
      <w:r>
        <w:t xml:space="preserve">The solar-activity coefficient is positive but not significant. The estimated coefficient on the elevated-solar indicator is 0.7071 with a standard error of 0.5594, a p-value of 0.2063, and a hazard ratio of 2.028. The point estimate has the predicted sign, suggesting that objects launched near solar maximum decay roughly twice as fast, but the standard error is large relative to the estimate and the association does not reach significance. H1c is therefore not rejected against the null at conventional levels. The most plausible reading is that a single binary marker of launch-epoch solar state is a coarse proxy for the full solar-flux history an object experiences across a multi-decade lifetime, and that the altitude covariate, which is strongly correlated with how many solar cycles an object survives, absorbs much of the relevant variation.</w:t>
      </w:r>
    </w:p>
    <w:p>
      <w:pPr>
        <w:pStyle w:val="BodyText"/>
      </w:pPr>
      <w:r>
        <w:t xml:space="preserve">Taken together, the altitude and class coefficients establish that on-orbit survival is governed in the expected direction and magnitude by the two covariates most directly tied to drag, and that the altitude gradient in particular is large and statistically secure.</w:t>
      </w:r>
    </w:p>
    <w:bookmarkEnd w:id="65"/>
    <w:bookmarkStart w:id="66" w:name="discussion"/>
    <w:p>
      <w:pPr>
        <w:pStyle w:val="Heading2"/>
      </w:pPr>
      <w:r>
        <w:t xml:space="preserve">6. Discussion</w:t>
      </w:r>
    </w:p>
    <w:p>
      <w:pPr>
        <w:pStyle w:val="FirstParagraph"/>
      </w:pPr>
      <w:r>
        <w:t xml:space="preserve">The central result, a hazard ratio of 0.584 per hundred kilometers, converts the qualitative claim that high bands are dangerous into a calibrated statement about sink strength. The decay hazard falls by more than forty percent for every hundred kilometers of additional altitude, so the removal term that opposes self-sustaining fragmentation is not merely weaker in the high bands but weaker by a steep and quantified factor. This is exactly the gradient a tipping-point detector must presuppose. A band near 800 kilometers, where the most consequential fragment clouds from the 2007 and 2009 events reside</w:t>
      </w:r>
      <w:r>
        <w:t xml:space="preserve"> </w:t>
      </w:r>
      <w:hyperlink w:anchor="ref-3">
        <m:oMathPara>
          <m:oMathParaPr>
            <m:jc m:val="center"/>
          </m:oMathParaPr>
          <m:oMath>
            <m:r>
              <m:t>3</m:t>
            </m:r>
          </m:oMath>
        </m:oMathPara>
      </w:hyperlink>
      <w:r>
        <w:t xml:space="preserve">, sits several hundred-kilometer steps up the hazard ladder from the lowest bands, with a sink an order of magnitude weaker. The detection problem posed in the prospectus is therefore sharpest precisely where this model shows the sink to be weakest, which is the physically correct place for it to be sharpest.</w:t>
      </w:r>
    </w:p>
    <w:p>
      <w:pPr>
        <w:pStyle w:val="FirstParagraph"/>
      </w:pPr>
      <w:r>
        <w:t xml:space="preserve">The result also clarifies the role of object class. Because collisional break-up shifts the population toward high-area-to-mass fragments</w:t>
      </w:r>
      <w:r>
        <w:t xml:space="preserve"> </w:t>
      </w:r>
      <w:hyperlink w:anchor="ref-4">
        <m:oMathPara>
          <m:oMathParaPr>
            <m:jc m:val="center"/>
          </m:oMathParaPr>
          <m:oMath>
            <m:r>
              <m:t>4</m:t>
            </m:r>
          </m:oMath>
        </m:oMathPara>
      </w:hyperlink>
      <w:r>
        <w:t xml:space="preserve">, and because such fragments carry a decay hazard roughly four times that of intact objects at the same altitude, a fragmentation event injects material that is individually shorter-lived than its parent yet far more numerous. The sink acts more strongly on each fragment but must act on many more of them, and in the high bands where the per-object hazard is already low, the arithmetic tilts toward accumulation. The class effect thus does not soften the tipping-point concern; it relocates the concern to the fragment-rich, high-altitude regime that the altitude coefficient identifies as the slow-sink frontier.</w:t>
      </w:r>
    </w:p>
    <w:p>
      <w:pPr>
        <w:pStyle w:val="FirstParagraph"/>
      </w:pPr>
      <w:r>
        <w:t xml:space="preserve">Three limitations bound the inference. First, the sample is a curated panel of well-documented objects rather than a random draw from the catalog, so the coefficients describe the documented population and should be re-estimated on a full catalog snapshot before they are used to parameterize an operational detector. Second, the proportional-hazards assumption treats the covariate effects as constant over an object’s life, whereas drag forcing varies with the solar cycle; a time-varying specification would refine the solar term that the present binary proxy leaves unresolved. Third, the model estimates the sink alone and is silent on the source term, the fragment-generation rate whose rising autocorrelation and variance the dissertation proposes as the early-warning signal. The contribution here is to fix the denominator of the tipping-point ratio with measured precision, so that the source-side detector developed elsewhere in the dissertation can be read against a calibrated, rather than assumed, removal rate. A sink measured at 0.584 per hundred kilometers is the baseline against which any acceleration of the source must be judged.</w:t>
      </w:r>
    </w:p>
    <w:bookmarkEnd w:id="66"/>
    <w:bookmarkStart w:id="75" w:name="references"/>
    <w:p>
      <w:pPr>
        <w:pStyle w:val="Heading2"/>
      </w:pPr>
      <w:r>
        <w:t xml:space="preserve">References</w:t>
      </w:r>
    </w:p>
    <w:p>
      <w:pPr>
        <w:pStyle w:val="FirstParagraph"/>
      </w:pPr>
      <w:bookmarkStart w:id="67" w:name="ref-1"/>
      <w:bookmarkEnd w:id="67"/>
      <w:r>
        <w:t xml:space="preserve">1. D. Jang, A. D’Ambrosio, M. Lifson, C. Pasiecznik, and R. Linares,</w:t>
      </w:r>
      <w:r>
        <w:t xml:space="preserve"> </w:t>
      </w:r>
      <w:r>
        <w:t xml:space="preserve">“Stability of the LEO Environment as a Dynamical System,”</w:t>
      </w:r>
      <w:r>
        <w:t xml:space="preserve"> </w:t>
      </w:r>
      <w:r>
        <w:t xml:space="preserve">Proc. Advanced Maui Optical and Space Surveillance Technologies (AMOS) Conference, 2022.</w:t>
      </w:r>
    </w:p>
    <w:p>
      <w:pPr>
        <w:pStyle w:val="BodyText"/>
      </w:pPr>
      <w:bookmarkStart w:id="68" w:name="ref-2"/>
      <w:bookmarkEnd w:id="68"/>
      <w:r>
        <w:t xml:space="preserve">2. D. Jang, P. M. Siew, P. Machuca, and R. Linares,</w:t>
      </w:r>
      <w:r>
        <w:t xml:space="preserve"> </w:t>
      </w:r>
      <w:r>
        <w:t xml:space="preserve">“Monte-Carlo Methods for All-vs-all Future LEO Population Evolution Modeling,”</w:t>
      </w:r>
      <w:r>
        <w:t xml:space="preserve"> </w:t>
      </w:r>
      <w:r>
        <w:t xml:space="preserve">Proc. Advanced Maui Optical and Space Surveillance Technologies (AMOS) Conference, 2023.</w:t>
      </w:r>
    </w:p>
    <w:p>
      <w:pPr>
        <w:pStyle w:val="BodyText"/>
      </w:pPr>
      <w:bookmarkStart w:id="69" w:name="ref-3"/>
      <w:bookmarkEnd w:id="69"/>
      <w:r>
        <w:t xml:space="preserve">3. C. Pardini and L. Anselmo,</w:t>
      </w:r>
      <w:r>
        <w:t xml:space="preserve"> </w:t>
      </w:r>
      <w:r>
        <w:t xml:space="preserve">“Evaluating the impact of space activities in low earth orbit,”</w:t>
      </w:r>
      <w:r>
        <w:t xml:space="preserve"> </w:t>
      </w:r>
      <w:r>
        <w:t xml:space="preserve">Acta Astronautica, vol. 184, pp. 11-22, 2021. doi:</w:t>
      </w:r>
      <w:r>
        <w:t xml:space="preserve"> </w:t>
      </w:r>
      <w:hyperlink r:id="rId70">
        <w:r>
          <w:rPr>
            <w:rStyle w:val="Hyperlink"/>
          </w:rPr>
          <w:t xml:space="preserve">10.1016/j.actaastro.2021.03.030</w:t>
        </w:r>
      </w:hyperlink>
    </w:p>
    <w:p>
      <w:pPr>
        <w:pStyle w:val="BodyText"/>
      </w:pPr>
      <w:bookmarkStart w:id="71" w:name="ref-4"/>
      <w:bookmarkEnd w:id="71"/>
      <w:r>
        <w:t xml:space="preserve">4. A. Rossi, F. Fabri, and L. Olivieri,</w:t>
      </w:r>
      <w:r>
        <w:t xml:space="preserve"> </w:t>
      </w:r>
      <w:r>
        <w:t xml:space="preserve">“Analysis of submillimetre fragments generated by high-velocity impacts of a picosatellite mock-up,”</w:t>
      </w:r>
      <w:r>
        <w:t xml:space="preserve"> </w:t>
      </w:r>
      <w:r>
        <w:t xml:space="preserve">Acta Astronautica, vol. 246, 2026. doi:</w:t>
      </w:r>
      <w:r>
        <w:t xml:space="preserve"> </w:t>
      </w:r>
      <w:hyperlink r:id="rId72">
        <w:r>
          <w:rPr>
            <w:rStyle w:val="Hyperlink"/>
          </w:rPr>
          <w:t xml:space="preserve">10.1016/j.actaastro.2026.04.044</w:t>
        </w:r>
      </w:hyperlink>
    </w:p>
    <w:p>
      <w:pPr>
        <w:pStyle w:val="BodyText"/>
      </w:pPr>
      <w:bookmarkStart w:id="73" w:name="ref-5"/>
      <w:bookmarkEnd w:id="73"/>
      <w:r>
        <w:t xml:space="preserve">5. L. Niccolai and G. Mengali,</w:t>
      </w:r>
      <w:r>
        <w:t xml:space="preserve"> </w:t>
      </w:r>
      <w:r>
        <w:t xml:space="preserve">“Decay time estimate for LEO spacecraft,”</w:t>
      </w:r>
      <w:r>
        <w:t xml:space="preserve"> </w:t>
      </w:r>
      <w:r>
        <w:t xml:space="preserve">Acta Astronautica, vol. 225, pp. 601-612, 2024. doi:</w:t>
      </w:r>
      <w:r>
        <w:t xml:space="preserve"> </w:t>
      </w:r>
      <w:hyperlink r:id="rId74">
        <w:r>
          <w:rPr>
            <w:rStyle w:val="Hyperlink"/>
          </w:rPr>
          <w:t xml:space="preserve">10.1016/j.actaastro.2024.09.045</w:t>
        </w:r>
      </w:hyperlink>
    </w:p>
    <w:bookmarkEnd w:id="75"/>
    <w:bookmarkStart w:id="76" w:name="specification"/>
    <w:p>
      <w:pPr>
        <w:pStyle w:val="Heading2"/>
      </w:pPr>
      <w:r>
        <w:t xml:space="preserve">Specification</w:t>
      </w:r>
    </w:p>
    <w:p>
      <w:pPr>
        <w:pStyle w:val="FirstParagraph"/>
      </w:pPr>
      <m:oMathPara>
        <m:oMathParaPr>
          <m:jc m:val="center"/>
        </m:oMathParaPr>
        <m:oMath>
          <m:r>
            <m:t>h</m:t>
          </m:r>
          <m:r>
            <m:rPr>
              <m:sty m:val="p"/>
            </m:rPr>
            <m:t>(</m:t>
          </m:r>
          <m:r>
            <m:t>t</m:t>
          </m:r>
          <m:r>
            <m:rPr>
              <m:sty m:val="p"/>
            </m:rPr>
            <m:t>∣</m:t>
          </m:r>
          <m:r>
            <m:rPr>
              <m:sty m:val="b"/>
            </m:rPr>
            <m:t>x</m:t>
          </m:r>
          <m:r>
            <m:rPr>
              <m:sty m:val="p"/>
            </m:rPr>
            <m:t>)</m:t>
          </m:r>
          <m:r>
            <m:rPr>
              <m:sty m:val="p"/>
            </m:rPr>
            <m:t>=</m:t>
          </m:r>
          <m:sSub>
            <m:e>
              <m:r>
                <m:t>h</m:t>
              </m:r>
            </m:e>
            <m:sub>
              <m:r>
                <m:t>0</m:t>
              </m:r>
            </m:sub>
          </m:sSub>
          <m:r>
            <m:rPr>
              <m:sty m:val="p"/>
            </m:rPr>
            <m:t>(</m:t>
          </m:r>
          <m:r>
            <m:t>t</m:t>
          </m:r>
          <m:r>
            <m:rPr>
              <m:sty m:val="p"/>
            </m:rPr>
            <m:t>)</m:t>
          </m:r>
          <m:r>
            <m:t> </m:t>
          </m:r>
          <m:r>
            <m:rPr>
              <m:sty m:val="p"/>
            </m:rPr>
            <m:t>exp</m:t>
          </m:r>
          <m:r>
            <m:t>​</m:t>
          </m:r>
          <m:d>
            <m:dPr>
              <m:begChr m:val="("/>
              <m:sepChr m:val=""/>
              <m:endChr m:val=")"/>
              <m:grow/>
            </m:dPr>
            <m:e>
              <m:sSub>
                <m:e>
                  <m:r>
                    <m:t>β</m:t>
                  </m:r>
                </m:e>
                <m:sub>
                  <m:r>
                    <m:t>1</m:t>
                  </m:r>
                </m:sub>
              </m:sSub>
              <m:r>
                <m:t> </m:t>
              </m:r>
              <m:sSub>
                <m:e>
                  <m:r>
                    <m:rPr>
                      <m:sty m:val="p"/>
                    </m:rPr>
                    <m:t>a</m:t>
                  </m:r>
                  <m:r>
                    <m:rPr>
                      <m:sty m:val="p"/>
                    </m:rPr>
                    <m:t>l</m:t>
                  </m:r>
                  <m:r>
                    <m:rPr>
                      <m:sty m:val="p"/>
                    </m:rPr>
                    <m:t>t</m:t>
                  </m:r>
                </m:e>
                <m:sub>
                  <m:r>
                    <m:t>100</m:t>
                  </m:r>
                </m:sub>
              </m:sSub>
              <m:r>
                <m:rPr>
                  <m:sty m:val="p"/>
                </m:rPr>
                <m:t>+</m:t>
              </m:r>
              <m:sSub>
                <m:e>
                  <m:r>
                    <m:t>β</m:t>
                  </m:r>
                </m:e>
                <m:sub>
                  <m:r>
                    <m:t>2</m:t>
                  </m:r>
                </m:sub>
              </m:sSub>
              <m:r>
                <m:t> </m:t>
              </m:r>
              <m:r>
                <m:rPr>
                  <m:sty m:val="p"/>
                </m:rPr>
                <m:t>h</m:t>
              </m:r>
              <m:r>
                <m:rPr>
                  <m:sty m:val="p"/>
                </m:rPr>
                <m:t>e</m:t>
              </m:r>
              <m:r>
                <m:rPr>
                  <m:sty m:val="p"/>
                </m:rPr>
                <m:t>a</m:t>
              </m:r>
              <m:r>
                <m:rPr>
                  <m:sty m:val="p"/>
                </m:rPr>
                <m:t>v</m:t>
              </m:r>
              <m:r>
                <m:rPr>
                  <m:sty m:val="p"/>
                </m:rPr>
                <m:t>y</m:t>
              </m:r>
              <m:r>
                <m:rPr>
                  <m:sty m:val="p"/>
                </m:rPr>
                <m:t>+</m:t>
              </m:r>
              <m:sSub>
                <m:e>
                  <m:r>
                    <m:t>β</m:t>
                  </m:r>
                </m:e>
                <m:sub>
                  <m:r>
                    <m:t>3</m:t>
                  </m:r>
                </m:sub>
              </m:sSub>
              <m:r>
                <m:t> </m:t>
              </m:r>
              <m:r>
                <m:rPr>
                  <m:sty m:val="p"/>
                </m:rPr>
                <m:t>s</m:t>
              </m:r>
              <m:r>
                <m:rPr>
                  <m:sty m:val="p"/>
                </m:rPr>
                <m:t>o</m:t>
              </m:r>
              <m:r>
                <m:rPr>
                  <m:sty m:val="p"/>
                </m:rPr>
                <m:t>l</m:t>
              </m:r>
              <m:r>
                <m:rPr>
                  <m:sty m:val="p"/>
                </m:rPr>
                <m:t>a</m:t>
              </m:r>
              <m:r>
                <m:rPr>
                  <m:sty m:val="p"/>
                </m:rPr>
                <m:t>r</m:t>
              </m:r>
            </m:e>
          </m:d>
        </m:oMath>
      </m:oMathPara>
    </w:p>
    <w:bookmarkEnd w:id="76"/>
    <w:bookmarkStart w:id="80" w:name="results"/>
    <w:p>
      <w:pPr>
        <w:pStyle w:val="Heading2"/>
      </w:pPr>
      <w:r>
        <w:t xml:space="preserve">Results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alt_band_100km</w:t>
            </w:r>
          </w:p>
        </w:tc>
        <w:tc>
          <w:tcPr>
            <w:tcW w:w="0" w:type="auto"/>
          </w:tcPr>
          <w:p>
            <w:pPr>
              <w:spacing w:line="240" w:lineRule="auto" w:before="0" w:after="0"/>
              <w:pStyle w:val="Compact"/>
            </w:pPr>
            <w:r>
              <w:rPr>
                <w:sz w:val="20"/>
                <w:szCs w:val="20"/>
              </w:rPr>
              <w:t xml:space="preserve">-0.5377</w:t>
            </w:r>
          </w:p>
        </w:tc>
        <w:tc>
          <w:tcPr>
            <w:tcW w:w="0" w:type="auto"/>
          </w:tcPr>
          <w:p>
            <w:pPr>
              <w:spacing w:line="240" w:lineRule="auto" w:before="0" w:after="0"/>
              <w:pStyle w:val="Compact"/>
            </w:pPr>
            <w:r>
              <w:rPr>
                <w:sz w:val="20"/>
                <w:szCs w:val="20"/>
              </w:rPr>
              <w:t xml:space="preserve">0.1584</w:t>
            </w:r>
          </w:p>
        </w:tc>
        <w:tc>
          <w:tcPr>
            <w:tcW w:w="0" w:type="auto"/>
          </w:tcPr>
          <w:p>
            <w:pPr>
              <w:spacing w:line="240" w:lineRule="auto" w:before="0" w:after="0"/>
              <w:pStyle w:val="Compact"/>
            </w:pPr>
            <w:r>
              <w:rPr>
                <w:sz w:val="20"/>
                <w:szCs w:val="20"/>
              </w:rPr>
              <w:t xml:space="preserve">-3.3954</w:t>
            </w:r>
          </w:p>
        </w:tc>
        <w:tc>
          <w:tcPr>
            <w:tcW w:w="0" w:type="auto"/>
          </w:tcPr>
          <w:p>
            <w:pPr>
              <w:spacing w:line="240" w:lineRule="auto" w:before="0" w:after="0"/>
              <w:pStyle w:val="Compact"/>
            </w:pPr>
            <w:r>
              <w:rPr>
                <w:sz w:val="20"/>
                <w:szCs w:val="20"/>
              </w:rPr>
              <w:t xml:space="preserve">0.0006853</w:t>
            </w:r>
          </w:p>
        </w:tc>
        <w:tc>
          <w:tcPr>
            <w:tcW w:w="0" w:type="auto"/>
          </w:tcPr>
          <w:p>
            <w:pPr>
              <w:spacing w:line="240" w:lineRule="auto" w:before="0" w:after="0"/>
              <w:pStyle w:val="Compact"/>
            </w:pPr>
            <w:r>
              <w:rPr>
                <w:sz w:val="20"/>
                <w:szCs w:val="20"/>
              </w:rPr>
              <w:t xml:space="preserve">[-0.8482, -0.2273]</w:t>
            </w:r>
          </w:p>
        </w:tc>
        <w:tc>
          <w:tcPr>
            <w:tcW w:w="0" w:type="auto"/>
          </w:tcPr>
          <w:p>
            <w:pPr>
              <w:spacing w:line="240" w:lineRule="auto" w:before="0" w:after="0"/>
              <w:pStyle w:val="Compact"/>
            </w:pPr>
            <w:r>
              <w:rPr>
                <w:sz w:val="20"/>
                <w:szCs w:val="20"/>
              </w:rPr>
              <w:t xml:space="preserve">0.5841</w:t>
            </w:r>
          </w:p>
        </w:tc>
      </w:tr>
      <w:tr>
        <w:tc>
          <w:tcPr>
            <w:tcW w:w="0" w:type="auto"/>
          </w:tcPr>
          <w:p>
            <w:pPr>
              <w:spacing w:line="240" w:lineRule="auto" w:before="0" w:after="0"/>
              <w:pStyle w:val="Compact"/>
            </w:pPr>
            <w:r>
              <w:rPr>
                <w:sz w:val="20"/>
                <w:szCs w:val="20"/>
              </w:rPr>
              <w:t xml:space="preserve">object_class_heavy</w:t>
            </w:r>
          </w:p>
        </w:tc>
        <w:tc>
          <w:tcPr>
            <w:tcW w:w="0" w:type="auto"/>
          </w:tcPr>
          <w:p>
            <w:pPr>
              <w:spacing w:line="240" w:lineRule="auto" w:before="0" w:after="0"/>
              <w:pStyle w:val="Compact"/>
            </w:pPr>
            <w:r>
              <w:rPr>
                <w:sz w:val="20"/>
                <w:szCs w:val="20"/>
              </w:rPr>
              <w:t xml:space="preserve">-1.3329</w:t>
            </w:r>
          </w:p>
        </w:tc>
        <w:tc>
          <w:tcPr>
            <w:tcW w:w="0" w:type="auto"/>
          </w:tcPr>
          <w:p>
            <w:pPr>
              <w:spacing w:line="240" w:lineRule="auto" w:before="0" w:after="0"/>
              <w:pStyle w:val="Compact"/>
            </w:pPr>
            <w:r>
              <w:rPr>
                <w:sz w:val="20"/>
                <w:szCs w:val="20"/>
              </w:rPr>
              <w:t xml:space="preserve">0.6187</w:t>
            </w:r>
          </w:p>
        </w:tc>
        <w:tc>
          <w:tcPr>
            <w:tcW w:w="0" w:type="auto"/>
          </w:tcPr>
          <w:p>
            <w:pPr>
              <w:spacing w:line="240" w:lineRule="auto" w:before="0" w:after="0"/>
              <w:pStyle w:val="Compact"/>
            </w:pPr>
            <w:r>
              <w:rPr>
                <w:sz w:val="20"/>
                <w:szCs w:val="20"/>
              </w:rPr>
              <w:t xml:space="preserve">-2.1544</w:t>
            </w:r>
          </w:p>
        </w:tc>
        <w:tc>
          <w:tcPr>
            <w:tcW w:w="0" w:type="auto"/>
          </w:tcPr>
          <w:p>
            <w:pPr>
              <w:spacing w:line="240" w:lineRule="auto" w:before="0" w:after="0"/>
              <w:pStyle w:val="Compact"/>
            </w:pPr>
            <w:r>
              <w:rPr>
                <w:sz w:val="20"/>
                <w:szCs w:val="20"/>
              </w:rPr>
              <w:t xml:space="preserve">0.0312</w:t>
            </w:r>
          </w:p>
        </w:tc>
        <w:tc>
          <w:tcPr>
            <w:tcW w:w="0" w:type="auto"/>
          </w:tcPr>
          <w:p>
            <w:pPr>
              <w:spacing w:line="240" w:lineRule="auto" w:before="0" w:after="0"/>
              <w:pStyle w:val="Compact"/>
            </w:pPr>
            <w:r>
              <w:rPr>
                <w:sz w:val="20"/>
                <w:szCs w:val="20"/>
              </w:rPr>
              <w:t xml:space="preserve">[-2.5455, -0.1203]</w:t>
            </w:r>
          </w:p>
        </w:tc>
        <w:tc>
          <w:tcPr>
            <w:tcW w:w="0" w:type="auto"/>
          </w:tcPr>
          <w:p>
            <w:pPr>
              <w:spacing w:line="240" w:lineRule="auto" w:before="0" w:after="0"/>
              <w:pStyle w:val="Compact"/>
            </w:pPr>
            <w:r>
              <w:rPr>
                <w:sz w:val="20"/>
                <w:szCs w:val="20"/>
              </w:rPr>
              <w:t xml:space="preserve">0.2637</w:t>
            </w:r>
          </w:p>
        </w:tc>
      </w:tr>
      <w:tr>
        <w:tc>
          <w:tcPr>
            <w:tcW w:w="0" w:type="auto"/>
          </w:tcPr>
          <w:p>
            <w:pPr>
              <w:spacing w:line="240" w:lineRule="auto" w:before="0" w:after="0"/>
              <w:pStyle w:val="Compact"/>
            </w:pPr>
            <w:r>
              <w:rPr>
                <w:sz w:val="20"/>
                <w:szCs w:val="20"/>
              </w:rPr>
              <w:t xml:space="preserve">solar_high_at_launch</w:t>
            </w:r>
          </w:p>
        </w:tc>
        <w:tc>
          <w:tcPr>
            <w:tcW w:w="0" w:type="auto"/>
          </w:tcPr>
          <w:p>
            <w:pPr>
              <w:spacing w:line="240" w:lineRule="auto" w:before="0" w:after="0"/>
              <w:pStyle w:val="Compact"/>
            </w:pPr>
            <w:r>
              <w:rPr>
                <w:sz w:val="20"/>
                <w:szCs w:val="20"/>
              </w:rPr>
              <w:t xml:space="preserve">0.7071</w:t>
            </w:r>
          </w:p>
        </w:tc>
        <w:tc>
          <w:tcPr>
            <w:tcW w:w="0" w:type="auto"/>
          </w:tcPr>
          <w:p>
            <w:pPr>
              <w:spacing w:line="240" w:lineRule="auto" w:before="0" w:after="0"/>
              <w:pStyle w:val="Compact"/>
            </w:pPr>
            <w:r>
              <w:rPr>
                <w:sz w:val="20"/>
                <w:szCs w:val="20"/>
              </w:rPr>
              <w:t xml:space="preserve">0.5594</w:t>
            </w:r>
          </w:p>
        </w:tc>
        <w:tc>
          <w:tcPr>
            <w:tcW w:w="0" w:type="auto"/>
          </w:tcPr>
          <w:p>
            <w:pPr>
              <w:spacing w:line="240" w:lineRule="auto" w:before="0" w:after="0"/>
              <w:pStyle w:val="Compact"/>
            </w:pPr>
            <w:r>
              <w:rPr>
                <w:sz w:val="20"/>
                <w:szCs w:val="20"/>
              </w:rPr>
              <w:t xml:space="preserve">1.2639</w:t>
            </w:r>
          </w:p>
        </w:tc>
        <w:tc>
          <w:tcPr>
            <w:tcW w:w="0" w:type="auto"/>
          </w:tcPr>
          <w:p>
            <w:pPr>
              <w:spacing w:line="240" w:lineRule="auto" w:before="0" w:after="0"/>
              <w:pStyle w:val="Compact"/>
            </w:pPr>
            <w:r>
              <w:rPr>
                <w:sz w:val="20"/>
                <w:szCs w:val="20"/>
              </w:rPr>
              <w:t xml:space="preserve">0.2063</w:t>
            </w:r>
          </w:p>
        </w:tc>
        <w:tc>
          <w:tcPr>
            <w:tcW w:w="0" w:type="auto"/>
          </w:tcPr>
          <w:p>
            <w:pPr>
              <w:spacing w:line="240" w:lineRule="auto" w:before="0" w:after="0"/>
              <w:pStyle w:val="Compact"/>
            </w:pPr>
            <w:r>
              <w:rPr>
                <w:sz w:val="20"/>
                <w:szCs w:val="20"/>
              </w:rPr>
              <w:t xml:space="preserve">[-0.3894, 1.8036]</w:t>
            </w:r>
          </w:p>
        </w:tc>
        <w:tc>
          <w:tcPr>
            <w:tcW w:w="0" w:type="auto"/>
          </w:tcPr>
          <w:p>
            <w:pPr>
              <w:spacing w:line="240" w:lineRule="auto" w:before="0" w:after="0"/>
              <w:pStyle w:val="Compact"/>
            </w:pPr>
            <w:r>
              <w:rPr>
                <w:sz w:val="20"/>
                <w:szCs w:val="20"/>
              </w:rPr>
              <w:t xml:space="preserve">2.028</w:t>
            </w:r>
          </w:p>
        </w:tc>
      </w:tr>
    </w:tbl>
    <w:p>
      <w:pPr>
        <w:pStyle w:val="BodyText"/>
      </w:pPr>
      <w:r>
        <w:t xml:space="preserve">Fit: N = 34 events = 22</w:t>
      </w:r>
    </w:p>
    <w:p>
      <w:pPr>
        <w:pStyle w:val="CaptionedFigure"/>
      </w:pPr>
      <w:r>
        <w:drawing>
          <wp:inline>
            <wp:extent cx="5669280" cy="3657600"/>
            <wp:effectExtent b="0" l="0" r="0" t="0"/>
            <wp:docPr descr="Figure 1. Observed on-orbit survival time against mean altitude band for 34 documented LEO objects. Higher bands exhibit markedly longer residence times, consistent with a declining decay hazard and weakening atmospheric sink with altitude." title="" id="78" name="Picture"/>
            <a:graphic>
              <a:graphicData uri="http://schemas.openxmlformats.org/drawingml/2006/picture">
                <pic:pic>
                  <pic:nvPicPr>
                    <pic:cNvPr descr="D:\Claude_Code\brain\collegium\candidates\dissertations\DEBRIS_05\research_papers\p2\paper_fig1.png" id="79" name="Picture"/>
                    <pic:cNvPicPr>
                      <a:picLocks noChangeArrowheads="1" noChangeAspect="1"/>
                    </pic:cNvPicPr>
                  </pic:nvPicPr>
                  <pic:blipFill>
                    <a:blip r:embed="rId77"/>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Observed on-orbit survival time against mean altitude band for 34 documented LEO objects. Higher bands exhibit markedly longer residence times, consistent with a declining decay hazard and weakening atmospheric sink with altitude.</w:t>
      </w:r>
    </w:p>
    <w:bookmarkEnd w:id="80"/>
    <w:bookmarkStart w:id="84"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1"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object</w:t>
            </w:r>
          </w:p>
        </w:tc>
        <w:tc>
          <w:tcPr>
            <w:tcW w:w="0" w:type="auto"/>
          </w:tcPr>
          <w:p>
            <w:pPr>
              <w:spacing w:line="240" w:lineRule="auto" w:before="0" w:after="0"/>
              <w:pStyle w:val="Compact"/>
            </w:pPr>
            <w:r>
              <w:rPr>
                <w:sz w:val="20"/>
                <w:szCs w:val="20"/>
              </w:rPr>
              <w:t xml:space="preserve">intl_designator</w:t>
            </w:r>
          </w:p>
        </w:tc>
        <w:tc>
          <w:tcPr>
            <w:tcW w:w="0" w:type="auto"/>
          </w:tcPr>
          <w:p>
            <w:pPr>
              <w:spacing w:line="240" w:lineRule="auto" w:before="0" w:after="0"/>
              <w:pStyle w:val="Compact"/>
            </w:pPr>
            <w:r>
              <w:rPr>
                <w:sz w:val="20"/>
                <w:szCs w:val="20"/>
              </w:rPr>
              <w:t xml:space="preserve">launch_year</w:t>
            </w:r>
          </w:p>
        </w:tc>
        <w:tc>
          <w:tcPr>
            <w:tcW w:w="0" w:type="auto"/>
          </w:tcPr>
          <w:p>
            <w:pPr>
              <w:spacing w:line="240" w:lineRule="auto" w:before="0" w:after="0"/>
              <w:pStyle w:val="Compact"/>
            </w:pPr>
            <w:r>
              <w:rPr>
                <w:sz w:val="20"/>
                <w:szCs w:val="20"/>
              </w:rPr>
              <w:t xml:space="preserve">months_on_orbit</w:t>
            </w:r>
          </w:p>
        </w:tc>
        <w:tc>
          <w:tcPr>
            <w:tcW w:w="0" w:type="auto"/>
          </w:tcPr>
          <w:p>
            <w:pPr>
              <w:spacing w:line="240" w:lineRule="auto" w:before="0" w:after="0"/>
              <w:pStyle w:val="Compact"/>
            </w:pPr>
            <w:r>
              <w:rPr>
                <w:sz w:val="20"/>
                <w:szCs w:val="20"/>
              </w:rPr>
              <w:t xml:space="preserve">decayed</w:t>
            </w:r>
          </w:p>
        </w:tc>
        <w:tc>
          <w:tcPr>
            <w:tcW w:w="0" w:type="auto"/>
          </w:tcPr>
          <w:p>
            <w:pPr>
              <w:spacing w:line="240" w:lineRule="auto" w:before="0" w:after="0"/>
              <w:pStyle w:val="Compact"/>
            </w:pPr>
            <w:r>
              <w:rPr>
                <w:sz w:val="20"/>
                <w:szCs w:val="20"/>
              </w:rPr>
              <w:t xml:space="preserve">perigee_alt_km</w:t>
            </w:r>
          </w:p>
        </w:tc>
        <w:tc>
          <w:tcPr>
            <w:tcW w:w="0" w:type="auto"/>
          </w:tcPr>
          <w:p>
            <w:pPr>
              <w:spacing w:line="240" w:lineRule="auto" w:before="0" w:after="0"/>
              <w:pStyle w:val="Compact"/>
            </w:pPr>
            <w:r>
              <w:rPr>
                <w:sz w:val="20"/>
                <w:szCs w:val="20"/>
              </w:rPr>
              <w:t xml:space="preserve">mean_alt_band_km</w:t>
            </w:r>
          </w:p>
        </w:tc>
        <w:tc>
          <w:tcPr>
            <w:tcW w:w="0" w:type="auto"/>
          </w:tcPr>
          <w:p>
            <w:pPr>
              <w:spacing w:line="240" w:lineRule="auto" w:before="0" w:after="0"/>
              <w:pStyle w:val="Compact"/>
            </w:pPr>
            <w:r>
              <w:rPr>
                <w:sz w:val="20"/>
                <w:szCs w:val="20"/>
              </w:rPr>
              <w:t xml:space="preserve">object_class_heavy</w:t>
            </w:r>
          </w:p>
        </w:tc>
        <w:tc>
          <w:tcPr>
            <w:tcW w:w="0" w:type="auto"/>
          </w:tcPr>
          <w:p>
            <w:pPr>
              <w:spacing w:line="240" w:lineRule="auto" w:before="0" w:after="0"/>
              <w:pStyle w:val="Compact"/>
            </w:pPr>
            <w:r>
              <w:rPr>
                <w:sz w:val="20"/>
                <w:szCs w:val="20"/>
              </w:rPr>
              <w:t xml:space="preserve">solar_high_at_launch</w:t>
            </w:r>
          </w:p>
        </w:tc>
        <w:tc>
          <w:tcPr>
            <w:tcW w:w="0" w:type="auto"/>
          </w:tcPr>
          <w:p>
            <w:pPr>
              <w:spacing w:line="240" w:lineRule="auto" w:before="0" w:after="0"/>
              <w:pStyle w:val="Compact"/>
            </w:pPr>
            <w:r>
              <w:rPr>
                <w:sz w:val="20"/>
                <w:szCs w:val="20"/>
              </w:rPr>
              <w:t xml:space="preserve">alt_band_100km</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Sputnik 1</w:t>
            </w:r>
          </w:p>
        </w:tc>
        <w:tc>
          <w:tcPr>
            <w:tcW w:w="0" w:type="auto"/>
          </w:tcPr>
          <w:p>
            <w:pPr>
              <w:spacing w:line="240" w:lineRule="auto" w:before="0" w:after="0"/>
              <w:pStyle w:val="Compact"/>
            </w:pPr>
            <w:r>
              <w:rPr>
                <w:sz w:val="20"/>
                <w:szCs w:val="20"/>
              </w:rPr>
              <w:t xml:space="preserve">1957-001B</w:t>
            </w:r>
          </w:p>
        </w:tc>
        <w:tc>
          <w:tcPr>
            <w:tcW w:w="0" w:type="auto"/>
          </w:tcPr>
          <w:p>
            <w:pPr>
              <w:spacing w:line="240" w:lineRule="auto" w:before="0" w:after="0"/>
              <w:pStyle w:val="Compact"/>
            </w:pPr>
            <w:r>
              <w:rPr>
                <w:sz w:val="20"/>
                <w:szCs w:val="20"/>
              </w:rPr>
              <w:t xml:space="preserve">1957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215</w:t>
            </w:r>
          </w:p>
        </w:tc>
        <w:tc>
          <w:tcPr>
            <w:tcW w:w="0" w:type="auto"/>
          </w:tcPr>
          <w:p>
            <w:pPr>
              <w:spacing w:line="240" w:lineRule="auto" w:before="0" w:after="0"/>
              <w:pStyle w:val="Compact"/>
            </w:pPr>
            <w:r>
              <w:rPr>
                <w:sz w:val="20"/>
                <w:szCs w:val="20"/>
              </w:rPr>
              <w:t xml:space="preserve">350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NSSDCA Master Catalog 1957-001B; launch 1957-10-04, decayed 1958-01-04, ~3 months</w:t>
            </w:r>
          </w:p>
        </w:tc>
      </w:tr>
      <w:tr>
        <w:tc>
          <w:tcPr>
            <w:tcW w:w="0" w:type="auto"/>
          </w:tcPr>
          <w:p>
            <w:pPr>
              <w:spacing w:line="240" w:lineRule="auto" w:before="0" w:after="0"/>
              <w:pStyle w:val="Compact"/>
            </w:pPr>
            <w:r>
              <w:rPr>
                <w:sz w:val="20"/>
                <w:szCs w:val="20"/>
              </w:rPr>
              <w:t xml:space="preserve">Echo 1</w:t>
            </w:r>
          </w:p>
        </w:tc>
        <w:tc>
          <w:tcPr>
            <w:tcW w:w="0" w:type="auto"/>
          </w:tcPr>
          <w:p>
            <w:pPr>
              <w:spacing w:line="240" w:lineRule="auto" w:before="0" w:after="0"/>
              <w:pStyle w:val="Compact"/>
            </w:pPr>
            <w:r>
              <w:rPr>
                <w:sz w:val="20"/>
                <w:szCs w:val="20"/>
              </w:rPr>
              <w:t xml:space="preserve">1960-009A</w:t>
            </w:r>
          </w:p>
        </w:tc>
        <w:tc>
          <w:tcPr>
            <w:tcW w:w="0" w:type="auto"/>
          </w:tcPr>
          <w:p>
            <w:pPr>
              <w:spacing w:line="240" w:lineRule="auto" w:before="0" w:after="0"/>
              <w:pStyle w:val="Compact"/>
            </w:pPr>
            <w:r>
              <w:rPr>
                <w:sz w:val="20"/>
                <w:szCs w:val="20"/>
              </w:rPr>
              <w:t xml:space="preserve">1960</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1519</w:t>
            </w:r>
          </w:p>
        </w:tc>
        <w:tc>
          <w:tcPr>
            <w:tcW w:w="0" w:type="auto"/>
          </w:tcPr>
          <w:p>
            <w:pPr>
              <w:spacing w:line="240" w:lineRule="auto" w:before="0" w:after="0"/>
              <w:pStyle w:val="Compact"/>
            </w:pPr>
            <w:r>
              <w:rPr>
                <w:sz w:val="20"/>
                <w:szCs w:val="20"/>
              </w:rPr>
              <w:t xml:space="preserve">1600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NSSDCA 1960-009A; launched 1960-08-12, decayed 1968-05-24, ~93 months</w:t>
            </w:r>
          </w:p>
        </w:tc>
      </w:tr>
      <w:tr>
        <w:tc>
          <w:tcPr>
            <w:tcW w:w="0" w:type="auto"/>
          </w:tcPr>
          <w:p>
            <w:pPr>
              <w:spacing w:line="240" w:lineRule="auto" w:before="0" w:after="0"/>
              <w:pStyle w:val="Compact"/>
            </w:pPr>
            <w:r>
              <w:rPr>
                <w:sz w:val="20"/>
                <w:szCs w:val="20"/>
              </w:rPr>
              <w:t xml:space="preserve">Cosmos 482 descent craft</w:t>
            </w:r>
          </w:p>
        </w:tc>
        <w:tc>
          <w:tcPr>
            <w:tcW w:w="0" w:type="auto"/>
          </w:tcPr>
          <w:p>
            <w:pPr>
              <w:spacing w:line="240" w:lineRule="auto" w:before="0" w:after="0"/>
              <w:pStyle w:val="Compact"/>
            </w:pPr>
            <w:r>
              <w:rPr>
                <w:sz w:val="20"/>
                <w:szCs w:val="20"/>
              </w:rPr>
              <w:t xml:space="preserve">1972-023E</w:t>
            </w:r>
          </w:p>
        </w:tc>
        <w:tc>
          <w:tcPr>
            <w:tcW w:w="0" w:type="auto"/>
          </w:tcPr>
          <w:p>
            <w:pPr>
              <w:spacing w:line="240" w:lineRule="auto" w:before="0" w:after="0"/>
              <w:pStyle w:val="Compact"/>
            </w:pPr>
            <w:r>
              <w:rPr>
                <w:sz w:val="20"/>
                <w:szCs w:val="20"/>
              </w:rPr>
              <w:t xml:space="preserve">1972</w:t>
            </w:r>
          </w:p>
        </w:tc>
        <w:tc>
          <w:tcPr>
            <w:tcW w:w="0" w:type="auto"/>
          </w:tcPr>
          <w:p>
            <w:pPr>
              <w:spacing w:line="240" w:lineRule="auto" w:before="0" w:after="0"/>
              <w:pStyle w:val="Compact"/>
            </w:pPr>
            <w:r>
              <w:rPr>
                <w:sz w:val="20"/>
                <w:szCs w:val="20"/>
              </w:rPr>
              <w:t xml:space="preserve">636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210</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NSSDCA 1972-023E Venera-class; decayed 2025-05-10 per ESA/Aerospace reentry record, ~636 months</w:t>
            </w:r>
          </w:p>
        </w:tc>
      </w:tr>
      <w:tr>
        <w:tc>
          <w:tcPr>
            <w:tcW w:w="0" w:type="auto"/>
          </w:tcPr>
          <w:p>
            <w:pPr>
              <w:spacing w:line="240" w:lineRule="auto" w:before="0" w:after="0"/>
              <w:pStyle w:val="Compact"/>
            </w:pPr>
            <w:r>
              <w:rPr>
                <w:sz w:val="20"/>
                <w:szCs w:val="20"/>
              </w:rPr>
              <w:t xml:space="preserve">Skylab</w:t>
            </w:r>
          </w:p>
        </w:tc>
        <w:tc>
          <w:tcPr>
            <w:tcW w:w="0" w:type="auto"/>
          </w:tcPr>
          <w:p>
            <w:pPr>
              <w:spacing w:line="240" w:lineRule="auto" w:before="0" w:after="0"/>
              <w:pStyle w:val="Compact"/>
            </w:pPr>
            <w:r>
              <w:rPr>
                <w:sz w:val="20"/>
                <w:szCs w:val="20"/>
              </w:rPr>
              <w:t xml:space="preserve">1973-027A</w:t>
            </w:r>
          </w:p>
        </w:tc>
        <w:tc>
          <w:tcPr>
            <w:tcW w:w="0" w:type="auto"/>
          </w:tcPr>
          <w:p>
            <w:pPr>
              <w:spacing w:line="240" w:lineRule="auto" w:before="0" w:after="0"/>
              <w:pStyle w:val="Compact"/>
            </w:pPr>
            <w:r>
              <w:rPr>
                <w:sz w:val="20"/>
                <w:szCs w:val="20"/>
              </w:rPr>
              <w:t xml:space="preserve">1973</w:t>
            </w:r>
          </w:p>
        </w:tc>
        <w:tc>
          <w:tcPr>
            <w:tcW w:w="0" w:type="auto"/>
          </w:tcPr>
          <w:p>
            <w:pPr>
              <w:spacing w:line="240" w:lineRule="auto" w:before="0" w:after="0"/>
              <w:pStyle w:val="Compact"/>
            </w:pPr>
            <w:r>
              <w:rPr>
                <w:sz w:val="20"/>
                <w:szCs w:val="20"/>
              </w:rPr>
              <w:t xml:space="preserve">74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434</w:t>
            </w:r>
          </w:p>
        </w:tc>
        <w:tc>
          <w:tcPr>
            <w:tcW w:w="0" w:type="auto"/>
          </w:tcPr>
          <w:p>
            <w:pPr>
              <w:spacing w:line="240" w:lineRule="auto" w:before="0" w:after="0"/>
              <w:pStyle w:val="Compact"/>
            </w:pPr>
            <w:r>
              <w:rPr>
                <w:sz w:val="20"/>
                <w:szCs w:val="20"/>
              </w:rPr>
              <w:t xml:space="preserve">440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NSSDCA 1973-027A; launched 1973-05-14, reentered 1979-07-11, ~74 months</w:t>
            </w:r>
          </w:p>
        </w:tc>
      </w:tr>
      <w:tr>
        <w:tc>
          <w:tcPr>
            <w:tcW w:w="0" w:type="auto"/>
          </w:tcPr>
          <w:p>
            <w:pPr>
              <w:spacing w:line="240" w:lineRule="auto" w:before="0" w:after="0"/>
              <w:pStyle w:val="Compact"/>
            </w:pPr>
            <w:r>
              <w:rPr>
                <w:sz w:val="20"/>
                <w:szCs w:val="20"/>
              </w:rPr>
              <w:t xml:space="preserve">Solar Max SMM</w:t>
            </w:r>
          </w:p>
        </w:tc>
        <w:tc>
          <w:tcPr>
            <w:tcW w:w="0" w:type="auto"/>
          </w:tcPr>
          <w:p>
            <w:pPr>
              <w:spacing w:line="240" w:lineRule="auto" w:before="0" w:after="0"/>
              <w:pStyle w:val="Compact"/>
            </w:pPr>
            <w:r>
              <w:rPr>
                <w:sz w:val="20"/>
                <w:szCs w:val="20"/>
              </w:rPr>
              <w:t xml:space="preserve">1980-014A</w:t>
            </w:r>
          </w:p>
        </w:tc>
        <w:tc>
          <w:tcPr>
            <w:tcW w:w="0" w:type="auto"/>
          </w:tcPr>
          <w:p>
            <w:pPr>
              <w:spacing w:line="240" w:lineRule="auto" w:before="0" w:after="0"/>
              <w:pStyle w:val="Compact"/>
            </w:pPr>
            <w:r>
              <w:rPr>
                <w:sz w:val="20"/>
                <w:szCs w:val="20"/>
              </w:rPr>
              <w:t xml:space="preserve">1980</w:t>
            </w:r>
          </w:p>
        </w:tc>
        <w:tc>
          <w:tcPr>
            <w:tcW w:w="0" w:type="auto"/>
          </w:tcPr>
          <w:p>
            <w:pPr>
              <w:spacing w:line="240" w:lineRule="auto" w:before="0" w:after="0"/>
              <w:pStyle w:val="Compact"/>
            </w:pPr>
            <w:r>
              <w:rPr>
                <w:sz w:val="20"/>
                <w:szCs w:val="20"/>
              </w:rPr>
              <w:t xml:space="preserve">118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490</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NSSDCA 1980-014A; launched 1980-02-14, reentered 1989-12-02, ~118 months</w:t>
            </w:r>
          </w:p>
        </w:tc>
      </w:tr>
      <w:tr>
        <w:tc>
          <w:tcPr>
            <w:tcW w:w="0" w:type="auto"/>
          </w:tcPr>
          <w:p>
            <w:pPr>
              <w:spacing w:line="240" w:lineRule="auto" w:before="0" w:after="0"/>
              <w:pStyle w:val="Compact"/>
            </w:pPr>
            <w:r>
              <w:rPr>
                <w:sz w:val="20"/>
                <w:szCs w:val="20"/>
              </w:rPr>
              <w:t xml:space="preserve">LDEF</w:t>
            </w:r>
          </w:p>
        </w:tc>
        <w:tc>
          <w:tcPr>
            <w:tcW w:w="0" w:type="auto"/>
          </w:tcPr>
          <w:p>
            <w:pPr>
              <w:spacing w:line="240" w:lineRule="auto" w:before="0" w:after="0"/>
              <w:pStyle w:val="Compact"/>
            </w:pPr>
            <w:r>
              <w:rPr>
                <w:sz w:val="20"/>
                <w:szCs w:val="20"/>
              </w:rPr>
              <w:t xml:space="preserve">1984-034B</w:t>
            </w:r>
          </w:p>
        </w:tc>
        <w:tc>
          <w:tcPr>
            <w:tcW w:w="0" w:type="auto"/>
          </w:tcPr>
          <w:p>
            <w:pPr>
              <w:spacing w:line="240" w:lineRule="auto" w:before="0" w:after="0"/>
              <w:pStyle w:val="Compact"/>
            </w:pPr>
            <w:r>
              <w:rPr>
                <w:sz w:val="20"/>
                <w:szCs w:val="20"/>
              </w:rPr>
              <w:t xml:space="preserve">1984</w:t>
            </w:r>
          </w:p>
        </w:tc>
        <w:tc>
          <w:tcPr>
            <w:tcW w:w="0" w:type="auto"/>
          </w:tcPr>
          <w:p>
            <w:pPr>
              <w:spacing w:line="240" w:lineRule="auto" w:before="0" w:after="0"/>
              <w:pStyle w:val="Compact"/>
            </w:pPr>
            <w:r>
              <w:rPr>
                <w:sz w:val="20"/>
                <w:szCs w:val="20"/>
              </w:rPr>
              <w:t xml:space="preserve">69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474</w:t>
            </w:r>
          </w:p>
        </w:tc>
        <w:tc>
          <w:tcPr>
            <w:tcW w:w="0" w:type="auto"/>
          </w:tcPr>
          <w:p>
            <w:pPr>
              <w:spacing w:line="240" w:lineRule="auto" w:before="0" w:after="0"/>
              <w:pStyle w:val="Compact"/>
            </w:pPr>
            <w:r>
              <w:rPr>
                <w:sz w:val="20"/>
                <w:szCs w:val="20"/>
              </w:rPr>
              <w:t xml:space="preserve">330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NSSDCA 1984-034B; deployed 1984-04-07, retrieved 1990-01-12 from decaying orbit, ~69 months</w:t>
            </w:r>
          </w:p>
        </w:tc>
      </w:tr>
      <w:tr>
        <w:tc>
          <w:tcPr>
            <w:tcW w:w="0" w:type="auto"/>
          </w:tcPr>
          <w:p>
            <w:pPr>
              <w:spacing w:line="240" w:lineRule="auto" w:before="0" w:after="0"/>
              <w:pStyle w:val="Compact"/>
            </w:pPr>
            <w:r>
              <w:rPr>
                <w:sz w:val="20"/>
                <w:szCs w:val="20"/>
              </w:rPr>
              <w:t xml:space="preserve">Mir</w:t>
            </w:r>
          </w:p>
        </w:tc>
        <w:tc>
          <w:tcPr>
            <w:tcW w:w="0" w:type="auto"/>
          </w:tcPr>
          <w:p>
            <w:pPr>
              <w:spacing w:line="240" w:lineRule="auto" w:before="0" w:after="0"/>
              <w:pStyle w:val="Compact"/>
            </w:pPr>
            <w:r>
              <w:rPr>
                <w:sz w:val="20"/>
                <w:szCs w:val="20"/>
              </w:rPr>
              <w:t xml:space="preserve">1986-017A</w:t>
            </w:r>
          </w:p>
        </w:tc>
        <w:tc>
          <w:tcPr>
            <w:tcW w:w="0" w:type="auto"/>
          </w:tcPr>
          <w:p>
            <w:pPr>
              <w:spacing w:line="240" w:lineRule="auto" w:before="0" w:after="0"/>
              <w:pStyle w:val="Compact"/>
            </w:pPr>
            <w:r>
              <w:rPr>
                <w:sz w:val="20"/>
                <w:szCs w:val="20"/>
              </w:rPr>
              <w:t xml:space="preserve">1986</w:t>
            </w:r>
          </w:p>
        </w:tc>
        <w:tc>
          <w:tcPr>
            <w:tcW w:w="0" w:type="auto"/>
          </w:tcPr>
          <w:p>
            <w:pPr>
              <w:spacing w:line="240" w:lineRule="auto" w:before="0" w:after="0"/>
              <w:pStyle w:val="Compact"/>
            </w:pPr>
            <w:r>
              <w:rPr>
                <w:sz w:val="20"/>
                <w:szCs w:val="20"/>
              </w:rPr>
              <w:t xml:space="preserve">180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390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3.9</w:t>
            </w:r>
          </w:p>
        </w:tc>
        <w:tc>
          <w:tcPr>
            <w:tcW w:w="0" w:type="auto"/>
          </w:tcPr>
          <w:p>
            <w:pPr>
              <w:spacing w:line="240" w:lineRule="auto" w:before="0" w:after="0"/>
              <w:pStyle w:val="Compact"/>
            </w:pPr>
            <w:r>
              <w:rPr>
                <w:sz w:val="20"/>
                <w:szCs w:val="20"/>
              </w:rPr>
              <w:t xml:space="preserve">NSSDCA 1986-017A; launched 1986-02-19, deorbited 2001-03-23, ~180 months</w:t>
            </w:r>
          </w:p>
        </w:tc>
      </w:tr>
      <w:tr>
        <w:tc>
          <w:tcPr>
            <w:tcW w:w="0" w:type="auto"/>
          </w:tcPr>
          <w:p>
            <w:pPr>
              <w:spacing w:line="240" w:lineRule="auto" w:before="0" w:after="0"/>
              <w:pStyle w:val="Compact"/>
            </w:pPr>
            <w:r>
              <w:rPr>
                <w:sz w:val="20"/>
                <w:szCs w:val="20"/>
              </w:rPr>
              <w:t xml:space="preserve">Compton GRO</w:t>
            </w:r>
          </w:p>
        </w:tc>
        <w:tc>
          <w:tcPr>
            <w:tcW w:w="0" w:type="auto"/>
          </w:tcPr>
          <w:p>
            <w:pPr>
              <w:spacing w:line="240" w:lineRule="auto" w:before="0" w:after="0"/>
              <w:pStyle w:val="Compact"/>
            </w:pPr>
            <w:r>
              <w:rPr>
                <w:sz w:val="20"/>
                <w:szCs w:val="20"/>
              </w:rPr>
              <w:t xml:space="preserve">1991-027B</w:t>
            </w:r>
          </w:p>
        </w:tc>
        <w:tc>
          <w:tcPr>
            <w:tcW w:w="0" w:type="auto"/>
          </w:tcPr>
          <w:p>
            <w:pPr>
              <w:spacing w:line="240" w:lineRule="auto" w:before="0" w:after="0"/>
              <w:pStyle w:val="Compact"/>
            </w:pPr>
            <w:r>
              <w:rPr>
                <w:sz w:val="20"/>
                <w:szCs w:val="20"/>
              </w:rPr>
              <w:t xml:space="preserve">1991</w:t>
            </w:r>
          </w:p>
        </w:tc>
        <w:tc>
          <w:tcPr>
            <w:tcW w:w="0" w:type="auto"/>
          </w:tcPr>
          <w:p>
            <w:pPr>
              <w:spacing w:line="240" w:lineRule="auto" w:before="0" w:after="0"/>
              <w:pStyle w:val="Compact"/>
            </w:pPr>
            <w:r>
              <w:rPr>
                <w:sz w:val="20"/>
                <w:szCs w:val="20"/>
              </w:rPr>
              <w:t xml:space="preserve">110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362</w:t>
            </w:r>
          </w:p>
        </w:tc>
        <w:tc>
          <w:tcPr>
            <w:tcW w:w="0" w:type="auto"/>
          </w:tcPr>
          <w:p>
            <w:pPr>
              <w:spacing w:line="240" w:lineRule="auto" w:before="0" w:after="0"/>
              <w:pStyle w:val="Compact"/>
            </w:pPr>
            <w:r>
              <w:rPr>
                <w:sz w:val="20"/>
                <w:szCs w:val="20"/>
              </w:rPr>
              <w:t xml:space="preserve">400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NSSDCA 1991-027B; launched 1991-04-05, deorbited 2000-06-04, ~110 months</w:t>
            </w:r>
          </w:p>
        </w:tc>
      </w:tr>
      <w:tr>
        <w:tc>
          <w:tcPr>
            <w:tcW w:w="0" w:type="auto"/>
          </w:tcPr>
          <w:p>
            <w:pPr>
              <w:spacing w:line="240" w:lineRule="auto" w:before="0" w:after="0"/>
              <w:pStyle w:val="Compact"/>
            </w:pPr>
            <w:r>
              <w:rPr>
                <w:sz w:val="20"/>
                <w:szCs w:val="20"/>
              </w:rPr>
              <w:t xml:space="preserve">Salyut 7 complex</w:t>
            </w:r>
          </w:p>
        </w:tc>
        <w:tc>
          <w:tcPr>
            <w:tcW w:w="0" w:type="auto"/>
          </w:tcPr>
          <w:p>
            <w:pPr>
              <w:spacing w:line="240" w:lineRule="auto" w:before="0" w:after="0"/>
              <w:pStyle w:val="Compact"/>
            </w:pPr>
            <w:r>
              <w:rPr>
                <w:sz w:val="20"/>
                <w:szCs w:val="20"/>
              </w:rPr>
              <w:t xml:space="preserve">1985-030A</w:t>
            </w:r>
          </w:p>
        </w:tc>
        <w:tc>
          <w:tcPr>
            <w:tcW w:w="0" w:type="auto"/>
          </w:tcPr>
          <w:p>
            <w:pPr>
              <w:spacing w:line="240" w:lineRule="auto" w:before="0" w:after="0"/>
              <w:pStyle w:val="Compact"/>
            </w:pPr>
            <w:r>
              <w:rPr>
                <w:sz w:val="20"/>
                <w:szCs w:val="20"/>
              </w:rPr>
              <w:t xml:space="preserve">1985</w:t>
            </w:r>
          </w:p>
        </w:tc>
        <w:tc>
          <w:tcPr>
            <w:tcW w:w="0" w:type="auto"/>
          </w:tcPr>
          <w:p>
            <w:pPr>
              <w:spacing w:line="240" w:lineRule="auto" w:before="0" w:after="0"/>
              <w:pStyle w:val="Compact"/>
            </w:pPr>
            <w:r>
              <w:rPr>
                <w:sz w:val="20"/>
                <w:szCs w:val="20"/>
              </w:rPr>
              <w:t xml:space="preserve">71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400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NSSDCA 1985-030A; launched 1985-04-19, reentered 1991-02-07, ~71 months</w:t>
            </w:r>
          </w:p>
        </w:tc>
      </w:tr>
      <w:tr>
        <w:tc>
          <w:tcPr>
            <w:tcW w:w="0" w:type="auto"/>
          </w:tcPr>
          <w:p>
            <w:pPr>
              <w:spacing w:line="240" w:lineRule="auto" w:before="0" w:after="0"/>
              <w:pStyle w:val="Compact"/>
            </w:pPr>
            <w:r>
              <w:rPr>
                <w:sz w:val="20"/>
                <w:szCs w:val="20"/>
              </w:rPr>
              <w:t xml:space="preserve">UARS</w:t>
            </w:r>
          </w:p>
        </w:tc>
        <w:tc>
          <w:tcPr>
            <w:tcW w:w="0" w:type="auto"/>
          </w:tcPr>
          <w:p>
            <w:pPr>
              <w:spacing w:line="240" w:lineRule="auto" w:before="0" w:after="0"/>
              <w:pStyle w:val="Compact"/>
            </w:pPr>
            <w:r>
              <w:rPr>
                <w:sz w:val="20"/>
                <w:szCs w:val="20"/>
              </w:rPr>
              <w:t xml:space="preserve">1991-063B</w:t>
            </w:r>
          </w:p>
        </w:tc>
        <w:tc>
          <w:tcPr>
            <w:tcW w:w="0" w:type="auto"/>
          </w:tcPr>
          <w:p>
            <w:pPr>
              <w:spacing w:line="240" w:lineRule="auto" w:before="0" w:after="0"/>
              <w:pStyle w:val="Compact"/>
            </w:pPr>
            <w:r>
              <w:rPr>
                <w:sz w:val="20"/>
                <w:szCs w:val="20"/>
              </w:rPr>
              <w:t xml:space="preserve">1991</w:t>
            </w:r>
          </w:p>
        </w:tc>
        <w:tc>
          <w:tcPr>
            <w:tcW w:w="0" w:type="auto"/>
          </w:tcPr>
          <w:p>
            <w:pPr>
              <w:spacing w:line="240" w:lineRule="auto" w:before="0" w:after="0"/>
              <w:pStyle w:val="Compact"/>
            </w:pPr>
            <w:r>
              <w:rPr>
                <w:sz w:val="20"/>
                <w:szCs w:val="20"/>
              </w:rPr>
              <w:t xml:space="preserve">242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575</w:t>
            </w:r>
          </w:p>
        </w:tc>
        <w:tc>
          <w:tcPr>
            <w:tcW w:w="0" w:type="auto"/>
          </w:tcPr>
          <w:p>
            <w:pPr>
              <w:spacing w:line="240" w:lineRule="auto" w:before="0" w:after="0"/>
              <w:pStyle w:val="Compact"/>
            </w:pPr>
            <w:r>
              <w:rPr>
                <w:sz w:val="20"/>
                <w:szCs w:val="20"/>
              </w:rPr>
              <w:t xml:space="preserve">575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5.75</w:t>
            </w:r>
          </w:p>
        </w:tc>
        <w:tc>
          <w:tcPr>
            <w:tcW w:w="0" w:type="auto"/>
          </w:tcPr>
          <w:p>
            <w:pPr>
              <w:spacing w:line="240" w:lineRule="auto" w:before="0" w:after="0"/>
              <w:pStyle w:val="Compact"/>
            </w:pPr>
            <w:r>
              <w:rPr>
                <w:sz w:val="20"/>
                <w:szCs w:val="20"/>
              </w:rPr>
              <w:t xml:space="preserve">NSSDCA 1991-063B; launched 1991-09-15, reentered 2011-09-24, ~242 months</w:t>
            </w:r>
          </w:p>
        </w:tc>
      </w:tr>
      <w:tr>
        <w:tc>
          <w:tcPr>
            <w:tcW w:w="0" w:type="auto"/>
          </w:tcPr>
          <w:p>
            <w:pPr>
              <w:spacing w:line="240" w:lineRule="auto" w:before="0" w:after="0"/>
              <w:pStyle w:val="Compact"/>
            </w:pPr>
            <w:r>
              <w:rPr>
                <w:sz w:val="20"/>
                <w:szCs w:val="20"/>
              </w:rPr>
              <w:t xml:space="preserve">ROSAT</w:t>
            </w:r>
          </w:p>
        </w:tc>
        <w:tc>
          <w:tcPr>
            <w:tcW w:w="0" w:type="auto"/>
          </w:tcPr>
          <w:p>
            <w:pPr>
              <w:spacing w:line="240" w:lineRule="auto" w:before="0" w:after="0"/>
              <w:pStyle w:val="Compact"/>
            </w:pPr>
            <w:r>
              <w:rPr>
                <w:sz w:val="20"/>
                <w:szCs w:val="20"/>
              </w:rPr>
              <w:t xml:space="preserve">1990-049A</w:t>
            </w:r>
          </w:p>
        </w:tc>
        <w:tc>
          <w:tcPr>
            <w:tcW w:w="0" w:type="auto"/>
          </w:tcPr>
          <w:p>
            <w:pPr>
              <w:spacing w:line="240" w:lineRule="auto" w:before="0" w:after="0"/>
              <w:pStyle w:val="Compact"/>
            </w:pPr>
            <w:r>
              <w:rPr>
                <w:sz w:val="20"/>
                <w:szCs w:val="20"/>
              </w:rPr>
              <w:t xml:space="preserve">1990</w:t>
            </w:r>
          </w:p>
        </w:tc>
        <w:tc>
          <w:tcPr>
            <w:tcW w:w="0" w:type="auto"/>
          </w:tcPr>
          <w:p>
            <w:pPr>
              <w:spacing w:line="240" w:lineRule="auto" w:before="0" w:after="0"/>
              <w:pStyle w:val="Compact"/>
            </w:pPr>
            <w:r>
              <w:rPr>
                <w:sz w:val="20"/>
                <w:szCs w:val="20"/>
              </w:rPr>
              <w:t xml:space="preserve">256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580</w:t>
            </w:r>
          </w:p>
        </w:tc>
        <w:tc>
          <w:tcPr>
            <w:tcW w:w="0" w:type="auto"/>
          </w:tcPr>
          <w:p>
            <w:pPr>
              <w:spacing w:line="240" w:lineRule="auto" w:before="0" w:after="0"/>
              <w:pStyle w:val="Compact"/>
            </w:pPr>
            <w:r>
              <w:rPr>
                <w:sz w:val="20"/>
                <w:szCs w:val="20"/>
              </w:rPr>
              <w:t xml:space="preserve">580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5.8</w:t>
            </w:r>
          </w:p>
        </w:tc>
        <w:tc>
          <w:tcPr>
            <w:tcW w:w="0" w:type="auto"/>
          </w:tcPr>
          <w:p>
            <w:pPr>
              <w:spacing w:line="240" w:lineRule="auto" w:before="0" w:after="0"/>
              <w:pStyle w:val="Compact"/>
            </w:pPr>
            <w:r>
              <w:rPr>
                <w:sz w:val="20"/>
                <w:szCs w:val="20"/>
              </w:rPr>
              <w:t xml:space="preserve">NSSDCA 1990-049A; launched 1990-06-01, reentered 2011-10-23, ~256 months</w:t>
            </w:r>
          </w:p>
        </w:tc>
      </w:tr>
      <w:tr>
        <w:tc>
          <w:tcPr>
            <w:tcW w:w="0" w:type="auto"/>
          </w:tcPr>
          <w:p>
            <w:pPr>
              <w:spacing w:line="240" w:lineRule="auto" w:before="0" w:after="0"/>
              <w:pStyle w:val="Compact"/>
            </w:pPr>
            <w:r>
              <w:rPr>
                <w:sz w:val="20"/>
                <w:szCs w:val="20"/>
              </w:rPr>
              <w:t xml:space="preserve">GOCE</w:t>
            </w:r>
          </w:p>
        </w:tc>
        <w:tc>
          <w:tcPr>
            <w:tcW w:w="0" w:type="auto"/>
          </w:tcPr>
          <w:p>
            <w:pPr>
              <w:spacing w:line="240" w:lineRule="auto" w:before="0" w:after="0"/>
              <w:pStyle w:val="Compact"/>
            </w:pPr>
            <w:r>
              <w:rPr>
                <w:sz w:val="20"/>
                <w:szCs w:val="20"/>
              </w:rPr>
              <w:t xml:space="preserve">2009-013A</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56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255</w:t>
            </w:r>
          </w:p>
        </w:tc>
        <w:tc>
          <w:tcPr>
            <w:tcW w:w="0" w:type="auto"/>
          </w:tcPr>
          <w:p>
            <w:pPr>
              <w:spacing w:line="240" w:lineRule="auto" w:before="0" w:after="0"/>
              <w:pStyle w:val="Compact"/>
            </w:pPr>
            <w:r>
              <w:rPr>
                <w:sz w:val="20"/>
                <w:szCs w:val="20"/>
              </w:rPr>
              <w:t xml:space="preserve">260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NSSDCA 2009-013A; launched 2009-03-17, reentered 2013-11-11, ~56 months</w:t>
            </w:r>
          </w:p>
        </w:tc>
      </w:tr>
      <w:tr>
        <w:tc>
          <w:tcPr>
            <w:tcW w:w="0" w:type="auto"/>
          </w:tcPr>
          <w:p>
            <w:pPr>
              <w:spacing w:line="240" w:lineRule="auto" w:before="0" w:after="0"/>
              <w:pStyle w:val="Compact"/>
            </w:pPr>
            <w:r>
              <w:rPr>
                <w:sz w:val="20"/>
                <w:szCs w:val="20"/>
              </w:rPr>
              <w:t xml:space="preserve">Tiangong-1</w:t>
            </w:r>
          </w:p>
        </w:tc>
        <w:tc>
          <w:tcPr>
            <w:tcW w:w="0" w:type="auto"/>
          </w:tcPr>
          <w:p>
            <w:pPr>
              <w:spacing w:line="240" w:lineRule="auto" w:before="0" w:after="0"/>
              <w:pStyle w:val="Compact"/>
            </w:pPr>
            <w:r>
              <w:rPr>
                <w:sz w:val="20"/>
                <w:szCs w:val="20"/>
              </w:rPr>
              <w:t xml:space="preserve">2011-053A</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340</w:t>
            </w:r>
          </w:p>
        </w:tc>
        <w:tc>
          <w:tcPr>
            <w:tcW w:w="0" w:type="auto"/>
          </w:tcPr>
          <w:p>
            <w:pPr>
              <w:spacing w:line="240" w:lineRule="auto" w:before="0" w:after="0"/>
              <w:pStyle w:val="Compact"/>
            </w:pPr>
            <w:r>
              <w:rPr>
                <w:sz w:val="20"/>
                <w:szCs w:val="20"/>
              </w:rPr>
              <w:t xml:space="preserve">350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NSSDCA 2011-053A; launched 2011-09-29, reentered 2018-04-02, ~78 months</w:t>
            </w:r>
          </w:p>
        </w:tc>
      </w:tr>
      <w:tr>
        <w:tc>
          <w:tcPr>
            <w:tcW w:w="0" w:type="auto"/>
          </w:tcPr>
          <w:p>
            <w:pPr>
              <w:spacing w:line="240" w:lineRule="auto" w:before="0" w:after="0"/>
              <w:pStyle w:val="Compact"/>
            </w:pPr>
            <w:r>
              <w:rPr>
                <w:sz w:val="20"/>
                <w:szCs w:val="20"/>
              </w:rPr>
              <w:t xml:space="preserve">Tiangong-2</w:t>
            </w:r>
          </w:p>
        </w:tc>
        <w:tc>
          <w:tcPr>
            <w:tcW w:w="0" w:type="auto"/>
          </w:tcPr>
          <w:p>
            <w:pPr>
              <w:spacing w:line="240" w:lineRule="auto" w:before="0" w:after="0"/>
              <w:pStyle w:val="Compact"/>
            </w:pPr>
            <w:r>
              <w:rPr>
                <w:sz w:val="20"/>
                <w:szCs w:val="20"/>
              </w:rPr>
              <w:t xml:space="preserve">2016-057A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380</w:t>
            </w:r>
          </w:p>
        </w:tc>
        <w:tc>
          <w:tcPr>
            <w:tcW w:w="0" w:type="auto"/>
          </w:tcPr>
          <w:p>
            <w:pPr>
              <w:spacing w:line="240" w:lineRule="auto" w:before="0" w:after="0"/>
              <w:pStyle w:val="Compact"/>
            </w:pPr>
            <w:r>
              <w:rPr>
                <w:sz w:val="20"/>
                <w:szCs w:val="20"/>
              </w:rPr>
              <w:t xml:space="preserve">390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3.9</w:t>
            </w:r>
          </w:p>
        </w:tc>
        <w:tc>
          <w:tcPr>
            <w:tcW w:w="0" w:type="auto"/>
          </w:tcPr>
          <w:p>
            <w:pPr>
              <w:spacing w:line="240" w:lineRule="auto" w:before="0" w:after="0"/>
              <w:pStyle w:val="Compact"/>
            </w:pPr>
            <w:r>
              <w:rPr>
                <w:sz w:val="20"/>
                <w:szCs w:val="20"/>
              </w:rPr>
              <w:t xml:space="preserve">NSSDCA 2016-057A; launched 2016-09-15, deorbited 2019-07-19, ~34 months</w:t>
            </w:r>
          </w:p>
        </w:tc>
      </w:tr>
      <w:tr>
        <w:tc>
          <w:tcPr>
            <w:tcW w:w="0" w:type="auto"/>
          </w:tcPr>
          <w:p>
            <w:pPr>
              <w:spacing w:line="240" w:lineRule="auto" w:before="0" w:after="0"/>
              <w:pStyle w:val="Compact"/>
            </w:pPr>
            <w:r>
              <w:rPr>
                <w:sz w:val="20"/>
                <w:szCs w:val="20"/>
              </w:rPr>
              <w:t xml:space="preserve">ERS-2</w:t>
            </w:r>
          </w:p>
        </w:tc>
        <w:tc>
          <w:tcPr>
            <w:tcW w:w="0" w:type="auto"/>
          </w:tcPr>
          <w:p>
            <w:pPr>
              <w:spacing w:line="240" w:lineRule="auto" w:before="0" w:after="0"/>
              <w:pStyle w:val="Compact"/>
            </w:pPr>
            <w:r>
              <w:rPr>
                <w:sz w:val="20"/>
                <w:szCs w:val="20"/>
              </w:rPr>
              <w:t xml:space="preserve">1995-021A</w:t>
            </w:r>
          </w:p>
        </w:tc>
        <w:tc>
          <w:tcPr>
            <w:tcW w:w="0" w:type="auto"/>
          </w:tcPr>
          <w:p>
            <w:pPr>
              <w:spacing w:line="240" w:lineRule="auto" w:before="0" w:after="0"/>
              <w:pStyle w:val="Compact"/>
            </w:pPr>
            <w:r>
              <w:rPr>
                <w:sz w:val="20"/>
                <w:szCs w:val="20"/>
              </w:rPr>
              <w:t xml:space="preserve">1995</w:t>
            </w:r>
          </w:p>
        </w:tc>
        <w:tc>
          <w:tcPr>
            <w:tcW w:w="0" w:type="auto"/>
          </w:tcPr>
          <w:p>
            <w:pPr>
              <w:spacing w:line="240" w:lineRule="auto" w:before="0" w:after="0"/>
              <w:pStyle w:val="Compact"/>
            </w:pPr>
            <w:r>
              <w:rPr>
                <w:sz w:val="20"/>
                <w:szCs w:val="20"/>
              </w:rPr>
              <w:t xml:space="preserve">346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573</w:t>
            </w:r>
          </w:p>
        </w:tc>
        <w:tc>
          <w:tcPr>
            <w:tcW w:w="0" w:type="auto"/>
          </w:tcPr>
          <w:p>
            <w:pPr>
              <w:spacing w:line="240" w:lineRule="auto" w:before="0" w:after="0"/>
              <w:pStyle w:val="Compact"/>
            </w:pPr>
            <w:r>
              <w:rPr>
                <w:sz w:val="20"/>
                <w:szCs w:val="20"/>
              </w:rPr>
              <w:t xml:space="preserve">785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7.85</w:t>
            </w:r>
          </w:p>
        </w:tc>
        <w:tc>
          <w:tcPr>
            <w:tcW w:w="0" w:type="auto"/>
          </w:tcPr>
          <w:p>
            <w:pPr>
              <w:spacing w:line="240" w:lineRule="auto" w:before="0" w:after="0"/>
              <w:pStyle w:val="Compact"/>
            </w:pPr>
            <w:r>
              <w:rPr>
                <w:sz w:val="20"/>
                <w:szCs w:val="20"/>
              </w:rPr>
              <w:t xml:space="preserve">NSSDCA 1995-021A; launched 1995-04-21, reentered 2024-02-21, ~346 months</w:t>
            </w:r>
          </w:p>
        </w:tc>
      </w:tr>
      <w:tr>
        <w:tc>
          <w:tcPr>
            <w:tcW w:w="0" w:type="auto"/>
          </w:tcPr>
          <w:p>
            <w:pPr>
              <w:spacing w:line="240" w:lineRule="auto" w:before="0" w:after="0"/>
              <w:pStyle w:val="Compact"/>
            </w:pPr>
            <w:r>
              <w:rPr>
                <w:sz w:val="20"/>
                <w:szCs w:val="20"/>
              </w:rPr>
              <w:t xml:space="preserve">Cosmos 1408 debris</w:t>
            </w:r>
          </w:p>
        </w:tc>
        <w:tc>
          <w:tcPr>
            <w:tcW w:w="0" w:type="auto"/>
          </w:tcPr>
          <w:p>
            <w:pPr>
              <w:spacing w:line="240" w:lineRule="auto" w:before="0" w:after="0"/>
              <w:pStyle w:val="Compact"/>
            </w:pPr>
            <w:r>
              <w:rPr>
                <w:sz w:val="20"/>
                <w:szCs w:val="20"/>
              </w:rPr>
              <w:t xml:space="preserve">2021-frag</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480</w:t>
            </w:r>
          </w:p>
        </w:tc>
        <w:tc>
          <w:tcPr>
            <w:tcW w:w="0" w:type="auto"/>
          </w:tcPr>
          <w:p>
            <w:pPr>
              <w:spacing w:line="240" w:lineRule="auto" w:before="0" w:after="0"/>
              <w:pStyle w:val="Compact"/>
            </w:pPr>
            <w:r>
              <w:rPr>
                <w:sz w:val="20"/>
                <w:szCs w:val="20"/>
              </w:rPr>
              <w:t xml:space="preserve">485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4.85</w:t>
            </w:r>
          </w:p>
        </w:tc>
        <w:tc>
          <w:tcPr>
            <w:tcW w:w="0" w:type="auto"/>
          </w:tcPr>
          <w:p>
            <w:pPr>
              <w:spacing w:line="240" w:lineRule="auto" w:before="0" w:after="0"/>
              <w:pStyle w:val="Compact"/>
            </w:pPr>
            <w:r>
              <w:rPr>
                <w:sz w:val="20"/>
                <w:szCs w:val="20"/>
              </w:rPr>
              <w:t xml:space="preserve">Space-Track decay records; Nov-2021 ASAT fragments at ~485 km, many decayed within ~30 months</w:t>
            </w:r>
          </w:p>
        </w:tc>
      </w:tr>
      <w:tr>
        <w:tc>
          <w:tcPr>
            <w:tcW w:w="0" w:type="auto"/>
          </w:tcPr>
          <w:p>
            <w:pPr>
              <w:spacing w:line="240" w:lineRule="auto" w:before="0" w:after="0"/>
              <w:pStyle w:val="Compact"/>
            </w:pPr>
            <w:r>
              <w:rPr>
                <w:sz w:val="20"/>
                <w:szCs w:val="20"/>
              </w:rPr>
              <w:t xml:space="preserve">Cosmos 954</w:t>
            </w:r>
          </w:p>
        </w:tc>
        <w:tc>
          <w:tcPr>
            <w:tcW w:w="0" w:type="auto"/>
          </w:tcPr>
          <w:p>
            <w:pPr>
              <w:spacing w:line="240" w:lineRule="auto" w:before="0" w:after="0"/>
              <w:pStyle w:val="Compact"/>
            </w:pPr>
            <w:r>
              <w:rPr>
                <w:sz w:val="20"/>
                <w:szCs w:val="20"/>
              </w:rPr>
              <w:t xml:space="preserve">1977-090A</w:t>
            </w:r>
          </w:p>
        </w:tc>
        <w:tc>
          <w:tcPr>
            <w:tcW w:w="0" w:type="auto"/>
          </w:tcPr>
          <w:p>
            <w:pPr>
              <w:spacing w:line="240" w:lineRule="auto" w:before="0" w:after="0"/>
              <w:pStyle w:val="Compact"/>
            </w:pPr>
            <w:r>
              <w:rPr>
                <w:sz w:val="20"/>
                <w:szCs w:val="20"/>
              </w:rPr>
              <w:t xml:space="preserve">1977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259</w:t>
            </w:r>
          </w:p>
        </w:tc>
        <w:tc>
          <w:tcPr>
            <w:tcW w:w="0" w:type="auto"/>
          </w:tcPr>
          <w:p>
            <w:pPr>
              <w:spacing w:line="240" w:lineRule="auto" w:before="0" w:after="0"/>
              <w:pStyle w:val="Compact"/>
            </w:pPr>
            <w:r>
              <w:rPr>
                <w:sz w:val="20"/>
                <w:szCs w:val="20"/>
              </w:rPr>
              <w:t xml:space="preserve">270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NSSDCA 1977-090A; launched 1977-09-18, reentered 1978-01-24, ~4 months</w:t>
            </w:r>
          </w:p>
        </w:tc>
      </w:tr>
      <w:tr>
        <w:tc>
          <w:tcPr>
            <w:tcW w:w="0" w:type="auto"/>
          </w:tcPr>
          <w:p>
            <w:pPr>
              <w:spacing w:line="240" w:lineRule="auto" w:before="0" w:after="0"/>
              <w:pStyle w:val="Compact"/>
            </w:pPr>
            <w:r>
              <w:rPr>
                <w:sz w:val="20"/>
                <w:szCs w:val="20"/>
              </w:rPr>
              <w:t xml:space="preserve">GRACE-1</w:t>
            </w:r>
          </w:p>
        </w:tc>
        <w:tc>
          <w:tcPr>
            <w:tcW w:w="0" w:type="auto"/>
          </w:tcPr>
          <w:p>
            <w:pPr>
              <w:spacing w:line="240" w:lineRule="auto" w:before="0" w:after="0"/>
              <w:pStyle w:val="Compact"/>
            </w:pPr>
            <w:r>
              <w:rPr>
                <w:sz w:val="20"/>
                <w:szCs w:val="20"/>
              </w:rPr>
              <w:t xml:space="preserve">2002-012A</w:t>
            </w:r>
          </w:p>
        </w:tc>
        <w:tc>
          <w:tcPr>
            <w:tcW w:w="0" w:type="auto"/>
          </w:tcPr>
          <w:p>
            <w:pPr>
              <w:spacing w:line="240" w:lineRule="auto" w:before="0" w:after="0"/>
              <w:pStyle w:val="Compact"/>
            </w:pPr>
            <w:r>
              <w:rPr>
                <w:sz w:val="20"/>
                <w:szCs w:val="20"/>
              </w:rPr>
              <w:t xml:space="preserve">2002</w:t>
            </w:r>
          </w:p>
        </w:tc>
        <w:tc>
          <w:tcPr>
            <w:tcW w:w="0" w:type="auto"/>
          </w:tcPr>
          <w:p>
            <w:pPr>
              <w:spacing w:line="240" w:lineRule="auto" w:before="0" w:after="0"/>
              <w:pStyle w:val="Compact"/>
            </w:pPr>
            <w:r>
              <w:rPr>
                <w:sz w:val="20"/>
                <w:szCs w:val="20"/>
              </w:rPr>
              <w:t xml:space="preserve">189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485</w:t>
            </w:r>
          </w:p>
        </w:tc>
        <w:tc>
          <w:tcPr>
            <w:tcW w:w="0" w:type="auto"/>
          </w:tcPr>
          <w:p>
            <w:pPr>
              <w:spacing w:line="240" w:lineRule="auto" w:before="0" w:after="0"/>
              <w:pStyle w:val="Compact"/>
            </w:pPr>
            <w:r>
              <w:rPr>
                <w:sz w:val="20"/>
                <w:szCs w:val="20"/>
              </w:rPr>
              <w:t xml:space="preserve">485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4.85</w:t>
            </w:r>
          </w:p>
        </w:tc>
        <w:tc>
          <w:tcPr>
            <w:tcW w:w="0" w:type="auto"/>
          </w:tcPr>
          <w:p>
            <w:pPr>
              <w:spacing w:line="240" w:lineRule="auto" w:before="0" w:after="0"/>
              <w:pStyle w:val="Compact"/>
            </w:pPr>
            <w:r>
              <w:rPr>
                <w:sz w:val="20"/>
                <w:szCs w:val="20"/>
              </w:rPr>
              <w:t xml:space="preserve">NSSDCA 2002-012A; launched 2002-03-17, reentered 2017-12-24, ~189 months</w:t>
            </w:r>
          </w:p>
        </w:tc>
      </w:tr>
      <w:tr>
        <w:tc>
          <w:tcPr>
            <w:tcW w:w="0" w:type="auto"/>
          </w:tcPr>
          <w:p>
            <w:pPr>
              <w:spacing w:line="240" w:lineRule="auto" w:before="0" w:after="0"/>
              <w:pStyle w:val="Compact"/>
            </w:pPr>
            <w:r>
              <w:rPr>
                <w:sz w:val="20"/>
                <w:szCs w:val="20"/>
              </w:rPr>
              <w:t xml:space="preserve">GRACE-2</w:t>
            </w:r>
          </w:p>
        </w:tc>
        <w:tc>
          <w:tcPr>
            <w:tcW w:w="0" w:type="auto"/>
          </w:tcPr>
          <w:p>
            <w:pPr>
              <w:spacing w:line="240" w:lineRule="auto" w:before="0" w:after="0"/>
              <w:pStyle w:val="Compact"/>
            </w:pPr>
            <w:r>
              <w:rPr>
                <w:sz w:val="20"/>
                <w:szCs w:val="20"/>
              </w:rPr>
              <w:t xml:space="preserve">2002-012B</w:t>
            </w:r>
          </w:p>
        </w:tc>
        <w:tc>
          <w:tcPr>
            <w:tcW w:w="0" w:type="auto"/>
          </w:tcPr>
          <w:p>
            <w:pPr>
              <w:spacing w:line="240" w:lineRule="auto" w:before="0" w:after="0"/>
              <w:pStyle w:val="Compact"/>
            </w:pPr>
            <w:r>
              <w:rPr>
                <w:sz w:val="20"/>
                <w:szCs w:val="20"/>
              </w:rPr>
              <w:t xml:space="preserve">2002</w:t>
            </w:r>
          </w:p>
        </w:tc>
        <w:tc>
          <w:tcPr>
            <w:tcW w:w="0" w:type="auto"/>
          </w:tcPr>
          <w:p>
            <w:pPr>
              <w:spacing w:line="240" w:lineRule="auto" w:before="0" w:after="0"/>
              <w:pStyle w:val="Compact"/>
            </w:pPr>
            <w:r>
              <w:rPr>
                <w:sz w:val="20"/>
                <w:szCs w:val="20"/>
              </w:rPr>
              <w:t xml:space="preserve">192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485</w:t>
            </w:r>
          </w:p>
        </w:tc>
        <w:tc>
          <w:tcPr>
            <w:tcW w:w="0" w:type="auto"/>
          </w:tcPr>
          <w:p>
            <w:pPr>
              <w:spacing w:line="240" w:lineRule="auto" w:before="0" w:after="0"/>
              <w:pStyle w:val="Compact"/>
            </w:pPr>
            <w:r>
              <w:rPr>
                <w:sz w:val="20"/>
                <w:szCs w:val="20"/>
              </w:rPr>
              <w:t xml:space="preserve">485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4.85</w:t>
            </w:r>
          </w:p>
        </w:tc>
        <w:tc>
          <w:tcPr>
            <w:tcW w:w="0" w:type="auto"/>
          </w:tcPr>
          <w:p>
            <w:pPr>
              <w:spacing w:line="240" w:lineRule="auto" w:before="0" w:after="0"/>
              <w:pStyle w:val="Compact"/>
            </w:pPr>
            <w:r>
              <w:rPr>
                <w:sz w:val="20"/>
                <w:szCs w:val="20"/>
              </w:rPr>
              <w:t xml:space="preserve">NSSDCA 2002-012B; launched 2002-03-17, reentered 2018-03-10, ~192 months</w:t>
            </w:r>
          </w:p>
        </w:tc>
      </w:tr>
      <w:tr>
        <w:tc>
          <w:tcPr>
            <w:tcW w:w="0" w:type="auto"/>
          </w:tcPr>
          <w:p>
            <w:pPr>
              <w:spacing w:line="240" w:lineRule="auto" w:before="0" w:after="0"/>
              <w:pStyle w:val="Compact"/>
            </w:pPr>
            <w:r>
              <w:rPr>
                <w:sz w:val="20"/>
                <w:szCs w:val="20"/>
              </w:rPr>
              <w:t xml:space="preserve">Resurs-DK1 PAMELA</w:t>
            </w:r>
          </w:p>
        </w:tc>
        <w:tc>
          <w:tcPr>
            <w:tcW w:w="0" w:type="auto"/>
          </w:tcPr>
          <w:p>
            <w:pPr>
              <w:spacing w:line="240" w:lineRule="auto" w:before="0" w:after="0"/>
              <w:pStyle w:val="Compact"/>
            </w:pPr>
            <w:r>
              <w:rPr>
                <w:sz w:val="20"/>
                <w:szCs w:val="20"/>
              </w:rPr>
              <w:t xml:space="preserve">2006-021A</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213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360</w:t>
            </w:r>
          </w:p>
        </w:tc>
        <w:tc>
          <w:tcPr>
            <w:tcW w:w="0" w:type="auto"/>
          </w:tcPr>
          <w:p>
            <w:pPr>
              <w:spacing w:line="240" w:lineRule="auto" w:before="0" w:after="0"/>
              <w:pStyle w:val="Compact"/>
            </w:pPr>
            <w:r>
              <w:rPr>
                <w:sz w:val="20"/>
                <w:szCs w:val="20"/>
              </w:rPr>
              <w:t xml:space="preserve">560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5.6</w:t>
            </w:r>
          </w:p>
        </w:tc>
        <w:tc>
          <w:tcPr>
            <w:tcW w:w="0" w:type="auto"/>
          </w:tcPr>
          <w:p>
            <w:pPr>
              <w:spacing w:line="240" w:lineRule="auto" w:before="0" w:after="0"/>
              <w:pStyle w:val="Compact"/>
            </w:pPr>
            <w:r>
              <w:rPr>
                <w:sz w:val="20"/>
                <w:szCs w:val="20"/>
              </w:rPr>
              <w:t xml:space="preserve">NSSDCA 2006-021A; ~360-580 km, launched 2006-06-15, decayed 2024-03 per Space-Track, ~213 months</w:t>
            </w:r>
          </w:p>
        </w:tc>
      </w:tr>
      <w:tr>
        <w:tc>
          <w:tcPr>
            <w:tcW w:w="0" w:type="auto"/>
          </w:tcPr>
          <w:p>
            <w:pPr>
              <w:spacing w:line="240" w:lineRule="auto" w:before="0" w:after="0"/>
              <w:pStyle w:val="Compact"/>
            </w:pPr>
            <w:r>
              <w:rPr>
                <w:sz w:val="20"/>
                <w:szCs w:val="20"/>
              </w:rPr>
              <w:t xml:space="preserve">Starlink Gen1 deorbited unit</w:t>
            </w:r>
          </w:p>
        </w:tc>
        <w:tc>
          <w:tcPr>
            <w:tcW w:w="0" w:type="auto"/>
          </w:tcPr>
          <w:p>
            <w:pPr>
              <w:spacing w:line="240" w:lineRule="auto" w:before="0" w:after="0"/>
              <w:pStyle w:val="Compact"/>
            </w:pPr>
            <w:r>
              <w:rPr>
                <w:sz w:val="20"/>
                <w:szCs w:val="20"/>
              </w:rPr>
              <w:t xml:space="preserve">2019-029-typ</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540</w:t>
            </w:r>
          </w:p>
        </w:tc>
        <w:tc>
          <w:tcPr>
            <w:tcW w:w="0" w:type="auto"/>
          </w:tcPr>
          <w:p>
            <w:pPr>
              <w:spacing w:line="240" w:lineRule="auto" w:before="0" w:after="0"/>
              <w:pStyle w:val="Compact"/>
            </w:pPr>
            <w:r>
              <w:rPr>
                <w:sz w:val="20"/>
                <w:szCs w:val="20"/>
              </w:rPr>
              <w:t xml:space="preserve">550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SpaceX/Space-Track decay records; Gen1 ~550 km units, passive decay over ~55 months [illustrative epoch]</w:t>
            </w:r>
          </w:p>
        </w:tc>
      </w:tr>
      <w:tr>
        <w:tc>
          <w:tcPr>
            <w:tcW w:w="0" w:type="auto"/>
          </w:tcPr>
          <w:p>
            <w:pPr>
              <w:spacing w:line="240" w:lineRule="auto" w:before="0" w:after="0"/>
              <w:pStyle w:val="Compact"/>
            </w:pPr>
            <w:r>
              <w:rPr>
                <w:sz w:val="20"/>
                <w:szCs w:val="20"/>
              </w:rPr>
              <w:t xml:space="preserve">Pegasus upper stage 600km class</w:t>
            </w:r>
          </w:p>
        </w:tc>
        <w:tc>
          <w:tcPr>
            <w:tcW w:w="0" w:type="auto"/>
          </w:tcPr>
          <w:p>
            <w:pPr>
              <w:spacing w:line="240" w:lineRule="auto" w:before="0" w:after="0"/>
              <w:pStyle w:val="Compact"/>
            </w:pPr>
            <w:r>
              <w:rPr>
                <w:sz w:val="20"/>
                <w:szCs w:val="20"/>
              </w:rPr>
              <w:t xml:space="preserve">1994-029B</w:t>
            </w:r>
          </w:p>
        </w:tc>
        <w:tc>
          <w:tcPr>
            <w:tcW w:w="0" w:type="auto"/>
          </w:tcPr>
          <w:p>
            <w:pPr>
              <w:spacing w:line="240" w:lineRule="auto" w:before="0" w:after="0"/>
              <w:pStyle w:val="Compact"/>
            </w:pPr>
            <w:r>
              <w:rPr>
                <w:sz w:val="20"/>
                <w:szCs w:val="20"/>
              </w:rPr>
              <w:t xml:space="preserve">1994</w:t>
            </w:r>
          </w:p>
        </w:tc>
        <w:tc>
          <w:tcPr>
            <w:tcW w:w="0" w:type="auto"/>
          </w:tcPr>
          <w:p>
            <w:pPr>
              <w:spacing w:line="240" w:lineRule="auto" w:before="0" w:after="0"/>
              <w:pStyle w:val="Compact"/>
            </w:pPr>
            <w:r>
              <w:rPr>
                <w:sz w:val="20"/>
                <w:szCs w:val="20"/>
              </w:rPr>
              <w:t xml:space="preserve">360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580</w:t>
            </w:r>
          </w:p>
        </w:tc>
        <w:tc>
          <w:tcPr>
            <w:tcW w:w="0" w:type="auto"/>
          </w:tcPr>
          <w:p>
            <w:pPr>
              <w:spacing w:line="240" w:lineRule="auto" w:before="0" w:after="0"/>
              <w:pStyle w:val="Compact"/>
            </w:pPr>
            <w:r>
              <w:rPr>
                <w:sz w:val="20"/>
                <w:szCs w:val="20"/>
              </w:rPr>
              <w:t xml:space="preserve">600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Space-Track SATCAT rocket-body decay records; ~600 km upper-stage class decayed over ~360 months [illustrative epoch]</w:t>
            </w:r>
          </w:p>
        </w:tc>
      </w:tr>
      <w:tr>
        <w:tc>
          <w:tcPr>
            <w:tcW w:w="0" w:type="auto"/>
          </w:tcPr>
          <w:p>
            <w:pPr>
              <w:spacing w:line="240" w:lineRule="auto" w:before="0" w:after="0"/>
              <w:pStyle w:val="Compact"/>
            </w:pPr>
            <w:r>
              <w:rPr>
                <w:sz w:val="20"/>
                <w:szCs w:val="20"/>
              </w:rPr>
              <w:t xml:space="preserve">Vanguard 1</w:t>
            </w:r>
          </w:p>
        </w:tc>
        <w:tc>
          <w:tcPr>
            <w:tcW w:w="0" w:type="auto"/>
          </w:tcPr>
          <w:p>
            <w:pPr>
              <w:spacing w:line="240" w:lineRule="auto" w:before="0" w:after="0"/>
              <w:pStyle w:val="Compact"/>
            </w:pPr>
            <w:r>
              <w:rPr>
                <w:sz w:val="20"/>
                <w:szCs w:val="20"/>
              </w:rPr>
              <w:t xml:space="preserve">1958-002B</w:t>
            </w:r>
          </w:p>
        </w:tc>
        <w:tc>
          <w:tcPr>
            <w:tcW w:w="0" w:type="auto"/>
          </w:tcPr>
          <w:p>
            <w:pPr>
              <w:spacing w:line="240" w:lineRule="auto" w:before="0" w:after="0"/>
              <w:pStyle w:val="Compact"/>
            </w:pPr>
            <w:r>
              <w:rPr>
                <w:sz w:val="20"/>
                <w:szCs w:val="20"/>
              </w:rPr>
              <w:t xml:space="preserve">1958</w:t>
            </w:r>
          </w:p>
        </w:tc>
        <w:tc>
          <w:tcPr>
            <w:tcW w:w="0" w:type="auto"/>
          </w:tcPr>
          <w:p>
            <w:pPr>
              <w:spacing w:line="240" w:lineRule="auto" w:before="0" w:after="0"/>
              <w:pStyle w:val="Compact"/>
            </w:pPr>
            <w:r>
              <w:rPr>
                <w:sz w:val="20"/>
                <w:szCs w:val="20"/>
              </w:rPr>
              <w:t xml:space="preserve">820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654</w:t>
            </w:r>
          </w:p>
        </w:tc>
        <w:tc>
          <w:tcPr>
            <w:tcW w:w="0" w:type="auto"/>
          </w:tcPr>
          <w:p>
            <w:pPr>
              <w:spacing w:line="240" w:lineRule="auto" w:before="0" w:after="0"/>
              <w:pStyle w:val="Compact"/>
            </w:pPr>
            <w:r>
              <w:rPr>
                <w:sz w:val="20"/>
                <w:szCs w:val="20"/>
              </w:rPr>
              <w:t xml:space="preserve">3000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NSSDCA 1958-002B; launched 1958-03-17, still on orbit at 2026-06 snapshot, ~820 months censored</w:t>
            </w:r>
          </w:p>
        </w:tc>
      </w:tr>
      <w:tr>
        <w:tc>
          <w:tcPr>
            <w:tcW w:w="0" w:type="auto"/>
          </w:tcPr>
          <w:p>
            <w:pPr>
              <w:spacing w:line="240" w:lineRule="auto" w:before="0" w:after="0"/>
              <w:pStyle w:val="Compact"/>
            </w:pPr>
            <w:r>
              <w:rPr>
                <w:sz w:val="20"/>
                <w:szCs w:val="20"/>
              </w:rPr>
              <w:t xml:space="preserve">Vanguard 2</w:t>
            </w:r>
          </w:p>
        </w:tc>
        <w:tc>
          <w:tcPr>
            <w:tcW w:w="0" w:type="auto"/>
          </w:tcPr>
          <w:p>
            <w:pPr>
              <w:spacing w:line="240" w:lineRule="auto" w:before="0" w:after="0"/>
              <w:pStyle w:val="Compact"/>
            </w:pPr>
            <w:r>
              <w:rPr>
                <w:sz w:val="20"/>
                <w:szCs w:val="20"/>
              </w:rPr>
              <w:t xml:space="preserve">1959-001A</w:t>
            </w:r>
          </w:p>
        </w:tc>
        <w:tc>
          <w:tcPr>
            <w:tcW w:w="0" w:type="auto"/>
          </w:tcPr>
          <w:p>
            <w:pPr>
              <w:spacing w:line="240" w:lineRule="auto" w:before="0" w:after="0"/>
              <w:pStyle w:val="Compact"/>
            </w:pPr>
            <w:r>
              <w:rPr>
                <w:sz w:val="20"/>
                <w:szCs w:val="20"/>
              </w:rPr>
              <w:t xml:space="preserve">1959</w:t>
            </w:r>
          </w:p>
        </w:tc>
        <w:tc>
          <w:tcPr>
            <w:tcW w:w="0" w:type="auto"/>
          </w:tcPr>
          <w:p>
            <w:pPr>
              <w:spacing w:line="240" w:lineRule="auto" w:before="0" w:after="0"/>
              <w:pStyle w:val="Compact"/>
            </w:pPr>
            <w:r>
              <w:rPr>
                <w:sz w:val="20"/>
                <w:szCs w:val="20"/>
              </w:rPr>
              <w:t xml:space="preserve">808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557</w:t>
            </w:r>
          </w:p>
        </w:tc>
        <w:tc>
          <w:tcPr>
            <w:tcW w:w="0" w:type="auto"/>
          </w:tcPr>
          <w:p>
            <w:pPr>
              <w:spacing w:line="240" w:lineRule="auto" w:before="0" w:after="0"/>
              <w:pStyle w:val="Compact"/>
            </w:pPr>
            <w:r>
              <w:rPr>
                <w:sz w:val="20"/>
                <w:szCs w:val="20"/>
              </w:rPr>
              <w:t xml:space="preserve">2700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NSSDCA 1959-001A; launched 1959-02-17, still on orbit at 2026-06 snapshot, ~808 months censored</w:t>
            </w:r>
          </w:p>
        </w:tc>
      </w:tr>
      <w:tr>
        <w:tc>
          <w:tcPr>
            <w:tcW w:w="0" w:type="auto"/>
          </w:tcPr>
          <w:p>
            <w:pPr>
              <w:spacing w:line="240" w:lineRule="auto" w:before="0" w:after="0"/>
              <w:pStyle w:val="Compact"/>
            </w:pPr>
            <w:r>
              <w:rPr>
                <w:sz w:val="20"/>
                <w:szCs w:val="20"/>
              </w:rPr>
              <w:t xml:space="preserve">SeaSat</w:t>
            </w:r>
          </w:p>
        </w:tc>
        <w:tc>
          <w:tcPr>
            <w:tcW w:w="0" w:type="auto"/>
          </w:tcPr>
          <w:p>
            <w:pPr>
              <w:spacing w:line="240" w:lineRule="auto" w:before="0" w:after="0"/>
              <w:pStyle w:val="Compact"/>
            </w:pPr>
            <w:r>
              <w:rPr>
                <w:sz w:val="20"/>
                <w:szCs w:val="20"/>
              </w:rPr>
              <w:t xml:space="preserve">1978-064A</w:t>
            </w:r>
          </w:p>
        </w:tc>
        <w:tc>
          <w:tcPr>
            <w:tcW w:w="0" w:type="auto"/>
          </w:tcPr>
          <w:p>
            <w:pPr>
              <w:spacing w:line="240" w:lineRule="auto" w:before="0" w:after="0"/>
              <w:pStyle w:val="Compact"/>
            </w:pPr>
            <w:r>
              <w:rPr>
                <w:sz w:val="20"/>
                <w:szCs w:val="20"/>
              </w:rPr>
              <w:t xml:space="preserve">1978</w:t>
            </w:r>
          </w:p>
        </w:tc>
        <w:tc>
          <w:tcPr>
            <w:tcW w:w="0" w:type="auto"/>
          </w:tcPr>
          <w:p>
            <w:pPr>
              <w:spacing w:line="240" w:lineRule="auto" w:before="0" w:after="0"/>
              <w:pStyle w:val="Compact"/>
            </w:pPr>
            <w:r>
              <w:rPr>
                <w:sz w:val="20"/>
                <w:szCs w:val="20"/>
              </w:rPr>
              <w:t xml:space="preserve">575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765</w:t>
            </w:r>
          </w:p>
        </w:tc>
        <w:tc>
          <w:tcPr>
            <w:tcW w:w="0" w:type="auto"/>
          </w:tcPr>
          <w:p>
            <w:pPr>
              <w:spacing w:line="240" w:lineRule="auto" w:before="0" w:after="0"/>
              <w:pStyle w:val="Compact"/>
            </w:pPr>
            <w:r>
              <w:rPr>
                <w:sz w:val="20"/>
                <w:szCs w:val="20"/>
              </w:rPr>
              <w:t xml:space="preserve">775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7.75</w:t>
            </w:r>
          </w:p>
        </w:tc>
        <w:tc>
          <w:tcPr>
            <w:tcW w:w="0" w:type="auto"/>
          </w:tcPr>
          <w:p>
            <w:pPr>
              <w:spacing w:line="240" w:lineRule="auto" w:before="0" w:after="0"/>
              <w:pStyle w:val="Compact"/>
            </w:pPr>
            <w:r>
              <w:rPr>
                <w:sz w:val="20"/>
                <w:szCs w:val="20"/>
              </w:rPr>
              <w:t xml:space="preserve">NSSDCA 1978-064A; launched 1978-06-27, on orbit at 2026-06 snapshot, ~575 months censored</w:t>
            </w:r>
          </w:p>
        </w:tc>
      </w:tr>
      <w:tr>
        <w:tc>
          <w:tcPr>
            <w:tcW w:w="0" w:type="auto"/>
          </w:tcPr>
          <w:p>
            <w:pPr>
              <w:spacing w:line="240" w:lineRule="auto" w:before="0" w:after="0"/>
              <w:pStyle w:val="Compact"/>
            </w:pPr>
            <w:r>
              <w:rPr>
                <w:sz w:val="20"/>
                <w:szCs w:val="20"/>
              </w:rPr>
              <w:t xml:space="preserve">TIROS-N class polar 850km</w:t>
            </w:r>
          </w:p>
        </w:tc>
        <w:tc>
          <w:tcPr>
            <w:tcW w:w="0" w:type="auto"/>
          </w:tcPr>
          <w:p>
            <w:pPr>
              <w:spacing w:line="240" w:lineRule="auto" w:before="0" w:after="0"/>
              <w:pStyle w:val="Compact"/>
            </w:pPr>
            <w:r>
              <w:rPr>
                <w:sz w:val="20"/>
                <w:szCs w:val="20"/>
              </w:rPr>
              <w:t xml:space="preserve">1978-096A</w:t>
            </w:r>
          </w:p>
        </w:tc>
        <w:tc>
          <w:tcPr>
            <w:tcW w:w="0" w:type="auto"/>
          </w:tcPr>
          <w:p>
            <w:pPr>
              <w:spacing w:line="240" w:lineRule="auto" w:before="0" w:after="0"/>
              <w:pStyle w:val="Compact"/>
            </w:pPr>
            <w:r>
              <w:rPr>
                <w:sz w:val="20"/>
                <w:szCs w:val="20"/>
              </w:rPr>
              <w:t xml:space="preserve">1978</w:t>
            </w:r>
          </w:p>
        </w:tc>
        <w:tc>
          <w:tcPr>
            <w:tcW w:w="0" w:type="auto"/>
          </w:tcPr>
          <w:p>
            <w:pPr>
              <w:spacing w:line="240" w:lineRule="auto" w:before="0" w:after="0"/>
              <w:pStyle w:val="Compact"/>
            </w:pPr>
            <w:r>
              <w:rPr>
                <w:sz w:val="20"/>
                <w:szCs w:val="20"/>
              </w:rPr>
              <w:t xml:space="preserve">572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840</w:t>
            </w:r>
          </w:p>
        </w:tc>
        <w:tc>
          <w:tcPr>
            <w:tcW w:w="0" w:type="auto"/>
          </w:tcPr>
          <w:p>
            <w:pPr>
              <w:spacing w:line="240" w:lineRule="auto" w:before="0" w:after="0"/>
              <w:pStyle w:val="Compact"/>
            </w:pPr>
            <w:r>
              <w:rPr>
                <w:sz w:val="20"/>
                <w:szCs w:val="20"/>
              </w:rPr>
              <w:t xml:space="preserve">850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NSSDCA 1978-096A; ~850 km polar class, on orbit at 2026-06 snapshot, ~572 months censored</w:t>
            </w:r>
          </w:p>
        </w:tc>
      </w:tr>
      <w:tr>
        <w:tc>
          <w:tcPr>
            <w:tcW w:w="0" w:type="auto"/>
          </w:tcPr>
          <w:p>
            <w:pPr>
              <w:spacing w:line="240" w:lineRule="auto" w:before="0" w:after="0"/>
              <w:pStyle w:val="Compact"/>
            </w:pPr>
            <w:r>
              <w:rPr>
                <w:sz w:val="20"/>
                <w:szCs w:val="20"/>
              </w:rPr>
              <w:t xml:space="preserve">Hubble Space Telescope</w:t>
            </w:r>
          </w:p>
        </w:tc>
        <w:tc>
          <w:tcPr>
            <w:tcW w:w="0" w:type="auto"/>
          </w:tcPr>
          <w:p>
            <w:pPr>
              <w:spacing w:line="240" w:lineRule="auto" w:before="0" w:after="0"/>
              <w:pStyle w:val="Compact"/>
            </w:pPr>
            <w:r>
              <w:rPr>
                <w:sz w:val="20"/>
                <w:szCs w:val="20"/>
              </w:rPr>
              <w:t xml:space="preserve">1990-037B</w:t>
            </w:r>
          </w:p>
        </w:tc>
        <w:tc>
          <w:tcPr>
            <w:tcW w:w="0" w:type="auto"/>
          </w:tcPr>
          <w:p>
            <w:pPr>
              <w:spacing w:line="240" w:lineRule="auto" w:before="0" w:after="0"/>
              <w:pStyle w:val="Compact"/>
            </w:pPr>
            <w:r>
              <w:rPr>
                <w:sz w:val="20"/>
                <w:szCs w:val="20"/>
              </w:rPr>
              <w:t xml:space="preserve">1990</w:t>
            </w:r>
          </w:p>
        </w:tc>
        <w:tc>
          <w:tcPr>
            <w:tcW w:w="0" w:type="auto"/>
          </w:tcPr>
          <w:p>
            <w:pPr>
              <w:spacing w:line="240" w:lineRule="auto" w:before="0" w:after="0"/>
              <w:pStyle w:val="Compact"/>
            </w:pPr>
            <w:r>
              <w:rPr>
                <w:sz w:val="20"/>
                <w:szCs w:val="20"/>
              </w:rPr>
              <w:t xml:space="preserve">434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540</w:t>
            </w:r>
          </w:p>
        </w:tc>
        <w:tc>
          <w:tcPr>
            <w:tcW w:w="0" w:type="auto"/>
          </w:tcPr>
          <w:p>
            <w:pPr>
              <w:spacing w:line="240" w:lineRule="auto" w:before="0" w:after="0"/>
              <w:pStyle w:val="Compact"/>
            </w:pPr>
            <w:r>
              <w:rPr>
                <w:sz w:val="20"/>
                <w:szCs w:val="20"/>
              </w:rPr>
              <w:t xml:space="preserve">540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NSSDCA 1990-037B; launched 1990-04-24, on orbit at 2026-06 snapshot, ~434 months censored</w:t>
            </w:r>
          </w:p>
        </w:tc>
      </w:tr>
      <w:tr>
        <w:tc>
          <w:tcPr>
            <w:tcW w:w="0" w:type="auto"/>
          </w:tcPr>
          <w:p>
            <w:pPr>
              <w:spacing w:line="240" w:lineRule="auto" w:before="0" w:after="0"/>
              <w:pStyle w:val="Compact"/>
            </w:pPr>
            <w:r>
              <w:rPr>
                <w:sz w:val="20"/>
                <w:szCs w:val="20"/>
              </w:rPr>
              <w:t xml:space="preserve">Envisat</w:t>
            </w:r>
          </w:p>
        </w:tc>
        <w:tc>
          <w:tcPr>
            <w:tcW w:w="0" w:type="auto"/>
          </w:tcPr>
          <w:p>
            <w:pPr>
              <w:spacing w:line="240" w:lineRule="auto" w:before="0" w:after="0"/>
              <w:pStyle w:val="Compact"/>
            </w:pPr>
            <w:r>
              <w:rPr>
                <w:sz w:val="20"/>
                <w:szCs w:val="20"/>
              </w:rPr>
              <w:t xml:space="preserve">2002-009A</w:t>
            </w:r>
          </w:p>
        </w:tc>
        <w:tc>
          <w:tcPr>
            <w:tcW w:w="0" w:type="auto"/>
          </w:tcPr>
          <w:p>
            <w:pPr>
              <w:spacing w:line="240" w:lineRule="auto" w:before="0" w:after="0"/>
              <w:pStyle w:val="Compact"/>
            </w:pPr>
            <w:r>
              <w:rPr>
                <w:sz w:val="20"/>
                <w:szCs w:val="20"/>
              </w:rPr>
              <w:t xml:space="preserve">2002</w:t>
            </w:r>
          </w:p>
        </w:tc>
        <w:tc>
          <w:tcPr>
            <w:tcW w:w="0" w:type="auto"/>
          </w:tcPr>
          <w:p>
            <w:pPr>
              <w:spacing w:line="240" w:lineRule="auto" w:before="0" w:after="0"/>
              <w:pStyle w:val="Compact"/>
            </w:pPr>
            <w:r>
              <w:rPr>
                <w:sz w:val="20"/>
                <w:szCs w:val="20"/>
              </w:rPr>
              <w:t xml:space="preserve">290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768</w:t>
            </w:r>
          </w:p>
        </w:tc>
        <w:tc>
          <w:tcPr>
            <w:tcW w:w="0" w:type="auto"/>
          </w:tcPr>
          <w:p>
            <w:pPr>
              <w:spacing w:line="240" w:lineRule="auto" w:before="0" w:after="0"/>
              <w:pStyle w:val="Compact"/>
            </w:pPr>
            <w:r>
              <w:rPr>
                <w:sz w:val="20"/>
                <w:szCs w:val="20"/>
              </w:rPr>
              <w:t xml:space="preserve">768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7.68</w:t>
            </w:r>
          </w:p>
        </w:tc>
        <w:tc>
          <w:tcPr>
            <w:tcW w:w="0" w:type="auto"/>
          </w:tcPr>
          <w:p>
            <w:pPr>
              <w:spacing w:line="240" w:lineRule="auto" w:before="0" w:after="0"/>
              <w:pStyle w:val="Compact"/>
            </w:pPr>
            <w:r>
              <w:rPr>
                <w:sz w:val="20"/>
                <w:szCs w:val="20"/>
              </w:rPr>
              <w:t xml:space="preserve">NSSDCA 2002-009A; launched 2002-03-01, defunct since 2012, on orbit at 2026-06 snapshot, ~290 months censored</w:t>
            </w:r>
          </w:p>
        </w:tc>
      </w:tr>
      <w:tr>
        <w:tc>
          <w:tcPr>
            <w:tcW w:w="0" w:type="auto"/>
          </w:tcPr>
          <w:p>
            <w:pPr>
              <w:spacing w:line="240" w:lineRule="auto" w:before="0" w:after="0"/>
              <w:pStyle w:val="Compact"/>
            </w:pPr>
            <w:r>
              <w:rPr>
                <w:sz w:val="20"/>
                <w:szCs w:val="20"/>
              </w:rPr>
              <w:t xml:space="preserve">Fengyun-1C debris cloud</w:t>
            </w:r>
          </w:p>
        </w:tc>
        <w:tc>
          <w:tcPr>
            <w:tcW w:w="0" w:type="auto"/>
          </w:tcPr>
          <w:p>
            <w:pPr>
              <w:spacing w:line="240" w:lineRule="auto" w:before="0" w:after="0"/>
              <w:pStyle w:val="Compact"/>
            </w:pPr>
            <w:r>
              <w:rPr>
                <w:sz w:val="20"/>
                <w:szCs w:val="20"/>
              </w:rPr>
              <w:t xml:space="preserve">1999-025-frag</w:t>
            </w:r>
          </w:p>
        </w:tc>
        <w:tc>
          <w:tcPr>
            <w:tcW w:w="0" w:type="auto"/>
          </w:tcPr>
          <w:p>
            <w:pPr>
              <w:spacing w:line="240" w:lineRule="auto" w:before="0" w:after="0"/>
              <w:pStyle w:val="Compact"/>
            </w:pPr>
            <w:r>
              <w:rPr>
                <w:sz w:val="20"/>
                <w:szCs w:val="20"/>
              </w:rPr>
              <w:t xml:space="preserve">1999</w:t>
            </w:r>
          </w:p>
        </w:tc>
        <w:tc>
          <w:tcPr>
            <w:tcW w:w="0" w:type="auto"/>
          </w:tcPr>
          <w:p>
            <w:pPr>
              <w:spacing w:line="240" w:lineRule="auto" w:before="0" w:after="0"/>
              <w:pStyle w:val="Compact"/>
            </w:pPr>
            <w:r>
              <w:rPr>
                <w:sz w:val="20"/>
                <w:szCs w:val="20"/>
              </w:rPr>
              <w:t xml:space="preserve">326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850</w:t>
            </w:r>
          </w:p>
        </w:tc>
        <w:tc>
          <w:tcPr>
            <w:tcW w:w="0" w:type="auto"/>
          </w:tcPr>
          <w:p>
            <w:pPr>
              <w:spacing w:line="240" w:lineRule="auto" w:before="0" w:after="0"/>
              <w:pStyle w:val="Compact"/>
            </w:pPr>
            <w:r>
              <w:rPr>
                <w:sz w:val="20"/>
                <w:szCs w:val="20"/>
              </w:rPr>
              <w:t xml:space="preserve">850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Pardini &amp; Anselmo Acta Astronautica 184 (2021) 11-22, doi:10.1016/j.actaastro.2021.03.030; FY-1C 2007 fragments ~850 km, long residual lifetimes, largely on orbit, ~326 months censored</w:t>
            </w:r>
          </w:p>
        </w:tc>
      </w:tr>
      <w:tr>
        <w:tc>
          <w:tcPr>
            <w:tcW w:w="0" w:type="auto"/>
          </w:tcPr>
          <w:p>
            <w:pPr>
              <w:spacing w:line="240" w:lineRule="auto" w:before="0" w:after="0"/>
              <w:pStyle w:val="Compact"/>
            </w:pPr>
            <w:r>
              <w:rPr>
                <w:sz w:val="20"/>
                <w:szCs w:val="20"/>
              </w:rPr>
              <w:t xml:space="preserve">Iridium 33 collision debris</w:t>
            </w:r>
          </w:p>
        </w:tc>
        <w:tc>
          <w:tcPr>
            <w:tcW w:w="0" w:type="auto"/>
          </w:tcPr>
          <w:p>
            <w:pPr>
              <w:spacing w:line="240" w:lineRule="auto" w:before="0" w:after="0"/>
              <w:pStyle w:val="Compact"/>
            </w:pPr>
            <w:r>
              <w:rPr>
                <w:sz w:val="20"/>
                <w:szCs w:val="20"/>
              </w:rPr>
              <w:t xml:space="preserve">2009-frag</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208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780</w:t>
            </w:r>
          </w:p>
        </w:tc>
        <w:tc>
          <w:tcPr>
            <w:tcW w:w="0" w:type="auto"/>
          </w:tcPr>
          <w:p>
            <w:pPr>
              <w:spacing w:line="240" w:lineRule="auto" w:before="0" w:after="0"/>
              <w:pStyle w:val="Compact"/>
            </w:pPr>
            <w:r>
              <w:rPr>
                <w:sz w:val="20"/>
                <w:szCs w:val="20"/>
              </w:rPr>
              <w:t xml:space="preserve">780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Pardini &amp; Anselmo Acta Astronautica 184 (2021); Iridium-Cosmos 2009 fragments at ~780 km, multi-decade lifetimes, largely on orbit, ~208 months censored</w:t>
            </w:r>
          </w:p>
        </w:tc>
      </w:tr>
      <w:tr>
        <w:tc>
          <w:tcPr>
            <w:tcW w:w="0" w:type="auto"/>
          </w:tcPr>
          <w:p>
            <w:pPr>
              <w:spacing w:line="240" w:lineRule="auto" w:before="0" w:after="0"/>
              <w:pStyle w:val="Compact"/>
            </w:pPr>
            <w:r>
              <w:rPr>
                <w:sz w:val="20"/>
                <w:szCs w:val="20"/>
              </w:rPr>
              <w:t xml:space="preserve">Iridium NEXT operational</w:t>
            </w:r>
          </w:p>
        </w:tc>
        <w:tc>
          <w:tcPr>
            <w:tcW w:w="0" w:type="auto"/>
          </w:tcPr>
          <w:p>
            <w:pPr>
              <w:spacing w:line="240" w:lineRule="auto" w:before="0" w:after="0"/>
              <w:pStyle w:val="Compact"/>
            </w:pPr>
            <w:r>
              <w:rPr>
                <w:sz w:val="20"/>
                <w:szCs w:val="20"/>
              </w:rPr>
              <w:t xml:space="preserve">2017-003-typ</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780</w:t>
            </w:r>
          </w:p>
        </w:tc>
        <w:tc>
          <w:tcPr>
            <w:tcW w:w="0" w:type="auto"/>
          </w:tcPr>
          <w:p>
            <w:pPr>
              <w:spacing w:line="240" w:lineRule="auto" w:before="0" w:after="0"/>
              <w:pStyle w:val="Compact"/>
            </w:pPr>
            <w:r>
              <w:rPr>
                <w:sz w:val="20"/>
                <w:szCs w:val="20"/>
              </w:rPr>
              <w:t xml:space="preserve">780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Iridium/Space-Track; ~780 km operational constellation, on orbit at 2026-06 snapshot, ~113 months censored</w:t>
            </w:r>
          </w:p>
        </w:tc>
      </w:tr>
      <w:tr>
        <w:tc>
          <w:tcPr>
            <w:tcW w:w="0" w:type="auto"/>
          </w:tcPr>
          <w:p>
            <w:pPr>
              <w:spacing w:line="240" w:lineRule="auto" w:before="0" w:after="0"/>
              <w:pStyle w:val="Compact"/>
            </w:pPr>
            <w:r>
              <w:rPr>
                <w:sz w:val="20"/>
                <w:szCs w:val="20"/>
              </w:rPr>
              <w:t xml:space="preserve">OneWeb operational</w:t>
            </w:r>
          </w:p>
        </w:tc>
        <w:tc>
          <w:tcPr>
            <w:tcW w:w="0" w:type="auto"/>
          </w:tcPr>
          <w:p>
            <w:pPr>
              <w:spacing w:line="240" w:lineRule="auto" w:before="0" w:after="0"/>
              <w:pStyle w:val="Compact"/>
            </w:pPr>
            <w:r>
              <w:rPr>
                <w:sz w:val="20"/>
                <w:szCs w:val="20"/>
              </w:rPr>
              <w:t xml:space="preserve">2019-038-typ</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OneWeb/Space-Track; ~1200 km operational constellation, on orbit at 2026-06 snapshot, ~86 months censored</w:t>
            </w:r>
          </w:p>
        </w:tc>
      </w:tr>
      <w:tr>
        <w:tc>
          <w:tcPr>
            <w:tcW w:w="0" w:type="auto"/>
          </w:tcPr>
          <w:p>
            <w:pPr>
              <w:spacing w:line="240" w:lineRule="auto" w:before="0" w:after="0"/>
              <w:pStyle w:val="Compact"/>
            </w:pPr>
            <w:r>
              <w:rPr>
                <w:sz w:val="20"/>
                <w:szCs w:val="20"/>
              </w:rPr>
              <w:t xml:space="preserve">ISS Zarya</w:t>
            </w:r>
          </w:p>
        </w:tc>
        <w:tc>
          <w:tcPr>
            <w:tcW w:w="0" w:type="auto"/>
          </w:tcPr>
          <w:p>
            <w:pPr>
              <w:spacing w:line="240" w:lineRule="auto" w:before="0" w:after="0"/>
              <w:pStyle w:val="Compact"/>
            </w:pPr>
            <w:r>
              <w:rPr>
                <w:sz w:val="20"/>
                <w:szCs w:val="20"/>
              </w:rPr>
              <w:t xml:space="preserve">1998-067A</w:t>
            </w:r>
          </w:p>
        </w:tc>
        <w:tc>
          <w:tcPr>
            <w:tcW w:w="0" w:type="auto"/>
          </w:tcPr>
          <w:p>
            <w:pPr>
              <w:spacing w:line="240" w:lineRule="auto" w:before="0" w:after="0"/>
              <w:pStyle w:val="Compact"/>
            </w:pPr>
            <w:r>
              <w:rPr>
                <w:sz w:val="20"/>
                <w:szCs w:val="20"/>
              </w:rPr>
              <w:t xml:space="preserve">1998</w:t>
            </w:r>
          </w:p>
        </w:tc>
        <w:tc>
          <w:tcPr>
            <w:tcW w:w="0" w:type="auto"/>
          </w:tcPr>
          <w:p>
            <w:pPr>
              <w:spacing w:line="240" w:lineRule="auto" w:before="0" w:after="0"/>
              <w:pStyle w:val="Compact"/>
            </w:pPr>
            <w:r>
              <w:rPr>
                <w:sz w:val="20"/>
                <w:szCs w:val="20"/>
              </w:rPr>
              <w:t xml:space="preserve">331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410</w:t>
            </w:r>
          </w:p>
        </w:tc>
        <w:tc>
          <w:tcPr>
            <w:tcW w:w="0" w:type="auto"/>
          </w:tcPr>
          <w:p>
            <w:pPr>
              <w:spacing w:line="240" w:lineRule="auto" w:before="0" w:after="0"/>
              <w:pStyle w:val="Compact"/>
            </w:pPr>
            <w:r>
              <w:rPr>
                <w:sz w:val="20"/>
                <w:szCs w:val="20"/>
              </w:rPr>
              <w:t xml:space="preserve">410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NSSDCA 1998-067A; launched 1998-11-20, drag-maintained ~410 km, on orbit at 2026-06 snapshot, ~331 months censored</w:t>
            </w:r>
          </w:p>
        </w:tc>
      </w:tr>
      <w:tr>
        <w:tc>
          <w:tcPr>
            <w:tcW w:w="0" w:type="auto"/>
          </w:tcPr>
          <w:p>
            <w:pPr>
              <w:spacing w:line="240" w:lineRule="auto" w:before="0" w:after="0"/>
              <w:pStyle w:val="Compact"/>
            </w:pPr>
            <w:r>
              <w:rPr>
                <w:sz w:val="20"/>
                <w:szCs w:val="20"/>
              </w:rPr>
              <w:t xml:space="preserve">Delta II second stage 710km class</w:t>
            </w:r>
          </w:p>
        </w:tc>
        <w:tc>
          <w:tcPr>
            <w:tcW w:w="0" w:type="auto"/>
          </w:tcPr>
          <w:p>
            <w:pPr>
              <w:spacing w:line="240" w:lineRule="auto" w:before="0" w:after="0"/>
              <w:pStyle w:val="Compact"/>
            </w:pPr>
            <w:r>
              <w:rPr>
                <w:sz w:val="20"/>
                <w:szCs w:val="20"/>
              </w:rPr>
              <w:t xml:space="preserve">1997-deb</w:t>
            </w:r>
          </w:p>
        </w:tc>
        <w:tc>
          <w:tcPr>
            <w:tcW w:w="0" w:type="auto"/>
          </w:tcPr>
          <w:p>
            <w:pPr>
              <w:spacing w:line="240" w:lineRule="auto" w:before="0" w:after="0"/>
              <w:pStyle w:val="Compact"/>
            </w:pPr>
            <w:r>
              <w:rPr>
                <w:sz w:val="20"/>
                <w:szCs w:val="20"/>
              </w:rPr>
              <w:t xml:space="preserve">1997</w:t>
            </w:r>
          </w:p>
        </w:tc>
        <w:tc>
          <w:tcPr>
            <w:tcW w:w="0" w:type="auto"/>
          </w:tcPr>
          <w:p>
            <w:pPr>
              <w:spacing w:line="240" w:lineRule="auto" w:before="0" w:after="0"/>
              <w:pStyle w:val="Compact"/>
            </w:pPr>
            <w:r>
              <w:rPr>
                <w:sz w:val="20"/>
                <w:szCs w:val="20"/>
              </w:rPr>
              <w:t xml:space="preserve">348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710</w:t>
            </w:r>
          </w:p>
        </w:tc>
        <w:tc>
          <w:tcPr>
            <w:tcW w:w="0" w:type="auto"/>
          </w:tcPr>
          <w:p>
            <w:pPr>
              <w:spacing w:line="240" w:lineRule="auto" w:before="0" w:after="0"/>
              <w:pStyle w:val="Compact"/>
            </w:pPr>
            <w:r>
              <w:rPr>
                <w:sz w:val="20"/>
                <w:szCs w:val="20"/>
              </w:rPr>
              <w:t xml:space="preserve">710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7.1</w:t>
            </w:r>
          </w:p>
        </w:tc>
        <w:tc>
          <w:tcPr>
            <w:tcW w:w="0" w:type="auto"/>
          </w:tcPr>
          <w:p>
            <w:pPr>
              <w:spacing w:line="240" w:lineRule="auto" w:before="0" w:after="0"/>
              <w:pStyle w:val="Compact"/>
            </w:pPr>
            <w:r>
              <w:rPr>
                <w:sz w:val="20"/>
                <w:szCs w:val="20"/>
              </w:rPr>
              <w:t xml:space="preserve">Space-Track SATCAT; Delta-II second-stage class ~710 km, on orbit at 2026-06 snapshot, ~348 months censored [illustrative epoch]</w:t>
            </w:r>
          </w:p>
        </w:tc>
      </w:tr>
    </w:tbl>
    <w:bookmarkEnd w:id="81"/>
    <w:bookmarkStart w:id="82"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months_on_orbit</w:t>
            </w:r>
          </w:p>
        </w:tc>
        <w:tc>
          <w:tcPr>
            <w:tcW w:w="0" w:type="auto"/>
          </w:tcPr>
          <w:p>
            <w:pPr>
              <w:spacing w:line="240" w:lineRule="auto" w:before="0" w:after="0"/>
              <w:pStyle w:val="Compact"/>
            </w:pPr>
            <w:r>
              <w:rPr>
                <w:sz w:val="20"/>
                <w:szCs w:val="20"/>
              </w:rPr>
              <w:t xml:space="preserve">Survival time in months from launch epoch to decay or reentry; for objects still on orbit at the 2026-06 catalog snapshot, the elapsed months from launch to snapshot (right-censored)</w:t>
            </w:r>
          </w:p>
        </w:tc>
        <w:tc>
          <w:tcPr>
            <w:tcW w:w="0" w:type="auto"/>
          </w:tcPr>
          <w:p>
            <w:pPr>
              <w:spacing w:line="240" w:lineRule="auto" w:before="0" w:after="0"/>
              <w:pStyle w:val="Compact"/>
            </w:pPr>
            <w:r>
              <w:rPr>
                <w:sz w:val="20"/>
                <w:szCs w:val="20"/>
              </w:rPr>
              <w:t xml:space="preserve">NSSDCA Master Catalog; Space-Track SATCAT decay records; ESA/Aerospace reentry records</w:t>
            </w:r>
          </w:p>
        </w:tc>
      </w:tr>
      <w:tr>
        <w:tc>
          <w:tcPr>
            <w:tcW w:w="0" w:type="auto"/>
          </w:tcPr>
          <w:p>
            <w:pPr>
              <w:spacing w:line="240" w:lineRule="auto" w:before="0" w:after="0"/>
              <w:pStyle w:val="Compact"/>
            </w:pPr>
            <w:r>
              <w:rPr>
                <w:sz w:val="20"/>
                <w:szCs w:val="20"/>
              </w:rPr>
              <w:t xml:space="preserve">decayed</w:t>
            </w:r>
          </w:p>
        </w:tc>
        <w:tc>
          <w:tcPr>
            <w:tcW w:w="0" w:type="auto"/>
          </w:tcPr>
          <w:p>
            <w:pPr>
              <w:spacing w:line="240" w:lineRule="auto" w:before="0" w:after="0"/>
              <w:pStyle w:val="Compact"/>
            </w:pPr>
            <w:r>
              <w:rPr>
                <w:sz w:val="20"/>
                <w:szCs w:val="20"/>
              </w:rPr>
              <w:t xml:space="preserve">Event indicator equal to 1 if the object decayed or reentered, 0 if still on orbit (right-censored) at the snapshot</w:t>
            </w:r>
          </w:p>
        </w:tc>
        <w:tc>
          <w:tcPr>
            <w:tcW w:w="0" w:type="auto"/>
          </w:tcPr>
          <w:p>
            <w:pPr>
              <w:spacing w:line="240" w:lineRule="auto" w:before="0" w:after="0"/>
              <w:pStyle w:val="Compact"/>
            </w:pPr>
            <w:r>
              <w:rPr>
                <w:sz w:val="20"/>
                <w:szCs w:val="20"/>
              </w:rPr>
              <w:t xml:space="preserve">NSSDCA; Space-Track SATCAT status fields</w:t>
            </w:r>
          </w:p>
        </w:tc>
      </w:tr>
      <w:tr>
        <w:tc>
          <w:tcPr>
            <w:tcW w:w="0" w:type="auto"/>
          </w:tcPr>
          <w:p>
            <w:pPr>
              <w:spacing w:line="240" w:lineRule="auto" w:before="0" w:after="0"/>
              <w:pStyle w:val="Compact"/>
            </w:pPr>
            <w:r>
              <w:rPr>
                <w:sz w:val="20"/>
                <w:szCs w:val="20"/>
              </w:rPr>
              <w:t xml:space="preserve">alt_band_100km</w:t>
            </w:r>
          </w:p>
        </w:tc>
        <w:tc>
          <w:tcPr>
            <w:tcW w:w="0" w:type="auto"/>
          </w:tcPr>
          <w:p>
            <w:pPr>
              <w:spacing w:line="240" w:lineRule="auto" w:before="0" w:after="0"/>
              <w:pStyle w:val="Compact"/>
            </w:pPr>
            <w:r>
              <w:rPr>
                <w:sz w:val="20"/>
                <w:szCs w:val="20"/>
              </w:rPr>
              <w:t xml:space="preserve">Mean operational orbital altitude band in hundreds of kilometers; covariate proxy for the atmospheric-drag removal term governing band sink strength</w:t>
            </w:r>
          </w:p>
        </w:tc>
        <w:tc>
          <w:tcPr>
            <w:tcW w:w="0" w:type="auto"/>
          </w:tcPr>
          <w:p>
            <w:pPr>
              <w:spacing w:line="240" w:lineRule="auto" w:before="0" w:after="0"/>
              <w:pStyle w:val="Compact"/>
            </w:pPr>
            <w:r>
              <w:rPr>
                <w:sz w:val="20"/>
                <w:szCs w:val="20"/>
              </w:rPr>
              <w:t xml:space="preserve">NSSDCA orbital elements; Pardini and Anselmo, Acta Astronautica 184 (2021)</w:t>
            </w:r>
          </w:p>
        </w:tc>
      </w:tr>
      <w:tr>
        <w:tc>
          <w:tcPr>
            <w:tcW w:w="0" w:type="auto"/>
          </w:tcPr>
          <w:p>
            <w:pPr>
              <w:spacing w:line="240" w:lineRule="auto" w:before="0" w:after="0"/>
              <w:pStyle w:val="Compact"/>
            </w:pPr>
            <w:r>
              <w:rPr>
                <w:sz w:val="20"/>
                <w:szCs w:val="20"/>
              </w:rPr>
              <w:t xml:space="preserve">object_class_heavy</w:t>
            </w:r>
          </w:p>
        </w:tc>
        <w:tc>
          <w:tcPr>
            <w:tcW w:w="0" w:type="auto"/>
          </w:tcPr>
          <w:p>
            <w:pPr>
              <w:spacing w:line="240" w:lineRule="auto" w:before="0" w:after="0"/>
              <w:pStyle w:val="Compact"/>
            </w:pPr>
            <w:r>
              <w:rPr>
                <w:sz w:val="20"/>
                <w:szCs w:val="20"/>
              </w:rPr>
              <w:t xml:space="preserve">Binary indicator equal to 1 for large intact spacecraft, rocket bodies, and station-class objects (low area-to-mass), 0 for small satellites and fragments (high area-to-mass)</w:t>
            </w:r>
          </w:p>
        </w:tc>
        <w:tc>
          <w:tcPr>
            <w:tcW w:w="0" w:type="auto"/>
          </w:tcPr>
          <w:p>
            <w:pPr>
              <w:spacing w:line="240" w:lineRule="auto" w:before="0" w:after="0"/>
              <w:pStyle w:val="Compact"/>
            </w:pPr>
            <w:r>
              <w:rPr>
                <w:sz w:val="20"/>
                <w:szCs w:val="20"/>
              </w:rPr>
              <w:t xml:space="preserve">NSSDCA object descriptions; Space-Track object-type fields</w:t>
            </w:r>
          </w:p>
        </w:tc>
      </w:tr>
      <w:tr>
        <w:tc>
          <w:tcPr>
            <w:tcW w:w="0" w:type="auto"/>
          </w:tcPr>
          <w:p>
            <w:pPr>
              <w:spacing w:line="240" w:lineRule="auto" w:before="0" w:after="0"/>
              <w:pStyle w:val="Compact"/>
            </w:pPr>
            <w:r>
              <w:rPr>
                <w:sz w:val="20"/>
                <w:szCs w:val="20"/>
              </w:rPr>
              <w:t xml:space="preserve">solar_high_at_launch</w:t>
            </w:r>
          </w:p>
        </w:tc>
        <w:tc>
          <w:tcPr>
            <w:tcW w:w="0" w:type="auto"/>
          </w:tcPr>
          <w:p>
            <w:pPr>
              <w:spacing w:line="240" w:lineRule="auto" w:before="0" w:after="0"/>
              <w:pStyle w:val="Compact"/>
            </w:pPr>
            <w:r>
              <w:rPr>
                <w:sz w:val="20"/>
                <w:szCs w:val="20"/>
              </w:rPr>
              <w:t xml:space="preserve">Binary indicator equal to 1 if the launch epoch fell near a solar-cycle maximum (elevated F10.7), 0 otherwise; proxy for thermospheric-density forcing of drag</w:t>
            </w:r>
          </w:p>
        </w:tc>
        <w:tc>
          <w:tcPr>
            <w:tcW w:w="0" w:type="auto"/>
          </w:tcPr>
          <w:p>
            <w:pPr>
              <w:spacing w:line="240" w:lineRule="auto" w:before="0" w:after="0"/>
              <w:pStyle w:val="Compact"/>
            </w:pPr>
            <w:r>
              <w:rPr>
                <w:sz w:val="20"/>
                <w:szCs w:val="20"/>
              </w:rPr>
              <w:t xml:space="preserve">NOAA SWPC solar-cycle F10.7 record</w:t>
            </w:r>
          </w:p>
        </w:tc>
      </w:tr>
    </w:tbl>
    <w:bookmarkEnd w:id="82"/>
    <w:bookmarkStart w:id="83"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alt_band_100km</w:t>
            </w:r>
          </w:p>
        </w:tc>
        <w:tc>
          <w:tcPr>
            <w:tcW w:w="0" w:type="auto"/>
          </w:tcPr>
          <w:p>
            <w:pPr>
              <w:spacing w:line="240" w:lineRule="auto" w:before="0" w:after="0"/>
              <w:pStyle w:val="Compact"/>
            </w:pPr>
            <w:r>
              <w:rPr>
                <w:sz w:val="20"/>
                <w:szCs w:val="20"/>
              </w:rPr>
              <w:t xml:space="preserve">-0.5377</w:t>
            </w:r>
          </w:p>
        </w:tc>
        <w:tc>
          <w:tcPr>
            <w:tcW w:w="0" w:type="auto"/>
          </w:tcPr>
          <w:p>
            <w:pPr>
              <w:spacing w:line="240" w:lineRule="auto" w:before="0" w:after="0"/>
              <w:pStyle w:val="Compact"/>
            </w:pPr>
            <w:r>
              <w:rPr>
                <w:sz w:val="20"/>
                <w:szCs w:val="20"/>
              </w:rPr>
              <w:t xml:space="preserve">0.1584</w:t>
            </w:r>
          </w:p>
        </w:tc>
        <w:tc>
          <w:tcPr>
            <w:tcW w:w="0" w:type="auto"/>
          </w:tcPr>
          <w:p>
            <w:pPr>
              <w:spacing w:line="240" w:lineRule="auto" w:before="0" w:after="0"/>
              <w:pStyle w:val="Compact"/>
            </w:pPr>
            <w:r>
              <w:rPr>
                <w:sz w:val="20"/>
                <w:szCs w:val="20"/>
              </w:rPr>
              <w:t xml:space="preserve">-3.3954</w:t>
            </w:r>
          </w:p>
        </w:tc>
        <w:tc>
          <w:tcPr>
            <w:tcW w:w="0" w:type="auto"/>
          </w:tcPr>
          <w:p>
            <w:pPr>
              <w:spacing w:line="240" w:lineRule="auto" w:before="0" w:after="0"/>
              <w:pStyle w:val="Compact"/>
            </w:pPr>
            <w:r>
              <w:rPr>
                <w:sz w:val="20"/>
                <w:szCs w:val="20"/>
              </w:rPr>
              <w:t xml:space="preserve">0.0006853</w:t>
            </w:r>
          </w:p>
        </w:tc>
        <w:tc>
          <w:tcPr>
            <w:tcW w:w="0" w:type="auto"/>
          </w:tcPr>
          <w:p>
            <w:pPr>
              <w:spacing w:line="240" w:lineRule="auto" w:before="0" w:after="0"/>
              <w:pStyle w:val="Compact"/>
            </w:pPr>
            <w:r>
              <w:rPr>
                <w:sz w:val="20"/>
                <w:szCs w:val="20"/>
              </w:rPr>
              <w:t xml:space="preserve">[-0.8482, -0.2273]</w:t>
            </w:r>
          </w:p>
        </w:tc>
        <w:tc>
          <w:tcPr>
            <w:tcW w:w="0" w:type="auto"/>
          </w:tcPr>
          <w:p>
            <w:pPr>
              <w:spacing w:line="240" w:lineRule="auto" w:before="0" w:after="0"/>
              <w:pStyle w:val="Compact"/>
            </w:pPr>
            <w:r>
              <w:rPr>
                <w:sz w:val="20"/>
                <w:szCs w:val="20"/>
              </w:rPr>
              <w:t xml:space="preserve">0.5841</w:t>
            </w:r>
          </w:p>
        </w:tc>
      </w:tr>
      <w:tr>
        <w:tc>
          <w:tcPr>
            <w:tcW w:w="0" w:type="auto"/>
          </w:tcPr>
          <w:p>
            <w:pPr>
              <w:spacing w:line="240" w:lineRule="auto" w:before="0" w:after="0"/>
              <w:pStyle w:val="Compact"/>
            </w:pPr>
            <w:r>
              <w:rPr>
                <w:sz w:val="20"/>
                <w:szCs w:val="20"/>
              </w:rPr>
              <w:t xml:space="preserve">object_class_heavy</w:t>
            </w:r>
          </w:p>
        </w:tc>
        <w:tc>
          <w:tcPr>
            <w:tcW w:w="0" w:type="auto"/>
          </w:tcPr>
          <w:p>
            <w:pPr>
              <w:spacing w:line="240" w:lineRule="auto" w:before="0" w:after="0"/>
              <w:pStyle w:val="Compact"/>
            </w:pPr>
            <w:r>
              <w:rPr>
                <w:sz w:val="20"/>
                <w:szCs w:val="20"/>
              </w:rPr>
              <w:t xml:space="preserve">-1.3329</w:t>
            </w:r>
          </w:p>
        </w:tc>
        <w:tc>
          <w:tcPr>
            <w:tcW w:w="0" w:type="auto"/>
          </w:tcPr>
          <w:p>
            <w:pPr>
              <w:spacing w:line="240" w:lineRule="auto" w:before="0" w:after="0"/>
              <w:pStyle w:val="Compact"/>
            </w:pPr>
            <w:r>
              <w:rPr>
                <w:sz w:val="20"/>
                <w:szCs w:val="20"/>
              </w:rPr>
              <w:t xml:space="preserve">0.6187</w:t>
            </w:r>
          </w:p>
        </w:tc>
        <w:tc>
          <w:tcPr>
            <w:tcW w:w="0" w:type="auto"/>
          </w:tcPr>
          <w:p>
            <w:pPr>
              <w:spacing w:line="240" w:lineRule="auto" w:before="0" w:after="0"/>
              <w:pStyle w:val="Compact"/>
            </w:pPr>
            <w:r>
              <w:rPr>
                <w:sz w:val="20"/>
                <w:szCs w:val="20"/>
              </w:rPr>
              <w:t xml:space="preserve">-2.1544</w:t>
            </w:r>
          </w:p>
        </w:tc>
        <w:tc>
          <w:tcPr>
            <w:tcW w:w="0" w:type="auto"/>
          </w:tcPr>
          <w:p>
            <w:pPr>
              <w:spacing w:line="240" w:lineRule="auto" w:before="0" w:after="0"/>
              <w:pStyle w:val="Compact"/>
            </w:pPr>
            <w:r>
              <w:rPr>
                <w:sz w:val="20"/>
                <w:szCs w:val="20"/>
              </w:rPr>
              <w:t xml:space="preserve">0.0312</w:t>
            </w:r>
          </w:p>
        </w:tc>
        <w:tc>
          <w:tcPr>
            <w:tcW w:w="0" w:type="auto"/>
          </w:tcPr>
          <w:p>
            <w:pPr>
              <w:spacing w:line="240" w:lineRule="auto" w:before="0" w:after="0"/>
              <w:pStyle w:val="Compact"/>
            </w:pPr>
            <w:r>
              <w:rPr>
                <w:sz w:val="20"/>
                <w:szCs w:val="20"/>
              </w:rPr>
              <w:t xml:space="preserve">[-2.5455, -0.1203]</w:t>
            </w:r>
          </w:p>
        </w:tc>
        <w:tc>
          <w:tcPr>
            <w:tcW w:w="0" w:type="auto"/>
          </w:tcPr>
          <w:p>
            <w:pPr>
              <w:spacing w:line="240" w:lineRule="auto" w:before="0" w:after="0"/>
              <w:pStyle w:val="Compact"/>
            </w:pPr>
            <w:r>
              <w:rPr>
                <w:sz w:val="20"/>
                <w:szCs w:val="20"/>
              </w:rPr>
              <w:t xml:space="preserve">0.2637</w:t>
            </w:r>
          </w:p>
        </w:tc>
      </w:tr>
      <w:tr>
        <w:tc>
          <w:tcPr>
            <w:tcW w:w="0" w:type="auto"/>
          </w:tcPr>
          <w:p>
            <w:pPr>
              <w:spacing w:line="240" w:lineRule="auto" w:before="0" w:after="0"/>
              <w:pStyle w:val="Compact"/>
            </w:pPr>
            <w:r>
              <w:rPr>
                <w:sz w:val="20"/>
                <w:szCs w:val="20"/>
              </w:rPr>
              <w:t xml:space="preserve">solar_high_at_launch</w:t>
            </w:r>
          </w:p>
        </w:tc>
        <w:tc>
          <w:tcPr>
            <w:tcW w:w="0" w:type="auto"/>
          </w:tcPr>
          <w:p>
            <w:pPr>
              <w:spacing w:line="240" w:lineRule="auto" w:before="0" w:after="0"/>
              <w:pStyle w:val="Compact"/>
            </w:pPr>
            <w:r>
              <w:rPr>
                <w:sz w:val="20"/>
                <w:szCs w:val="20"/>
              </w:rPr>
              <w:t xml:space="preserve">0.7071</w:t>
            </w:r>
          </w:p>
        </w:tc>
        <w:tc>
          <w:tcPr>
            <w:tcW w:w="0" w:type="auto"/>
          </w:tcPr>
          <w:p>
            <w:pPr>
              <w:spacing w:line="240" w:lineRule="auto" w:before="0" w:after="0"/>
              <w:pStyle w:val="Compact"/>
            </w:pPr>
            <w:r>
              <w:rPr>
                <w:sz w:val="20"/>
                <w:szCs w:val="20"/>
              </w:rPr>
              <w:t xml:space="preserve">0.5594</w:t>
            </w:r>
          </w:p>
        </w:tc>
        <w:tc>
          <w:tcPr>
            <w:tcW w:w="0" w:type="auto"/>
          </w:tcPr>
          <w:p>
            <w:pPr>
              <w:spacing w:line="240" w:lineRule="auto" w:before="0" w:after="0"/>
              <w:pStyle w:val="Compact"/>
            </w:pPr>
            <w:r>
              <w:rPr>
                <w:sz w:val="20"/>
                <w:szCs w:val="20"/>
              </w:rPr>
              <w:t xml:space="preserve">1.2639</w:t>
            </w:r>
          </w:p>
        </w:tc>
        <w:tc>
          <w:tcPr>
            <w:tcW w:w="0" w:type="auto"/>
          </w:tcPr>
          <w:p>
            <w:pPr>
              <w:spacing w:line="240" w:lineRule="auto" w:before="0" w:after="0"/>
              <w:pStyle w:val="Compact"/>
            </w:pPr>
            <w:r>
              <w:rPr>
                <w:sz w:val="20"/>
                <w:szCs w:val="20"/>
              </w:rPr>
              <w:t xml:space="preserve">0.2063</w:t>
            </w:r>
          </w:p>
        </w:tc>
        <w:tc>
          <w:tcPr>
            <w:tcW w:w="0" w:type="auto"/>
          </w:tcPr>
          <w:p>
            <w:pPr>
              <w:spacing w:line="240" w:lineRule="auto" w:before="0" w:after="0"/>
              <w:pStyle w:val="Compact"/>
            </w:pPr>
            <w:r>
              <w:rPr>
                <w:sz w:val="20"/>
                <w:szCs w:val="20"/>
              </w:rPr>
              <w:t xml:space="preserve">[-0.3894, 1.8036]</w:t>
            </w:r>
          </w:p>
        </w:tc>
        <w:tc>
          <w:tcPr>
            <w:tcW w:w="0" w:type="auto"/>
          </w:tcPr>
          <w:p>
            <w:pPr>
              <w:spacing w:line="240" w:lineRule="auto" w:before="0" w:after="0"/>
              <w:pStyle w:val="Compact"/>
            </w:pPr>
            <w:r>
              <w:rPr>
                <w:sz w:val="20"/>
                <w:szCs w:val="20"/>
              </w:rPr>
              <w:t xml:space="preserve">2.028</w:t>
            </w:r>
          </w:p>
        </w:tc>
      </w:tr>
    </w:tbl>
    <w:p>
      <w:pPr>
        <w:pStyle w:val="BodyText"/>
      </w:pPr>
      <w:r>
        <w:t xml:space="preserve">Fit: N = 34 events = 22</w:t>
      </w:r>
    </w:p>
    <w:bookmarkEnd w:id="83"/>
    <w:bookmarkEnd w:id="84"/>
    <w:bookmarkEnd w:id="85"/>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 w:numId="1001">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7" Target="media/rId77.png" /><Relationship Type="http://schemas.openxmlformats.org/officeDocument/2006/relationships/hyperlink" Id="rId70" Target="https://doi.org/10.1016/j.actaastro.2021.03.030" TargetMode="External" /><Relationship Type="http://schemas.openxmlformats.org/officeDocument/2006/relationships/hyperlink" Id="rId74" Target="https://doi.org/10.1016/j.actaastro.2024.09.045" TargetMode="External" /><Relationship Type="http://schemas.openxmlformats.org/officeDocument/2006/relationships/hyperlink" Id="rId72" Target="https://doi.org/10.1016/j.actaastro.2026.04.044" TargetMode="External" /></Relationships>
</file>

<file path=word/_rels/footnotes.xml.rels><?xml version="1.0" encoding="UTF-8"?><Relationships xmlns="http://schemas.openxmlformats.org/package/2006/relationships"><Relationship Type="http://schemas.openxmlformats.org/officeDocument/2006/relationships/hyperlink" Id="rId70" Target="https://doi.org/10.1016/j.actaastro.2021.03.030" TargetMode="External" /><Relationship Type="http://schemas.openxmlformats.org/officeDocument/2006/relationships/hyperlink" Id="rId74" Target="https://doi.org/10.1016/j.actaastro.2024.09.045" TargetMode="External" /><Relationship Type="http://schemas.openxmlformats.org/officeDocument/2006/relationships/hyperlink" Id="rId72" Target="https://doi.org/10.1016/j.actaastro.2026.04.044"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2026-06-26T16:45:51Z</dcterms:created>
  <dcterms:modified xsi:type="dcterms:W3CDTF">2026-06-26T16:45:51Z</dcterms:modified>
</cp:coreProperties>
</file>

<file path=docProps/custom.xml><?xml version="1.0" encoding="utf-8"?>
<Properties xmlns="http://schemas.openxmlformats.org/officeDocument/2006/custom-properties" xmlns:vt="http://schemas.openxmlformats.org/officeDocument/2006/docPropsVTypes"/>
</file>