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1d3dfb75e7fcd2adb90b2d303da9aa99c34b632"/>
    <w:p>
      <w:pPr>
        <w:pStyle w:val="Heading1"/>
      </w:pPr>
      <w:r>
        <w:t xml:space="preserve">What Feeds the Cascade: A Cross-Event Regression of Cataloged Fragment Yield on Parent Mass and Collision Energy</w:t>
      </w:r>
    </w:p>
    <w:bookmarkStart w:id="61" w:name="introduction"/>
    <w:p>
      <w:pPr>
        <w:pStyle w:val="Heading2"/>
      </w:pPr>
      <w:r>
        <w:t xml:space="preserve">1. Introduction</w:t>
      </w:r>
    </w:p>
    <w:p>
      <w:pPr>
        <w:pStyle w:val="FirstParagraph"/>
      </w:pPr>
      <w:r>
        <w:t xml:space="preserve">The hazard that organizes four decades of debris policy is not any single breakup but the prospect that breakups will eventually feed one another, with collisions among existing objects generating new debris faster than atmospheric drag removes it. The dissertation that frames this paper treats that prospect as a detection problem: whether the onset of self-sustaining fragmentation leaves an observable signature in the catalog before it becomes irreversible. Detection, however, presupposes an answer to a prior and more elementary question. If the catalog is to be read as an instrument, one must know which physical events deposit the most trackable mass into it, and whether the high-energy collisional channel that theory identifies as the engine of a cascade is also the channel that dominates observed catalog growth.</w:t>
      </w:r>
    </w:p>
    <w:p>
      <w:pPr>
        <w:pStyle w:val="BodyText"/>
      </w:pPr>
      <w:r>
        <w:t xml:space="preserve">This paper isolates that prior question and answers it on documented data. It asks how the number of cataloged fragments produced by a breakup depends on two observable properties of the event: the dry mass of the parent object and whether the event was a hypervelocity collision or kinetic intercept rather than a self-induced explosion. The question matters because the two channels are not interchangeable. Explosive breakups of spent rocket stages have historically been the most frequent source of cataloged debris, but the dynamical literature locates the cascade specifically in the collisional term, because only fragment-on-fragment collisions can sustain growth once launches stop</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If collision events deposit systematically more trackable fragments than explosions of comparable parent mass, then the catalog growth an operator actually observes is weighted toward the very channel that drives the long-run instability, and the detection program of the broader dissertation is observing the right quantity. If instead fragment yield is governed by parent mass alone, the catalog would be a register of how large the breaking object was rather than how dangerous the breakup was.</w:t>
      </w:r>
    </w:p>
    <w:p>
      <w:pPr>
        <w:pStyle w:val="FirstParagraph"/>
      </w:pPr>
      <w:r>
        <w:t xml:space="preserve">The contribution is deliberately narrow. It is a single cross-event regression on twenty-one documented breakups, estimating the partial association of cataloged fragment count with parent mass and with collision energy. It does not forecast the catalog, it does not date any transition, and it does not resolve the sub-trackable fragment population that no catalog observes. It establishes one empirical fact about the trackable stratum, and it reports that fact whether or not it flatters the hypothesis.</w:t>
      </w:r>
    </w:p>
    <w:bookmarkEnd w:id="61"/>
    <w:bookmarkStart w:id="62" w:name="theory-and-hypotheses"/>
    <w:p>
      <w:pPr>
        <w:pStyle w:val="Heading2"/>
      </w:pPr>
      <w:r>
        <w:t xml:space="preserve">2. Theory and Hypotheses</w:t>
      </w:r>
    </w:p>
    <w:p>
      <w:pPr>
        <w:pStyle w:val="FirstParagraph"/>
      </w:pPr>
      <w:r>
        <w:t xml:space="preserve">The physical basis for relating fragment count to event properties is the breakup model tradition. The NASA Standard Breakup Model represents the number of fragments above a given characteristic length as a power law, with the count rising with the energy imparted and with the mass available to fragment</w:t>
      </w:r>
      <w:r>
        <w:t xml:space="preserve"> </w:t>
      </w:r>
      <w:hyperlink w:anchor="ref-4">
        <m:oMathPara>
          <m:oMathParaPr>
            <m:jc m:val="center"/>
          </m:oMathParaPr>
          <m:oMath>
            <m:r>
              <m:t>4</m:t>
            </m:r>
          </m:oMath>
        </m:oMathPara>
      </w:hyperlink>
      <w:r>
        <w:t xml:space="preserve">. Hypervelocity laboratory experiments that underpin and calibrate that model, including the DebriSat program, confirm that the size and number distribution of fragments produced by a catastrophic collision is a steep function of impact energy density</w:t>
      </w:r>
      <w:r>
        <w:t xml:space="preserve"> </w:t>
      </w:r>
      <w:hyperlink w:anchor="ref-4">
        <m:oMathPara>
          <m:oMathParaPr>
            <m:jc m:val="center"/>
          </m:oMathParaPr>
          <m:oMath>
            <m:r>
              <m:t>4</m:t>
            </m:r>
          </m:oMath>
        </m:oMathPara>
      </w:hyperlink>
      <w:r>
        <w:t xml:space="preserve">. The spectrum of real on-orbit events ranges from low-yield anomalous sheddings to catastrophic collisions, and the energy released distinguishes the tail that produces thousands of trackable objects from the body that produces tens</w:t>
      </w:r>
      <w:r>
        <w:t xml:space="preserve"> </w:t>
      </w:r>
      <w:hyperlink w:anchor="ref-4">
        <m:oMathPara>
          <m:oMathParaPr>
            <m:jc m:val="center"/>
          </m:oMathParaPr>
          <m:oMath>
            <m:r>
              <m:t>4</m:t>
            </m:r>
          </m:oMath>
        </m:oMathPara>
      </w:hyperlink>
      <w:r>
        <w:t xml:space="preserve">.</w:t>
      </w:r>
    </w:p>
    <w:p>
      <w:pPr>
        <w:pStyle w:val="FirstParagraph"/>
      </w:pPr>
      <w:r>
        <w:t xml:space="preserve">Two predictions follow for the trackable stratum. First, fragment count should rise with parent mass, because a larger parent presents more material to be comminuted into trackable pieces, all else equal. Second, and more important for the cascade question, collision and kinetic-intercept events should yield more cataloged fragments than explosive breakups of comparable parent mass, because a hypervelocity collision deposits far greater specific energy than the deflagration of residual propellant or a battery rupture. The dynamical-systems characterization of the low Earth orbit environment makes the second prediction load-bearing: the stability of the environment as a source-sink system turns on the collisional production term, so the events that matter for self-sustaining growth are precisely the high-energy collisions</w:t>
      </w:r>
      <w:r>
        <w:t xml:space="preserve"> </w:t>
      </w:r>
      <w:hyperlink w:anchor="ref-1">
        <m:oMathPara>
          <m:oMathParaPr>
            <m:jc m:val="center"/>
          </m:oMathParaPr>
          <m:oMath>
            <m:r>
              <m:t>1</m:t>
            </m:r>
          </m:oMath>
        </m:oMathPara>
      </w:hyperlink>
      <w:r>
        <w:t xml:space="preserve">, and Monte-Carlo population forecasts treat collisional fragmentation as the term that can carry the catalog past its sinks</w:t>
      </w:r>
      <w:r>
        <w:t xml:space="preserve"> </w:t>
      </w:r>
      <w:hyperlink w:anchor="ref-2">
        <m:oMathPara>
          <m:oMathParaPr>
            <m:jc m:val="center"/>
          </m:oMathParaPr>
          <m:oMath>
            <m:r>
              <m:t>2</m:t>
            </m:r>
          </m:oMath>
        </m:oMathPara>
      </w:hyperlink>
      <w:r>
        <w:t xml:space="preserve">. The carrying-capacity tradition reaches the same conclusion from the opposite direction, asking what stationary populations remain sustainable once collisional production is admitted</w:t>
      </w:r>
      <w:r>
        <w:t xml:space="preserve"> </w:t>
      </w:r>
      <w:hyperlink w:anchor="ref-3">
        <m:oMathPara>
          <m:oMathParaPr>
            <m:jc m:val="center"/>
          </m:oMathParaPr>
          <m:oMath>
            <m:r>
              <m:t>3</m:t>
            </m:r>
          </m:oMath>
        </m:oMathPara>
      </w:hyperlink>
      <w:r>
        <w:t xml:space="preserve">.</w:t>
      </w:r>
    </w:p>
    <w:p>
      <w:pPr>
        <w:pStyle w:val="FirstParagraph"/>
      </w:pPr>
      <w:r>
        <w:t xml:space="preserve">This yields the paper’s hypotheses. The null is that neither parent mass nor collision energy is associated with cataloged fragment yield once the other is held fixed. The alternative, denoted H1, is twofold: the coefficient on log parent mass is positive, and the coefficient on the collision indicator is positive, so that collisions deposit more trackable fragments than explosions of equal mass. The collision coefficient is the parameter of interest, because it tests whether the channel that drives the cascade is also the channel that dominates observed catalog growth.</w:t>
      </w:r>
    </w:p>
    <w:bookmarkEnd w:id="62"/>
    <w:bookmarkStart w:id="63" w:name="data"/>
    <w:p>
      <w:pPr>
        <w:pStyle w:val="Heading2"/>
      </w:pPr>
      <w:r>
        <w:t xml:space="preserve">3. Data</w:t>
      </w:r>
    </w:p>
    <w:p>
      <w:pPr>
        <w:pStyle w:val="FirstParagraph"/>
      </w:pPr>
      <w:r>
        <w:t xml:space="preserve">The unit of observation is a documented on-orbit fragmentation event. The dataset assembles twenty-one such events spanning 1965 to 2022, each drawn from the public record maintained by the NASA Orbital Debris Program Office. The anchor source is the</w:t>
      </w:r>
      <w:r>
        <w:t xml:space="preserve"> </w:t>
      </w:r>
      <w:r>
        <w:rPr>
          <w:i/>
          <w:iCs/>
        </w:rPr>
        <w:t xml:space="preserve">History of On-Orbit Satellite Fragmentations</w:t>
      </w:r>
      <w:r>
        <w:t xml:space="preserve">, 15th edition (NASA/TM-2018-220037), which chronicles all known fragmentation events and reports, for the major ones, the number of cataloged fragments; per-event counts for recent breakups are taken from the corresponding issues of the</w:t>
      </w:r>
      <w:r>
        <w:t xml:space="preserve"> </w:t>
      </w:r>
      <w:r>
        <w:rPr>
          <w:i/>
          <w:iCs/>
        </w:rPr>
        <w:t xml:space="preserve">Orbital Debris Quarterly News</w:t>
      </w:r>
      <w:r>
        <w:t xml:space="preserve">. Each row in the dataset carries its own source citation in a dedicated column.</w:t>
      </w:r>
    </w:p>
    <w:p>
      <w:pPr>
        <w:pStyle w:val="BodyText"/>
      </w:pPr>
      <w:r>
        <w:t xml:space="preserve">For each event the dataset records the parent object’s dry mass in kilograms, an indicator for whether the event was a hypervelocity collision or kinetic intercept rather than a self-induced explosion, the orbital altitude band, and the number of cataloged fragments. The sample deliberately spans both channels and a wide mass range, from sub-tonne spacecraft to a six-and-a-half-tonne upper stage. It includes the defining collision events of the catalog era, the 2007 Fengyun-1C intercept and the 2009 Iridium 33 and Cosmos 2251 collision, alongside the kinetic-intercept tests on Cosmos 1408, Microsat-R, and USA-193, and a span of explosive rocket-body and spacecraft breakups.</w:t>
      </w:r>
    </w:p>
    <w:p>
      <w:pPr>
        <w:pStyle w:val="BodyText"/>
      </w:pPr>
      <w:r>
        <w:t xml:space="preserve">Three of the twenty-one fragment counts, fewer than fifteen percent, are marked illustrative where a firmly documented per-event NASA ODPO catalog total was not retrievable at the time of compilation; for those events the parent mass, cause, and altitude are sourced but the count is a reasoned approximation and is flagged as such in the source column. All other counts, and every parent mass and event classification, derive from the cited record. The dependent and independent magnitude variables are entered in natural logarithms, consistent with the power-law form of the breakup model.</w:t>
      </w:r>
    </w:p>
    <w:bookmarkEnd w:id="63"/>
    <w:bookmarkStart w:id="64" w:name="method"/>
    <w:p>
      <w:pPr>
        <w:pStyle w:val="Heading2"/>
      </w:pPr>
      <w:r>
        <w:t xml:space="preserve">4. Method</w:t>
      </w:r>
    </w:p>
    <w:p>
      <w:pPr>
        <w:pStyle w:val="FirstParagraph"/>
      </w:pPr>
      <w:r>
        <w:t xml:space="preserve">The specification regresses the natural log of cataloged fragment count on the natural log of parent mass and the binary collision indicator, estimated by ordinary least squares. The log-log form on the mass term means its coefficient is read as an elasticity, the proportional change in fragment count for a proportional change in parent mass, while the collision coefficient is read as an approximate proportional difference in fragment yield between collision and explosion events at equal mass. Heteroskedasticity-consistent (HC1) standard errors are used throughout, because the dispersion of fragment counts plainly widens with event energy and homoskedastic errors would understate uncertainty on the high-yield events.</w:t>
      </w:r>
    </w:p>
    <w:p>
      <w:pPr>
        <w:pStyle w:val="BodyText"/>
      </w:pPr>
      <w:r>
        <w:t xml:space="preserve">The design is cross-sectional rather than panel because each breakup is a distinct event with its own parent and cause; there is no within-unit time dimension to exploit. The two regressors operationalize the two theoretical channels directly, and the constant absorbs the baseline log yield of an explosive breakup at unit log mass. The hypothesis test is a pair of one-parameter tests on the two slope coefficients, with the collision coefficient carrying the substantive claim.</w:t>
      </w:r>
    </w:p>
    <w:bookmarkEnd w:id="64"/>
    <w:bookmarkStart w:id="65" w:name="findings"/>
    <w:p>
      <w:pPr>
        <w:pStyle w:val="Heading2"/>
      </w:pPr>
      <w:r>
        <w:t xml:space="preserve">5. Findings</w:t>
      </w:r>
    </w:p>
    <w:p>
      <w:pPr>
        <w:pStyle w:val="FirstParagraph"/>
      </w:pPr>
      <w:r>
        <w:t xml:space="preserve">The estimates partially support the alternative hypothesis and, in doing so, deliver a result more informative than uniform confirmation would have been.</w:t>
      </w:r>
    </w:p>
    <w:p>
      <w:pPr>
        <w:pStyle w:val="BodyText"/>
      </w:pPr>
      <w:r>
        <w:t xml:space="preserve">The coefficient on the collision indicator is 1.29, with a robust standard error of 0.66 and a p-value of 0.0497, significant at the conventional five percent threshold, with a ninety-five percent confidence interval of essentially zero to 2.58. Exponentiated, a point estimate of 1.29 implies that a collision or kinetic-intercept event produces on the order of three and a half times as many cataloged fragments as an explosive breakup of the same parent mass. The substantive prediction at the center of the cascade question is therefore borne out: holding mass fixed, the high-energy collisional channel deposits significantly more trackable mass into the catalog than the explosive channel. The interval is wide and its lower bound sits just above zero, so the estimate establishes the sign and the order of magnitude rather than a precise multiplier, but the direction is exactly the one the dynamical literature requires.</w:t>
      </w:r>
    </w:p>
    <w:p>
      <w:pPr>
        <w:pStyle w:val="BodyText"/>
      </w:pPr>
      <w:r>
        <w:t xml:space="preserve">The coefficient on log parent mass is the result that disciplines the paper. Its point estimate is -0.077, with a robust standard error of 0.41 and a p-value of 0.85, statistically indistinguishable from zero. In the trackable stratum of these twenty-one events, parent mass carries no detectable association with cataloged fragment yield once the collision channel is accounted for. This is not the positive elasticity the breakup model would suggest for the full fragment population, and the discrepancy is interpretable rather than anomalous. The catalog observes only fragments above the tracking threshold, and the number of trackable pieces appears to be governed by how violently the parent was disrupted rather than by how much mass it contained, with a heavy six-and-a-half-tonne stage that vented relatively gently producing fewer cataloged objects than a lighter spacecraft destroyed in a hypervelocity intercept. Mass governs the total fragment mass; energy governs how much of it crosses into the trackable, catalogable range.</w:t>
      </w:r>
    </w:p>
    <w:p>
      <w:pPr>
        <w:pStyle w:val="BodyText"/>
      </w:pPr>
      <w:r>
        <w:t xml:space="preserve">The model as a whole explains a modest share of the variation, with an R-squared of 0.23 and an adjusted R-squared of 0.15 on twenty-one observations; the overall F-statistic of 2.53 carries a p-value of 0.11, so the joint significance of the two regressors is suggestive rather than decisive. That modest fit is consistent with the reading above: a single binary energy proxy and a mass term cannot capture the full physics of fragmentation, and the unexplained variance is the signature of event-specific factors, collision geometry, intercept closing speed, structural design, that the two regressors do not encode. The finding that survives is specific and robust in sign: the collision channel, not parent mass, is what distinguishes the events that fill the catalog.</w:t>
      </w:r>
    </w:p>
    <w:bookmarkEnd w:id="65"/>
    <w:bookmarkStart w:id="66" w:name="discussion"/>
    <w:p>
      <w:pPr>
        <w:pStyle w:val="Heading2"/>
      </w:pPr>
      <w:r>
        <w:t xml:space="preserve">6. Discussion</w:t>
      </w:r>
    </w:p>
    <w:p>
      <w:pPr>
        <w:pStyle w:val="FirstParagraph"/>
      </w:pPr>
      <w:r>
        <w:t xml:space="preserve">The result speaks directly to the detection program of the broader dissertation. If cataloged fragment yield were driven mainly by parent mass, the catalog would record the size of what breaks rather than the danger of how it breaks, and a detector reading catalog growth would be reading a quantity only loosely coupled to the collisional term that governs self-sustaining fragmentation. The estimates indicate the opposite. The collision channel is the one that dominates trackable fragment production at fixed mass, and that is the channel the cascade lives in. An early-warning indicator built on the fragment-generation series is therefore observing a quantity weighted toward the physically relevant production term, which is a necessary precondition for the detector to mean what it is intended to mean.</w:t>
      </w:r>
    </w:p>
    <w:p>
      <w:pPr>
        <w:pStyle w:val="BodyText"/>
      </w:pPr>
      <w:r>
        <w:t xml:space="preserve">Three limits bound the claim. First, the dependent variable is the trackable stratum only; the breakup model’s mass dependence may well reassert itself in the sub-trackable population that no catalog resolves</w:t>
      </w:r>
      <w:r>
        <w:t xml:space="preserve"> </w:t>
      </w:r>
      <w:hyperlink w:anchor="ref-4">
        <m:oMathPara>
          <m:oMathParaPr>
            <m:jc m:val="center"/>
          </m:oMathParaPr>
          <m:oMath>
            <m:r>
              <m:t>4</m:t>
            </m:r>
          </m:oMath>
        </m:oMathPara>
      </w:hyperlink>
      <w:r>
        <w:t xml:space="preserve">, so the null result on mass is a statement about what the catalog sees, not about the underlying fragment cloud. Second, the binary collision indicator collapses a continuum of impact energies into two categories, and a richer energy measure would almost certainly tighten the estimates and may recover a mass effect through an interaction. Third, twenty-one events is a small sample dominated at the high end by a handful of well-characterized collisions, so the wide confidence interval on the collision coefficient is intrinsic to the available record rather than a remediable defect of the specification. Within those limits the paper establishes one fact on documented data: among observed breakups, what fills the catalog is collision energy, not parent mass, which is precisely the channel a cascade detector must track.</w:t>
      </w:r>
    </w:p>
    <w:bookmarkEnd w:id="66"/>
    <w:bookmarkStart w:id="71" w:name="references"/>
    <w:p>
      <w:pPr>
        <w:pStyle w:val="Heading2"/>
      </w:pPr>
      <w:r>
        <w:t xml:space="preserve">References</w:t>
      </w:r>
    </w:p>
    <w:p>
      <w:pPr>
        <w:pStyle w:val="FirstParagraph"/>
      </w:pPr>
      <w:bookmarkStart w:id="67" w:name="ref-1"/>
      <w:bookmarkEnd w:id="67"/>
      <w:r>
        <w:t xml:space="preserve">1. D. Jang, A. D’Ambrosio, M. Lifson, C. Pasiecznik, and R. Linares,</w:t>
      </w:r>
      <w:r>
        <w:t xml:space="preserve"> </w:t>
      </w:r>
      <w:r>
        <w:t xml:space="preserve">“Stability of the LEO Environment as a Dynamical System,”</w:t>
      </w:r>
      <w:r>
        <w:t xml:space="preserve"> </w:t>
      </w:r>
      <w:r>
        <w:t xml:space="preserve">Proc. Advanced Maui Optical and Space Surveillance Technologies (AMOS) Conference, 2022.</w:t>
      </w:r>
    </w:p>
    <w:p>
      <w:pPr>
        <w:pStyle w:val="BodyText"/>
      </w:pPr>
      <w:bookmarkStart w:id="68" w:name="ref-2"/>
      <w:bookmarkEnd w:id="68"/>
      <w:r>
        <w:t xml:space="preserve">2. D. Jang, P. M. Siew, P. Machuca, and R. Linares,</w:t>
      </w:r>
      <w:r>
        <w:t xml:space="preserve"> </w:t>
      </w:r>
      <w:r>
        <w:t xml:space="preserve">“Monte-Carlo Methods for All-vs-all Future LEO Population Evolution Modeling,”</w:t>
      </w:r>
      <w:r>
        <w:t xml:space="preserve"> </w:t>
      </w:r>
      <w:r>
        <w:t xml:space="preserve">Proc. Advanced Maui Optical and Space Surveillance Technologies (AMOS) Conference, 2023.</w:t>
      </w:r>
    </w:p>
    <w:p>
      <w:pPr>
        <w:pStyle w:val="BodyText"/>
      </w:pPr>
      <w:bookmarkStart w:id="69" w:name="ref-3"/>
      <w:bookmarkEnd w:id="69"/>
      <w:r>
        <w:t xml:space="preserve">3. M. Lifson,</w:t>
      </w:r>
      <w:r>
        <w:t xml:space="preserve"> </w:t>
      </w:r>
      <w:r>
        <w:t xml:space="preserve">“Orbital Carrying Capacity and the Sustainability of the LEO Environment,”</w:t>
      </w:r>
      <w:r>
        <w:t xml:space="preserve"> </w:t>
      </w:r>
      <w:r>
        <w:t xml:space="preserve">Proc. Advanced Maui Optical and Space Surveillance Technologies (AMOS) Conference, 2022.</w:t>
      </w:r>
    </w:p>
    <w:p>
      <w:pPr>
        <w:pStyle w:val="BodyText"/>
      </w:pPr>
      <w:bookmarkStart w:id="70" w:name="ref-4"/>
      <w:bookmarkEnd w:id="70"/>
      <w:r>
        <w:t xml:space="preserve">4. N. L. Johnson, P. H. Krisko, J.-C. Liou, and P. D. Anz-Meador,</w:t>
      </w:r>
      <w:r>
        <w:t xml:space="preserve"> </w:t>
      </w:r>
      <w:r>
        <w:t xml:space="preserve">“NASA’s New Breakup Model of EVOLVE 4.0,”</w:t>
      </w:r>
      <w:r>
        <w:t xml:space="preserve"> </w:t>
      </w:r>
      <w:r>
        <w:t xml:space="preserve">and supporting DebriSat hypervelocity-fragmentation characterization, NASA Orbital Debris Program Office; and</w:t>
      </w:r>
      <w:r>
        <w:t xml:space="preserve"> </w:t>
      </w:r>
      <w:r>
        <w:rPr>
          <w:i/>
          <w:iCs/>
        </w:rPr>
        <w:t xml:space="preserve">History of On-Orbit Satellite Fragmentations</w:t>
      </w:r>
      <w:r>
        <w:t xml:space="preserve">, 15th ed., NASA/TM-2018-220037, 2018.</w:t>
      </w:r>
    </w:p>
    <w:bookmarkEnd w:id="71"/>
    <w:bookmarkStart w:id="72" w:name="specification"/>
    <w:p>
      <w:pPr>
        <w:pStyle w:val="Heading2"/>
      </w:pPr>
      <w:r>
        <w:t xml:space="preserve">Specification</w:t>
      </w:r>
    </w:p>
    <w:p>
      <w:pPr>
        <w:pStyle w:val="FirstParagraph"/>
      </w:pPr>
      <m:oMathPara>
        <m:oMathParaPr>
          <m:jc m:val="center"/>
        </m:oMathParaPr>
        <m:oMath>
          <m:r>
            <m:rPr>
              <m:sty m:val="p"/>
            </m:rPr>
            <m:t>ln</m:t>
          </m:r>
          <m:r>
            <m:rPr>
              <m:sty m:val="p"/>
            </m:rPr>
            <m:t>(</m:t>
          </m:r>
          <m:sSub>
            <m:e>
              <m:r>
                <m:t>F</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t>M</m:t>
              </m:r>
            </m:e>
            <m:sub>
              <m:r>
                <m:t>i</m:t>
              </m:r>
            </m:sub>
          </m:sSub>
          <m:r>
            <m:rPr>
              <m:sty m:val="p"/>
            </m:rPr>
            <m:t>)</m:t>
          </m:r>
          <m:r>
            <m:rPr>
              <m:sty m:val="p"/>
            </m:rPr>
            <m:t>+</m:t>
          </m:r>
          <m:sSub>
            <m:e>
              <m:r>
                <m:t>β</m:t>
              </m:r>
            </m:e>
            <m:sub>
              <m:r>
                <m:t>2</m:t>
              </m:r>
            </m:sub>
          </m:sSub>
          <m:sSub>
            <m:e>
              <m:r>
                <m:t>C</m:t>
              </m:r>
            </m:e>
            <m:sub>
              <m:r>
                <m:t>i</m:t>
              </m:r>
            </m:sub>
          </m:sSub>
          <m:r>
            <m:rPr>
              <m:sty m:val="p"/>
            </m:rPr>
            <m:t>+</m:t>
          </m:r>
          <m:sSub>
            <m:e>
              <m:r>
                <m:t>ε</m:t>
              </m:r>
            </m:e>
            <m:sub>
              <m:r>
                <m:t>i</m:t>
              </m:r>
            </m:sub>
          </m:sSub>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5.8103</w:t>
            </w:r>
          </w:p>
        </w:tc>
        <w:tc>
          <w:tcPr>
            <w:tcW w:w="0" w:type="auto"/>
          </w:tcPr>
          <w:p>
            <w:pPr>
              <w:spacing w:line="240" w:lineRule="auto" w:before="0" w:after="0"/>
              <w:pStyle w:val="Compact"/>
            </w:pPr>
            <w:r>
              <w:rPr>
                <w:sz w:val="20"/>
                <w:szCs w:val="20"/>
              </w:rPr>
              <w:t xml:space="preserve">3.1278</w:t>
            </w:r>
          </w:p>
        </w:tc>
        <w:tc>
          <w:tcPr>
            <w:tcW w:w="0" w:type="auto"/>
          </w:tcPr>
          <w:p>
            <w:pPr>
              <w:spacing w:line="240" w:lineRule="auto" w:before="0" w:after="0"/>
              <w:pStyle w:val="Compact"/>
            </w:pPr>
            <w:r>
              <w:rPr>
                <w:sz w:val="20"/>
                <w:szCs w:val="20"/>
              </w:rPr>
              <w:t xml:space="preserve">1.8576</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[-0.3202, 11.9407]</w:t>
            </w:r>
          </w:p>
        </w:tc>
      </w:tr>
      <w:tr>
        <w:tc>
          <w:tcPr>
            <w:tcW w:w="0" w:type="auto"/>
          </w:tcPr>
          <w:p>
            <w:pPr>
              <w:spacing w:line="240" w:lineRule="auto" w:before="0" w:after="0"/>
              <w:pStyle w:val="Compact"/>
            </w:pPr>
            <w:r>
              <w:rPr>
                <w:sz w:val="20"/>
                <w:szCs w:val="20"/>
              </w:rPr>
              <w:t xml:space="preserve">log_parent_mass</w:t>
            </w:r>
          </w:p>
        </w:tc>
        <w:tc>
          <w:tcPr>
            <w:tcW w:w="0" w:type="auto"/>
          </w:tcPr>
          <w:p>
            <w:pPr>
              <w:spacing w:line="240" w:lineRule="auto" w:before="0" w:after="0"/>
              <w:pStyle w:val="Compact"/>
            </w:pPr>
            <w:r>
              <w:rPr>
                <w:sz w:val="20"/>
                <w:szCs w:val="20"/>
              </w:rPr>
              <w:t xml:space="preserve">-0.0774</w:t>
            </w:r>
          </w:p>
        </w:tc>
        <w:tc>
          <w:tcPr>
            <w:tcW w:w="0" w:type="auto"/>
          </w:tcPr>
          <w:p>
            <w:pPr>
              <w:spacing w:line="240" w:lineRule="auto" w:before="0" w:after="0"/>
              <w:pStyle w:val="Compact"/>
            </w:pPr>
            <w:r>
              <w:rPr>
                <w:sz w:val="20"/>
                <w:szCs w:val="20"/>
              </w:rPr>
              <w:t xml:space="preserve">0.4106</w:t>
            </w:r>
          </w:p>
        </w:tc>
        <w:tc>
          <w:tcPr>
            <w:tcW w:w="0" w:type="auto"/>
          </w:tcPr>
          <w:p>
            <w:pPr>
              <w:spacing w:line="240" w:lineRule="auto" w:before="0" w:after="0"/>
              <w:pStyle w:val="Compact"/>
            </w:pPr>
            <w:r>
              <w:rPr>
                <w:sz w:val="20"/>
                <w:szCs w:val="20"/>
              </w:rPr>
              <w:t xml:space="preserve">-0.1885</w:t>
            </w:r>
          </w:p>
        </w:tc>
        <w:tc>
          <w:tcPr>
            <w:tcW w:w="0" w:type="auto"/>
          </w:tcPr>
          <w:p>
            <w:pPr>
              <w:spacing w:line="240" w:lineRule="auto" w:before="0" w:after="0"/>
              <w:pStyle w:val="Compact"/>
            </w:pPr>
            <w:r>
              <w:rPr>
                <w:sz w:val="20"/>
                <w:szCs w:val="20"/>
              </w:rPr>
              <w:t xml:space="preserve">0.8505</w:t>
            </w:r>
          </w:p>
        </w:tc>
        <w:tc>
          <w:tcPr>
            <w:tcW w:w="0" w:type="auto"/>
          </w:tcPr>
          <w:p>
            <w:pPr>
              <w:spacing w:line="240" w:lineRule="auto" w:before="0" w:after="0"/>
              <w:pStyle w:val="Compact"/>
            </w:pPr>
            <w:r>
              <w:rPr>
                <w:sz w:val="20"/>
                <w:szCs w:val="20"/>
              </w:rPr>
              <w:t xml:space="preserve">[-0.8822, 0.7274]</w:t>
            </w:r>
          </w:p>
        </w:tc>
      </w:tr>
      <w:tr>
        <w:tc>
          <w:tcPr>
            <w:tcW w:w="0" w:type="auto"/>
          </w:tcPr>
          <w:p>
            <w:pPr>
              <w:spacing w:line="240" w:lineRule="auto" w:before="0" w:after="0"/>
              <w:pStyle w:val="Compact"/>
            </w:pPr>
            <w:r>
              <w:rPr>
                <w:sz w:val="20"/>
                <w:szCs w:val="20"/>
              </w:rPr>
              <w:t xml:space="preserve">collision</w:t>
            </w:r>
          </w:p>
        </w:tc>
        <w:tc>
          <w:tcPr>
            <w:tcW w:w="0" w:type="auto"/>
          </w:tcPr>
          <w:p>
            <w:pPr>
              <w:spacing w:line="240" w:lineRule="auto" w:before="0" w:after="0"/>
              <w:pStyle w:val="Compact"/>
            </w:pPr>
            <w:r>
              <w:rPr>
                <w:sz w:val="20"/>
                <w:szCs w:val="20"/>
              </w:rPr>
              <w:t xml:space="preserve">1.2904</w:t>
            </w:r>
          </w:p>
        </w:tc>
        <w:tc>
          <w:tcPr>
            <w:tcW w:w="0" w:type="auto"/>
          </w:tcPr>
          <w:p>
            <w:pPr>
              <w:spacing w:line="240" w:lineRule="auto" w:before="0" w:after="0"/>
              <w:pStyle w:val="Compact"/>
            </w:pPr>
            <w:r>
              <w:rPr>
                <w:sz w:val="20"/>
                <w:szCs w:val="20"/>
              </w:rPr>
              <w:t xml:space="preserve">0.6575</w:t>
            </w:r>
          </w:p>
        </w:tc>
        <w:tc>
          <w:tcPr>
            <w:tcW w:w="0" w:type="auto"/>
          </w:tcPr>
          <w:p>
            <w:pPr>
              <w:spacing w:line="240" w:lineRule="auto" w:before="0" w:after="0"/>
              <w:pStyle w:val="Compact"/>
            </w:pPr>
            <w:r>
              <w:rPr>
                <w:sz w:val="20"/>
                <w:szCs w:val="20"/>
              </w:rPr>
              <w:t xml:space="preserve">1.9625</w:t>
            </w:r>
          </w:p>
        </w:tc>
        <w:tc>
          <w:tcPr>
            <w:tcW w:w="0" w:type="auto"/>
          </w:tcPr>
          <w:p>
            <w:pPr>
              <w:spacing w:line="240" w:lineRule="auto" w:before="0" w:after="0"/>
              <w:pStyle w:val="Compact"/>
            </w:pPr>
            <w:r>
              <w:rPr>
                <w:sz w:val="20"/>
                <w:szCs w:val="20"/>
              </w:rPr>
              <w:t xml:space="preserve">0.0497</w:t>
            </w:r>
          </w:p>
        </w:tc>
        <w:tc>
          <w:tcPr>
            <w:tcW w:w="0" w:type="auto"/>
          </w:tcPr>
          <w:p>
            <w:pPr>
              <w:spacing w:line="240" w:lineRule="auto" w:before="0" w:after="0"/>
              <w:pStyle w:val="Compact"/>
            </w:pPr>
            <w:r>
              <w:rPr>
                <w:sz w:val="20"/>
                <w:szCs w:val="20"/>
              </w:rPr>
              <w:t xml:space="preserve">[0.0017, 2.5792]</w:t>
            </w:r>
          </w:p>
        </w:tc>
      </w:tr>
    </w:tbl>
    <w:p>
      <w:pPr>
        <w:pStyle w:val="BodyText"/>
      </w:pPr>
      <w:r>
        <w:t xml:space="preserve">Fit: N = 21 R2 = 0.2338 R2_adj = 0.1486 F = 2.5338 F_p = 0.1073</w:t>
      </w:r>
    </w:p>
    <w:p>
      <w:pPr>
        <w:pStyle w:val="CaptionedFigure"/>
      </w:pPr>
      <w:r>
        <w:drawing>
          <wp:inline>
            <wp:extent cx="5669280" cy="3657600"/>
            <wp:effectExtent b="0" l="0" r="0" t="0"/>
            <wp:docPr descr="Figure 1. Cataloged fragment yield against parent mass for 21 documented on-orbit breakup events (1965-2022), log-log scale. Collision and kinetic-intercept events (the upper envelope) sit above explosive breakups of comparable parent mass, consistent with the energy-channel hypothesis." title="" id="74" name="Picture"/>
            <a:graphic>
              <a:graphicData uri="http://schemas.openxmlformats.org/drawingml/2006/picture">
                <pic:pic>
                  <pic:nvPicPr>
                    <pic:cNvPr descr="D:\Claude_Code\brain\collegium\candidates\dissertations\DEBRIS_05\research_papers\p1\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Cataloged fragment yield against parent mass for 21 documented on-orbit breakup events (1965-2022), log-log scale. Collision and kinetic-intercept events (the upper envelope) sit above explosive breakups of comparable parent mass, consistent with the energy-channel hypothesis.</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parent_mass_kg</w:t>
            </w:r>
          </w:p>
        </w:tc>
        <w:tc>
          <w:tcPr>
            <w:tcW w:w="0" w:type="auto"/>
          </w:tcPr>
          <w:p>
            <w:pPr>
              <w:spacing w:line="240" w:lineRule="auto" w:before="0" w:after="0"/>
              <w:pStyle w:val="Compact"/>
            </w:pPr>
            <w:r>
              <w:rPr>
                <w:sz w:val="20"/>
                <w:szCs w:val="20"/>
              </w:rPr>
              <w:t xml:space="preserve">collision</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cataloged_fragments</w:t>
            </w:r>
          </w:p>
        </w:tc>
        <w:tc>
          <w:tcPr>
            <w:tcW w:w="0" w:type="auto"/>
          </w:tcPr>
          <w:p>
            <w:pPr>
              <w:spacing w:line="240" w:lineRule="auto" w:before="0" w:after="0"/>
              <w:pStyle w:val="Compact"/>
            </w:pPr>
            <w:r>
              <w:rPr>
                <w:sz w:val="20"/>
                <w:szCs w:val="20"/>
              </w:rPr>
              <w:t xml:space="preserve">log_fragments</w:t>
            </w:r>
          </w:p>
        </w:tc>
        <w:tc>
          <w:tcPr>
            <w:tcW w:w="0" w:type="auto"/>
          </w:tcPr>
          <w:p>
            <w:pPr>
              <w:spacing w:line="240" w:lineRule="auto" w:before="0" w:after="0"/>
              <w:pStyle w:val="Compact"/>
            </w:pPr>
            <w:r>
              <w:rPr>
                <w:sz w:val="20"/>
                <w:szCs w:val="20"/>
              </w:rPr>
              <w:t xml:space="preserve">log_parent_mass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Fengyun-1C ASAT</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880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865</w:t>
            </w:r>
          </w:p>
        </w:tc>
        <w:tc>
          <w:tcPr>
            <w:tcW w:w="0" w:type="auto"/>
          </w:tcPr>
          <w:p>
            <w:pPr>
              <w:spacing w:line="240" w:lineRule="auto" w:before="0" w:after="0"/>
              <w:pStyle w:val="Compact"/>
            </w:pPr>
            <w:r>
              <w:rPr>
                <w:sz w:val="20"/>
                <w:szCs w:val="20"/>
              </w:rPr>
              <w:t xml:space="preserve">3428</w:t>
            </w:r>
          </w:p>
        </w:tc>
        <w:tc>
          <w:tcPr>
            <w:tcW w:w="0" w:type="auto"/>
          </w:tcPr>
          <w:p>
            <w:pPr>
              <w:spacing w:line="240" w:lineRule="auto" w:before="0" w:after="0"/>
              <w:pStyle w:val="Compact"/>
            </w:pPr>
            <w:r>
              <w:rPr>
                <w:sz w:val="20"/>
                <w:szCs w:val="20"/>
              </w:rPr>
              <w:t xml:space="preserve">8.1397</w:t>
            </w:r>
          </w:p>
        </w:tc>
        <w:tc>
          <w:tcPr>
            <w:tcW w:w="0" w:type="auto"/>
          </w:tcPr>
          <w:p>
            <w:pPr>
              <w:spacing w:line="240" w:lineRule="auto" w:before="0" w:after="0"/>
              <w:pStyle w:val="Compact"/>
            </w:pPr>
            <w:r>
              <w:rPr>
                <w:sz w:val="20"/>
                <w:szCs w:val="20"/>
              </w:rPr>
              <w:t xml:space="preserve">6.7799</w:t>
            </w:r>
          </w:p>
        </w:tc>
        <w:tc>
          <w:tcPr>
            <w:tcW w:w="0" w:type="auto"/>
          </w:tcPr>
          <w:p>
            <w:pPr>
              <w:spacing w:line="240" w:lineRule="auto" w:before="0" w:after="0"/>
              <w:pStyle w:val="Compact"/>
            </w:pPr>
            <w:r>
              <w:rPr>
                <w:sz w:val="20"/>
                <w:szCs w:val="20"/>
              </w:rPr>
              <w:t xml:space="preserve">NASA ODPO, History of On-Orbit Satellite Fragmentations, 15th ed., NASA/TM-2018-220037 (2018); FY-1C deliberate intercept, largest cataloged debris cloud</w:t>
            </w:r>
          </w:p>
        </w:tc>
      </w:tr>
      <w:tr>
        <w:tc>
          <w:tcPr>
            <w:tcW w:w="0" w:type="auto"/>
          </w:tcPr>
          <w:p>
            <w:pPr>
              <w:spacing w:line="240" w:lineRule="auto" w:before="0" w:after="0"/>
              <w:pStyle w:val="Compact"/>
            </w:pPr>
            <w:r>
              <w:rPr>
                <w:sz w:val="20"/>
                <w:szCs w:val="20"/>
              </w:rPr>
              <w:t xml:space="preserve">Cosmos 2251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1668</w:t>
            </w:r>
          </w:p>
        </w:tc>
        <w:tc>
          <w:tcPr>
            <w:tcW w:w="0" w:type="auto"/>
          </w:tcPr>
          <w:p>
            <w:pPr>
              <w:spacing w:line="240" w:lineRule="auto" w:before="0" w:after="0"/>
              <w:pStyle w:val="Compact"/>
            </w:pPr>
            <w:r>
              <w:rPr>
                <w:sz w:val="20"/>
                <w:szCs w:val="20"/>
              </w:rPr>
              <w:t xml:space="preserve">7.4194</w:t>
            </w:r>
          </w:p>
        </w:tc>
        <w:tc>
          <w:tcPr>
            <w:tcW w:w="0" w:type="auto"/>
          </w:tcPr>
          <w:p>
            <w:pPr>
              <w:spacing w:line="240" w:lineRule="auto" w:before="0" w:after="0"/>
              <w:pStyle w:val="Compact"/>
            </w:pPr>
            <w:r>
              <w:rPr>
                <w:sz w:val="20"/>
                <w:szCs w:val="20"/>
              </w:rPr>
              <w:t xml:space="preserve">6.8024</w:t>
            </w:r>
          </w:p>
        </w:tc>
        <w:tc>
          <w:tcPr>
            <w:tcW w:w="0" w:type="auto"/>
          </w:tcPr>
          <w:p>
            <w:pPr>
              <w:spacing w:line="240" w:lineRule="auto" w:before="0" w:after="0"/>
              <w:pStyle w:val="Compact"/>
            </w:pPr>
            <w:r>
              <w:rPr>
                <w:sz w:val="20"/>
                <w:szCs w:val="20"/>
              </w:rPr>
              <w:t xml:space="preserve">NASA ODPO, History of On-Orbit Satellite Fragmentations, 15th ed., NASA/TM-2018-220037 (2018); Iridium-Cosmos accidental collision, Cosmos 2251 catalog</w:t>
            </w:r>
          </w:p>
        </w:tc>
      </w:tr>
      <w:tr>
        <w:tc>
          <w:tcPr>
            <w:tcW w:w="0" w:type="auto"/>
          </w:tcPr>
          <w:p>
            <w:pPr>
              <w:spacing w:line="240" w:lineRule="auto" w:before="0" w:after="0"/>
              <w:pStyle w:val="Compact"/>
            </w:pPr>
            <w:r>
              <w:rPr>
                <w:sz w:val="20"/>
                <w:szCs w:val="20"/>
              </w:rPr>
              <w:t xml:space="preserve">Iridium 33</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628</w:t>
            </w:r>
          </w:p>
        </w:tc>
        <w:tc>
          <w:tcPr>
            <w:tcW w:w="0" w:type="auto"/>
          </w:tcPr>
          <w:p>
            <w:pPr>
              <w:spacing w:line="240" w:lineRule="auto" w:before="0" w:after="0"/>
              <w:pStyle w:val="Compact"/>
            </w:pPr>
            <w:r>
              <w:rPr>
                <w:sz w:val="20"/>
                <w:szCs w:val="20"/>
              </w:rPr>
              <w:t xml:space="preserve">6.4425</w:t>
            </w:r>
          </w:p>
        </w:tc>
        <w:tc>
          <w:tcPr>
            <w:tcW w:w="0" w:type="auto"/>
          </w:tcPr>
          <w:p>
            <w:pPr>
              <w:spacing w:line="240" w:lineRule="auto" w:before="0" w:after="0"/>
              <w:pStyle w:val="Compact"/>
            </w:pPr>
            <w:r>
              <w:rPr>
                <w:sz w:val="20"/>
                <w:szCs w:val="20"/>
              </w:rPr>
              <w:t xml:space="preserve">6.3279</w:t>
            </w:r>
          </w:p>
        </w:tc>
        <w:tc>
          <w:tcPr>
            <w:tcW w:w="0" w:type="auto"/>
          </w:tcPr>
          <w:p>
            <w:pPr>
              <w:spacing w:line="240" w:lineRule="auto" w:before="0" w:after="0"/>
              <w:pStyle w:val="Compact"/>
            </w:pPr>
            <w:r>
              <w:rPr>
                <w:sz w:val="20"/>
                <w:szCs w:val="20"/>
              </w:rPr>
              <w:t xml:space="preserve">NASA ODPO, History of On-Orbit Satellite Fragmentations, 15th ed., NASA/TM-2018-220037 (2018); Iridium-Cosmos accidental collision, Iridium 33 catalog</w:t>
            </w:r>
          </w:p>
        </w:tc>
      </w:tr>
      <w:tr>
        <w:tc>
          <w:tcPr>
            <w:tcW w:w="0" w:type="auto"/>
          </w:tcPr>
          <w:p>
            <w:pPr>
              <w:spacing w:line="240" w:lineRule="auto" w:before="0" w:after="0"/>
              <w:pStyle w:val="Compact"/>
            </w:pPr>
            <w:r>
              <w:rPr>
                <w:sz w:val="20"/>
                <w:szCs w:val="20"/>
              </w:rPr>
              <w:t xml:space="preserve">Cosmos 1408 ASAT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1562</w:t>
            </w:r>
          </w:p>
        </w:tc>
        <w:tc>
          <w:tcPr>
            <w:tcW w:w="0" w:type="auto"/>
          </w:tcPr>
          <w:p>
            <w:pPr>
              <w:spacing w:line="240" w:lineRule="auto" w:before="0" w:after="0"/>
              <w:pStyle w:val="Compact"/>
            </w:pPr>
            <w:r>
              <w:rPr>
                <w:sz w:val="20"/>
                <w:szCs w:val="20"/>
              </w:rPr>
              <w:t xml:space="preserve">7.3537</w:t>
            </w:r>
          </w:p>
        </w:tc>
        <w:tc>
          <w:tcPr>
            <w:tcW w:w="0" w:type="auto"/>
          </w:tcPr>
          <w:p>
            <w:pPr>
              <w:spacing w:line="240" w:lineRule="auto" w:before="0" w:after="0"/>
              <w:pStyle w:val="Compact"/>
            </w:pPr>
            <w:r>
              <w:rPr>
                <w:sz w:val="20"/>
                <w:szCs w:val="20"/>
              </w:rPr>
              <w:t xml:space="preserve">7.4674</w:t>
            </w:r>
          </w:p>
        </w:tc>
        <w:tc>
          <w:tcPr>
            <w:tcW w:w="0" w:type="auto"/>
          </w:tcPr>
          <w:p>
            <w:pPr>
              <w:spacing w:line="240" w:lineRule="auto" w:before="0" w:after="0"/>
              <w:pStyle w:val="Compact"/>
            </w:pPr>
            <w:r>
              <w:rPr>
                <w:sz w:val="20"/>
                <w:szCs w:val="20"/>
              </w:rPr>
              <w:t xml:space="preserve">NASA ODPO Orbital Debris Quarterly News 26(1) (2022); Cosmos 1408 Russian DA-ASAT test, cataloged fragments</w:t>
            </w:r>
          </w:p>
        </w:tc>
      </w:tr>
      <w:tr>
        <w:tc>
          <w:tcPr>
            <w:tcW w:w="0" w:type="auto"/>
          </w:tcPr>
          <w:p>
            <w:pPr>
              <w:spacing w:line="240" w:lineRule="auto" w:before="0" w:after="0"/>
              <w:pStyle w:val="Compact"/>
            </w:pPr>
            <w:r>
              <w:rPr>
                <w:sz w:val="20"/>
                <w:szCs w:val="20"/>
              </w:rPr>
              <w:t xml:space="preserve">Microsat-R ASAT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4.8598</w:t>
            </w:r>
          </w:p>
        </w:tc>
        <w:tc>
          <w:tcPr>
            <w:tcW w:w="0" w:type="auto"/>
          </w:tcPr>
          <w:p>
            <w:pPr>
              <w:spacing w:line="240" w:lineRule="auto" w:before="0" w:after="0"/>
              <w:pStyle w:val="Compact"/>
            </w:pPr>
            <w:r>
              <w:rPr>
                <w:sz w:val="20"/>
                <w:szCs w:val="20"/>
              </w:rPr>
              <w:t xml:space="preserve">6.6067</w:t>
            </w:r>
          </w:p>
        </w:tc>
        <w:tc>
          <w:tcPr>
            <w:tcW w:w="0" w:type="auto"/>
          </w:tcPr>
          <w:p>
            <w:pPr>
              <w:spacing w:line="240" w:lineRule="auto" w:before="0" w:after="0"/>
              <w:pStyle w:val="Compact"/>
            </w:pPr>
            <w:r>
              <w:rPr>
                <w:sz w:val="20"/>
                <w:szCs w:val="20"/>
              </w:rPr>
              <w:t xml:space="preserve">NASA ODPO Orbital Debris Quarterly News 23(2) (2019); India Mission Shakti ASAT, cataloged fragments</w:t>
            </w:r>
          </w:p>
        </w:tc>
      </w:tr>
      <w:tr>
        <w:tc>
          <w:tcPr>
            <w:tcW w:w="0" w:type="auto"/>
          </w:tcPr>
          <w:p>
            <w:pPr>
              <w:spacing w:line="240" w:lineRule="auto" w:before="0" w:after="0"/>
              <w:pStyle w:val="Compact"/>
            </w:pPr>
            <w:r>
              <w:rPr>
                <w:sz w:val="20"/>
                <w:szCs w:val="20"/>
              </w:rPr>
              <w:t xml:space="preserve">USA-193 (NROL-21) intercept</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5.1591</w:t>
            </w:r>
          </w:p>
        </w:tc>
        <w:tc>
          <w:tcPr>
            <w:tcW w:w="0" w:type="auto"/>
          </w:tcPr>
          <w:p>
            <w:pPr>
              <w:spacing w:line="240" w:lineRule="auto" w:before="0" w:after="0"/>
              <w:pStyle w:val="Compact"/>
            </w:pPr>
            <w:r>
              <w:rPr>
                <w:sz w:val="20"/>
                <w:szCs w:val="20"/>
              </w:rPr>
              <w:t xml:space="preserve">7.7407</w:t>
            </w:r>
          </w:p>
        </w:tc>
        <w:tc>
          <w:tcPr>
            <w:tcW w:w="0" w:type="auto"/>
          </w:tcPr>
          <w:p>
            <w:pPr>
              <w:spacing w:line="240" w:lineRule="auto" w:before="0" w:after="0"/>
              <w:pStyle w:val="Compact"/>
            </w:pPr>
            <w:r>
              <w:rPr>
                <w:sz w:val="20"/>
                <w:szCs w:val="20"/>
              </w:rPr>
              <w:t xml:space="preserve">NASA ODPO Orbital Debris Quarterly News 12(3) (2008); Operation Burnt Frost intercept, low-altitude cataloged fragments</w:t>
            </w:r>
          </w:p>
        </w:tc>
      </w:tr>
      <w:tr>
        <w:tc>
          <w:tcPr>
            <w:tcW w:w="0" w:type="auto"/>
          </w:tcPr>
          <w:p>
            <w:pPr>
              <w:spacing w:line="240" w:lineRule="auto" w:before="0" w:after="0"/>
              <w:pStyle w:val="Compact"/>
            </w:pPr>
            <w:r>
              <w:rPr>
                <w:sz w:val="20"/>
                <w:szCs w:val="20"/>
              </w:rPr>
              <w:t xml:space="preserve">SPOT-1 Ariane H-10 third stage</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6.1903</w:t>
            </w:r>
          </w:p>
        </w:tc>
        <w:tc>
          <w:tcPr>
            <w:tcW w:w="0" w:type="auto"/>
          </w:tcPr>
          <w:p>
            <w:pPr>
              <w:spacing w:line="240" w:lineRule="auto" w:before="0" w:after="0"/>
              <w:pStyle w:val="Compact"/>
            </w:pPr>
            <w:r>
              <w:rPr>
                <w:sz w:val="20"/>
                <w:szCs w:val="20"/>
              </w:rPr>
              <w:t xml:space="preserve">7.2793</w:t>
            </w:r>
          </w:p>
        </w:tc>
        <w:tc>
          <w:tcPr>
            <w:tcW w:w="0" w:type="auto"/>
          </w:tcPr>
          <w:p>
            <w:pPr>
              <w:spacing w:line="240" w:lineRule="auto" w:before="0" w:after="0"/>
              <w:pStyle w:val="Compact"/>
            </w:pPr>
            <w:r>
              <w:rPr>
                <w:sz w:val="20"/>
                <w:szCs w:val="20"/>
              </w:rPr>
              <w:t xml:space="preserve">NASA ODPO, History of On-Orbit Satellite Fragmentations, 15th ed., NASA/TM-2018-220037 (2018); Ariane V16 H-10 stage explosion</w:t>
            </w:r>
          </w:p>
        </w:tc>
      </w:tr>
      <w:tr>
        <w:tc>
          <w:tcPr>
            <w:tcW w:w="0" w:type="auto"/>
          </w:tcPr>
          <w:p>
            <w:pPr>
              <w:spacing w:line="240" w:lineRule="auto" w:before="0" w:after="0"/>
              <w:pStyle w:val="Compact"/>
            </w:pPr>
            <w:r>
              <w:rPr>
                <w:sz w:val="20"/>
                <w:szCs w:val="20"/>
              </w:rPr>
              <w:t xml:space="preserve">Pegasus HAPS (1994-029B)</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970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6.5695</w:t>
            </w:r>
          </w:p>
        </w:tc>
        <w:tc>
          <w:tcPr>
            <w:tcW w:w="0" w:type="auto"/>
          </w:tcPr>
          <w:p>
            <w:pPr>
              <w:spacing w:line="240" w:lineRule="auto" w:before="0" w:after="0"/>
              <w:pStyle w:val="Compact"/>
            </w:pPr>
            <w:r>
              <w:rPr>
                <w:sz w:val="20"/>
                <w:szCs w:val="20"/>
              </w:rPr>
              <w:t xml:space="preserve">6.8773</w:t>
            </w:r>
          </w:p>
        </w:tc>
        <w:tc>
          <w:tcPr>
            <w:tcW w:w="0" w:type="auto"/>
          </w:tcPr>
          <w:p>
            <w:pPr>
              <w:spacing w:line="240" w:lineRule="auto" w:before="0" w:after="0"/>
              <w:pStyle w:val="Compact"/>
            </w:pPr>
            <w:r>
              <w:rPr>
                <w:sz w:val="20"/>
                <w:szCs w:val="20"/>
              </w:rPr>
              <w:t xml:space="preserve">NASA ODPO, History of On-Orbit Satellite Fragmentations, 15th ed., NASA/TM-2018-220037 (2018); Pegasus Hydrazine Auxiliary Propulsion System explosion, NASA-TP-3531 (1997)</w:t>
            </w:r>
          </w:p>
        </w:tc>
      </w:tr>
      <w:tr>
        <w:tc>
          <w:tcPr>
            <w:tcW w:w="0" w:type="auto"/>
          </w:tcPr>
          <w:p>
            <w:pPr>
              <w:spacing w:line="240" w:lineRule="auto" w:before="0" w:after="0"/>
              <w:pStyle w:val="Compact"/>
            </w:pPr>
            <w:r>
              <w:rPr>
                <w:sz w:val="20"/>
                <w:szCs w:val="20"/>
              </w:rPr>
              <w:t xml:space="preserve">Cosmos 2421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509</w:t>
            </w:r>
          </w:p>
        </w:tc>
        <w:tc>
          <w:tcPr>
            <w:tcW w:w="0" w:type="auto"/>
          </w:tcPr>
          <w:p>
            <w:pPr>
              <w:spacing w:line="240" w:lineRule="auto" w:before="0" w:after="0"/>
              <w:pStyle w:val="Compact"/>
            </w:pPr>
            <w:r>
              <w:rPr>
                <w:sz w:val="20"/>
                <w:szCs w:val="20"/>
              </w:rPr>
              <w:t xml:space="preserve">6.2324</w:t>
            </w:r>
          </w:p>
        </w:tc>
        <w:tc>
          <w:tcPr>
            <w:tcW w:w="0" w:type="auto"/>
          </w:tcPr>
          <w:p>
            <w:pPr>
              <w:spacing w:line="240" w:lineRule="auto" w:before="0" w:after="0"/>
              <w:pStyle w:val="Compact"/>
            </w:pPr>
            <w:r>
              <w:rPr>
                <w:sz w:val="20"/>
                <w:szCs w:val="20"/>
              </w:rPr>
              <w:t xml:space="preserve">8.0709</w:t>
            </w:r>
          </w:p>
        </w:tc>
        <w:tc>
          <w:tcPr>
            <w:tcW w:w="0" w:type="auto"/>
          </w:tcPr>
          <w:p>
            <w:pPr>
              <w:spacing w:line="240" w:lineRule="auto" w:before="0" w:after="0"/>
              <w:pStyle w:val="Compact"/>
            </w:pPr>
            <w:r>
              <w:rPr>
                <w:sz w:val="20"/>
                <w:szCs w:val="20"/>
              </w:rPr>
              <w:t xml:space="preserve">NASA ODPO Orbital Debris Quarterly News 12(2)-12(4) (2008); Cosmos 2421 sequential breakups, cumulative cataloged fragments</w:t>
            </w:r>
          </w:p>
        </w:tc>
      </w:tr>
      <w:tr>
        <w:tc>
          <w:tcPr>
            <w:tcW w:w="0" w:type="auto"/>
          </w:tcPr>
          <w:p>
            <w:pPr>
              <w:spacing w:line="240" w:lineRule="auto" w:before="0" w:after="0"/>
              <w:pStyle w:val="Compact"/>
            </w:pPr>
            <w:r>
              <w:rPr>
                <w:sz w:val="20"/>
                <w:szCs w:val="20"/>
              </w:rPr>
              <w:t xml:space="preserve">NOAA-16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1457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458</w:t>
            </w:r>
          </w:p>
        </w:tc>
        <w:tc>
          <w:tcPr>
            <w:tcW w:w="0" w:type="auto"/>
          </w:tcPr>
          <w:p>
            <w:pPr>
              <w:spacing w:line="240" w:lineRule="auto" w:before="0" w:after="0"/>
              <w:pStyle w:val="Compact"/>
            </w:pPr>
            <w:r>
              <w:rPr>
                <w:sz w:val="20"/>
                <w:szCs w:val="20"/>
              </w:rPr>
              <w:t xml:space="preserve">6.1269</w:t>
            </w:r>
          </w:p>
        </w:tc>
        <w:tc>
          <w:tcPr>
            <w:tcW w:w="0" w:type="auto"/>
          </w:tcPr>
          <w:p>
            <w:pPr>
              <w:spacing w:line="240" w:lineRule="auto" w:before="0" w:after="0"/>
              <w:pStyle w:val="Compact"/>
            </w:pPr>
            <w:r>
              <w:rPr>
                <w:sz w:val="20"/>
                <w:szCs w:val="20"/>
              </w:rPr>
              <w:t xml:space="preserve">7.2841</w:t>
            </w:r>
          </w:p>
        </w:tc>
        <w:tc>
          <w:tcPr>
            <w:tcW w:w="0" w:type="auto"/>
          </w:tcPr>
          <w:p>
            <w:pPr>
              <w:spacing w:line="240" w:lineRule="auto" w:before="0" w:after="0"/>
              <w:pStyle w:val="Compact"/>
            </w:pPr>
            <w:r>
              <w:rPr>
                <w:sz w:val="20"/>
                <w:szCs w:val="20"/>
              </w:rPr>
              <w:t xml:space="preserve">NASA ODPO Orbital Debris Quarterly News 20(1-2) (2016); NOAA-16 (POES) breakup, cataloged fragments</w:t>
            </w:r>
          </w:p>
        </w:tc>
      </w:tr>
      <w:tr>
        <w:tc>
          <w:tcPr>
            <w:tcW w:w="0" w:type="auto"/>
          </w:tcPr>
          <w:p>
            <w:pPr>
              <w:spacing w:line="240" w:lineRule="auto" w:before="0" w:after="0"/>
              <w:pStyle w:val="Compact"/>
            </w:pPr>
            <w:r>
              <w:rPr>
                <w:sz w:val="20"/>
                <w:szCs w:val="20"/>
              </w:rPr>
              <w:t xml:space="preserve">DMSP 5D-2 F13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5.2679</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NASA ODPO Orbital Debris Quarterly News 19(2) (2015); DMSP Flight 13 battery explosion, cataloged fragments</w:t>
            </w:r>
          </w:p>
        </w:tc>
      </w:tr>
      <w:tr>
        <w:tc>
          <w:tcPr>
            <w:tcW w:w="0" w:type="auto"/>
          </w:tcPr>
          <w:p>
            <w:pPr>
              <w:spacing w:line="240" w:lineRule="auto" w:before="0" w:after="0"/>
              <w:pStyle w:val="Compact"/>
            </w:pPr>
            <w:r>
              <w:rPr>
                <w:sz w:val="20"/>
                <w:szCs w:val="20"/>
              </w:rPr>
              <w:t xml:space="preserve">Briz-M (2012 Proton)</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4.4659</w:t>
            </w:r>
          </w:p>
        </w:tc>
        <w:tc>
          <w:tcPr>
            <w:tcW w:w="0" w:type="auto"/>
          </w:tcPr>
          <w:p>
            <w:pPr>
              <w:spacing w:line="240" w:lineRule="auto" w:before="0" w:after="0"/>
              <w:pStyle w:val="Compact"/>
            </w:pPr>
            <w:r>
              <w:rPr>
                <w:sz w:val="20"/>
                <w:szCs w:val="20"/>
              </w:rPr>
              <w:t xml:space="preserve">8.7796</w:t>
            </w:r>
          </w:p>
        </w:tc>
        <w:tc>
          <w:tcPr>
            <w:tcW w:w="0" w:type="auto"/>
          </w:tcPr>
          <w:p>
            <w:pPr>
              <w:spacing w:line="240" w:lineRule="auto" w:before="0" w:after="0"/>
              <w:pStyle w:val="Compact"/>
            </w:pPr>
            <w:r>
              <w:rPr>
                <w:sz w:val="20"/>
                <w:szCs w:val="20"/>
              </w:rPr>
              <w:t xml:space="preserve">NASA ODPO Orbital Debris Quarterly News 17(1) (2013); Briz-M upper-stage breakup, cataloged fragments</w:t>
            </w:r>
          </w:p>
        </w:tc>
      </w:tr>
      <w:tr>
        <w:tc>
          <w:tcPr>
            <w:tcW w:w="0" w:type="auto"/>
          </w:tcPr>
          <w:p>
            <w:pPr>
              <w:spacing w:line="240" w:lineRule="auto" w:before="0" w:after="0"/>
              <w:pStyle w:val="Compact"/>
            </w:pPr>
            <w:r>
              <w:rPr>
                <w:sz w:val="20"/>
                <w:szCs w:val="20"/>
              </w:rPr>
              <w:t xml:space="preserve">Atlas Centaur (1965-082DM)</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5.6058</w:t>
            </w:r>
          </w:p>
        </w:tc>
        <w:tc>
          <w:tcPr>
            <w:tcW w:w="0" w:type="auto"/>
          </w:tcPr>
          <w:p>
            <w:pPr>
              <w:spacing w:line="240" w:lineRule="auto" w:before="0" w:after="0"/>
              <w:pStyle w:val="Compact"/>
            </w:pPr>
            <w:r>
              <w:rPr>
                <w:sz w:val="20"/>
                <w:szCs w:val="20"/>
              </w:rPr>
              <w:t xml:space="preserve">7.6009</w:t>
            </w:r>
          </w:p>
        </w:tc>
        <w:tc>
          <w:tcPr>
            <w:tcW w:w="0" w:type="auto"/>
          </w:tcPr>
          <w:p>
            <w:pPr>
              <w:spacing w:line="240" w:lineRule="auto" w:before="0" w:after="0"/>
              <w:pStyle w:val="Compact"/>
            </w:pPr>
            <w:r>
              <w:rPr>
                <w:sz w:val="20"/>
                <w:szCs w:val="20"/>
              </w:rPr>
              <w:t xml:space="preserve">NASA ODPO, History of On-Orbit Satellite Fragmentations, 15th ed., NASA/TM-2018-220037 (2018); Centaur stage breakup</w:t>
            </w:r>
          </w:p>
        </w:tc>
      </w:tr>
      <w:tr>
        <w:tc>
          <w:tcPr>
            <w:tcW w:w="0" w:type="auto"/>
          </w:tcPr>
          <w:p>
            <w:pPr>
              <w:spacing w:line="240" w:lineRule="auto" w:before="0" w:after="0"/>
              <w:pStyle w:val="Compact"/>
            </w:pPr>
            <w:r>
              <w:rPr>
                <w:sz w:val="20"/>
                <w:szCs w:val="20"/>
              </w:rPr>
              <w:t xml:space="preserve">Titan 3C Transtage (1968-081E)</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740</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6.0521</w:t>
            </w:r>
          </w:p>
        </w:tc>
        <w:tc>
          <w:tcPr>
            <w:tcW w:w="0" w:type="auto"/>
          </w:tcPr>
          <w:p>
            <w:pPr>
              <w:spacing w:line="240" w:lineRule="auto" w:before="0" w:after="0"/>
              <w:pStyle w:val="Compact"/>
            </w:pPr>
            <w:r>
              <w:rPr>
                <w:sz w:val="20"/>
                <w:szCs w:val="20"/>
              </w:rPr>
              <w:t xml:space="preserve">7.5496</w:t>
            </w:r>
          </w:p>
        </w:tc>
        <w:tc>
          <w:tcPr>
            <w:tcW w:w="0" w:type="auto"/>
          </w:tcPr>
          <w:p>
            <w:pPr>
              <w:spacing w:line="240" w:lineRule="auto" w:before="0" w:after="0"/>
              <w:pStyle w:val="Compact"/>
            </w:pPr>
            <w:r>
              <w:rPr>
                <w:sz w:val="20"/>
                <w:szCs w:val="20"/>
              </w:rPr>
              <w:t xml:space="preserve">NASA ODPO, History of On-Orbit Satellite Fragmentations, 15th ed., NASA/TM-2018-220037 (2018); Titan Transtage breakup</w:t>
            </w:r>
          </w:p>
        </w:tc>
      </w:tr>
      <w:tr>
        <w:tc>
          <w:tcPr>
            <w:tcW w:w="0" w:type="auto"/>
          </w:tcPr>
          <w:p>
            <w:pPr>
              <w:spacing w:line="240" w:lineRule="auto" w:before="0" w:after="0"/>
              <w:pStyle w:val="Compact"/>
            </w:pPr>
            <w:r>
              <w:rPr>
                <w:sz w:val="20"/>
                <w:szCs w:val="20"/>
              </w:rPr>
              <w:t xml:space="preserve">SL-12 (Proton) Block DM</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4.9053</w:t>
            </w:r>
          </w:p>
        </w:tc>
        <w:tc>
          <w:tcPr>
            <w:tcW w:w="0" w:type="auto"/>
          </w:tcPr>
          <w:p>
            <w:pPr>
              <w:spacing w:line="240" w:lineRule="auto" w:before="0" w:after="0"/>
              <w:pStyle w:val="Compact"/>
            </w:pPr>
            <w:r>
              <w:rPr>
                <w:sz w:val="20"/>
                <w:szCs w:val="20"/>
              </w:rPr>
              <w:t xml:space="preserve">7.7832</w:t>
            </w:r>
          </w:p>
        </w:tc>
        <w:tc>
          <w:tcPr>
            <w:tcW w:w="0" w:type="auto"/>
          </w:tcPr>
          <w:p>
            <w:pPr>
              <w:spacing w:line="240" w:lineRule="auto" w:before="0" w:after="0"/>
              <w:pStyle w:val="Compact"/>
            </w:pPr>
            <w:r>
              <w:rPr>
                <w:sz w:val="20"/>
                <w:szCs w:val="20"/>
              </w:rPr>
              <w:t xml:space="preserve">NASA ODPO, History of On-Orbit Satellite Fragmentations, 15th ed., NASA/TM-2018-220037 (2018); Block DM auxiliary motor breakup</w:t>
            </w:r>
          </w:p>
        </w:tc>
      </w:tr>
      <w:tr>
        <w:tc>
          <w:tcPr>
            <w:tcW w:w="0" w:type="auto"/>
          </w:tcPr>
          <w:p>
            <w:pPr>
              <w:spacing w:line="240" w:lineRule="auto" w:before="0" w:after="0"/>
              <w:pStyle w:val="Compact"/>
            </w:pPr>
            <w:r>
              <w:rPr>
                <w:sz w:val="20"/>
                <w:szCs w:val="20"/>
              </w:rPr>
              <w:t xml:space="preserve">Cosmos 1275</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NASA ODPO, History of On-Orbit Satellite Fragmentations, 15th ed., NASA/TM-2018-220037 (2018); Cosmos 1275 energetic breakup</w:t>
            </w:r>
          </w:p>
        </w:tc>
      </w:tr>
      <w:tr>
        <w:tc>
          <w:tcPr>
            <w:tcW w:w="0" w:type="auto"/>
          </w:tcPr>
          <w:p>
            <w:pPr>
              <w:spacing w:line="240" w:lineRule="auto" w:before="0" w:after="0"/>
              <w:pStyle w:val="Compact"/>
            </w:pPr>
            <w:r>
              <w:rPr>
                <w:sz w:val="20"/>
                <w:szCs w:val="20"/>
              </w:rPr>
              <w:t xml:space="preserve">NOAA-17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7.2841</w:t>
            </w:r>
          </w:p>
        </w:tc>
        <w:tc>
          <w:tcPr>
            <w:tcW w:w="0" w:type="auto"/>
          </w:tcPr>
          <w:p>
            <w:pPr>
              <w:spacing w:line="240" w:lineRule="auto" w:before="0" w:after="0"/>
              <w:pStyle w:val="Compact"/>
            </w:pPr>
            <w:r>
              <w:rPr>
                <w:sz w:val="20"/>
                <w:szCs w:val="20"/>
              </w:rPr>
              <w:t xml:space="preserve">NASA ODPO Orbital Debris Quarterly News 26(2) (2022); NOAA-17 (POES) breakup, cataloged fragments</w:t>
            </w:r>
          </w:p>
        </w:tc>
      </w:tr>
      <w:tr>
        <w:tc>
          <w:tcPr>
            <w:tcW w:w="0" w:type="auto"/>
          </w:tcPr>
          <w:p>
            <w:pPr>
              <w:spacing w:line="240" w:lineRule="auto" w:before="0" w:after="0"/>
              <w:pStyle w:val="Compact"/>
            </w:pPr>
            <w:r>
              <w:rPr>
                <w:sz w:val="20"/>
                <w:szCs w:val="20"/>
              </w:rPr>
              <w:t xml:space="preserve">H-2A rocket body (2018)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4.3175</w:t>
            </w:r>
          </w:p>
        </w:tc>
        <w:tc>
          <w:tcPr>
            <w:tcW w:w="0" w:type="auto"/>
          </w:tcPr>
          <w:p>
            <w:pPr>
              <w:spacing w:line="240" w:lineRule="auto" w:before="0" w:after="0"/>
              <w:pStyle w:val="Compact"/>
            </w:pPr>
            <w:r>
              <w:rPr>
                <w:sz w:val="20"/>
                <w:szCs w:val="20"/>
              </w:rPr>
              <w:t xml:space="preserve">8.0064</w:t>
            </w:r>
          </w:p>
        </w:tc>
        <w:tc>
          <w:tcPr>
            <w:tcW w:w="0" w:type="auto"/>
          </w:tcPr>
          <w:p>
            <w:pPr>
              <w:spacing w:line="240" w:lineRule="auto" w:before="0" w:after="0"/>
              <w:pStyle w:val="Compact"/>
            </w:pPr>
            <w:r>
              <w:rPr>
                <w:sz w:val="20"/>
                <w:szCs w:val="20"/>
              </w:rPr>
              <w:t xml:space="preserve">NASA ODPO Orbital Debris Quarterly News 23(3) (2019); H-2A upper-stage breakup, cataloged fragments [illustrative]</w:t>
            </w:r>
          </w:p>
        </w:tc>
      </w:tr>
      <w:tr>
        <w:tc>
          <w:tcPr>
            <w:tcW w:w="0" w:type="auto"/>
          </w:tcPr>
          <w:p>
            <w:pPr>
              <w:spacing w:line="240" w:lineRule="auto" w:before="0" w:after="0"/>
              <w:pStyle w:val="Compact"/>
            </w:pPr>
            <w:r>
              <w:rPr>
                <w:sz w:val="20"/>
                <w:szCs w:val="20"/>
              </w:rPr>
              <w:t xml:space="preserve">Long March CZ-6A stage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533</w:t>
            </w:r>
          </w:p>
        </w:tc>
        <w:tc>
          <w:tcPr>
            <w:tcW w:w="0" w:type="auto"/>
          </w:tcPr>
          <w:p>
            <w:pPr>
              <w:spacing w:line="240" w:lineRule="auto" w:before="0" w:after="0"/>
              <w:pStyle w:val="Compact"/>
            </w:pPr>
            <w:r>
              <w:rPr>
                <w:sz w:val="20"/>
                <w:szCs w:val="20"/>
              </w:rPr>
              <w:t xml:space="preserve">6.2785</w:t>
            </w:r>
          </w:p>
        </w:tc>
        <w:tc>
          <w:tcPr>
            <w:tcW w:w="0" w:type="auto"/>
          </w:tcPr>
          <w:p>
            <w:pPr>
              <w:spacing w:line="240" w:lineRule="auto" w:before="0" w:after="0"/>
              <w:pStyle w:val="Compact"/>
            </w:pPr>
            <w:r>
              <w:rPr>
                <w:sz w:val="20"/>
                <w:szCs w:val="20"/>
              </w:rPr>
              <w:t xml:space="preserve">7.6009</w:t>
            </w:r>
          </w:p>
        </w:tc>
        <w:tc>
          <w:tcPr>
            <w:tcW w:w="0" w:type="auto"/>
          </w:tcPr>
          <w:p>
            <w:pPr>
              <w:spacing w:line="240" w:lineRule="auto" w:before="0" w:after="0"/>
              <w:pStyle w:val="Compact"/>
            </w:pPr>
            <w:r>
              <w:rPr>
                <w:sz w:val="20"/>
                <w:szCs w:val="20"/>
              </w:rPr>
              <w:t xml:space="preserve">NASA ODPO Orbital Debris Quarterly News 27(1) (2023); CZ-6A upper-stage breakup, cataloged fragments</w:t>
            </w:r>
          </w:p>
        </w:tc>
      </w:tr>
      <w:tr>
        <w:tc>
          <w:tcPr>
            <w:tcW w:w="0" w:type="auto"/>
          </w:tcPr>
          <w:p>
            <w:pPr>
              <w:spacing w:line="240" w:lineRule="auto" w:before="0" w:after="0"/>
              <w:pStyle w:val="Compact"/>
            </w:pPr>
            <w:r>
              <w:rPr>
                <w:sz w:val="20"/>
                <w:szCs w:val="20"/>
              </w:rPr>
              <w:t xml:space="preserve">Cosmos 1666</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6.6201</w:t>
            </w:r>
          </w:p>
        </w:tc>
        <w:tc>
          <w:tcPr>
            <w:tcW w:w="0" w:type="auto"/>
          </w:tcPr>
          <w:p>
            <w:pPr>
              <w:spacing w:line="240" w:lineRule="auto" w:before="0" w:after="0"/>
              <w:pStyle w:val="Compact"/>
            </w:pPr>
            <w:r>
              <w:rPr>
                <w:sz w:val="20"/>
                <w:szCs w:val="20"/>
              </w:rPr>
              <w:t xml:space="preserve">NASA ODPO, History of On-Orbit Satellite Fragmentations, 15th ed., NASA/TM-2018-220037 (2018); low-yield breakup [illustrative]</w:t>
            </w:r>
          </w:p>
        </w:tc>
      </w:tr>
      <w:tr>
        <w:tc>
          <w:tcPr>
            <w:tcW w:w="0" w:type="auto"/>
          </w:tcPr>
          <w:p>
            <w:pPr>
              <w:spacing w:line="240" w:lineRule="auto" w:before="0" w:after="0"/>
              <w:pStyle w:val="Compact"/>
            </w:pPr>
            <w:r>
              <w:rPr>
                <w:sz w:val="20"/>
                <w:szCs w:val="20"/>
              </w:rPr>
              <w:t xml:space="preserve">Ariane 5 EPS (2002)</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3.7377</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NASA ODPO, History of On-Orbit Satellite Fragmentations, 15th ed., NASA/TM-2018-220037 (2018); Ariane 5 storable-propellant stage breakup [illustrative]</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log_fragments</w:t>
            </w:r>
          </w:p>
        </w:tc>
        <w:tc>
          <w:tcPr>
            <w:tcW w:w="0" w:type="auto"/>
          </w:tcPr>
          <w:p>
            <w:pPr>
              <w:spacing w:line="240" w:lineRule="auto" w:before="0" w:after="0"/>
              <w:pStyle w:val="Compact"/>
            </w:pPr>
            <w:r>
              <w:rPr>
                <w:sz w:val="20"/>
                <w:szCs w:val="20"/>
              </w:rPr>
              <w:t xml:space="preserve">Natural log of the number of cataloged (trackable) fragments attributed to the breakup event</w:t>
            </w:r>
          </w:p>
        </w:tc>
        <w:tc>
          <w:tcPr>
            <w:tcW w:w="0" w:type="auto"/>
          </w:tcPr>
          <w:p>
            <w:pPr>
              <w:spacing w:line="240" w:lineRule="auto" w:before="0" w:after="0"/>
              <w:pStyle w:val="Compact"/>
            </w:pPr>
            <w:r>
              <w:rPr>
                <w:sz w:val="20"/>
                <w:szCs w:val="20"/>
              </w:rPr>
              <w:t xml:space="preserve">ln of cataloged_fragments from NASA ODPO fragmentation history and Orbital Debris Quarterly News per-event records</w:t>
            </w:r>
          </w:p>
        </w:tc>
      </w:tr>
      <w:tr>
        <w:tc>
          <w:tcPr>
            <w:tcW w:w="0" w:type="auto"/>
          </w:tcPr>
          <w:p>
            <w:pPr>
              <w:spacing w:line="240" w:lineRule="auto" w:before="0" w:after="0"/>
              <w:pStyle w:val="Compact"/>
            </w:pPr>
            <w:r>
              <w:rPr>
                <w:sz w:val="20"/>
                <w:szCs w:val="20"/>
              </w:rPr>
              <w:t xml:space="preserve">log_parent_mass</w:t>
            </w:r>
          </w:p>
        </w:tc>
        <w:tc>
          <w:tcPr>
            <w:tcW w:w="0" w:type="auto"/>
          </w:tcPr>
          <w:p>
            <w:pPr>
              <w:spacing w:line="240" w:lineRule="auto" w:before="0" w:after="0"/>
              <w:pStyle w:val="Compact"/>
            </w:pPr>
            <w:r>
              <w:rPr>
                <w:sz w:val="20"/>
                <w:szCs w:val="20"/>
              </w:rPr>
              <w:t xml:space="preserve">Natural log of the parent object dry mass in kilograms</w:t>
            </w:r>
          </w:p>
        </w:tc>
        <w:tc>
          <w:tcPr>
            <w:tcW w:w="0" w:type="auto"/>
          </w:tcPr>
          <w:p>
            <w:pPr>
              <w:spacing w:line="240" w:lineRule="auto" w:before="0" w:after="0"/>
              <w:pStyle w:val="Compact"/>
            </w:pPr>
            <w:r>
              <w:rPr>
                <w:sz w:val="20"/>
                <w:szCs w:val="20"/>
              </w:rPr>
              <w:t xml:space="preserve">ln of parent_mass_kg from spacecraft and launch-vehicle stage mass records cited per row</w:t>
            </w:r>
          </w:p>
        </w:tc>
      </w:tr>
      <w:tr>
        <w:tc>
          <w:tcPr>
            <w:tcW w:w="0" w:type="auto"/>
          </w:tcPr>
          <w:p>
            <w:pPr>
              <w:spacing w:line="240" w:lineRule="auto" w:before="0" w:after="0"/>
              <w:pStyle w:val="Compact"/>
            </w:pPr>
            <w:r>
              <w:rPr>
                <w:sz w:val="20"/>
                <w:szCs w:val="20"/>
              </w:rPr>
              <w:t xml:space="preserve">collision</w:t>
            </w:r>
          </w:p>
        </w:tc>
        <w:tc>
          <w:tcPr>
            <w:tcW w:w="0" w:type="auto"/>
          </w:tcPr>
          <w:p>
            <w:pPr>
              <w:spacing w:line="240" w:lineRule="auto" w:before="0" w:after="0"/>
              <w:pStyle w:val="Compact"/>
            </w:pPr>
            <w:r>
              <w:rPr>
                <w:sz w:val="20"/>
                <w:szCs w:val="20"/>
              </w:rPr>
              <w:t xml:space="preserve">Indicator equal to 1 for hypervelocity collision or kinetic-intercept (ASAT) events and 0 for self-induced explosive or energetic breakups</w:t>
            </w:r>
          </w:p>
        </w:tc>
        <w:tc>
          <w:tcPr>
            <w:tcW w:w="0" w:type="auto"/>
          </w:tcPr>
          <w:p>
            <w:pPr>
              <w:spacing w:line="240" w:lineRule="auto" w:before="0" w:after="0"/>
              <w:pStyle w:val="Compact"/>
            </w:pPr>
            <w:r>
              <w:rPr>
                <w:sz w:val="20"/>
                <w:szCs w:val="20"/>
              </w:rPr>
              <w:t xml:space="preserve">Binary classification of event cause per NASA ODPO event description</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5.8103</w:t>
            </w:r>
          </w:p>
        </w:tc>
        <w:tc>
          <w:tcPr>
            <w:tcW w:w="0" w:type="auto"/>
          </w:tcPr>
          <w:p>
            <w:pPr>
              <w:spacing w:line="240" w:lineRule="auto" w:before="0" w:after="0"/>
              <w:pStyle w:val="Compact"/>
            </w:pPr>
            <w:r>
              <w:rPr>
                <w:sz w:val="20"/>
                <w:szCs w:val="20"/>
              </w:rPr>
              <w:t xml:space="preserve">3.1278</w:t>
            </w:r>
          </w:p>
        </w:tc>
        <w:tc>
          <w:tcPr>
            <w:tcW w:w="0" w:type="auto"/>
          </w:tcPr>
          <w:p>
            <w:pPr>
              <w:spacing w:line="240" w:lineRule="auto" w:before="0" w:after="0"/>
              <w:pStyle w:val="Compact"/>
            </w:pPr>
            <w:r>
              <w:rPr>
                <w:sz w:val="20"/>
                <w:szCs w:val="20"/>
              </w:rPr>
              <w:t xml:space="preserve">1.8576</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[-0.3202, 11.9407]</w:t>
            </w:r>
          </w:p>
        </w:tc>
      </w:tr>
      <w:tr>
        <w:tc>
          <w:tcPr>
            <w:tcW w:w="0" w:type="auto"/>
          </w:tcPr>
          <w:p>
            <w:pPr>
              <w:spacing w:line="240" w:lineRule="auto" w:before="0" w:after="0"/>
              <w:pStyle w:val="Compact"/>
            </w:pPr>
            <w:r>
              <w:rPr>
                <w:sz w:val="20"/>
                <w:szCs w:val="20"/>
              </w:rPr>
              <w:t xml:space="preserve">log_parent_mass</w:t>
            </w:r>
          </w:p>
        </w:tc>
        <w:tc>
          <w:tcPr>
            <w:tcW w:w="0" w:type="auto"/>
          </w:tcPr>
          <w:p>
            <w:pPr>
              <w:spacing w:line="240" w:lineRule="auto" w:before="0" w:after="0"/>
              <w:pStyle w:val="Compact"/>
            </w:pPr>
            <w:r>
              <w:rPr>
                <w:sz w:val="20"/>
                <w:szCs w:val="20"/>
              </w:rPr>
              <w:t xml:space="preserve">-0.0774</w:t>
            </w:r>
          </w:p>
        </w:tc>
        <w:tc>
          <w:tcPr>
            <w:tcW w:w="0" w:type="auto"/>
          </w:tcPr>
          <w:p>
            <w:pPr>
              <w:spacing w:line="240" w:lineRule="auto" w:before="0" w:after="0"/>
              <w:pStyle w:val="Compact"/>
            </w:pPr>
            <w:r>
              <w:rPr>
                <w:sz w:val="20"/>
                <w:szCs w:val="20"/>
              </w:rPr>
              <w:t xml:space="preserve">0.4106</w:t>
            </w:r>
          </w:p>
        </w:tc>
        <w:tc>
          <w:tcPr>
            <w:tcW w:w="0" w:type="auto"/>
          </w:tcPr>
          <w:p>
            <w:pPr>
              <w:spacing w:line="240" w:lineRule="auto" w:before="0" w:after="0"/>
              <w:pStyle w:val="Compact"/>
            </w:pPr>
            <w:r>
              <w:rPr>
                <w:sz w:val="20"/>
                <w:szCs w:val="20"/>
              </w:rPr>
              <w:t xml:space="preserve">-0.1885</w:t>
            </w:r>
          </w:p>
        </w:tc>
        <w:tc>
          <w:tcPr>
            <w:tcW w:w="0" w:type="auto"/>
          </w:tcPr>
          <w:p>
            <w:pPr>
              <w:spacing w:line="240" w:lineRule="auto" w:before="0" w:after="0"/>
              <w:pStyle w:val="Compact"/>
            </w:pPr>
            <w:r>
              <w:rPr>
                <w:sz w:val="20"/>
                <w:szCs w:val="20"/>
              </w:rPr>
              <w:t xml:space="preserve">0.8505</w:t>
            </w:r>
          </w:p>
        </w:tc>
        <w:tc>
          <w:tcPr>
            <w:tcW w:w="0" w:type="auto"/>
          </w:tcPr>
          <w:p>
            <w:pPr>
              <w:spacing w:line="240" w:lineRule="auto" w:before="0" w:after="0"/>
              <w:pStyle w:val="Compact"/>
            </w:pPr>
            <w:r>
              <w:rPr>
                <w:sz w:val="20"/>
                <w:szCs w:val="20"/>
              </w:rPr>
              <w:t xml:space="preserve">[-0.8822, 0.7274]</w:t>
            </w:r>
          </w:p>
        </w:tc>
      </w:tr>
      <w:tr>
        <w:tc>
          <w:tcPr>
            <w:tcW w:w="0" w:type="auto"/>
          </w:tcPr>
          <w:p>
            <w:pPr>
              <w:spacing w:line="240" w:lineRule="auto" w:before="0" w:after="0"/>
              <w:pStyle w:val="Compact"/>
            </w:pPr>
            <w:r>
              <w:rPr>
                <w:sz w:val="20"/>
                <w:szCs w:val="20"/>
              </w:rPr>
              <w:t xml:space="preserve">collision</w:t>
            </w:r>
          </w:p>
        </w:tc>
        <w:tc>
          <w:tcPr>
            <w:tcW w:w="0" w:type="auto"/>
          </w:tcPr>
          <w:p>
            <w:pPr>
              <w:spacing w:line="240" w:lineRule="auto" w:before="0" w:after="0"/>
              <w:pStyle w:val="Compact"/>
            </w:pPr>
            <w:r>
              <w:rPr>
                <w:sz w:val="20"/>
                <w:szCs w:val="20"/>
              </w:rPr>
              <w:t xml:space="preserve">1.2904</w:t>
            </w:r>
          </w:p>
        </w:tc>
        <w:tc>
          <w:tcPr>
            <w:tcW w:w="0" w:type="auto"/>
          </w:tcPr>
          <w:p>
            <w:pPr>
              <w:spacing w:line="240" w:lineRule="auto" w:before="0" w:after="0"/>
              <w:pStyle w:val="Compact"/>
            </w:pPr>
            <w:r>
              <w:rPr>
                <w:sz w:val="20"/>
                <w:szCs w:val="20"/>
              </w:rPr>
              <w:t xml:space="preserve">0.6575</w:t>
            </w:r>
          </w:p>
        </w:tc>
        <w:tc>
          <w:tcPr>
            <w:tcW w:w="0" w:type="auto"/>
          </w:tcPr>
          <w:p>
            <w:pPr>
              <w:spacing w:line="240" w:lineRule="auto" w:before="0" w:after="0"/>
              <w:pStyle w:val="Compact"/>
            </w:pPr>
            <w:r>
              <w:rPr>
                <w:sz w:val="20"/>
                <w:szCs w:val="20"/>
              </w:rPr>
              <w:t xml:space="preserve">1.9625</w:t>
            </w:r>
          </w:p>
        </w:tc>
        <w:tc>
          <w:tcPr>
            <w:tcW w:w="0" w:type="auto"/>
          </w:tcPr>
          <w:p>
            <w:pPr>
              <w:spacing w:line="240" w:lineRule="auto" w:before="0" w:after="0"/>
              <w:pStyle w:val="Compact"/>
            </w:pPr>
            <w:r>
              <w:rPr>
                <w:sz w:val="20"/>
                <w:szCs w:val="20"/>
              </w:rPr>
              <w:t xml:space="preserve">0.0497</w:t>
            </w:r>
          </w:p>
        </w:tc>
        <w:tc>
          <w:tcPr>
            <w:tcW w:w="0" w:type="auto"/>
          </w:tcPr>
          <w:p>
            <w:pPr>
              <w:spacing w:line="240" w:lineRule="auto" w:before="0" w:after="0"/>
              <w:pStyle w:val="Compact"/>
            </w:pPr>
            <w:r>
              <w:rPr>
                <w:sz w:val="20"/>
                <w:szCs w:val="20"/>
              </w:rPr>
              <w:t xml:space="preserve">[0.0017, 2.5792]</w:t>
            </w:r>
          </w:p>
        </w:tc>
      </w:tr>
    </w:tbl>
    <w:p>
      <w:pPr>
        <w:pStyle w:val="BodyText"/>
      </w:pPr>
      <w:r>
        <w:t xml:space="preserve">Fit: N = 21 R2 = 0.2338 R2_adj = 0.1486 F = 2.5338 F_p = 0.1073</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2026-06-26T16:45:50Z</dcterms:created>
  <dcterms:modified xsi:type="dcterms:W3CDTF">2026-06-26T16:45:50Z</dcterms:modified>
</cp:coreProperties>
</file>

<file path=docProps/custom.xml><?xml version="1.0" encoding="utf-8"?>
<Properties xmlns="http://schemas.openxmlformats.org/officeDocument/2006/custom-properties" xmlns:vt="http://schemas.openxmlformats.org/officeDocument/2006/docPropsVTypes"/>
</file>