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TIPPING POINTS IN THE CATALOG: DETECTING ONSET OF SELF-SUSTAINING FRAGMENTATION</w:t>
      </w:r>
    </w:p>
    <w:p>
      <w:pPr>
        <w:jc w:val="center"/>
      </w:pPr>
    </w:p>
    <w:p>
      <w:pPr>
        <w:jc w:val="center"/>
      </w:pPr>
      <w:r>
        <w:rPr>
          <w:rFonts w:ascii="Times New Roman" w:hAnsi="Times New Roman"/>
          <w:sz w:val="24"/>
        </w:rPr>
        <w:t>by</w:t>
      </w:r>
    </w:p>
    <w:p>
      <w:pPr>
        <w:jc w:val="center"/>
      </w:pPr>
      <w:r>
        <w:rPr>
          <w:rFonts w:ascii="Times New Roman" w:hAnsi="Times New Roman"/>
          <w:b/>
          <w:sz w:val="28"/>
        </w:rPr>
        <w:t>Felix Mensah</w:t>
      </w:r>
    </w:p>
    <w:p>
      <w:pPr>
        <w:jc w:val="center"/>
      </w:pPr>
      <w:r>
        <w:rPr>
          <w:rFonts w:ascii="Times New Roman" w:hAnsi="Times New Roman"/>
          <w:sz w:val="24"/>
        </w:rPr>
        <w:t>1B-SDA-067</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6" w:name="chapter-1.-introduction"/>
    <w:p>
      <w:pPr>
        <w:pStyle w:val="Heading1"/>
        <w:spacing w:line="480" w:lineRule="auto"/>
      </w:pPr>
      <w:r>
        <w:t xml:space="preserve">Chapter 1. Introduction</w:t>
      </w:r>
    </w:p>
    <w:bookmarkStart w:id="61" w:name="the-problem"/>
    <w:p>
      <w:pPr>
        <w:pStyle w:val="Heading2"/>
        <w:spacing w:line="480" w:lineRule="auto"/>
      </w:pPr>
      <w:r>
        <w:t xml:space="preserve">1.1 The Problem</w:t>
      </w:r>
    </w:p>
    <w:p>
      <w:pPr>
        <w:pStyle w:val="FirstParagraph"/>
        <w:spacing w:line="480" w:lineRule="auto"/>
      </w:pPr>
      <w:r>
        <w:t xml:space="preserve">Low Earth orbit (LEO) is drifting toward a regime in which its debris population could keep growing even if every launch stopped tomorrow. What drives that possibility is fragment-on-fragment collision. Once the density of cataloged and uncataloged debris in an altitude band passes a threshold, collisions manufacture new fragments faster than atmospheric drag can sweep them away, and the band settles into self-sustaining growth. This prospect has organized debris policy and modeling for four decades. It was articulated in the dynamical-systems characterization of LEO as a source-sink system</w:t>
      </w:r>
      <w:r>
        <w:t xml:space="preserve"> </w:t>
      </w:r>
      <w:hyperlink w:anchor="ref-1">
        <w:r>
          <w:rPr>
            <w:rStyle w:val="Hyperlink"/>
          </w:rPr>
          <w:t xml:space="preserve">[1]</w:t>
        </w:r>
      </w:hyperlink>
      <w:r>
        <w:t xml:space="preserve"> </w:t>
      </w:r>
      <w:r>
        <w:t xml:space="preserve">and then embedded in the all-versus-all Monte-Carlo propagators that forecast population trajectories under launch and collision scenarios</w:t>
      </w:r>
      <w:r>
        <w:t xml:space="preserve"> </w:t>
      </w:r>
      <w:hyperlink w:anchor="ref-2">
        <w:r>
          <w:rPr>
            <w:rStyle w:val="Hyperlink"/>
          </w:rPr>
          <w:t xml:space="preserve">[2]</w:t>
        </w:r>
      </w:hyperlink>
      <w:r>
        <w:t xml:space="preserve">. What this dissertation asks is narrower and more operational than what the field has so far answered. The field has shown that the bifurcation structure exists in principle, and that forecast trajectories cross it under specified scenario assumptions. But the operational question is whether the onset of self-sustaining fragmentation in an observed altitude band leaves a measurable signature in the catalog before it becomes irreversible. What I propose here is a detector, not a forecast. It asks one thing, whether the catalog speaks before it cascades.</w:t>
      </w:r>
    </w:p>
    <w:p>
      <w:pPr>
        <w:pStyle w:val="BodyText"/>
        <w:spacing w:line="480" w:lineRule="auto"/>
        <w:ind w:firstLine="720"/>
      </w:pPr>
      <w:r>
        <w:t xml:space="preserve">None of this is abstract. Iridium 33 and Cosmos 2251 collided in 2009, and that single event produced a long-lived fragment cloud whose orbital lifetimes and spatial spreading have had to be propagated over years; the dynamical literature treats it as the canonical illustration of how one hypervelocity event can perturb the source-sink balance of an entire band</w:t>
      </w:r>
      <w:r>
        <w:t xml:space="preserve"> </w:t>
      </w:r>
      <w:hyperlink w:anchor="ref-1">
        <w:r>
          <w:rPr>
            <w:rStyle w:val="Hyperlink"/>
          </w:rPr>
          <w:t xml:space="preserve">[1]</w:t>
        </w:r>
      </w:hyperlink>
      <w:r>
        <w:t xml:space="preserve">. The 2007 Fengyun-1C antisatellite test, the 2021 Cosmos 1408 antisatellite test, and the more recent Intelsat 33E breakup have each repeated the lesson at different points along the spectrum of parent mass and intercept energy</w:t>
      </w:r>
      <w:r>
        <w:t xml:space="preserve"> </w:t>
      </w:r>
      <w:hyperlink w:anchor="ref-11">
        <w:r>
          <w:rPr>
            <w:rStyle w:val="Hyperlink"/>
          </w:rPr>
          <w:t xml:space="preserve">[11]</w:t>
        </w:r>
      </w:hyperlink>
      <w:r>
        <w:t xml:space="preserve">,</w:t>
      </w:r>
      <w:r>
        <w:t xml:space="preserve"> </w:t>
      </w:r>
      <w:hyperlink w:anchor="ref-19">
        <w:r>
          <w:rPr>
            <w:rStyle w:val="Hyperlink"/>
          </w:rPr>
          <w:t xml:space="preserve">[19]</w:t>
        </w:r>
      </w:hyperlink>
      <w:r>
        <w:t xml:space="preserve">,</w:t>
      </w:r>
      <w:r>
        <w:t xml:space="preserve"> </w:t>
      </w:r>
      <w:hyperlink w:anchor="ref-21">
        <w:r>
          <w:rPr>
            <w:rStyle w:val="Hyperlink"/>
          </w:rPr>
          <w:t xml:space="preserve">[21]</w:t>
        </w:r>
      </w:hyperlink>
      <w:r>
        <w:t xml:space="preserve">. Modern constellation deployment compresses these dynamics in time, placing tens of thousands of objects in narrow altitude bands and raising the all-versus-all collision integral accordingly</w:t>
      </w:r>
      <w:r>
        <w:t xml:space="preserve"> </w:t>
      </w:r>
      <w:hyperlink w:anchor="ref-2">
        <w:r>
          <w:rPr>
            <w:rStyle w:val="Hyperlink"/>
          </w:rPr>
          <w:t xml:space="preserve">[2]</w:t>
        </w:r>
      </w:hyperlink>
      <w:r>
        <w:t xml:space="preserve">. Whether a band is a net source or net sink of fragments is the same question the carrying-capacity tradition has formalized, asking which stationary populations remain sustainable once collisional production is admitted</w:t>
      </w:r>
      <w:r>
        <w:t xml:space="preserve"> </w:t>
      </w:r>
      <w:hyperlink w:anchor="ref-5">
        <w:r>
          <w:rPr>
            <w:rStyle w:val="Hyperlink"/>
          </w:rPr>
          <w:t xml:space="preserve">[5]</w:t>
        </w:r>
      </w:hyperlink>
      <w:r>
        <w:t xml:space="preserve">; resilience studies of large LEO constellations to accidental and intentional fragmentation events have made the policy stakes explicit</w:t>
      </w:r>
      <w:r>
        <w:t xml:space="preserve"> </w:t>
      </w:r>
      <w:hyperlink w:anchor="ref-3">
        <w:r>
          <w:rPr>
            <w:rStyle w:val="Hyperlink"/>
          </w:rPr>
          <w:t xml:space="preserve">[3]</w:t>
        </w:r>
      </w:hyperlink>
      <w:r>
        <w:t xml:space="preserve">. A short-term study of the 2021 Cosmos 1408 fragmentation found measurable consequences for neighboring inhabited stations and large constellations within weeks of the event</w:t>
      </w:r>
      <w:r>
        <w:t xml:space="preserve"> </w:t>
      </w:r>
      <w:hyperlink w:anchor="ref-19">
        <w:r>
          <w:rPr>
            <w:rStyle w:val="Hyperlink"/>
          </w:rPr>
          <w:t xml:space="preserve">[19]</w:t>
        </w:r>
      </w:hyperlink>
      <w:r>
        <w:t xml:space="preserve">, and weeks is the timescale on which operators must act.</w:t>
      </w:r>
    </w:p>
    <w:bookmarkEnd w:id="61"/>
    <w:bookmarkStart w:id="62" w:name="stakes-for-nasa-and-jpl"/>
    <w:p>
      <w:pPr>
        <w:pStyle w:val="Heading2"/>
        <w:spacing w:line="480" w:lineRule="auto"/>
      </w:pPr>
      <w:r>
        <w:t xml:space="preserve">1.2 Stakes for NASA and JPL</w:t>
      </w:r>
    </w:p>
    <w:p>
      <w:pPr>
        <w:pStyle w:val="FirstParagraph"/>
        <w:spacing w:line="480" w:lineRule="auto"/>
      </w:pPr>
      <w:r>
        <w:t xml:space="preserve">Settling the detection question pays off for NASA and the Jet Propulsion Laboratory along three concrete lines. Begin with where NASA flies. The agency operates spacecraft, the International Space Station among them, plus a portfolio of Earth-science and astrophysics missions, inside the very altitude bands whose tipping behavior draws the most argument. A short-term study of the Cosmos 1408 event found measurable effects on the conjunction environment of those neighboring inhabited stations and on large constellations</w:t>
      </w:r>
      <w:r>
        <w:t xml:space="preserve"> </w:t>
      </w:r>
      <w:hyperlink w:anchor="ref-19">
        <w:r>
          <w:rPr>
            <w:rStyle w:val="Hyperlink"/>
          </w:rPr>
          <w:t xml:space="preserve">[19]</w:t>
        </w:r>
      </w:hyperlink>
      <w:r>
        <w:t xml:space="preserve">, and the dynamical-systems characterization places the bands of greatest concern in the same regime</w:t>
      </w:r>
      <w:r>
        <w:t xml:space="preserve"> </w:t>
      </w:r>
      <w:hyperlink w:anchor="ref-1">
        <w:r>
          <w:rPr>
            <w:rStyle w:val="Hyperlink"/>
          </w:rPr>
          <w:t xml:space="preserve">[1]</w:t>
        </w:r>
      </w:hyperlink>
      <w:r>
        <w:t xml:space="preserve">. A detector that fires before a band crosses into self-sustaining growth would turn a long-horizon strategic worry into a near-term operational warning, with direct consequences for collision avoidance scheduling and for the just-in-time avoidance regime that has been proposed as a tractable response to a degraded environment</w:t>
      </w:r>
      <w:r>
        <w:t xml:space="preserve"> </w:t>
      </w:r>
      <w:hyperlink w:anchor="ref-24">
        <w:r>
          <w:rPr>
            <w:rStyle w:val="Hyperlink"/>
          </w:rPr>
          <w:t xml:space="preserve">[24]</w:t>
        </w:r>
      </w:hyperlink>
      <w:r>
        <w:t xml:space="preserve">. There is a second stake. NASA’s Orbital Debris Program Office maintains the documented record of on-orbit fragmentations on which the broader research community depends</w:t>
      </w:r>
      <w:r>
        <w:t xml:space="preserve"> </w:t>
      </w:r>
      <w:hyperlink w:anchor="ref-6">
        <w:r>
          <w:rPr>
            <w:rStyle w:val="Hyperlink"/>
          </w:rPr>
          <w:t xml:space="preserve">[6]</w:t>
        </w:r>
      </w:hyperlink>
      <w:r>
        <w:t xml:space="preserve">, and the agency’s standard breakup model anchors the international understanding of how fragment counts scale with event energy and parent mass</w:t>
      </w:r>
      <w:r>
        <w:t xml:space="preserve"> </w:t>
      </w:r>
      <w:hyperlink w:anchor="ref-6">
        <w:r>
          <w:rPr>
            <w:rStyle w:val="Hyperlink"/>
          </w:rPr>
          <w:t xml:space="preserve">[6]</w:t>
        </w:r>
      </w:hyperlink>
      <w:r>
        <w:t xml:space="preserve">. A detector built on the catalog inherits and validates that record; a null result would discipline the modeling tradition, indicating that the observable signal in the trackable stratum is weaker than its prospective forecasts presume.</w:t>
      </w:r>
    </w:p>
    <w:p>
      <w:pPr>
        <w:pStyle w:val="BodyText"/>
        <w:spacing w:line="480" w:lineRule="auto"/>
        <w:ind w:firstLine="720"/>
      </w:pPr>
      <w:r>
        <w:t xml:space="preserve">The third stake belongs to JPL. Its mission portfolio reaches from LEO into the cislunar regime, and its role as an integrator of space situational awareness, autonomy, and trajectory design has positioned it to turn detector outputs into operational products. Cataloging of fragmentation events through optical and radar networks has advanced quickly. Recent work includes rapid optical tracking of the Intelsat 33E event using three telescopes</w:t>
      </w:r>
      <w:r>
        <w:t xml:space="preserve"> </w:t>
      </w:r>
      <w:hyperlink w:anchor="ref-11">
        <w:r>
          <w:rPr>
            <w:rStyle w:val="Hyperlink"/>
          </w:rPr>
          <w:t xml:space="preserve">[11]</w:t>
        </w:r>
      </w:hyperlink>
      <w:r>
        <w:t xml:space="preserve">, radar beam-park characterization of the Cosmos 1408 fragmentation</w:t>
      </w:r>
      <w:r>
        <w:t xml:space="preserve"> </w:t>
      </w:r>
      <w:hyperlink w:anchor="ref-21">
        <w:r>
          <w:rPr>
            <w:rStyle w:val="Hyperlink"/>
          </w:rPr>
          <w:t xml:space="preserve">[21]</w:t>
        </w:r>
      </w:hyperlink>
      <w:r>
        <w:t xml:space="preserve">, and track-to-track association methods for fragmentation detection from optical observations</w:t>
      </w:r>
      <w:r>
        <w:t xml:space="preserve"> </w:t>
      </w:r>
      <w:hyperlink w:anchor="ref-16">
        <w:r>
          <w:rPr>
            <w:rStyle w:val="Hyperlink"/>
          </w:rPr>
          <w:t xml:space="preserve">[16]</w:t>
        </w:r>
      </w:hyperlink>
      <w:r>
        <w:t xml:space="preserve">, all of which expand the inventory of catalog inputs a detector could operate on. Looking ahead, GEO-to-GEO optical sensors estimate the detection rate of uncataloged debris in regimes the ground-based network cannot reach</w:t>
      </w:r>
      <w:r>
        <w:t xml:space="preserve"> </w:t>
      </w:r>
      <w:hyperlink w:anchor="ref-13">
        <w:r>
          <w:rPr>
            <w:rStyle w:val="Hyperlink"/>
          </w:rPr>
          <w:t xml:space="preserve">[13]</w:t>
        </w:r>
      </w:hyperlink>
      <w:r>
        <w:t xml:space="preserve">, and proposed soliton-soliton interaction methods for sub-centimeter debris detection point toward an instrumentation regime in which the catalog itself becomes a richer time series</w:t>
      </w:r>
      <w:r>
        <w:t xml:space="preserve"> </w:t>
      </w:r>
      <w:hyperlink w:anchor="ref-14">
        <w:r>
          <w:rPr>
            <w:rStyle w:val="Hyperlink"/>
          </w:rPr>
          <w:t xml:space="preserve">[14]</w:t>
        </w:r>
      </w:hyperlink>
      <w:r>
        <w:t xml:space="preserve">. Read catalog growth as a dynamical signal rather than as a static count, and NASA and JPL acquire an instrument whose inputs the agencies are already on a path to generate.</w:t>
      </w:r>
    </w:p>
    <w:p>
      <w:pPr>
        <w:pStyle w:val="BodyText"/>
        <w:spacing w:line="480" w:lineRule="auto"/>
        <w:ind w:firstLine="720"/>
      </w:pPr>
      <w:r>
        <w:t xml:space="preserve">Policy instruments carry the stakes too. Designed as a composite indicator to nudge operators toward long-term sustainability, the Space Sustainability Rating presupposes a measurable environment whose state can be scored</w:t>
      </w:r>
      <w:r>
        <w:t xml:space="preserve"> </w:t>
      </w:r>
      <w:hyperlink w:anchor="ref-18">
        <w:r>
          <w:rPr>
            <w:rStyle w:val="Hyperlink"/>
          </w:rPr>
          <w:t xml:space="preserve">[18]</w:t>
        </w:r>
      </w:hyperlink>
      <w:r>
        <w:t xml:space="preserve">. Integrating planetary boundaries into sustainable space exploration through an Earth-outer space system design framework makes the same presupposition at the level of governance</w:t>
      </w:r>
      <w:r>
        <w:t xml:space="preserve"> </w:t>
      </w:r>
      <w:hyperlink w:anchor="ref-23">
        <w:r>
          <w:rPr>
            <w:rStyle w:val="Hyperlink"/>
          </w:rPr>
          <w:t xml:space="preserve">[23]</w:t>
        </w:r>
      </w:hyperlink>
      <w:r>
        <w:t xml:space="preserve">. Carrying-capacity design trades for environmentally friendly broadband LEO constellations</w:t>
      </w:r>
      <w:r>
        <w:t xml:space="preserve"> </w:t>
      </w:r>
      <w:hyperlink w:anchor="ref-10">
        <w:r>
          <w:rPr>
            <w:rStyle w:val="Hyperlink"/>
          </w:rPr>
          <w:t xml:space="preserve">[10]</w:t>
        </w:r>
      </w:hyperlink>
      <w:r>
        <w:t xml:space="preserve"> </w:t>
      </w:r>
      <w:r>
        <w:t xml:space="preserve">and capacity modeling for sustainable design</w:t>
      </w:r>
      <w:r>
        <w:t xml:space="preserve"> </w:t>
      </w:r>
      <w:hyperlink w:anchor="ref-9">
        <w:r>
          <w:rPr>
            <w:rStyle w:val="Hyperlink"/>
          </w:rPr>
          <w:t xml:space="preserve">[9]</w:t>
        </w:r>
      </w:hyperlink>
      <w:r>
        <w:t xml:space="preserve"> </w:t>
      </w:r>
      <w:r>
        <w:t xml:space="preserve">both presuppose that the carrying capacity is knowable and that its approach can be detected. What each of these instruments requires is an empirical anchor, and a catalog-based detector supplies it.</w:t>
      </w:r>
    </w:p>
    <w:bookmarkEnd w:id="62"/>
    <w:bookmarkStart w:id="63" w:name="Xf30008fd28f360eb8a859a1c12858bf7c60a4b4"/>
    <w:p>
      <w:pPr>
        <w:pStyle w:val="Heading2"/>
        <w:spacing w:line="480" w:lineRule="auto"/>
      </w:pPr>
      <w:r>
        <w:t xml:space="preserve">1.3 The Gap Between the Domain Literature and the Econometric Method Literature</w:t>
      </w:r>
    </w:p>
    <w:p>
      <w:pPr>
        <w:pStyle w:val="FirstParagraph"/>
        <w:spacing w:line="480" w:lineRule="auto"/>
      </w:pPr>
      <w:r>
        <w:t xml:space="preserve">Work on the LEO debris environment has ripened along three separate lines. On the first line, authors cast the environment as a dynamical system and pin its equilibria and their stability analytically to model parameters</w:t>
      </w:r>
      <w:r>
        <w:t xml:space="preserve"> </w:t>
      </w:r>
      <w:hyperlink w:anchor="ref-1">
        <w:r>
          <w:rPr>
            <w:rStyle w:val="Hyperlink"/>
          </w:rPr>
          <w:t xml:space="preserve">[1]</w:t>
        </w:r>
      </w:hyperlink>
      <w:r>
        <w:t xml:space="preserve">. A second line projects the population forward by all-versus-all Monte-Carlo propagation under stated scenario inputs, keeping explicit account of lethal non-trackable objects and of break-up events</w:t>
      </w:r>
      <w:r>
        <w:t xml:space="preserve"> </w:t>
      </w:r>
      <w:hyperlink w:anchor="ref-2">
        <w:r>
          <w:rPr>
            <w:rStyle w:val="Hyperlink"/>
          </w:rPr>
          <w:t xml:space="preserve">[2]</w:t>
        </w:r>
      </w:hyperlink>
      <w:r>
        <w:t xml:space="preserve">. The third line, carrying-capacity work, asks which stationary populations stay sustainable once collisional production enters the ledger</w:t>
      </w:r>
      <w:r>
        <w:t xml:space="preserve"> </w:t>
      </w:r>
      <w:hyperlink w:anchor="ref-5">
        <w:r>
          <w:rPr>
            <w:rStyle w:val="Hyperlink"/>
          </w:rPr>
          <w:t xml:space="preserve">[5]</w:t>
        </w:r>
      </w:hyperlink>
      <w:r>
        <w:t xml:space="preserve">, and it reaches outward to the resilience of constellations under fragmentation events</w:t>
      </w:r>
      <w:r>
        <w:t xml:space="preserve"> </w:t>
      </w:r>
      <w:hyperlink w:anchor="ref-3">
        <w:r>
          <w:rPr>
            <w:rStyle w:val="Hyperlink"/>
          </w:rPr>
          <w:t xml:space="preserve">[3]</w:t>
        </w:r>
      </w:hyperlink>
      <w:r>
        <w:t xml:space="preserve"> </w:t>
      </w:r>
      <w:r>
        <w:t xml:space="preserve">and to design trades for sustainable broadband systems</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 Brute-force modeling of the Kessler syndrome from the high-performance computing community has supplied a further reference benchmark for the long-horizon behavior of the system</w:t>
      </w:r>
      <w:r>
        <w:t xml:space="preserve"> </w:t>
      </w:r>
      <w:hyperlink w:anchor="ref-15">
        <w:r>
          <w:rPr>
            <w:rStyle w:val="Hyperlink"/>
          </w:rPr>
          <w:t xml:space="preserve">[15]</w:t>
        </w:r>
      </w:hyperlink>
      <w:r>
        <w:t xml:space="preserve">, and systems-theoretic analyses of the cascading collision potential of orbital shells have cast the problem in the language of feedback and gain</w:t>
      </w:r>
      <w:r>
        <w:t xml:space="preserve"> </w:t>
      </w:r>
      <w:hyperlink w:anchor="ref-12">
        <w:r>
          <w:rPr>
            <w:rStyle w:val="Hyperlink"/>
          </w:rPr>
          <w:t xml:space="preserve">[12]</w:t>
        </w:r>
      </w:hyperlink>
      <w:r>
        <w:t xml:space="preserve">. Beneath all three tracks lies one physical fact: fragmentation generates large numbers of small and sub-trackable fragments whose accurate characterization conditions any population model</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 and evaluating the cumulative impact of space activities at the population scale demands careful integration over altitude and time</w:t>
      </w:r>
      <w:r>
        <w:t xml:space="preserve"> </w:t>
      </w:r>
      <w:hyperlink w:anchor="ref-7">
        <w:r>
          <w:rPr>
            <w:rStyle w:val="Hyperlink"/>
          </w:rPr>
          <w:t xml:space="preserve">[7]</w:t>
        </w:r>
      </w:hyperlink>
      <w:r>
        <w:t xml:space="preserve">,</w:t>
      </w:r>
      <w:r>
        <w:t xml:space="preserve"> </w:t>
      </w:r>
      <w:hyperlink w:anchor="ref-17">
        <w:r>
          <w:rPr>
            <w:rStyle w:val="Hyperlink"/>
          </w:rPr>
          <w:t xml:space="preserve">[17]</w:t>
        </w:r>
      </w:hyperlink>
      <w:r>
        <w:t xml:space="preserve">.</w:t>
      </w:r>
    </w:p>
    <w:p>
      <w:pPr>
        <w:pStyle w:val="BodyText"/>
        <w:spacing w:line="480" w:lineRule="auto"/>
        <w:ind w:firstLine="720"/>
      </w:pPr>
      <w:r>
        <w:t xml:space="preserve">Each of these tracks shares a feature. Each reasons from assumed or fitted rates toward a property of the system. What none of them does is treat the catalog as a time series whose statistical properties carry information about the proximity of a transition. The early-warning literature on critical transitions, by contrast, was built in ecology, climate science, and epidemiology around exactly that question. It identifies a class of signatures, of which rising lag-one autocorrelation and rising variance are the most studied, that arise generically as a complex system approaches a bifurcation. Critical slowing down is the mechanism. As the dominant eigenvalue of the linearized system approaches zero, the system’s response to perturbation lengthens, and the observable series shows more memory and larger fluctuation. This method is empirical and detection-oriented. It does not need a calibrated model of the underlying dynamics; it needs only that the system be approaching a continuous bifurcation and that the observable be sampled densely enough to estimate the indicators.</w:t>
      </w:r>
    </w:p>
    <w:p>
      <w:pPr>
        <w:pStyle w:val="BodyText"/>
        <w:spacing w:line="480" w:lineRule="auto"/>
        <w:ind w:firstLine="720"/>
      </w:pPr>
      <w:r>
        <w:t xml:space="preserve">The gap, then, is the absence of any application of this detection machinery to the LEO catalog. Domain scholarship has the right physical model; the econometric method literature has the right detection apparatus; the two have never been joined. Two supporting papers close that distance by establishing the preconditions for joining the traditions. The cross-event regression of cataloged fragment yield on parent mass and collision energy shows that, in the trackable stratum, what fills the catalog is collision energy rather than parent mass, with the collision indicator carrying a coefficient of approximately 1.29 and the log-mass coefficient statistically indistinguishable from zero. That result, reported in Chapter 3, matters here because it certifies that the fragment-generation series the detector reads is weighted toward the dynamically relevant collisional production term rather than toward the size of whatever happened to break. Chapter 4 reports the second result, a Cox proportional-hazards model of on-orbit survival that estimates a hazard ratio of 0.584 per hundred kilometers of altitude band, with a p-value below the one-in-a-thousand level. What that certifies is that altitude bands operate as ordered sink-strength strata and that the bands of greatest concern are the high bands whose sink is weakest. Between them the two papers fix the source-side observable and the sink-side denominator. What sits between them, the detector, is the dissertation’s central contribution.</w:t>
      </w:r>
    </w:p>
    <w:p>
      <w:pPr>
        <w:pStyle w:val="BodyText"/>
        <w:spacing w:line="480" w:lineRule="auto"/>
        <w:ind w:firstLine="720"/>
      </w:pPr>
      <w:r>
        <w:t xml:space="preserve">Widening the gap further is the fact that, where domain scholarship has begun to engage with detection at all, it has done so at the level of individual events. Track-to-track association of optical observations supports fragmentation detection per event</w:t>
      </w:r>
      <w:r>
        <w:t xml:space="preserve"> </w:t>
      </w:r>
      <w:hyperlink w:anchor="ref-16">
        <w:r>
          <w:rPr>
            <w:rStyle w:val="Hyperlink"/>
          </w:rPr>
          <w:t xml:space="preserve">[16]</w:t>
        </w:r>
      </w:hyperlink>
      <w:r>
        <w:t xml:space="preserve">, rapid tracking and cataloging of a specific fragmentation has been demonstrated on Intelsat 33E</w:t>
      </w:r>
      <w:r>
        <w:t xml:space="preserve"> </w:t>
      </w:r>
      <w:hyperlink w:anchor="ref-11">
        <w:r>
          <w:rPr>
            <w:rStyle w:val="Hyperlink"/>
          </w:rPr>
          <w:t xml:space="preserve">[11]</w:t>
        </w:r>
      </w:hyperlink>
      <w:r>
        <w:t xml:space="preserve">, and radar beam-park characterization of Cosmos 1408 has set a methodological precedent</w:t>
      </w:r>
      <w:r>
        <w:t xml:space="preserve"> </w:t>
      </w:r>
      <w:hyperlink w:anchor="ref-21">
        <w:r>
          <w:rPr>
            <w:rStyle w:val="Hyperlink"/>
          </w:rPr>
          <w:t xml:space="preserve">[21]</w:t>
        </w:r>
      </w:hyperlink>
      <w:r>
        <w:t xml:space="preserve">. Maneuver detection and catalog maintenance have advanced as estimation problems on the individual object</w:t>
      </w:r>
      <w:r>
        <w:t xml:space="preserve"> </w:t>
      </w:r>
      <w:hyperlink w:anchor="ref-20">
        <w:r>
          <w:rPr>
            <w:rStyle w:val="Hyperlink"/>
          </w:rPr>
          <w:t xml:space="preserve">[20]</w:t>
        </w:r>
      </w:hyperlink>
      <w:r>
        <w:t xml:space="preserve">. These are event-level detection instruments. What I propose is a regime-level detector, a test of whether the aggregate catalog, integrated across events within a band, exhibits the statistical signature of approach to a dynamical threshold. No paper in the retrieved corpus poses that question, and none answers it.</w:t>
      </w:r>
    </w:p>
    <w:bookmarkEnd w:id="63"/>
    <w:bookmarkStart w:id="64" w:name="the-single-falsifiable-contribution"/>
    <w:p>
      <w:pPr>
        <w:pStyle w:val="Heading2"/>
        <w:spacing w:line="480" w:lineRule="auto"/>
      </w:pPr>
      <w:r>
        <w:t xml:space="preserve">1.4 The Single Falsifiable Contribution</w:t>
      </w:r>
    </w:p>
    <w:p>
      <w:pPr>
        <w:pStyle w:val="FirstParagraph"/>
        <w:spacing w:line="480" w:lineRule="auto"/>
      </w:pPr>
      <w:r>
        <w:t xml:space="preserve">One hypothesis riding on one quantity: that is the whole of the test, and its terms are exact. Hold fixed a LEO altitude band together with an object-size threshold set above the conservative tracking floor. Take the monthly fragment-generation rate to be the tally of newly cataloged fragments assignable to that band, where the assignment ties each fresh catalog object to a known break-up parent or marks it launch-associated by way of the catalog object-type fields. Strip that series of launch cadence and of a drag proxy assembled from solar radio flux (F10.7) and geomagnetic (Kp/Ap) indices, leaving a residual that answers to collisional dynamics and not to outside forcing. Take the lag-one autocorrelation and the variance of that residual across a rolling window. The contribution reduces to one yes-or-no: does the trend in those two indicators separate, statistically, from zero?</w:t>
      </w:r>
    </w:p>
    <w:p>
      <w:pPr>
        <w:pStyle w:val="BodyText"/>
        <w:spacing w:line="480" w:lineRule="auto"/>
        <w:ind w:firstLine="720"/>
      </w:pPr>
      <w:r>
        <w:t xml:space="preserve">The null hypothesis H0 holds that, across the observation period, neither the trend in lag-one autocorrelation nor the trend in variance of the band’s fragmentation-only generation series parts from zero in any statistical sense. On that reading the catalog bears no critical-slowing-down signature, and whatever rise appears traces to sampling noise and to catalog-processing artifacts. The alternative hypothesis H1 holds the opposite, that lag-one autocorrelation and variance alike climb along a statistically significant positive trend across the window, in keeping with critical slowing down as the band nears a self-sustaining-fragmentation bifurcation. Testing this falls to a Kendall rank-correlation trend on each indicator series, its significance weighed against a null distribution built from surrogate series that keep the residual’s short-run correlation structure and wipe out any monotone trend. Should a band post matching significant positive trends on both indicators, holding up across window choices and across size strata, that counts as a positive detection. A failure to reject H0 sinks the proposed detector.</w:t>
      </w:r>
    </w:p>
    <w:p>
      <w:pPr>
        <w:pStyle w:val="BodyText"/>
        <w:spacing w:line="480" w:lineRule="auto"/>
        <w:ind w:firstLine="720"/>
      </w:pPr>
      <w:r>
        <w:t xml:space="preserve">The contribution is singular, and it is stated precisely so that it can be refuted. It is not the claim that a cascade is imminent. It is not the claim that any particular band will transition. Nor is it a forecast of the timing of any transition. What it claims is that the early-warning signal is or is not present and measurable in the observed catalog, in defined altitude bands, above a defined size threshold, over a defined observation window, with a defined test statistic and a defined null distribution. Should a Kendall trend test fail to reject the null, after the size-stratified design and surrogate-data inference have controlled for the principal confounders identified in Chapter 5, the detector is refuted. That is the falsification criterion.</w:t>
      </w:r>
    </w:p>
    <w:bookmarkEnd w:id="64"/>
    <w:bookmarkStart w:id="65" w:name="roadmap"/>
    <w:p>
      <w:pPr>
        <w:pStyle w:val="Heading2"/>
        <w:spacing w:line="480" w:lineRule="auto"/>
      </w:pPr>
      <w:r>
        <w:t xml:space="preserve">1.5 Roadmap</w:t>
      </w:r>
    </w:p>
    <w:p>
      <w:pPr>
        <w:pStyle w:val="FirstParagraph"/>
        <w:spacing w:line="480" w:lineRule="auto"/>
      </w:pPr>
      <w:r>
        <w:t xml:space="preserve">The remaining seven chapters carry the argument forward. Chapter 2 builds the physical and methodological scaffolding. Its opening sections trace how LEO reads as a source-and-sink balance in the dynamical work</w:t>
      </w:r>
      <w:r>
        <w:t xml:space="preserve"> </w:t>
      </w:r>
      <w:hyperlink w:anchor="ref-1">
        <w:r>
          <w:rPr>
            <w:rStyle w:val="Hyperlink"/>
          </w:rPr>
          <w:t xml:space="preserve">[1]</w:t>
        </w:r>
      </w:hyperlink>
      <w:r>
        <w:t xml:space="preserve">, how the ensemble-forecast school propagates populations through Monte-Carlo all-versus-all runs</w:t>
      </w:r>
      <w:r>
        <w:t xml:space="preserve"> </w:t>
      </w:r>
      <w:hyperlink w:anchor="ref-2">
        <w:r>
          <w:rPr>
            <w:rStyle w:val="Hyperlink"/>
          </w:rPr>
          <w:t xml:space="preserve">[2]</w:t>
        </w:r>
      </w:hyperlink>
      <w:r>
        <w:t xml:space="preserve">, how the carrying-capacity line</w:t>
      </w:r>
      <w:r>
        <w:t xml:space="preserve"> </w:t>
      </w:r>
      <w:hyperlink w:anchor="ref-5">
        <w:r>
          <w:rPr>
            <w:rStyle w:val="Hyperlink"/>
          </w:rPr>
          <w:t xml:space="preserve">[5]</w:t>
        </w:r>
      </w:hyperlink>
      <w:r>
        <w:t xml:space="preserve"> </w:t>
      </w:r>
      <w:r>
        <w:t xml:space="preserve">and its later constellation-resilience branch</w:t>
      </w:r>
      <w:r>
        <w:t xml:space="preserve"> </w:t>
      </w:r>
      <w:hyperlink w:anchor="ref-3">
        <w:r>
          <w:rPr>
            <w:rStyle w:val="Hyperlink"/>
          </w:rPr>
          <w:t xml:space="preserve">[3]</w:t>
        </w:r>
      </w:hyperlink>
      <w:r>
        <w:t xml:space="preserve"> </w:t>
      </w:r>
      <w:r>
        <w:t xml:space="preserve">bound sustainable populations, and how breakup modeling lets a fragment yield be interpreted</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 From there it brings in the theory of critical transitions that supplies the early-warning indicators, and it writes out the formal correspondence between a source-and-sink balance and the family of systems for which lag-one autocorrelation and variance carry diagnostic weight.</w:t>
      </w:r>
    </w:p>
    <w:p>
      <w:pPr>
        <w:pStyle w:val="BodyText"/>
        <w:spacing w:line="480" w:lineRule="auto"/>
        <w:ind w:firstLine="720"/>
      </w:pPr>
      <w:r>
        <w:t xml:space="preserve">The empirical work opens in Chapter 3, which regresses cataloged fragment yield across events on two drivers, parent mass and collision energy. Its sample is twenty-one documented breakups, pulled from the NASA Orbital Debris Program Office record</w:t>
      </w:r>
      <w:r>
        <w:t xml:space="preserve"> </w:t>
      </w:r>
      <w:hyperlink w:anchor="ref-6">
        <w:r>
          <w:rPr>
            <w:rStyle w:val="Hyperlink"/>
          </w:rPr>
          <w:t xml:space="preserve">[6]</w:t>
        </w:r>
      </w:hyperlink>
      <w:r>
        <w:t xml:space="preserve"> </w:t>
      </w:r>
      <w:r>
        <w:t xml:space="preserve">and from the recent event reporting</w:t>
      </w:r>
      <w:r>
        <w:t xml:space="preserve"> </w:t>
      </w:r>
      <w:hyperlink w:anchor="ref-11">
        <w:r>
          <w:rPr>
            <w:rStyle w:val="Hyperlink"/>
          </w:rPr>
          <w:t xml:space="preserve">[11]</w:t>
        </w:r>
      </w:hyperlink>
      <w:r>
        <w:t xml:space="preserve">,</w:t>
      </w:r>
      <w:r>
        <w:t xml:space="preserve"> </w:t>
      </w:r>
      <w:hyperlink w:anchor="ref-19">
        <w:r>
          <w:rPr>
            <w:rStyle w:val="Hyperlink"/>
          </w:rPr>
          <w:t xml:space="preserve">[19]</w:t>
        </w:r>
      </w:hyperlink>
      <w:r>
        <w:t xml:space="preserve">,</w:t>
      </w:r>
      <w:r>
        <w:t xml:space="preserve"> </w:t>
      </w:r>
      <w:hyperlink w:anchor="ref-21">
        <w:r>
          <w:rPr>
            <w:rStyle w:val="Hyperlink"/>
          </w:rPr>
          <w:t xml:space="preserve">[21]</w:t>
        </w:r>
      </w:hyperlink>
      <w:r>
        <w:t xml:space="preserve">. The result there is that within the trackable band, collision channel and not parent mass decides how many fragments enter the catalog; a collision coefficient point estimate of 1.29 puts a collision at roughly three and a half times the cataloged yield of an equal-mass explosion. That result vouches that the generation series the detector later reads leans toward the production term that actually matters dynamically.</w:t>
      </w:r>
    </w:p>
    <w:p>
      <w:pPr>
        <w:pStyle w:val="BodyText"/>
        <w:spacing w:line="480" w:lineRule="auto"/>
        <w:ind w:firstLine="720"/>
      </w:pPr>
      <w:r>
        <w:t xml:space="preserve">Chapter 4 turns to on-orbit survival, fitting a Cox proportional-hazards model. Its sample is thirty-four objects whose launch and decay epochs are documented, assembled from the NASA NSSDCA Master Catalog, the United States Space Force Space-Track decay records, and the Pardini and Anselmo population survey</w:t>
      </w:r>
      <w:r>
        <w:t xml:space="preserve"> </w:t>
      </w:r>
      <w:hyperlink w:anchor="ref-7">
        <w:r>
          <w:rPr>
            <w:rStyle w:val="Hyperlink"/>
          </w:rPr>
          <w:t xml:space="preserve">[7]</w:t>
        </w:r>
      </w:hyperlink>
      <w:r>
        <w:t xml:space="preserve">,</w:t>
      </w:r>
      <w:r>
        <w:t xml:space="preserve"> </w:t>
      </w:r>
      <w:hyperlink w:anchor="ref-17">
        <w:r>
          <w:rPr>
            <w:rStyle w:val="Hyperlink"/>
          </w:rPr>
          <w:t xml:space="preserve">[17]</w:t>
        </w:r>
      </w:hyperlink>
      <w:r>
        <w:t xml:space="preserve">, with object-class and solar-epoch covariates leaning on the decay-time work</w:t>
      </w:r>
      <w:r>
        <w:t xml:space="preserve"> </w:t>
      </w:r>
      <w:hyperlink w:anchor="ref-8">
        <w:r>
          <w:rPr>
            <w:rStyle w:val="Hyperlink"/>
          </w:rPr>
          <w:t xml:space="preserve">[8]</w:t>
        </w:r>
      </w:hyperlink>
      <w:r>
        <w:t xml:space="preserve">. The result there is a decay hazard that drops by about forty-two percent for each hundred kilometers of altitude band, with high-area-to-mass fragments typical of collisional break-up</w:t>
      </w:r>
      <w:r>
        <w:t xml:space="preserve"> </w:t>
      </w:r>
      <w:hyperlink w:anchor="ref-4">
        <w:r>
          <w:rPr>
            <w:rStyle w:val="Hyperlink"/>
          </w:rPr>
          <w:t xml:space="preserve">[4]</w:t>
        </w:r>
      </w:hyperlink>
      <w:r>
        <w:t xml:space="preserve"> </w:t>
      </w:r>
      <w:r>
        <w:t xml:space="preserve">facing something like four times the hazard of intact objects sharing their altitude. That fixes the sink-side denominator the source-side detector is measured against.</w:t>
      </w:r>
    </w:p>
    <w:p>
      <w:pPr>
        <w:pStyle w:val="BodyText"/>
        <w:spacing w:line="480" w:lineRule="auto"/>
        <w:ind w:firstLine="720"/>
      </w:pPr>
      <w:r>
        <w:t xml:space="preserve">Identification is the business of Chapter 5, where the detector itself is pinned down. It confronts three main confounders, the secular catalog swelling that launch cadence produces, drift in how sensitively sensors detect, and the seasonal or solar-cycle wobble in atmospheric drag, and it lays out the size-stratified design, the residualization model, and the surrogate-data inference that jointly pull the true dynamical signal clear of each one. This chapter also faces the censoring the tracking threshold forces on the sub-trackable fragment count</w:t>
      </w:r>
      <w:r>
        <w:t xml:space="preserve"> </w:t>
      </w:r>
      <w:hyperlink w:anchor="ref-4">
        <w:r>
          <w:rPr>
            <w:rStyle w:val="Hyperlink"/>
          </w:rPr>
          <w:t xml:space="preserve">[4]</w:t>
        </w:r>
      </w:hyperlink>
      <w:r>
        <w:t xml:space="preserve"> </w:t>
      </w:r>
      <w:r>
        <w:t xml:space="preserve">and pegs the reach of the detector’s claim to match.</w:t>
      </w:r>
    </w:p>
    <w:p>
      <w:pPr>
        <w:pStyle w:val="BodyText"/>
        <w:spacing w:line="480" w:lineRule="auto"/>
        <w:ind w:firstLine="720"/>
      </w:pPr>
      <w:r>
        <w:t xml:space="preserve">Chapter 6 runs the detector against the historical catalog. Its feedstock is the public United States Space Surveillance Network catalog of tracked resident space objects, pulled through Space-Track.org and supplemented by the documented event record of the NASA Orbital Debris Program Office</w:t>
      </w:r>
      <w:r>
        <w:t xml:space="preserve"> </w:t>
      </w:r>
      <w:hyperlink w:anchor="ref-6">
        <w:r>
          <w:rPr>
            <w:rStyle w:val="Hyperlink"/>
          </w:rPr>
          <w:t xml:space="preserve">[6]</w:t>
        </w:r>
      </w:hyperlink>
      <w:r>
        <w:t xml:space="preserve">. It lays out the indicator series, the Kendall trend statistics, and the surrogate-data null distributions band by band and stratum by stratum, together with sensitivity runs over window lengths and bandwidths. And it sets the detector outputs against the cataloging and detection work</w:t>
      </w:r>
      <w:r>
        <w:t xml:space="preserve"> </w:t>
      </w:r>
      <w:hyperlink w:anchor="ref-11">
        <w:r>
          <w:rPr>
            <w:rStyle w:val="Hyperlink"/>
          </w:rPr>
          <w:t xml:space="preserve">[11]</w:t>
        </w:r>
      </w:hyperlink>
      <w:r>
        <w:t xml:space="preserve">,</w:t>
      </w:r>
      <w:r>
        <w:t xml:space="preserve"> </w:t>
      </w:r>
      <w:hyperlink w:anchor="ref-13">
        <w:r>
          <w:rPr>
            <w:rStyle w:val="Hyperlink"/>
          </w:rPr>
          <w:t xml:space="preserve">[13]</w:t>
        </w:r>
      </w:hyperlink>
      <w:r>
        <w:t xml:space="preserve">,</w:t>
      </w:r>
      <w:r>
        <w:t xml:space="preserve"> </w:t>
      </w:r>
      <w:hyperlink w:anchor="ref-16">
        <w:r>
          <w:rPr>
            <w:rStyle w:val="Hyperlink"/>
          </w:rPr>
          <w:t xml:space="preserve">[16]</w:t>
        </w:r>
      </w:hyperlink>
      <w:r>
        <w:t xml:space="preserve">,</w:t>
      </w:r>
      <w:r>
        <w:t xml:space="preserve"> </w:t>
      </w:r>
      <w:hyperlink w:anchor="ref-20">
        <w:r>
          <w:rPr>
            <w:rStyle w:val="Hyperlink"/>
          </w:rPr>
          <w:t xml:space="preserve">[20]</w:t>
        </w:r>
      </w:hyperlink>
      <w:r>
        <w:t xml:space="preserve">,</w:t>
      </w:r>
      <w:r>
        <w:t xml:space="preserve"> </w:t>
      </w:r>
      <w:hyperlink w:anchor="ref-21">
        <w:r>
          <w:rPr>
            <w:rStyle w:val="Hyperlink"/>
          </w:rPr>
          <w:t xml:space="preserve">[21]</w:t>
        </w:r>
      </w:hyperlink>
      <w:r>
        <w:t xml:space="preserve">, and against the sustainability-rating and policy frameworks that would draw on them</w:t>
      </w:r>
      <w:r>
        <w:t xml:space="preserve"> </w:t>
      </w:r>
      <w:hyperlink w:anchor="ref-18">
        <w:r>
          <w:rPr>
            <w:rStyle w:val="Hyperlink"/>
          </w:rPr>
          <w:t xml:space="preserve">[18]</w:t>
        </w:r>
      </w:hyperlink>
      <w:r>
        <w:t xml:space="preserve">,</w:t>
      </w:r>
      <w:r>
        <w:t xml:space="preserve"> </w:t>
      </w:r>
      <w:hyperlink w:anchor="ref-23">
        <w:r>
          <w:rPr>
            <w:rStyle w:val="Hyperlink"/>
          </w:rPr>
          <w:t xml:space="preserve">[23]</w:t>
        </w:r>
      </w:hyperlink>
      <w:r>
        <w:t xml:space="preserve">.</w:t>
      </w:r>
    </w:p>
    <w:p>
      <w:pPr>
        <w:pStyle w:val="BodyText"/>
        <w:spacing w:line="480" w:lineRule="auto"/>
        <w:ind w:firstLine="720"/>
      </w:pPr>
      <w:r>
        <w:t xml:space="preserve">Chapter 7 closes the loop. It delivers the one empirical finding, whether the catalog holds the early-warning signal in the bands and strata as defined, phrased with the same precision as the falsifiable claim of Section 1.4 above. It then bounds the claim: the confinement of scope to the trackable band, the standing of critical slowing down as a signal that is necessary yet not on its own sufficient, and the line beyond which a positive detection buys an early-warning inference but never a dated forecast of onset. It draws out what this means operationally for NASA mission planning and for JPL situational-awareness integration, the tie to just-in-time collision avoidance among them</w:t>
      </w:r>
      <w:r>
        <w:t xml:space="preserve"> </w:t>
      </w:r>
      <w:hyperlink w:anchor="ref-24">
        <w:r>
          <w:rPr>
            <w:rStyle w:val="Hyperlink"/>
          </w:rPr>
          <w:t xml:space="preserve">[24]</w:t>
        </w:r>
      </w:hyperlink>
      <w:r>
        <w:t xml:space="preserve">. And it leaves the standing open questions on the table: reaching into the cislunar regime, folding in sub-centimeter detection</w:t>
      </w:r>
      <w:r>
        <w:t xml:space="preserve"> </w:t>
      </w:r>
      <w:hyperlink w:anchor="ref-14">
        <w:r>
          <w:rPr>
            <w:rStyle w:val="Hyperlink"/>
          </w:rPr>
          <w:t xml:space="preserve">[14]</w:t>
        </w:r>
      </w:hyperlink>
      <w:r>
        <w:t xml:space="preserve">, seating the detector output inside the cascading-collision-potential account</w:t>
      </w:r>
      <w:r>
        <w:t xml:space="preserve"> </w:t>
      </w:r>
      <w:hyperlink w:anchor="ref-12">
        <w:r>
          <w:rPr>
            <w:rStyle w:val="Hyperlink"/>
          </w:rPr>
          <w:t xml:space="preserve">[12]</w:t>
        </w:r>
      </w:hyperlink>
      <w:r>
        <w:t xml:space="preserve">, and routing toward a brute-force validation</w:t>
      </w:r>
      <w:r>
        <w:t xml:space="preserve"> </w:t>
      </w:r>
      <w:hyperlink w:anchor="ref-15">
        <w:r>
          <w:rPr>
            <w:rStyle w:val="Hyperlink"/>
          </w:rPr>
          <w:t xml:space="preserve">[15]</w:t>
        </w:r>
      </w:hyperlink>
      <w:r>
        <w:t xml:space="preserve"> </w:t>
      </w:r>
      <w:r>
        <w:t xml:space="preserve">of whatever indicator behavior the catalog turns out to show.</w:t>
      </w:r>
    </w:p>
    <w:p>
      <w:pPr>
        <w:pStyle w:val="BodyText"/>
        <w:spacing w:line="480" w:lineRule="auto"/>
        <w:ind w:firstLine="720"/>
      </w:pPr>
      <w:r>
        <w:t xml:space="preserve">Read as a whole, the dissertation closes on itself. Its framework chapter sets the physical correspondence the detector stands on. Its two preparatory chapters nail down, empirically, the source-side observable and the sink-side denominator. Its identification chapter pins the detector. Its implementation chapter runs the test. Its conclusion delivers the finding and fences the inference. A single falsifiable claim threads every chapter: that the onset of self-sustaining fragmentation in a defined LEO altitude band either is or is not heralded by a measurable rise in the lag-one autocorrelation and variance of the band’s residualized fragmentation-only generation series. Either the catalog speaks before it cascades, or it stays silent. Which of the two is what this dissertation settles. That exhausts the claim.</w:t>
      </w:r>
    </w:p>
    <w:bookmarkEnd w:id="65"/>
    <w:bookmarkEnd w:id="66"/>
    <w:bookmarkStart w:id="87" w:name="chapter-2.-literature-review"/>
    <w:p>
      <w:pPr>
        <w:pStyle w:val="Heading1"/>
        <w:spacing w:line="480" w:lineRule="auto"/>
      </w:pPr>
      <w:r>
        <w:t xml:space="preserve">Chapter 2. Literature Review</w:t>
      </w:r>
    </w:p>
    <w:bookmarkStart w:id="67" w:name="purpose-and-organization-of-the-review"/>
    <w:p>
      <w:pPr>
        <w:pStyle w:val="Heading2"/>
        <w:spacing w:line="480" w:lineRule="auto"/>
      </w:pPr>
      <w:r>
        <w:t xml:space="preserve">2.1 Purpose and Organization of the Review</w:t>
      </w:r>
    </w:p>
    <w:p>
      <w:pPr>
        <w:pStyle w:val="FirstParagraph"/>
        <w:spacing w:line="480" w:lineRule="auto"/>
      </w:pPr>
      <w:r>
        <w:t xml:space="preserve">One empirical claim drives this dissertation: that the onset of self-sustaining fragmentation in a defined low Earth orbit (LEO) altitude band comes ahead of a measurable rise in the statistical autocorrelation and variance of the band’s fragment-generation rate, one member of the family of early-warning signals tied to critical transitions in complex dynamical systems. Two literatures meet at that claim, and until now they have stayed apart. One is the technical work on the LEO debris environment, which paints the population as a source-and-sink dynamical system, models how it evolves under launches and collisions, and assays the empirical behavior of breakups, sensors, and removal. The other is the cliometric and econometric methodology, read broadly, which hands over the tools for inference on time series, on panels of survival histories, and on cross-sectional regressions of observable yields against physical covariates. Each has ripened on its own. Neither has yet been pointed at the question of whether the catalog already in motion is nearing a bifurcation an operator could actually catch.</w:t>
      </w:r>
    </w:p>
    <w:p>
      <w:pPr>
        <w:pStyle w:val="BodyText"/>
        <w:spacing w:line="480" w:lineRule="auto"/>
        <w:ind w:firstLine="720"/>
      </w:pPr>
      <w:r>
        <w:t xml:space="preserve">My aim in organizing the review is to lay that gap bare and to warrant the methodological choices in Papers 1 and 2 and in the detector Chapter 3 specifies. Section 2.2 walks through the dynamical-systems and Monte-Carlo modeling work that frames the cascade hypothesis prospectively. Section 2.3 walks through the empirical and observational work on breakups, sensors, fragment characterization, and removal that furnishes the data any detector must sit on. Section 2.4 walks through the methodological work, drawn from the corpus this dissertation can reach, that has furnished analogous detection and inference designs in neighboring fields. Section 2.5 then fuses the two literatures, marks the gap, and casts the contribution as the joining of detection methodology to source-and-sink physics on observable catalog data.</w:t>
      </w:r>
    </w:p>
    <w:p>
      <w:pPr>
        <w:pStyle w:val="BodyText"/>
        <w:spacing w:line="480" w:lineRule="auto"/>
        <w:ind w:firstLine="720"/>
      </w:pPr>
      <w:r>
        <w:t xml:space="preserve">Every citation draws from the dissertation reference pool, and where a source supports several aspects of the argument the review cites it from more than one angle.</w:t>
      </w:r>
    </w:p>
    <w:bookmarkEnd w:id="67"/>
    <w:bookmarkStart w:id="74" w:name="Xcaefc1f3fd3a615064f5838e870e66851d5312f"/>
    <w:p>
      <w:pPr>
        <w:pStyle w:val="Heading2"/>
        <w:spacing w:line="480" w:lineRule="auto"/>
      </w:pPr>
      <w:r>
        <w:t xml:space="preserve">2.2 The Domain Technical Literature: Modeling the LEO Environment</w:t>
      </w:r>
    </w:p>
    <w:bookmarkStart w:id="68" w:name="the-dynamical-systems-characterization"/>
    <w:p>
      <w:pPr>
        <w:pStyle w:val="Heading3"/>
        <w:spacing w:line="480" w:lineRule="auto"/>
      </w:pPr>
      <w:r>
        <w:t xml:space="preserve">2.2.1 The Dynamical-Systems Characterization</w:t>
      </w:r>
    </w:p>
    <w:p>
      <w:pPr>
        <w:pStyle w:val="FirstParagraph"/>
        <w:spacing w:line="480" w:lineRule="auto"/>
      </w:pPr>
      <w:r>
        <w:t xml:space="preserve">One recognition sits at the intellectual core of the modern debris literature: that the LEO population is a dynamical system whose evolution can be set down as a balance of source and sink terms whose equilibria can be located analytically. Jang, D’Ambrosio, Lifson, Pasiecznik, and Linares put this view on a formal footing in their analysis of the stability of the LEO environment as a dynamical system, deriving the conditions under which fixed points of the population dynamics hold up against perturbation</w:t>
      </w:r>
      <w:r>
        <w:t xml:space="preserve"> </w:t>
      </w:r>
      <w:hyperlink w:anchor="ref-1">
        <w:r>
          <w:rPr>
            <w:rStyle w:val="Hyperlink"/>
          </w:rPr>
          <w:t xml:space="preserve">[1]</w:t>
        </w:r>
      </w:hyperlink>
      <w:r>
        <w:t xml:space="preserve">. Their framing is the one this dissertation carries forward: a bifurcation structure holds in principle and can be pinned to the relative sizes of launch, collisional production, and atmospheric removal. What</w:t>
      </w:r>
      <w:r>
        <w:t xml:space="preserve"> </w:t>
      </w:r>
      <w:hyperlink w:anchor="ref-1">
        <w:r>
          <w:rPr>
            <w:rStyle w:val="Hyperlink"/>
          </w:rPr>
          <w:t xml:space="preserve">[1]</w:t>
        </w:r>
      </w:hyperlink>
      <w:r>
        <w:t xml:space="preserve"> </w:t>
      </w:r>
      <w:r>
        <w:t xml:space="preserve">delivers is analytical, locating a model’s equilibria rather than estimating them from observation, and it is exactly that stance, reasoning forward from assumed rates, that the detection program of the present work aims to turn around.</w:t>
      </w:r>
    </w:p>
    <w:p>
      <w:pPr>
        <w:pStyle w:val="BodyText"/>
        <w:spacing w:line="480" w:lineRule="auto"/>
        <w:ind w:firstLine="720"/>
      </w:pPr>
      <w:r>
        <w:t xml:space="preserve">That same research program moves ahead in</w:t>
      </w:r>
      <w:r>
        <w:t xml:space="preserve"> </w:t>
      </w:r>
      <w:hyperlink w:anchor="ref-2">
        <w:r>
          <w:rPr>
            <w:rStyle w:val="Hyperlink"/>
          </w:rPr>
          <w:t xml:space="preserve">[2]</w:t>
        </w:r>
      </w:hyperlink>
      <w:r>
        <w:t xml:space="preserve">, where Jang, Siew, Machuca, and Linares set out Monte-Carlo all-versus-all methods for forecasting the future LEO population. That work reads every pair of cataloged objects as a candidate collision and carries the resulting break-up cascade forward under scenario assumptions about launch cadence, post-mission disposal compliance, and fragmentation. The methodological strength of</w:t>
      </w:r>
      <w:r>
        <w:t xml:space="preserve"> </w:t>
      </w:r>
      <w:hyperlink w:anchor="ref-2">
        <w:r>
          <w:rPr>
            <w:rStyle w:val="Hyperlink"/>
          </w:rPr>
          <w:t xml:space="preserve">[2]</w:t>
        </w:r>
      </w:hyperlink>
      <w:r>
        <w:t xml:space="preserve"> </w:t>
      </w:r>
      <w:r>
        <w:t xml:space="preserve">is the explicit accounting for lethal non-trackable objects and for break-up events as discrete injections into the population. Its working stance is prospective ensemble forecasting: it says what the population could turn into given a set of assumed rates, not whether the population already observed is nearing a regime change. Between them,</w:t>
      </w:r>
      <w:r>
        <w:t xml:space="preserve"> </w:t>
      </w:r>
      <w:hyperlink w:anchor="ref-1">
        <w:r>
          <w:rPr>
            <w:rStyle w:val="Hyperlink"/>
          </w:rPr>
          <w:t xml:space="preserve">[1]</w:t>
        </w:r>
      </w:hyperlink>
      <w:r>
        <w:t xml:space="preserve"> </w:t>
      </w:r>
      <w:r>
        <w:t xml:space="preserve">and</w:t>
      </w:r>
      <w:r>
        <w:t xml:space="preserve"> </w:t>
      </w:r>
      <w:hyperlink w:anchor="ref-2">
        <w:r>
          <w:rPr>
            <w:rStyle w:val="Hyperlink"/>
          </w:rPr>
          <w:t xml:space="preserve">[2]</w:t>
        </w:r>
      </w:hyperlink>
      <w:r>
        <w:t xml:space="preserve"> </w:t>
      </w:r>
      <w:r>
        <w:t xml:space="preserve">anchor the dynamical-systems view while throwing the gap the dissertation occupies into relief, since neither takes up detection of an in-progress transition from data.</w:t>
      </w:r>
    </w:p>
    <w:p>
      <w:pPr>
        <w:pStyle w:val="BodyText"/>
        <w:spacing w:line="480" w:lineRule="auto"/>
        <w:ind w:firstLine="720"/>
      </w:pPr>
      <w:r>
        <w:t xml:space="preserve">From the systems-theoretic side, Eder and Unfried shore up the dynamical view, weighing the cascading collision potential of orbital shells through a systems-theory approach and holding that orbital shells have to be read as integrated dynamical entities rather than as a sum of independent objects</w:t>
      </w:r>
      <w:r>
        <w:t xml:space="preserve"> </w:t>
      </w:r>
      <w:hyperlink w:anchor="ref-12">
        <w:r>
          <w:rPr>
            <w:rStyle w:val="Hyperlink"/>
          </w:rPr>
          <w:t xml:space="preserve">[12]</w:t>
        </w:r>
      </w:hyperlink>
      <w:r>
        <w:t xml:space="preserve">. Their reading of cascade potential as a property that emerges at the level of a shell rests easily beside the framing in</w:t>
      </w:r>
      <w:r>
        <w:t xml:space="preserve"> </w:t>
      </w:r>
      <w:hyperlink w:anchor="ref-1">
        <w:r>
          <w:rPr>
            <w:rStyle w:val="Hyperlink"/>
          </w:rPr>
          <w:t xml:space="preserve">[1]</w:t>
        </w:r>
      </w:hyperlink>
      <w:r>
        <w:t xml:space="preserve"> </w:t>
      </w:r>
      <w:r>
        <w:t xml:space="preserve">and adds to the case for analyses at the band level rather than the object level.</w:t>
      </w:r>
    </w:p>
    <w:bookmarkEnd w:id="68"/>
    <w:bookmarkStart w:id="69" w:name="carrying-capacity-and-sustainability"/>
    <w:p>
      <w:pPr>
        <w:pStyle w:val="Heading3"/>
        <w:spacing w:line="480" w:lineRule="auto"/>
      </w:pPr>
      <w:r>
        <w:t xml:space="preserve">2.2.2 Carrying Capacity and Sustainability</w:t>
      </w:r>
    </w:p>
    <w:p>
      <w:pPr>
        <w:pStyle w:val="FirstParagraph"/>
        <w:spacing w:line="480" w:lineRule="auto"/>
      </w:pPr>
      <w:r>
        <w:t xml:space="preserve">Running alongside the dynamical-systems literature is the carrying-capacity line of work, which asks not whether a given trajectory holds steady but what stationary populations of satellites a given regime can carry. Lifson spells this framework out, fixing orbital carrying capacity in terms of sustainable satellite population distributions and reading the LEO environment as a resource bounded by the collisional production it can soak up short of runaway growth</w:t>
      </w:r>
      <w:r>
        <w:t xml:space="preserve"> </w:t>
      </w:r>
      <w:hyperlink w:anchor="ref-5">
        <w:r>
          <w:rPr>
            <w:rStyle w:val="Hyperlink"/>
          </w:rPr>
          <w:t xml:space="preserve">[5]</w:t>
        </w:r>
      </w:hyperlink>
      <w:r>
        <w:t xml:space="preserve">. Sturza, Dankberg, and Blount come at the same question from the operator’s chair: their LEO capacity modeling for sustainable design</w:t>
      </w:r>
      <w:r>
        <w:t xml:space="preserve"> </w:t>
      </w:r>
      <w:hyperlink w:anchor="ref-9">
        <w:r>
          <w:rPr>
            <w:rStyle w:val="Hyperlink"/>
          </w:rPr>
          <w:t xml:space="preserve">[9]</w:t>
        </w:r>
      </w:hyperlink>
      <w:r>
        <w:t xml:space="preserve"> </w:t>
      </w:r>
      <w:r>
        <w:t xml:space="preserve">and their design trades for environmentally friendly broadband LEO satellite systems</w:t>
      </w:r>
      <w:r>
        <w:t xml:space="preserve"> </w:t>
      </w:r>
      <w:hyperlink w:anchor="ref-10">
        <w:r>
          <w:rPr>
            <w:rStyle w:val="Hyperlink"/>
          </w:rPr>
          <w:t xml:space="preserve">[10]</w:t>
        </w:r>
      </w:hyperlink>
      <w:r>
        <w:t xml:space="preserve"> </w:t>
      </w:r>
      <w:r>
        <w:t xml:space="preserve">set down how constellation design choices, altitude selection, area-to-mass ratio, and disposal strategy among them, shift the sustainable population the environment can carry. Their more recent read on constellation resilience to accidental and intentional fragmentation events</w:t>
      </w:r>
      <w:r>
        <w:t xml:space="preserve"> </w:t>
      </w:r>
      <w:hyperlink w:anchor="ref-3">
        <w:r>
          <w:rPr>
            <w:rStyle w:val="Hyperlink"/>
          </w:rPr>
          <w:t xml:space="preserve">[3]</w:t>
        </w:r>
      </w:hyperlink>
      <w:r>
        <w:t xml:space="preserve"> </w:t>
      </w:r>
      <w:r>
        <w:t xml:space="preserve">carries the same logic over to perturbations, reading constellations as engineered subsystems whose resilience tracks band-level sink strength and source magnitude. In short, carrying-capacity work asks which stationary populations are admissible. What it leaves aside is whether a moving catalog is nearing the edge of admissibility, which is the question the detector pursues.</w:t>
      </w:r>
    </w:p>
    <w:p>
      <w:pPr>
        <w:pStyle w:val="BodyText"/>
        <w:spacing w:line="480" w:lineRule="auto"/>
        <w:ind w:firstLine="720"/>
      </w:pPr>
      <w:r>
        <w:t xml:space="preserve">Governance and rating instruments form a parallel strand, one that renders sustainability into operator incentives. Rathnasabapathy and colleagues design a space sustainability rating as a composite indicator meant to nudge operators toward long-term sustainability of the orbital environment</w:t>
      </w:r>
      <w:r>
        <w:t xml:space="preserve"> </w:t>
      </w:r>
      <w:hyperlink w:anchor="ref-18">
        <w:r>
          <w:rPr>
            <w:rStyle w:val="Hyperlink"/>
          </w:rPr>
          <w:t xml:space="preserve">[18]</w:t>
        </w:r>
      </w:hyperlink>
      <w:r>
        <w:t xml:space="preserve">. Cirkovic and Wood put forward a plan for folding planetary boundaries into sustainable space exploration through an earth-outer space system design framework</w:t>
      </w:r>
      <w:r>
        <w:t xml:space="preserve"> </w:t>
      </w:r>
      <w:hyperlink w:anchor="ref-23">
        <w:r>
          <w:rPr>
            <w:rStyle w:val="Hyperlink"/>
          </w:rPr>
          <w:t xml:space="preserve">[23]</w:t>
        </w:r>
      </w:hyperlink>
      <w:r>
        <w:t xml:space="preserve">, stretching the carrying-capacity logic out of orbital mechanics and into an institutional and ecological frame. These contributions bear on the argument because they fix the policy stakes of the detection problem: a detector earns its keep precisely because operators and regulators need an observable that lines up with the sustainability and resilience criteria these frameworks operationalize.</w:t>
      </w:r>
    </w:p>
    <w:bookmarkEnd w:id="69"/>
    <w:bookmarkStart w:id="70" w:name="X41ea47b27642a99dbc84dbda55fc80903bd448f"/>
    <w:p>
      <w:pPr>
        <w:pStyle w:val="Heading3"/>
        <w:spacing w:line="480" w:lineRule="auto"/>
      </w:pPr>
      <w:r>
        <w:t xml:space="preserve">2.2.3 Hypervelocity Fragmentation and the Breakup Model Tradition</w:t>
      </w:r>
    </w:p>
    <w:p>
      <w:pPr>
        <w:pStyle w:val="FirstParagraph"/>
        <w:spacing w:line="480" w:lineRule="auto"/>
      </w:pPr>
      <w:r>
        <w:t xml:space="preserve">What actually happens when objects break up is the subject of a third tributary of the technical literature. The NASA Standard Breakup Model and its successors, gathered in the dissertation pool through the NASA Orbital Debris Program Office tradition and the</w:t>
      </w:r>
      <w:r>
        <w:t xml:space="preserve"> </w:t>
      </w:r>
      <w:r>
        <w:rPr>
          <w:i/>
          <w:iCs/>
        </w:rPr>
        <w:t xml:space="preserve">History of On-Orbit Satellite Fragmentations</w:t>
      </w:r>
      <w:r>
        <w:t xml:space="preserve"> </w:t>
      </w:r>
      <w:r>
        <w:t xml:space="preserve">compendium</w:t>
      </w:r>
      <w:r>
        <w:t xml:space="preserve"> </w:t>
      </w:r>
      <w:hyperlink w:anchor="ref-6">
        <w:r>
          <w:rPr>
            <w:rStyle w:val="Hyperlink"/>
          </w:rPr>
          <w:t xml:space="preserve">[6]</w:t>
        </w:r>
      </w:hyperlink>
      <w:r>
        <w:t xml:space="preserve">, render the number and size distribution of fragments born of a catastrophic collision as a power law in characteristic length, calibrated against ground-based hypervelocity experiments. That tradition hands over the physical predictions any cross-event regression of cataloged fragment counts on event properties has to be benchmarked against, and it is the predicate of Paper 1 in this dissertation.</w:t>
      </w:r>
    </w:p>
    <w:p>
      <w:pPr>
        <w:pStyle w:val="BodyText"/>
        <w:spacing w:line="480" w:lineRule="auto"/>
        <w:ind w:firstLine="720"/>
      </w:pPr>
      <w:r>
        <w:t xml:space="preserve">The experimental footing keeps getting firmer. Rossi, Fabri, and Olivieri parse submillimetre fragments thrown off by high-velocity impacts of a picosatellite mock-up</w:t>
      </w:r>
      <w:r>
        <w:t xml:space="preserve"> </w:t>
      </w:r>
      <w:hyperlink w:anchor="ref-4">
        <w:r>
          <w:rPr>
            <w:rStyle w:val="Hyperlink"/>
          </w:rPr>
          <w:t xml:space="preserve">[4]</w:t>
        </w:r>
      </w:hyperlink>
      <w:r>
        <w:t xml:space="preserve">, pushing the empirical fragment-size characterization down into the sub-trackable tail that catalogs cannot resolve. Their results tell on the detection program two ways. They confirm that the trackable band is a censored slice of a far larger and physically active fragment population, so a detector built on the catalog watches only an upper cut of the relevant dynamics. And they sharpen the predicted link between impact energy and the count distribution of fragments at each size, which the cross-event regression of Paper 1 leans on as the theoretical anchor against which the binary collision indicator and the parent-mass term get read.</w:t>
      </w:r>
    </w:p>
    <w:bookmarkEnd w:id="70"/>
    <w:bookmarkStart w:id="71" w:name="the-empirical-record-of-major-breakups"/>
    <w:p>
      <w:pPr>
        <w:pStyle w:val="Heading3"/>
        <w:spacing w:line="480" w:lineRule="auto"/>
      </w:pPr>
      <w:r>
        <w:t xml:space="preserve">2.2.4 The Empirical Record of Major Breakups</w:t>
      </w:r>
    </w:p>
    <w:p>
      <w:pPr>
        <w:pStyle w:val="FirstParagraph"/>
        <w:spacing w:line="480" w:lineRule="auto"/>
      </w:pPr>
      <w:r>
        <w:t xml:space="preserve">Any cascade detector has to draw on an empirical record spread unevenly across event types and epochs. Pardini and Anselmo furnish the most comprehensive recent population-scale survey, weighing the impact of space activities in low Earth orbit and setting out the band-by-band spread of fragments and the residence times of fragment clouds from the major events of the catalog era</w:t>
      </w:r>
      <w:r>
        <w:t xml:space="preserve"> </w:t>
      </w:r>
      <w:hyperlink w:anchor="ref-7">
        <w:r>
          <w:rPr>
            <w:rStyle w:val="Hyperlink"/>
          </w:rPr>
          <w:t xml:space="preserve">[7]</w:t>
        </w:r>
      </w:hyperlink>
      <w:r>
        <w:t xml:space="preserve">,</w:t>
      </w:r>
      <w:r>
        <w:t xml:space="preserve"> </w:t>
      </w:r>
      <w:hyperlink w:anchor="ref-17">
        <w:r>
          <w:rPr>
            <w:rStyle w:val="Hyperlink"/>
          </w:rPr>
          <w:t xml:space="preserve">[17]</w:t>
        </w:r>
      </w:hyperlink>
      <w:r>
        <w:t xml:space="preserve">. Their read on the short-term effects of the Cosmos 1408 fragmentation on neighboring inhabited space stations and large constellations</w:t>
      </w:r>
      <w:r>
        <w:t xml:space="preserve"> </w:t>
      </w:r>
      <w:hyperlink w:anchor="ref-19">
        <w:r>
          <w:rPr>
            <w:rStyle w:val="Hyperlink"/>
          </w:rPr>
          <w:t xml:space="preserve">[19]</w:t>
        </w:r>
      </w:hyperlink>
      <w:r>
        <w:t xml:space="preserve"> </w:t>
      </w:r>
      <w:r>
        <w:t xml:space="preserve">adds a high-resolution case study of one of the most consequential recent collisional events, showing how a single anti-satellite test throws off fragments whose conjunction implications ripple across multiple bands and operator portfolios. Kastinen, Vierinen, Grydeland, and Kero add an independent observational characterization of the same event, using radar beam-parks to characterize the Kosmos-1408 fragmentation</w:t>
      </w:r>
      <w:r>
        <w:t xml:space="preserve"> </w:t>
      </w:r>
      <w:hyperlink w:anchor="ref-21">
        <w:r>
          <w:rPr>
            <w:rStyle w:val="Hyperlink"/>
          </w:rPr>
          <w:t xml:space="preserve">[21]</w:t>
        </w:r>
      </w:hyperlink>
      <w:r>
        <w:t xml:space="preserve">, backing the population survey with a sensor-level account of how the cloud was actually detected and tracked.</w:t>
      </w:r>
    </w:p>
    <w:p>
      <w:pPr>
        <w:pStyle w:val="BodyText"/>
        <w:spacing w:line="480" w:lineRule="auto"/>
        <w:ind w:firstLine="720"/>
      </w:pPr>
      <w:r>
        <w:t xml:space="preserve">Three ways these case studies bear on the detection question stand out. They ground the rates at which trackable fragments land in specific bands, handing over the empirical magnitudes any fragment-generation series has to be weighed against. They document the lag between an event and the cataloging of its fragments, which sets the temporal resolution of any rolling-window detector. And they show that the spatial reach of a single event runs well past the parent’s altitude, so band-level analyses have to make room for cross-band leakage.</w:t>
      </w:r>
    </w:p>
    <w:p>
      <w:pPr>
        <w:pStyle w:val="BodyText"/>
        <w:spacing w:line="480" w:lineRule="auto"/>
        <w:ind w:firstLine="720"/>
      </w:pPr>
      <w:r>
        <w:t xml:space="preserve">Pavy and colleagues supply a complementary observational contribution, reporting rapid tracking and cataloguing of an in-orbit fragmentation, the Intelsat 33E case, using three telescopes</w:t>
      </w:r>
      <w:r>
        <w:t xml:space="preserve"> </w:t>
      </w:r>
      <w:hyperlink w:anchor="ref-11">
        <w:r>
          <w:rPr>
            <w:rStyle w:val="Hyperlink"/>
          </w:rPr>
          <w:t xml:space="preserve">[11]</w:t>
        </w:r>
      </w:hyperlink>
      <w:r>
        <w:t xml:space="preserve">. Their work shows that the lag between event and catalog entry can be squeezed down with coordinated sensor networks, which bears on the temporal granularity of fragment-generation series.</w:t>
      </w:r>
    </w:p>
    <w:bookmarkEnd w:id="71"/>
    <w:bookmarkStart w:id="72" w:name="X2be9ff3f5c1b09ecbd5f769a1ba315d4dce41a5"/>
    <w:p>
      <w:pPr>
        <w:pStyle w:val="Heading3"/>
        <w:spacing w:line="480" w:lineRule="auto"/>
      </w:pPr>
      <w:r>
        <w:t xml:space="preserve">2.2.5 Sensors, Catalog Maintenance, and the Sub-Trackable Population</w:t>
      </w:r>
    </w:p>
    <w:p>
      <w:pPr>
        <w:pStyle w:val="FirstParagraph"/>
        <w:spacing w:line="480" w:lineRule="auto"/>
      </w:pPr>
      <w:r>
        <w:t xml:space="preserve">Whatever detector reads the catalog takes on the sensitivity and completeness of the catalog. Several contributions in the dissertation pool speak to the sensor side. Shell puts a number on the detection rate of uncataloged debris objects in the GEO regime using GEO-to-GEO optical sensors</w:t>
      </w:r>
      <w:r>
        <w:t xml:space="preserve"> </w:t>
      </w:r>
      <w:hyperlink w:anchor="ref-13">
        <w:r>
          <w:rPr>
            <w:rStyle w:val="Hyperlink"/>
          </w:rPr>
          <w:t xml:space="preserve">[13]</w:t>
        </w:r>
      </w:hyperlink>
      <w:r>
        <w:t xml:space="preserve">; the methodological lesson carries over to LEO, namely that the cataloged population is a sensitivity-weighted slice of the true population, and that any inference on the trend in cataloged counts has to reckon with shifts in sensor sensitivity over the observation window. Bucklew, Dodd, Drakes, and Kocak look into soliton-soliton interactions as a way to detect sub-centimeter orbital debris</w:t>
      </w:r>
      <w:r>
        <w:t xml:space="preserve"> </w:t>
      </w:r>
      <w:hyperlink w:anchor="ref-14">
        <w:r>
          <w:rPr>
            <w:rStyle w:val="Hyperlink"/>
          </w:rPr>
          <w:t xml:space="preserve">[14]</w:t>
        </w:r>
      </w:hyperlink>
      <w:r>
        <w:t xml:space="preserve">, carrying the sensor literature down into the sub-trackable regime catalogs cannot resolve and reinforcing the central caveat that the detector of this dissertation, run on the cataloged band, watches a censored slice of the underlying process.</w:t>
      </w:r>
    </w:p>
    <w:p>
      <w:pPr>
        <w:pStyle w:val="BodyText"/>
        <w:spacing w:line="480" w:lineRule="auto"/>
        <w:ind w:firstLine="720"/>
      </w:pPr>
      <w:r>
        <w:t xml:space="preserve">Pastor, Escribano-Blázquez, Sanjurjo-Rivo, and Escobar take up the upstream problem of fragmentation detection itself via track-to-track association of optical observations</w:t>
      </w:r>
      <w:r>
        <w:t xml:space="preserve"> </w:t>
      </w:r>
      <w:hyperlink w:anchor="ref-16">
        <w:r>
          <w:rPr>
            <w:rStyle w:val="Hyperlink"/>
          </w:rPr>
          <w:t xml:space="preserve">[16]</w:t>
        </w:r>
      </w:hyperlink>
      <w:r>
        <w:t xml:space="preserve">, setting down the data-association procedures by which new fragments get recognized and pinned to parent events. Their work bears directly on the attribution step of the detector, in which newly cataloged objects have to be sorted as launch-associated or fragmentation-associated before any source-side rate can be estimated. Pirovano and Armellin take up the kindred problem of detection and estimation of spacecraft maneuvers for catalog maintenance</w:t>
      </w:r>
      <w:r>
        <w:t xml:space="preserve"> </w:t>
      </w:r>
      <w:hyperlink w:anchor="ref-20">
        <w:r>
          <w:rPr>
            <w:rStyle w:val="Hyperlink"/>
          </w:rPr>
          <w:t xml:space="preserve">[20]</w:t>
        </w:r>
      </w:hyperlink>
      <w:r>
        <w:t xml:space="preserve">, establishing that catalog-maintenance procedures inject non-physical wobble into observed object states that has to be controlled when the catalog is read as a time series.</w:t>
      </w:r>
    </w:p>
    <w:p>
      <w:pPr>
        <w:pStyle w:val="BodyText"/>
        <w:spacing w:line="480" w:lineRule="auto"/>
        <w:ind w:firstLine="720"/>
      </w:pPr>
      <w:r>
        <w:t xml:space="preserve">Among the boldest tries at simulating the cascade phenomenon itself is the brute-force modeling of the Kessler syndrome by Nikolaev and colleagues at Lawrence Livermore National Laboratory</w:t>
      </w:r>
      <w:r>
        <w:t xml:space="preserve"> </w:t>
      </w:r>
      <w:hyperlink w:anchor="ref-15">
        <w:r>
          <w:rPr>
            <w:rStyle w:val="Hyperlink"/>
          </w:rPr>
          <w:t xml:space="preserve">[15]</w:t>
        </w:r>
      </w:hyperlink>
      <w:r>
        <w:t xml:space="preserve">, who put high-performance computation to work evolving a fully resolved population under collisional dynamics. Their results back the dynamical-systems picture of</w:t>
      </w:r>
      <w:r>
        <w:t xml:space="preserve"> </w:t>
      </w:r>
      <w:hyperlink w:anchor="ref-1">
        <w:r>
          <w:rPr>
            <w:rStyle w:val="Hyperlink"/>
          </w:rPr>
          <w:t xml:space="preserve">[1]</w:t>
        </w:r>
      </w:hyperlink>
      <w:r>
        <w:t xml:space="preserve"> </w:t>
      </w:r>
      <w:r>
        <w:t xml:space="preserve">and</w:t>
      </w:r>
      <w:r>
        <w:t xml:space="preserve"> </w:t>
      </w:r>
      <w:hyperlink w:anchor="ref-2">
        <w:r>
          <w:rPr>
            <w:rStyle w:val="Hyperlink"/>
          </w:rPr>
          <w:t xml:space="preserve">[2]</w:t>
        </w:r>
      </w:hyperlink>
      <w:r>
        <w:t xml:space="preserve"> </w:t>
      </w:r>
      <w:r>
        <w:t xml:space="preserve">at far higher computational fidelity and hand over a useful ceiling on what prospective modeling can reveal short of observational detection.</w:t>
      </w:r>
    </w:p>
    <w:bookmarkEnd w:id="72"/>
    <w:bookmarkStart w:id="73" w:name="operational-mitigation"/>
    <w:p>
      <w:pPr>
        <w:pStyle w:val="Heading3"/>
        <w:spacing w:line="480" w:lineRule="auto"/>
      </w:pPr>
      <w:r>
        <w:t xml:space="preserve">2.2.6 Operational Mitigation</w:t>
      </w:r>
    </w:p>
    <w:p>
      <w:pPr>
        <w:pStyle w:val="FirstParagraph"/>
        <w:spacing w:line="480" w:lineRule="auto"/>
      </w:pPr>
      <w:r>
        <w:t xml:space="preserve">Bonnal and colleagues review just-in-time collision avoidance as an operational response to conjunctions in a fragmenting environment</w:t>
      </w:r>
      <w:r>
        <w:t xml:space="preserve"> </w:t>
      </w:r>
      <w:hyperlink w:anchor="ref-24">
        <w:r>
          <w:rPr>
            <w:rStyle w:val="Hyperlink"/>
          </w:rPr>
          <w:t xml:space="preserve">[24]</w:t>
        </w:r>
      </w:hyperlink>
      <w:r>
        <w:t xml:space="preserve">. Their review tells less on the source or sink terms than on the policy stakes of the detection question. A detector that flags a band’s approach to self-sustaining growth is operationally consequential only where it sets off actions of the kind catalogued in</w:t>
      </w:r>
      <w:r>
        <w:t xml:space="preserve"> </w:t>
      </w:r>
      <w:hyperlink w:anchor="ref-24">
        <w:r>
          <w:rPr>
            <w:rStyle w:val="Hyperlink"/>
          </w:rPr>
          <w:t xml:space="preserve">[24]</w:t>
        </w:r>
      </w:hyperlink>
      <w:r>
        <w:t xml:space="preserve">, and the latency budgets of those actions set the worth of any pre-transition warning.</w:t>
      </w:r>
    </w:p>
    <w:bookmarkEnd w:id="73"/>
    <w:bookmarkEnd w:id="74"/>
    <w:bookmarkStart w:id="75" w:name="X9d7c778406040132e95309f1144e343691ca22b"/>
    <w:p>
      <w:pPr>
        <w:pStyle w:val="Heading2"/>
        <w:spacing w:line="480" w:lineRule="auto"/>
      </w:pPr>
      <w:r>
        <w:t xml:space="preserve">2.3 The Empirical Record of Removal: Atmospheric Drag and Decay Time</w:t>
      </w:r>
    </w:p>
    <w:p>
      <w:pPr>
        <w:pStyle w:val="FirstParagraph"/>
        <w:spacing w:line="480" w:lineRule="auto"/>
      </w:pPr>
      <w:r>
        <w:t xml:space="preserve">Its own literature covers the sink side of the source-and-sink balance, and the dissertation pool takes it up through several contributions. Niccolai and Mengali work out a decay time estimate for LEO spacecraft, integrating the drag equation over the operationally relevant span of altitudes and area-to-mass ratios and benchmarking the resulting lifetimes against observed reentries</w:t>
      </w:r>
      <w:r>
        <w:t xml:space="preserve"> </w:t>
      </w:r>
      <w:hyperlink w:anchor="ref-8">
        <w:r>
          <w:rPr>
            <w:rStyle w:val="Hyperlink"/>
          </w:rPr>
          <w:t xml:space="preserve">[8]</w:t>
        </w:r>
      </w:hyperlink>
      <w:r>
        <w:t xml:space="preserve">. Their work hands over the closed-form expectations that make the Cox proportional-hazards estimates of Paper 2 interpretable: a decline of decay hazard with altitude is no arbitrary statistical regularity but the direct upshot of the King-Hele drag integration that</w:t>
      </w:r>
      <w:r>
        <w:t xml:space="preserve"> </w:t>
      </w:r>
      <w:hyperlink w:anchor="ref-8">
        <w:r>
          <w:rPr>
            <w:rStyle w:val="Hyperlink"/>
          </w:rPr>
          <w:t xml:space="preserve">[8]</w:t>
        </w:r>
      </w:hyperlink>
      <w:r>
        <w:t xml:space="preserve"> </w:t>
      </w:r>
      <w:r>
        <w:t xml:space="preserve">sets down.</w:t>
      </w:r>
    </w:p>
    <w:p>
      <w:pPr>
        <w:pStyle w:val="BodyText"/>
        <w:spacing w:line="480" w:lineRule="auto"/>
        <w:ind w:firstLine="720"/>
      </w:pPr>
      <w:r>
        <w:t xml:space="preserve">Pardini and Anselmo’s population-scale survey</w:t>
      </w:r>
      <w:r>
        <w:t xml:space="preserve"> </w:t>
      </w:r>
      <w:hyperlink w:anchor="ref-7">
        <w:r>
          <w:rPr>
            <w:rStyle w:val="Hyperlink"/>
          </w:rPr>
          <w:t xml:space="preserve">[7]</w:t>
        </w:r>
      </w:hyperlink>
      <w:r>
        <w:t xml:space="preserve">,</w:t>
      </w:r>
      <w:r>
        <w:t xml:space="preserve"> </w:t>
      </w:r>
      <w:hyperlink w:anchor="ref-17">
        <w:r>
          <w:rPr>
            <w:rStyle w:val="Hyperlink"/>
          </w:rPr>
          <w:t xml:space="preserve">[17]</w:t>
        </w:r>
      </w:hyperlink>
      <w:r>
        <w:t xml:space="preserve"> </w:t>
      </w:r>
      <w:r>
        <w:t xml:space="preserve">rounds this out with observed residence times of fragment clouds from the major collisional events. Their reported decadal-to-centennial persistence in bands above roughly 700 to 800 kilometers fixes the band-level magnitudes any Cox-form hazard estimate has to agree with to hold up physically. Taken together,</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 and</w:t>
      </w:r>
      <w:r>
        <w:t xml:space="preserve"> </w:t>
      </w:r>
      <w:hyperlink w:anchor="ref-17">
        <w:r>
          <w:rPr>
            <w:rStyle w:val="Hyperlink"/>
          </w:rPr>
          <w:t xml:space="preserve">[17]</w:t>
        </w:r>
      </w:hyperlink>
      <w:r>
        <w:t xml:space="preserve"> </w:t>
      </w:r>
      <w:r>
        <w:t xml:space="preserve">set the empirical baseline for the sink term: drag falls quasi-exponentially with altitude, residence times rise to match, and the band-by-band gradient runs steep enough to make sustainability a band-specific rather than a global property.</w:t>
      </w:r>
    </w:p>
    <w:bookmarkEnd w:id="75"/>
    <w:bookmarkStart w:id="80" w:name="Xb600ea98f02deec9cd19d97af758e9728f179ed"/>
    <w:p>
      <w:pPr>
        <w:pStyle w:val="Heading2"/>
        <w:spacing w:line="480" w:lineRule="auto"/>
      </w:pPr>
      <w:r>
        <w:t xml:space="preserve">2.4 The Methodology Literature: Cliometric and Econometric Tools</w:t>
      </w:r>
    </w:p>
    <w:p>
      <w:pPr>
        <w:pStyle w:val="FirstParagraph"/>
        <w:spacing w:line="480" w:lineRule="auto"/>
      </w:pPr>
      <w:r>
        <w:t xml:space="preserve">Its methodological apparatus this dissertation borrows from a tradition outside the technical debris literature. The reference pool shows this through the methodological choices baked into its empirical contributions rather than through standalone methodological references, and the review to match fuses the methodological commitments voiced across the pool.</w:t>
      </w:r>
    </w:p>
    <w:bookmarkStart w:id="76" w:name="survival-analysis-on-censored-panels"/>
    <w:p>
      <w:pPr>
        <w:pStyle w:val="Heading3"/>
        <w:spacing w:line="480" w:lineRule="auto"/>
      </w:pPr>
      <w:r>
        <w:t xml:space="preserve">2.4.1 Survival Analysis on Censored Panels</w:t>
      </w:r>
    </w:p>
    <w:p>
      <w:pPr>
        <w:pStyle w:val="FirstParagraph"/>
        <w:spacing w:line="480" w:lineRule="auto"/>
      </w:pPr>
      <w:r>
        <w:t xml:space="preserve">Paper 2 leans on the Cox proportional-hazards approach, the canonical survival-analysis tool for panels in which a large share of observations are right-censored. Its fit here is no methodological whim. The sample of resident space objects on which Paper 2 estimates the altitude-band hazard ratio is of necessity a blend of decayed objects, whose lifetimes are observed, and on-orbit objects, whose lifetimes are censored at the catalog snapshot. Throwing out the censored cases would tilt the sample toward fast-decaying low-band objects and would flatten the altitude gradient; reading censored ages as completed lifetimes would tilt it the other way. The Cox form takes the censored cases in stride without committing to a parametric baseline hazard, which matters because the closed-form decay integrations of</w:t>
      </w:r>
      <w:r>
        <w:t xml:space="preserve"> </w:t>
      </w:r>
      <w:hyperlink w:anchor="ref-8">
        <w:r>
          <w:rPr>
            <w:rStyle w:val="Hyperlink"/>
          </w:rPr>
          <w:t xml:space="preserve">[8]</w:t>
        </w:r>
      </w:hyperlink>
      <w:r>
        <w:t xml:space="preserve"> </w:t>
      </w:r>
      <w:r>
        <w:t xml:space="preserve">point to a baseline hazard whose dependence on altitude runs too steep and too modulated by area-to-mass for any standard parametric lifetime distribution to hold.</w:t>
      </w:r>
    </w:p>
    <w:p>
      <w:pPr>
        <w:pStyle w:val="BodyText"/>
        <w:spacing w:line="480" w:lineRule="auto"/>
        <w:ind w:firstLine="720"/>
      </w:pPr>
      <w:r>
        <w:t xml:space="preserve">This methodological choice ties to the technical literature cleanly. The hazard ratio of 0.584 per hundred kilometers reported in Paper 2 is the empirical counterpart of the prospective rates assumed in</w:t>
      </w:r>
      <w:r>
        <w:t xml:space="preserve"> </w:t>
      </w:r>
      <w:hyperlink w:anchor="ref-1">
        <w:r>
          <w:rPr>
            <w:rStyle w:val="Hyperlink"/>
          </w:rPr>
          <w:t xml:space="preserve">[1]</w:t>
        </w:r>
      </w:hyperlink>
      <w:r>
        <w:t xml:space="preserve"> </w:t>
      </w:r>
      <w:r>
        <w:t xml:space="preserve">and</w:t>
      </w:r>
      <w:r>
        <w:t xml:space="preserve"> </w:t>
      </w:r>
      <w:hyperlink w:anchor="ref-2">
        <w:r>
          <w:rPr>
            <w:rStyle w:val="Hyperlink"/>
          </w:rPr>
          <w:t xml:space="preserve">[2]</w:t>
        </w:r>
      </w:hyperlink>
      <w:r>
        <w:t xml:space="preserve">, and it lines up in sign and order of magnitude with the closed-form expectations of</w:t>
      </w:r>
      <w:r>
        <w:t xml:space="preserve"> </w:t>
      </w:r>
      <w:hyperlink w:anchor="ref-8">
        <w:r>
          <w:rPr>
            <w:rStyle w:val="Hyperlink"/>
          </w:rPr>
          <w:t xml:space="preserve">[8]</w:t>
        </w:r>
      </w:hyperlink>
      <w:r>
        <w:t xml:space="preserve"> </w:t>
      </w:r>
      <w:r>
        <w:t xml:space="preserve">and the observed persistence times reported in</w:t>
      </w:r>
      <w:r>
        <w:t xml:space="preserve"> </w:t>
      </w:r>
      <w:hyperlink w:anchor="ref-3">
        <w:r>
          <w:rPr>
            <w:rStyle w:val="Hyperlink"/>
          </w:rPr>
          <w:t xml:space="preserve">[3]</w:t>
        </w:r>
      </w:hyperlink>
      <w:r>
        <w:t xml:space="preserve">,</w:t>
      </w:r>
      <w:r>
        <w:t xml:space="preserve"> </w:t>
      </w:r>
      <w:hyperlink w:anchor="ref-7">
        <w:r>
          <w:rPr>
            <w:rStyle w:val="Hyperlink"/>
          </w:rPr>
          <w:t xml:space="preserve">[7]</w:t>
        </w:r>
      </w:hyperlink>
      <w:r>
        <w:t xml:space="preserve">,</w:t>
      </w:r>
      <w:r>
        <w:t xml:space="preserve"> </w:t>
      </w:r>
      <w:hyperlink w:anchor="ref-17">
        <w:r>
          <w:rPr>
            <w:rStyle w:val="Hyperlink"/>
          </w:rPr>
          <w:t xml:space="preserve">[17]</w:t>
        </w:r>
      </w:hyperlink>
      <w:r>
        <w:t xml:space="preserve">, and</w:t>
      </w:r>
      <w:r>
        <w:t xml:space="preserve"> </w:t>
      </w:r>
      <w:hyperlink w:anchor="ref-19">
        <w:r>
          <w:rPr>
            <w:rStyle w:val="Hyperlink"/>
          </w:rPr>
          <w:t xml:space="preserve">[19]</w:t>
        </w:r>
      </w:hyperlink>
      <w:r>
        <w:t xml:space="preserve">. Estimating the sink rather than assuming it is the methodological pivot that turns the dynamical-systems framework of</w:t>
      </w:r>
      <w:r>
        <w:t xml:space="preserve"> </w:t>
      </w:r>
      <w:hyperlink w:anchor="ref-1">
        <w:r>
          <w:rPr>
            <w:rStyle w:val="Hyperlink"/>
          </w:rPr>
          <w:t xml:space="preserve">[1]</w:t>
        </w:r>
      </w:hyperlink>
      <w:r>
        <w:t xml:space="preserve"> </w:t>
      </w:r>
      <w:r>
        <w:t xml:space="preserve">from a forward-integration exercise into a calibrated denominator for the dissertation’s tipping-point ratio.</w:t>
      </w:r>
    </w:p>
    <w:bookmarkEnd w:id="76"/>
    <w:bookmarkStart w:id="77" w:name="Xd84314071e81e52f6df92f8ee3d17a36c9b9c94"/>
    <w:p>
      <w:pPr>
        <w:pStyle w:val="Heading3"/>
        <w:spacing w:line="480" w:lineRule="auto"/>
      </w:pPr>
      <w:r>
        <w:t xml:space="preserve">2.4.2 Cross-Sectional Regression on Documented Events</w:t>
      </w:r>
    </w:p>
    <w:p>
      <w:pPr>
        <w:pStyle w:val="FirstParagraph"/>
        <w:spacing w:line="480" w:lineRule="auto"/>
      </w:pPr>
      <w:r>
        <w:t xml:space="preserve">A second methodological tool arrives with Paper 1’s cross-event regression, the log-log specification with a binary policy or treatment variable estimated by ordinary least squares with heteroskedasticity-consistent standard errors. Entering cataloged fragment count and parent mass in logarithms is theory-driven, following the power-law form of the breakup model in</w:t>
      </w:r>
      <w:r>
        <w:t xml:space="preserve"> </w:t>
      </w:r>
      <w:hyperlink w:anchor="ref-6">
        <w:r>
          <w:rPr>
            <w:rStyle w:val="Hyperlink"/>
          </w:rPr>
          <w:t xml:space="preserve">[6]</w:t>
        </w:r>
      </w:hyperlink>
      <w:r>
        <w:t xml:space="preserve">. Reaching for HC1 standard errors is driven by the observed dispersion of the dependent variable, which fans out markedly across event energies, a pattern itself in keeping with the energy-dependent fragment-yield predictions of</w:t>
      </w:r>
      <w:r>
        <w:t xml:space="preserve"> </w:t>
      </w:r>
      <w:hyperlink w:anchor="ref-4">
        <w:r>
          <w:rPr>
            <w:rStyle w:val="Hyperlink"/>
          </w:rPr>
          <w:t xml:space="preserve">[4]</w:t>
        </w:r>
      </w:hyperlink>
      <w:r>
        <w:t xml:space="preserve"> </w:t>
      </w:r>
      <w:r>
        <w:t xml:space="preserve">and</w:t>
      </w:r>
      <w:r>
        <w:t xml:space="preserve"> </w:t>
      </w:r>
      <w:hyperlink w:anchor="ref-6">
        <w:r>
          <w:rPr>
            <w:rStyle w:val="Hyperlink"/>
          </w:rPr>
          <w:t xml:space="preserve">[6]</w:t>
        </w:r>
      </w:hyperlink>
      <w:r>
        <w:t xml:space="preserve">. The collision indicator renders operational the central theoretical prediction of the dynamical-systems literature</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 </w:t>
      </w:r>
      <w:r>
        <w:t xml:space="preserve">that the collisional production term, not the explosive term, is the channel through which a cascade can hold itself up.</w:t>
      </w:r>
    </w:p>
    <w:p>
      <w:pPr>
        <w:pStyle w:val="BodyText"/>
        <w:spacing w:line="480" w:lineRule="auto"/>
        <w:ind w:firstLine="720"/>
      </w:pPr>
      <w:r>
        <w:t xml:space="preserve">A cross-sectional design fits here because each documented breakup is a distinct event with its own parent and cause, and there is no within-unit time dimension to lean on. The methodology literature would entertain a hierarchical specification if event types nested within parent classes, but the slim sample of twenty-one events documented in</w:t>
      </w:r>
      <w:r>
        <w:t xml:space="preserve"> </w:t>
      </w:r>
      <w:hyperlink w:anchor="ref-6">
        <w:r>
          <w:rPr>
            <w:rStyle w:val="Hyperlink"/>
          </w:rPr>
          <w:t xml:space="preserve">[6]</w:t>
        </w:r>
      </w:hyperlink>
      <w:r>
        <w:t xml:space="preserve"> </w:t>
      </w:r>
      <w:r>
        <w:t xml:space="preserve">together with the</w:t>
      </w:r>
      <w:r>
        <w:t xml:space="preserve"> </w:t>
      </w:r>
      <w:r>
        <w:rPr>
          <w:i/>
          <w:iCs/>
        </w:rPr>
        <w:t xml:space="preserve">Orbital Debris Quarterly News</w:t>
      </w:r>
      <w:r>
        <w:t xml:space="preserve"> </w:t>
      </w:r>
      <w:r>
        <w:t xml:space="preserve">would not carry such a model.</w:t>
      </w:r>
    </w:p>
    <w:bookmarkEnd w:id="77"/>
    <w:bookmarkStart w:id="78" w:name="early-warning-indicators-on-time-series"/>
    <w:p>
      <w:pPr>
        <w:pStyle w:val="Heading3"/>
        <w:spacing w:line="480" w:lineRule="auto"/>
      </w:pPr>
      <w:r>
        <w:t xml:space="preserve">2.4.3 Early-Warning Indicators on Time Series</w:t>
      </w:r>
    </w:p>
    <w:p>
      <w:pPr>
        <w:pStyle w:val="FirstParagraph"/>
        <w:spacing w:line="480" w:lineRule="auto"/>
      </w:pPr>
      <w:r>
        <w:t xml:space="preserve">Standing most central to the dissertation, and to Chapter 3, is the methodological commitment to early-warning indicators on time series. The procedure rests on the dynamical-systems result that, near a bifurcation, the system’s return from perturbation slows, leaving an observable rise in the lag-one autocorrelation and the variance of the residualized time series. Inside the dissertation reference pool, the methodological warrant for reading the LEO population as a system this machinery applies to comes from</w:t>
      </w:r>
      <w:r>
        <w:t xml:space="preserve"> </w:t>
      </w:r>
      <w:hyperlink w:anchor="ref-1">
        <w:r>
          <w:rPr>
            <w:rStyle w:val="Hyperlink"/>
          </w:rPr>
          <w:t xml:space="preserve">[1]</w:t>
        </w:r>
      </w:hyperlink>
      <w:r>
        <w:t xml:space="preserve"> </w:t>
      </w:r>
      <w:r>
        <w:t xml:space="preserve">and</w:t>
      </w:r>
      <w:r>
        <w:t xml:space="preserve"> </w:t>
      </w:r>
      <w:hyperlink w:anchor="ref-12">
        <w:r>
          <w:rPr>
            <w:rStyle w:val="Hyperlink"/>
          </w:rPr>
          <w:t xml:space="preserve">[12]</w:t>
        </w:r>
      </w:hyperlink>
      <w:r>
        <w:t xml:space="preserve">, which set the bifurcation structure and the shell-level emergence of cascade potential, and from</w:t>
      </w:r>
      <w:r>
        <w:t xml:space="preserve"> </w:t>
      </w:r>
      <w:hyperlink w:anchor="ref-3">
        <w:r>
          <w:rPr>
            <w:rStyle w:val="Hyperlink"/>
          </w:rPr>
          <w:t xml:space="preserve">[3]</w:t>
        </w:r>
      </w:hyperlink>
      <w:r>
        <w:t xml:space="preserve">,</w:t>
      </w:r>
      <w:r>
        <w:t xml:space="preserve"> </w:t>
      </w:r>
      <w:hyperlink w:anchor="ref-5">
        <w:r>
          <w:rPr>
            <w:rStyle w:val="Hyperlink"/>
          </w:rPr>
          <w:t xml:space="preserve">[5]</w:t>
        </w:r>
      </w:hyperlink>
      <w:r>
        <w:t xml:space="preserve">,</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 whose carrying-capacity formulations show the relevant state variable to be band-level rather than global. The detrending step the detector calls for is in turn methodologically backed by the observational record on launch cadence, drag forcing, and catalog maintenance held in</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17">
        <w:r>
          <w:rPr>
            <w:rStyle w:val="Hyperlink"/>
          </w:rPr>
          <w:t xml:space="preserve">[17]</w:t>
        </w:r>
      </w:hyperlink>
      <w:r>
        <w:t xml:space="preserve">,</w:t>
      </w:r>
      <w:r>
        <w:t xml:space="preserve"> </w:t>
      </w:r>
      <w:hyperlink w:anchor="ref-20">
        <w:r>
          <w:rPr>
            <w:rStyle w:val="Hyperlink"/>
          </w:rPr>
          <w:t xml:space="preserve">[20]</w:t>
        </w:r>
      </w:hyperlink>
      <w:r>
        <w:t xml:space="preserve">, which jointly map the exogenous and procedural confounders that have to be partialed out before the residual can be read as a dynamical signature.</w:t>
      </w:r>
    </w:p>
    <w:bookmarkEnd w:id="78"/>
    <w:bookmarkStart w:id="79" w:name="surrogate-based-inference"/>
    <w:p>
      <w:pPr>
        <w:pStyle w:val="Heading3"/>
        <w:spacing w:line="480" w:lineRule="auto"/>
      </w:pPr>
      <w:r>
        <w:t xml:space="preserve">2.4.4 Surrogate-Based Inference</w:t>
      </w:r>
    </w:p>
    <w:p>
      <w:pPr>
        <w:pStyle w:val="FirstParagraph"/>
        <w:spacing w:line="480" w:lineRule="auto"/>
      </w:pPr>
      <w:r>
        <w:t xml:space="preserve">A finer methodological commitment goes to inference against surrogate null distributions rather than parametric ones. The detector’s Kendall rank-correlation test on rolling indicators has to be weighed against a null distribution that keeps the residual’s short-run correlation structure while wiping out any monotone trend. The dissertation pool holds no methodological monograph on surrogate inference, yet the empirical reasonableness of the approach for catalog-derived series draws implicit support from</w:t>
      </w:r>
      <w:r>
        <w:t xml:space="preserve"> </w:t>
      </w:r>
      <w:hyperlink w:anchor="ref-11">
        <w:r>
          <w:rPr>
            <w:rStyle w:val="Hyperlink"/>
          </w:rPr>
          <w:t xml:space="preserve">[11]</w:t>
        </w:r>
      </w:hyperlink>
      <w:r>
        <w:t xml:space="preserve">,</w:t>
      </w:r>
      <w:r>
        <w:t xml:space="preserve"> </w:t>
      </w:r>
      <w:hyperlink w:anchor="ref-16">
        <w:r>
          <w:rPr>
            <w:rStyle w:val="Hyperlink"/>
          </w:rPr>
          <w:t xml:space="preserve">[16]</w:t>
        </w:r>
      </w:hyperlink>
      <w:r>
        <w:t xml:space="preserve">,</w:t>
      </w:r>
      <w:r>
        <w:t xml:space="preserve"> </w:t>
      </w:r>
      <w:hyperlink w:anchor="ref-20">
        <w:r>
          <w:rPr>
            <w:rStyle w:val="Hyperlink"/>
          </w:rPr>
          <w:t xml:space="preserve">[20]</w:t>
        </w:r>
      </w:hyperlink>
      <w:r>
        <w:t xml:space="preserve">,</w:t>
      </w:r>
      <w:r>
        <w:t xml:space="preserve"> </w:t>
      </w:r>
      <w:hyperlink w:anchor="ref-21">
        <w:r>
          <w:rPr>
            <w:rStyle w:val="Hyperlink"/>
          </w:rPr>
          <w:t xml:space="preserve">[21]</w:t>
        </w:r>
      </w:hyperlink>
      <w:r>
        <w:t xml:space="preserve">, all of which document the sort of non-stationary, autocorrelated, and procedurally noisy structures catalog-derived series show and that any inferential procedure has to take in stride.</w:t>
      </w:r>
    </w:p>
    <w:bookmarkEnd w:id="79"/>
    <w:bookmarkEnd w:id="80"/>
    <w:bookmarkStart w:id="86" w:name="synthesis-two-literatures-one-gap"/>
    <w:p>
      <w:pPr>
        <w:pStyle w:val="Heading2"/>
        <w:spacing w:line="480" w:lineRule="auto"/>
      </w:pPr>
      <w:r>
        <w:t xml:space="preserve">2.5 Synthesis: Two Literatures, One Gap</w:t>
      </w:r>
    </w:p>
    <w:bookmarkStart w:id="81" w:name="Xc46ece8ed6a4de50a852a5ddc2d764e32fa11b0"/>
    <w:p>
      <w:pPr>
        <w:pStyle w:val="Heading3"/>
        <w:spacing w:line="480" w:lineRule="auto"/>
      </w:pPr>
      <w:r>
        <w:t xml:space="preserve">2.5.1 What the Domain Literature Has Established</w:t>
      </w:r>
    </w:p>
    <w:p>
      <w:pPr>
        <w:pStyle w:val="FirstParagraph"/>
        <w:spacing w:line="480" w:lineRule="auto"/>
      </w:pPr>
      <w:r>
        <w:t xml:space="preserve">Taken as a whole, the domain technical literature has settled four propositions the present work accepts as the empirical and theoretical footing of its detection program. The LEO debris environment is a dynamical system with source and sink terms whose equilibria admit a bifurcation structure under which a regime of self-sustaining collisional growth is reachable</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12">
        <w:r>
          <w:rPr>
            <w:rStyle w:val="Hyperlink"/>
          </w:rPr>
          <w:t xml:space="preserve">[12]</w:t>
        </w:r>
      </w:hyperlink>
      <w:r>
        <w:t xml:space="preserve">. The sustainable population a given band can carry is bounded and band-specific, and constellation design choices move that bound in calculable ways</w:t>
      </w:r>
      <w:r>
        <w:t xml:space="preserve"> </w:t>
      </w:r>
      <w:hyperlink w:anchor="ref-3">
        <w:r>
          <w:rPr>
            <w:rStyle w:val="Hyperlink"/>
          </w:rPr>
          <w:t xml:space="preserve">[3]</w:t>
        </w:r>
      </w:hyperlink>
      <w:r>
        <w:t xml:space="preserve">,</w:t>
      </w:r>
      <w:r>
        <w:t xml:space="preserve"> </w:t>
      </w:r>
      <w:hyperlink w:anchor="ref-5">
        <w:r>
          <w:rPr>
            <w:rStyle w:val="Hyperlink"/>
          </w:rPr>
          <w:t xml:space="preserve">[5]</w:t>
        </w:r>
      </w:hyperlink>
      <w:r>
        <w:t xml:space="preserve">,</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 The production term at the heart of any cascade is dominated by hypervelocity collisional events whose fragment-yield distributions are well characterized empirically</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 and the catalog growth on the record already bears the signature of this channel</w:t>
      </w:r>
      <w:r>
        <w:t xml:space="preserve"> </w:t>
      </w:r>
      <w:hyperlink w:anchor="ref-7">
        <w:r>
          <w:rPr>
            <w:rStyle w:val="Hyperlink"/>
          </w:rPr>
          <w:t xml:space="preserve">[7]</w:t>
        </w:r>
      </w:hyperlink>
      <w:r>
        <w:t xml:space="preserve">,</w:t>
      </w:r>
      <w:r>
        <w:t xml:space="preserve"> </w:t>
      </w:r>
      <w:hyperlink w:anchor="ref-17">
        <w:r>
          <w:rPr>
            <w:rStyle w:val="Hyperlink"/>
          </w:rPr>
          <w:t xml:space="preserve">[17]</w:t>
        </w:r>
      </w:hyperlink>
      <w:r>
        <w:t xml:space="preserve">,</w:t>
      </w:r>
      <w:r>
        <w:t xml:space="preserve"> </w:t>
      </w:r>
      <w:hyperlink w:anchor="ref-19">
        <w:r>
          <w:rPr>
            <w:rStyle w:val="Hyperlink"/>
          </w:rPr>
          <w:t xml:space="preserve">[19]</w:t>
        </w:r>
      </w:hyperlink>
      <w:r>
        <w:t xml:space="preserve">,</w:t>
      </w:r>
      <w:r>
        <w:t xml:space="preserve"> </w:t>
      </w:r>
      <w:hyperlink w:anchor="ref-21">
        <w:r>
          <w:rPr>
            <w:rStyle w:val="Hyperlink"/>
          </w:rPr>
          <w:t xml:space="preserve">[21]</w:t>
        </w:r>
      </w:hyperlink>
      <w:r>
        <w:t xml:space="preserve">. And the sink term is a steep monotonic function of altitude, with residence times climbing from years in the lowest bands to decades and centuries above roughly 700 to 800 kilometers</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17">
        <w:r>
          <w:rPr>
            <w:rStyle w:val="Hyperlink"/>
          </w:rPr>
          <w:t xml:space="preserve">[17]</w:t>
        </w:r>
      </w:hyperlink>
      <w:r>
        <w:t xml:space="preserve">.</w:t>
      </w:r>
    </w:p>
    <w:bookmarkEnd w:id="81"/>
    <w:bookmarkStart w:id="82" w:name="X393102ddd18b67c9ab38bbe311c4345b19e1a63"/>
    <w:p>
      <w:pPr>
        <w:pStyle w:val="Heading3"/>
        <w:spacing w:line="480" w:lineRule="auto"/>
      </w:pPr>
      <w:r>
        <w:t xml:space="preserve">2.5.2 What the Domain Literature Has Not Established</w:t>
      </w:r>
    </w:p>
    <w:p>
      <w:pPr>
        <w:pStyle w:val="FirstParagraph"/>
        <w:spacing w:line="480" w:lineRule="auto"/>
      </w:pPr>
      <w:r>
        <w:t xml:space="preserve">For all these foundations, three propositions any operational detection program has to take a stand on go unaddressed in the domain literature. It has not posed the question of detection of an in-progress transition from data; the dominant modeling tradition reasons forward from assumed rates</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15">
        <w:r>
          <w:rPr>
            <w:rStyle w:val="Hyperlink"/>
          </w:rPr>
          <w:t xml:space="preserve">[15]</w:t>
        </w:r>
      </w:hyperlink>
      <w:r>
        <w:t xml:space="preserve">, and the empirical case-study tradition documents events after the fact</w:t>
      </w:r>
      <w:r>
        <w:t xml:space="preserve"> </w:t>
      </w:r>
      <w:hyperlink w:anchor="ref-11">
        <w:r>
          <w:rPr>
            <w:rStyle w:val="Hyperlink"/>
          </w:rPr>
          <w:t xml:space="preserve">[11]</w:t>
        </w:r>
      </w:hyperlink>
      <w:r>
        <w:t xml:space="preserve">,</w:t>
      </w:r>
      <w:r>
        <w:t xml:space="preserve"> </w:t>
      </w:r>
      <w:hyperlink w:anchor="ref-16">
        <w:r>
          <w:rPr>
            <w:rStyle w:val="Hyperlink"/>
          </w:rPr>
          <w:t xml:space="preserve">[16]</w:t>
        </w:r>
      </w:hyperlink>
      <w:r>
        <w:t xml:space="preserve">,</w:t>
      </w:r>
      <w:r>
        <w:t xml:space="preserve"> </w:t>
      </w:r>
      <w:hyperlink w:anchor="ref-19">
        <w:r>
          <w:rPr>
            <w:rStyle w:val="Hyperlink"/>
          </w:rPr>
          <w:t xml:space="preserve">[19]</w:t>
        </w:r>
      </w:hyperlink>
      <w:r>
        <w:t xml:space="preserve">,</w:t>
      </w:r>
      <w:r>
        <w:t xml:space="preserve"> </w:t>
      </w:r>
      <w:hyperlink w:anchor="ref-20">
        <w:r>
          <w:rPr>
            <w:rStyle w:val="Hyperlink"/>
          </w:rPr>
          <w:t xml:space="preserve">[20]</w:t>
        </w:r>
      </w:hyperlink>
      <w:r>
        <w:t xml:space="preserve">,</w:t>
      </w:r>
      <w:r>
        <w:t xml:space="preserve"> </w:t>
      </w:r>
      <w:hyperlink w:anchor="ref-21">
        <w:r>
          <w:rPr>
            <w:rStyle w:val="Hyperlink"/>
          </w:rPr>
          <w:t xml:space="preserve">[21]</w:t>
        </w:r>
      </w:hyperlink>
      <w:r>
        <w:t xml:space="preserve">. It has not taken up the methodological literature on early-warning signals for critical transitions, even though the dynamical-systems characterization in</w:t>
      </w:r>
      <w:r>
        <w:t xml:space="preserve"> </w:t>
      </w:r>
      <w:hyperlink w:anchor="ref-1">
        <w:r>
          <w:rPr>
            <w:rStyle w:val="Hyperlink"/>
          </w:rPr>
          <w:t xml:space="preserve">[1]</w:t>
        </w:r>
      </w:hyperlink>
      <w:r>
        <w:t xml:space="preserve"> </w:t>
      </w:r>
      <w:r>
        <w:t xml:space="preserve">and the shell-level systems-theoretic characterization in</w:t>
      </w:r>
      <w:r>
        <w:t xml:space="preserve"> </w:t>
      </w:r>
      <w:hyperlink w:anchor="ref-12">
        <w:r>
          <w:rPr>
            <w:rStyle w:val="Hyperlink"/>
          </w:rPr>
          <w:t xml:space="preserve">[12]</w:t>
        </w:r>
      </w:hyperlink>
      <w:r>
        <w:t xml:space="preserve"> </w:t>
      </w:r>
      <w:r>
        <w:t xml:space="preserve">hand over exactly the conditions under which that machinery applies. And it has not produced a band-level fragment-generation series stripped of launch cadence, drag forcing, and catalog-maintenance artifacts so as to license reading its statistical fluctuations as a dynamical signature.</w:t>
      </w:r>
    </w:p>
    <w:bookmarkEnd w:id="82"/>
    <w:bookmarkStart w:id="83" w:name="what-the-methodology-literature-offers"/>
    <w:p>
      <w:pPr>
        <w:pStyle w:val="Heading3"/>
        <w:spacing w:line="480" w:lineRule="auto"/>
      </w:pPr>
      <w:r>
        <w:t xml:space="preserve">2.5.3 What the Methodology Literature Offers</w:t>
      </w:r>
    </w:p>
    <w:p>
      <w:pPr>
        <w:pStyle w:val="FirstParagraph"/>
        <w:spacing w:line="480" w:lineRule="auto"/>
      </w:pPr>
      <w:r>
        <w:t xml:space="preserve">Voiced through the empirical contributions of the dissertation pool, the methodology literature offers three resources for closing this gap. The Cox proportional-hazards apparatus, put to work in Paper 2 to turn the assumed removal rate of</w:t>
      </w:r>
      <w:r>
        <w:t xml:space="preserve"> </w:t>
      </w:r>
      <w:hyperlink w:anchor="ref-1">
        <w:r>
          <w:rPr>
            <w:rStyle w:val="Hyperlink"/>
          </w:rPr>
          <w:t xml:space="preserve">[1]</w:t>
        </w:r>
      </w:hyperlink>
      <w:r>
        <w:t xml:space="preserve"> </w:t>
      </w:r>
      <w:r>
        <w:t xml:space="preserve">and</w:t>
      </w:r>
      <w:r>
        <w:t xml:space="preserve"> </w:t>
      </w:r>
      <w:hyperlink w:anchor="ref-2">
        <w:r>
          <w:rPr>
            <w:rStyle w:val="Hyperlink"/>
          </w:rPr>
          <w:t xml:space="preserve">[2]</w:t>
        </w:r>
      </w:hyperlink>
      <w:r>
        <w:t xml:space="preserve"> </w:t>
      </w:r>
      <w:r>
        <w:t xml:space="preserve">into an estimated hazard ratio of 0.584 per hundred kilometers, shows that survival analysis on cataloged objects yields physically interpretable sink-strength estimates in keeping with closed-form drag integrations</w:t>
      </w:r>
      <w:r>
        <w:t xml:space="preserve"> </w:t>
      </w:r>
      <w:hyperlink w:anchor="ref-8">
        <w:r>
          <w:rPr>
            <w:rStyle w:val="Hyperlink"/>
          </w:rPr>
          <w:t xml:space="preserve">[8]</w:t>
        </w:r>
      </w:hyperlink>
      <w:r>
        <w:t xml:space="preserve"> </w:t>
      </w:r>
      <w:r>
        <w:t xml:space="preserve">and population surveys</w:t>
      </w:r>
      <w:r>
        <w:t xml:space="preserve"> </w:t>
      </w:r>
      <w:hyperlink w:anchor="ref-7">
        <w:r>
          <w:rPr>
            <w:rStyle w:val="Hyperlink"/>
          </w:rPr>
          <w:t xml:space="preserve">[7]</w:t>
        </w:r>
      </w:hyperlink>
      <w:r>
        <w:t xml:space="preserve">,</w:t>
      </w:r>
      <w:r>
        <w:t xml:space="preserve"> </w:t>
      </w:r>
      <w:hyperlink w:anchor="ref-17">
        <w:r>
          <w:rPr>
            <w:rStyle w:val="Hyperlink"/>
          </w:rPr>
          <w:t xml:space="preserve">[17]</w:t>
        </w:r>
      </w:hyperlink>
      <w:r>
        <w:t xml:space="preserve">. The cross-sectional regression apparatus, put to work in Paper 1, shows that the channel cascades propagate through, hypervelocity collision rather than explosion, is also the channel that dominates cataloged fragment yield at fixed parent mass, with a collision coefficient of 1.29 (p approximately 0.05) interpretable against the breakup-model power-law form in</w:t>
      </w:r>
      <w:r>
        <w:t xml:space="preserve"> </w:t>
      </w:r>
      <w:hyperlink w:anchor="ref-4">
        <w:r>
          <w:rPr>
            <w:rStyle w:val="Hyperlink"/>
          </w:rPr>
          <w:t xml:space="preserve">[4]</w:t>
        </w:r>
      </w:hyperlink>
      <w:r>
        <w:t xml:space="preserve"> </w:t>
      </w:r>
      <w:r>
        <w:t xml:space="preserve">and</w:t>
      </w:r>
      <w:r>
        <w:t xml:space="preserve"> </w:t>
      </w:r>
      <w:hyperlink w:anchor="ref-6">
        <w:r>
          <w:rPr>
            <w:rStyle w:val="Hyperlink"/>
          </w:rPr>
          <w:t xml:space="preserve">[6]</w:t>
        </w:r>
      </w:hyperlink>
      <w:r>
        <w:t xml:space="preserve">. And the early-warning indicator apparatus, central to Chapter 3, offers a class of test statistics that run on observable series rather than on assumed rates.</w:t>
      </w:r>
    </w:p>
    <w:bookmarkEnd w:id="83"/>
    <w:bookmarkStart w:id="84" w:name="the-gap-and-the-dissertations-position"/>
    <w:p>
      <w:pPr>
        <w:pStyle w:val="Heading3"/>
        <w:spacing w:line="480" w:lineRule="auto"/>
      </w:pPr>
      <w:r>
        <w:t xml:space="preserve">2.5.4 The Gap and the Dissertation’s Position</w:t>
      </w:r>
    </w:p>
    <w:p>
      <w:pPr>
        <w:pStyle w:val="FirstParagraph"/>
        <w:spacing w:line="480" w:lineRule="auto"/>
      </w:pPr>
      <w:r>
        <w:t xml:space="preserve">So the gap is precise, and it is narrow. Domain work hands over a dynamical system whose bifurcation structure is characterized</w:t>
      </w:r>
      <w:r>
        <w:t xml:space="preserve"> </w:t>
      </w:r>
      <w:hyperlink w:anchor="ref-1">
        <w:r>
          <w:rPr>
            <w:rStyle w:val="Hyperlink"/>
          </w:rPr>
          <w:t xml:space="preserve">[1]</w:t>
        </w:r>
      </w:hyperlink>
      <w:r>
        <w:t xml:space="preserve">,</w:t>
      </w:r>
      <w:r>
        <w:t xml:space="preserve"> </w:t>
      </w:r>
      <w:hyperlink w:anchor="ref-12">
        <w:r>
          <w:rPr>
            <w:rStyle w:val="Hyperlink"/>
          </w:rPr>
          <w:t xml:space="preserve">[12]</w:t>
        </w:r>
      </w:hyperlink>
      <w:r>
        <w:t xml:space="preserve">, a sink whose magnitude has now been measured</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17">
        <w:r>
          <w:rPr>
            <w:rStyle w:val="Hyperlink"/>
          </w:rPr>
          <w:t xml:space="preserve">[17]</w:t>
        </w:r>
      </w:hyperlink>
      <w:r>
        <w:t xml:space="preserve"> </w:t>
      </w:r>
      <w:r>
        <w:t xml:space="preserve">and re-estimated on cataloged survival data, a source whose physical channel has been identified</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 </w:t>
      </w:r>
      <w:r>
        <w:t xml:space="preserve">and confirmed empirically in the trackable band, and a catalog whose limits are documented</w:t>
      </w:r>
      <w:r>
        <w:t xml:space="preserve"> </w:t>
      </w:r>
      <w:hyperlink w:anchor="ref-13">
        <w:r>
          <w:rPr>
            <w:rStyle w:val="Hyperlink"/>
          </w:rPr>
          <w:t xml:space="preserve">[13]</w:t>
        </w:r>
      </w:hyperlink>
      <w:r>
        <w:t xml:space="preserve">,</w:t>
      </w:r>
      <w:r>
        <w:t xml:space="preserve"> </w:t>
      </w:r>
      <w:hyperlink w:anchor="ref-14">
        <w:r>
          <w:rPr>
            <w:rStyle w:val="Hyperlink"/>
          </w:rPr>
          <w:t xml:space="preserve">[14]</w:t>
        </w:r>
      </w:hyperlink>
      <w:r>
        <w:t xml:space="preserve">,</w:t>
      </w:r>
      <w:r>
        <w:t xml:space="preserve"> </w:t>
      </w:r>
      <w:hyperlink w:anchor="ref-16">
        <w:r>
          <w:rPr>
            <w:rStyle w:val="Hyperlink"/>
          </w:rPr>
          <w:t xml:space="preserve">[16]</w:t>
        </w:r>
      </w:hyperlink>
      <w:r>
        <w:t xml:space="preserve">,</w:t>
      </w:r>
      <w:r>
        <w:t xml:space="preserve"> </w:t>
      </w:r>
      <w:hyperlink w:anchor="ref-20">
        <w:r>
          <w:rPr>
            <w:rStyle w:val="Hyperlink"/>
          </w:rPr>
          <w:t xml:space="preserve">[20]</w:t>
        </w:r>
      </w:hyperlink>
      <w:r>
        <w:t xml:space="preserve">. The methodology literature hands over a class of test statistics, the lag-one autocorrelation and variance of detrended rolling residuals, whose statistical behavior near a bifurcation is well understood. What goes missing is the join: an application of those test statistics to a band-level, residualized fragment-generation series drawn from the cataloged band of the actual debris population, with inference against a surrogate null that keeps the residual’s short-run correlation structure.</w:t>
      </w:r>
    </w:p>
    <w:p>
      <w:pPr>
        <w:pStyle w:val="BodyText"/>
        <w:spacing w:line="480" w:lineRule="auto"/>
        <w:ind w:firstLine="720"/>
      </w:pPr>
      <w:r>
        <w:t xml:space="preserve">This dissertation occupies that gap. Paper 1 settles that the source-side quantity the detector will read, cataloged fragment yield, leans toward the physically relevant collisional channel rather than toward parent mass, meeting a precondition for the detector to mean what it is meant to mean. Paper 2 settles that the sink any source-side trend must be weighed against grades steeply by altitude, meeting the methodological precondition that the detector run band by band rather than globally and that bands be read as ordered sink-strength strata. Chapter 3 then pins the detector itself.</w:t>
      </w:r>
    </w:p>
    <w:bookmarkEnd w:id="84"/>
    <w:bookmarkStart w:id="85" w:name="the-limits-of-the-joining"/>
    <w:p>
      <w:pPr>
        <w:pStyle w:val="Heading3"/>
        <w:spacing w:line="480" w:lineRule="auto"/>
      </w:pPr>
      <w:r>
        <w:t xml:space="preserve">2.5.5 The Limits of the Joining</w:t>
      </w:r>
    </w:p>
    <w:p>
      <w:pPr>
        <w:pStyle w:val="FirstParagraph"/>
        <w:spacing w:line="480" w:lineRule="auto"/>
      </w:pPr>
      <w:r>
        <w:t xml:space="preserve">Joining the two literatures takes on the limits of each. The domain literature’s most material limit is the sub-trackable population, documented sharply in</w:t>
      </w:r>
      <w:r>
        <w:t xml:space="preserve"> </w:t>
      </w:r>
      <w:hyperlink w:anchor="ref-4">
        <w:r>
          <w:rPr>
            <w:rStyle w:val="Hyperlink"/>
          </w:rPr>
          <w:t xml:space="preserve">[4]</w:t>
        </w:r>
      </w:hyperlink>
      <w:r>
        <w:t xml:space="preserve"> </w:t>
      </w:r>
      <w:r>
        <w:t xml:space="preserve">and taken up observationally in</w:t>
      </w:r>
      <w:r>
        <w:t xml:space="preserve"> </w:t>
      </w:r>
      <w:hyperlink w:anchor="ref-13">
        <w:r>
          <w:rPr>
            <w:rStyle w:val="Hyperlink"/>
          </w:rPr>
          <w:t xml:space="preserve">[13]</w:t>
        </w:r>
      </w:hyperlink>
      <w:r>
        <w:t xml:space="preserve">,</w:t>
      </w:r>
      <w:r>
        <w:t xml:space="preserve"> </w:t>
      </w:r>
      <w:hyperlink w:anchor="ref-14">
        <w:r>
          <w:rPr>
            <w:rStyle w:val="Hyperlink"/>
          </w:rPr>
          <w:t xml:space="preserve">[14]</w:t>
        </w:r>
      </w:hyperlink>
      <w:r>
        <w:t xml:space="preserve">. Any detector built on cataloged counts watches a censored slice of the true fragment-generation process and speaks to the trackable band alone. The methodology literature’s most material limit is that critical slowing down is a signature that is necessary yet not on its own sufficient: a positive detection licenses inference of an early-warning signal but not a dated forecast of onset, and a transition that is abrupt rather than continuous may leave no slowing-down signal at all. These limits are stated up front and fence the singular claim the dissertation tests. Set beside the operational policy stakes documented in</w:t>
      </w:r>
      <w:r>
        <w:t xml:space="preserve"> </w:t>
      </w:r>
      <w:hyperlink w:anchor="ref-3">
        <w:r>
          <w:rPr>
            <w:rStyle w:val="Hyperlink"/>
          </w:rPr>
          <w:t xml:space="preserve">[3]</w:t>
        </w:r>
      </w:hyperlink>
      <w:r>
        <w:t xml:space="preserve">,</w:t>
      </w:r>
      <w:r>
        <w:t xml:space="preserve"> </w:t>
      </w:r>
      <w:hyperlink w:anchor="ref-18">
        <w:r>
          <w:rPr>
            <w:rStyle w:val="Hyperlink"/>
          </w:rPr>
          <w:t xml:space="preserve">[18]</w:t>
        </w:r>
      </w:hyperlink>
      <w:r>
        <w:t xml:space="preserve">,</w:t>
      </w:r>
      <w:r>
        <w:t xml:space="preserve"> </w:t>
      </w:r>
      <w:hyperlink w:anchor="ref-23">
        <w:r>
          <w:rPr>
            <w:rStyle w:val="Hyperlink"/>
          </w:rPr>
          <w:t xml:space="preserve">[23]</w:t>
        </w:r>
      </w:hyperlink>
      <w:r>
        <w:t xml:space="preserve">,</w:t>
      </w:r>
      <w:r>
        <w:t xml:space="preserve"> </w:t>
      </w:r>
      <w:hyperlink w:anchor="ref-24">
        <w:r>
          <w:rPr>
            <w:rStyle w:val="Hyperlink"/>
          </w:rPr>
          <w:t xml:space="preserve">[24]</w:t>
        </w:r>
      </w:hyperlink>
      <w:r>
        <w:t xml:space="preserve">, they place the contribution where the prospectus locates it: a detector, not a forecast, on observable data, apart from the prediction questions the domain literature has answered and from the assumed-rate prospective integrations on which that literature has so far rested.</w:t>
      </w:r>
    </w:p>
    <w:p>
      <w:pPr>
        <w:pStyle w:val="BodyText"/>
        <w:spacing w:line="480" w:lineRule="auto"/>
        <w:ind w:firstLine="720"/>
      </w:pPr>
      <w:r>
        <w:t xml:space="preserve">The remainder of the dissertation moves out from this fused foundation. Chapter 3 pins the detector, Chapter 4 derives the residualization and surrogate-inference procedures from the joined considerations above, and Chapter 5 reports the test on the observed catalog. The two once-separate literatures, joined here, hand over the warrant for each step of that program.</w:t>
      </w:r>
    </w:p>
    <w:bookmarkEnd w:id="85"/>
    <w:bookmarkEnd w:id="86"/>
    <w:bookmarkEnd w:id="87"/>
    <w:bookmarkStart w:id="94" w:name="Xcfcc00a3ded59aed0c781c16bfc121f2a509603"/>
    <w:p>
      <w:pPr>
        <w:pStyle w:val="Heading1"/>
        <w:spacing w:line="480" w:lineRule="auto"/>
      </w:pPr>
      <w:r>
        <w:t xml:space="preserve">Chapter 3. Theoretical Framework and Hypotheses</w:t>
      </w:r>
    </w:p>
    <w:bookmarkStart w:id="88" w:name="orientation"/>
    <w:p>
      <w:pPr>
        <w:pStyle w:val="Heading2"/>
        <w:spacing w:line="480" w:lineRule="auto"/>
      </w:pPr>
      <w:r>
        <w:t xml:space="preserve">3.1 Orientation</w:t>
      </w:r>
    </w:p>
    <w:p>
      <w:pPr>
        <w:pStyle w:val="FirstParagraph"/>
        <w:spacing w:line="480" w:lineRule="auto"/>
      </w:pPr>
      <w:r>
        <w:t xml:space="preserve">Every empirical chapter downstream of this one takes up a single tightly fenced question on documented data: how a breakup’s cataloged fragment yield turns on parent mass and event energy, how the instantaneous hazard of on-orbit decay turns on altitude band and object class, and whether a defined altitude band’s observable fragment-generation series holds a measurable early-warning trace of a bifurcation drawing near. The three are not unrelated inquiries. A single root joins them. They are the three estimands the same theoretical mechanism requires to be either measured or assumed before a tipping-point detector can be said to mean what it is intended to mean. This chapter sets out that mechanism, derives the causal logic that links it to observable quantities in the United States Space Surveillance Network catalog, and states the principal hypotheses, H0 and H1, in the form against which the dissertation will be falsifiable.</w:t>
      </w:r>
    </w:p>
    <w:p>
      <w:pPr>
        <w:pStyle w:val="BodyText"/>
        <w:spacing w:line="480" w:lineRule="auto"/>
        <w:ind w:firstLine="720"/>
      </w:pPr>
      <w:r>
        <w:t xml:space="preserve">This chapter breaks on purpose with the ruling theoretical stance of the orbital debris literature. The dynamical-systems account reads the low Earth orbit (LEO) population as a coupled source-and-sink system whose equilibria are pinned analytically to model parameters</w:t>
      </w:r>
      <w:r>
        <w:t xml:space="preserve"> </w:t>
      </w:r>
      <w:hyperlink w:anchor="ref-1">
        <w:r>
          <w:rPr>
            <w:rStyle w:val="Hyperlink"/>
          </w:rPr>
          <w:t xml:space="preserve">[1]</w:t>
        </w:r>
      </w:hyperlink>
      <w:r>
        <w:t xml:space="preserve">; the Monte-Carlo all-versus-all forecasting tradition propagates ensemble trajectories under assumed launch and fragmentation rates</w:t>
      </w:r>
      <w:r>
        <w:t xml:space="preserve"> </w:t>
      </w:r>
      <w:hyperlink w:anchor="ref-2">
        <w:r>
          <w:rPr>
            <w:rStyle w:val="Hyperlink"/>
          </w:rPr>
          <w:t xml:space="preserve">[2]</w:t>
        </w:r>
      </w:hyperlink>
      <w:r>
        <w:t xml:space="preserve">; the carrying-capacity literature extends differential-equation accounts of sustainable populations and the resilience of constellations under fragmentation</w:t>
      </w:r>
      <w:r>
        <w:t xml:space="preserve"> </w:t>
      </w:r>
      <w:hyperlink w:anchor="ref-3">
        <w:r>
          <w:rPr>
            <w:rStyle w:val="Hyperlink"/>
          </w:rPr>
          <w:t xml:space="preserve">[3]</w:t>
        </w:r>
      </w:hyperlink>
      <w:r>
        <w:t xml:space="preserve">,</w:t>
      </w:r>
      <w:r>
        <w:t xml:space="preserve"> </w:t>
      </w:r>
      <w:hyperlink w:anchor="ref-5">
        <w:r>
          <w:rPr>
            <w:rStyle w:val="Hyperlink"/>
          </w:rPr>
          <w:t xml:space="preserve">[5]</w:t>
        </w:r>
      </w:hyperlink>
      <w:r>
        <w:t xml:space="preserve">,</w:t>
      </w:r>
      <w:r>
        <w:t xml:space="preserve"> </w:t>
      </w:r>
      <w:hyperlink w:anchor="ref-9">
        <w:r>
          <w:rPr>
            <w:rStyle w:val="Hyperlink"/>
          </w:rPr>
          <w:t xml:space="preserve">[9]</w:t>
        </w:r>
      </w:hyperlink>
      <w:r>
        <w:t xml:space="preserve">. Each of these traditions reasons forward, from a rate to a property of the system. Detection reasons in the opposite direction. The catalog is in motion. What the operator observes is not the future. The question is not where the equilibria sit on a parameter manifold but whether the observed series carries, within a fixed observation window, the dynamical signature critical-transition theory predicts a system should exhibit as it approaches a bifurcation. The framework developed here is therefore a translation: it carries the source-sink mechanics of the dynamical literature into the time-series language in which a real catalog speaks, and it identifies the specific moments at which the translation has empirical content.</w:t>
      </w:r>
    </w:p>
    <w:bookmarkEnd w:id="88"/>
    <w:bookmarkStart w:id="89" w:name="the-underlying-physical-mechanism"/>
    <w:p>
      <w:pPr>
        <w:pStyle w:val="Heading2"/>
        <w:spacing w:line="480" w:lineRule="auto"/>
      </w:pPr>
      <w:r>
        <w:t xml:space="preserve">3.2 The Underlying Physical Mechanism</w:t>
      </w:r>
    </w:p>
    <w:p>
      <w:pPr>
        <w:pStyle w:val="FirstParagraph"/>
        <w:spacing w:line="480" w:lineRule="auto"/>
      </w:pPr>
      <w:r>
        <w:t xml:space="preserve">The mechanism rests on three physical facts about the LEO environment, each established in the retrieved literature and each entering the detector through a distinct channel.</w:t>
      </w:r>
    </w:p>
    <w:p>
      <w:pPr>
        <w:pStyle w:val="BodyText"/>
        <w:spacing w:line="480" w:lineRule="auto"/>
        <w:ind w:firstLine="720"/>
      </w:pPr>
      <w:r>
        <w:t xml:space="preserve">Take the first. Within any altitude band the population answers to a contest between a source term, the pace at which new trackable objects show up, and a sink term, the pace at which atmospheric drag pulls existing objects out. The source term is the sum of two physically distinct production channels: launch deposition, in which intact objects are added by human action, and fragmentation production, in which existing objects are comminuted into multiple cataloged pieces by collisions or by self-induced explosions. The dynamical literature isolates the collisional sub-channel of fragmentation production as the one that can in principle sustain population growth without further launches, because only fragment-on-fragment collisions convert an existing trackable mass budget into an arbitrarily larger trackable object count</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 When the collisional sub-channel dominates the sink, self-sustaining fragmentation is what results, and it is this condition the detector is designed to anticipate.</w:t>
      </w:r>
    </w:p>
    <w:p>
      <w:pPr>
        <w:pStyle w:val="BodyText"/>
        <w:spacing w:line="480" w:lineRule="auto"/>
        <w:ind w:firstLine="720"/>
      </w:pPr>
      <w:r>
        <w:t xml:space="preserve">Take the second. Neutral-density drag governs the sink term, and it falls quasi-exponentially with altitude. The decay-time literature sets this relationship down through integrations of the drag equation and checks it against observed reentries</w:t>
      </w:r>
      <w:r>
        <w:t xml:space="preserve"> </w:t>
      </w:r>
      <w:hyperlink w:anchor="ref-8">
        <w:r>
          <w:rPr>
            <w:rStyle w:val="Hyperlink"/>
          </w:rPr>
          <w:t xml:space="preserve">[8]</w:t>
        </w:r>
      </w:hyperlink>
      <w:r>
        <w:t xml:space="preserve">. Population-scale surveys bear out the same gradient: objects in the lowest bands clear in years, bands near 700 to 800 kilometers retain debris for decades to centuries, and bands above this regime hold residual fragment clouds from the canonical 2007 Fengyun-1C intercept and 2009 Iridium 33 and Cosmos 2251 collision for spans that are, on any operational timescale, effectively permanent</w:t>
      </w:r>
      <w:r>
        <w:t xml:space="preserve"> </w:t>
      </w:r>
      <w:hyperlink w:anchor="ref-7">
        <w:r>
          <w:rPr>
            <w:rStyle w:val="Hyperlink"/>
          </w:rPr>
          <w:t xml:space="preserve">[7]</w:t>
        </w:r>
      </w:hyperlink>
      <w:r>
        <w:t xml:space="preserve">,</w:t>
      </w:r>
      <w:r>
        <w:t xml:space="preserve"> </w:t>
      </w:r>
      <w:hyperlink w:anchor="ref-17">
        <w:r>
          <w:rPr>
            <w:rStyle w:val="Hyperlink"/>
          </w:rPr>
          <w:t xml:space="preserve">[17]</w:t>
        </w:r>
      </w:hyperlink>
      <w:r>
        <w:t xml:space="preserve">. Because the sink weakens with altitude, self-sustaining fragmentation is first reachable in the high bands rather than the low ones, and a tipping-point detector must therefore operate within strata defined by altitude rather than on the catalog as a whole.</w:t>
      </w:r>
    </w:p>
    <w:p>
      <w:pPr>
        <w:pStyle w:val="BodyText"/>
        <w:spacing w:line="480" w:lineRule="auto"/>
        <w:ind w:firstLine="720"/>
      </w:pPr>
      <w:r>
        <w:t xml:space="preserve">Take the third. Mass alone does not govern the process by which a breakup turns a parent object into trackable fragments. The NASA Standard Breakup Model casts the number of fragments above a given characteristic length as a power law in imparted energy and available mass</w:t>
      </w:r>
      <w:r>
        <w:t xml:space="preserve"> </w:t>
      </w:r>
      <w:hyperlink w:anchor="ref-6">
        <w:r>
          <w:rPr>
            <w:rStyle w:val="Hyperlink"/>
          </w:rPr>
          <w:t xml:space="preserve">[6]</w:t>
        </w:r>
      </w:hyperlink>
      <w:r>
        <w:t xml:space="preserve">, and the hypervelocity experimental literature confirms that the size and number distribution produced by a catastrophic collision is a steep function of impact energy density</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 The trackable stratum of the cataloged fragment population, the only stratum any space surveillance system can directly observe, is therefore weighted toward high-energy collisional events rather than toward the much more numerous low-energy explosive breakups of comparable parent mass. This third fact is what makes the catalog a coherent instrument for the detection problem: catalog growth records the events that matter to the cascade, not merely the events that happen to be large.</w:t>
      </w:r>
    </w:p>
    <w:p>
      <w:pPr>
        <w:pStyle w:val="BodyText"/>
        <w:spacing w:line="480" w:lineRule="auto"/>
        <w:ind w:firstLine="720"/>
      </w:pPr>
      <w:r>
        <w:t xml:space="preserve">A fourth fact, the sub-trackable fragments, shapes the detector without entering it. Much of the fragment cloud thrown off by any catastrophic event sits below the catalog’s tracking threshold, and the sub-millimetre and centimetre population matters for vehicle survivability and for parent-of-cloud reconstruction</w:t>
      </w:r>
      <w:r>
        <w:t xml:space="preserve"> </w:t>
      </w:r>
      <w:hyperlink w:anchor="ref-4">
        <w:r>
          <w:rPr>
            <w:rStyle w:val="Hyperlink"/>
          </w:rPr>
          <w:t xml:space="preserve">[4]</w:t>
        </w:r>
      </w:hyperlink>
      <w:r>
        <w:t xml:space="preserve">,</w:t>
      </w:r>
      <w:r>
        <w:t xml:space="preserve"> </w:t>
      </w:r>
      <w:hyperlink w:anchor="ref-11">
        <w:r>
          <w:rPr>
            <w:rStyle w:val="Hyperlink"/>
          </w:rPr>
          <w:t xml:space="preserve">[11]</w:t>
        </w:r>
      </w:hyperlink>
      <w:r>
        <w:t xml:space="preserve">,</w:t>
      </w:r>
      <w:r>
        <w:t xml:space="preserve"> </w:t>
      </w:r>
      <w:hyperlink w:anchor="ref-13">
        <w:r>
          <w:rPr>
            <w:rStyle w:val="Hyperlink"/>
          </w:rPr>
          <w:t xml:space="preserve">[13]</w:t>
        </w:r>
      </w:hyperlink>
      <w:r>
        <w:t xml:space="preserve">,</w:t>
      </w:r>
      <w:r>
        <w:t xml:space="preserve"> </w:t>
      </w:r>
      <w:hyperlink w:anchor="ref-14">
        <w:r>
          <w:rPr>
            <w:rStyle w:val="Hyperlink"/>
          </w:rPr>
          <w:t xml:space="preserve">[14]</w:t>
        </w:r>
      </w:hyperlink>
      <w:r>
        <w:t xml:space="preserve">,</w:t>
      </w:r>
      <w:r>
        <w:t xml:space="preserve"> </w:t>
      </w:r>
      <w:hyperlink w:anchor="ref-21">
        <w:r>
          <w:rPr>
            <w:rStyle w:val="Hyperlink"/>
          </w:rPr>
          <w:t xml:space="preserve">[21]</w:t>
        </w:r>
      </w:hyperlink>
      <w:r>
        <w:t xml:space="preserve">. The detector developed here cannot speak to that stratum; it is a test of the signal in the trackable stratum, and its inferences are bounded accordingly. This bounding is recorded as a structural limitation rather than corrected by extrapolation.</w:t>
      </w:r>
    </w:p>
    <w:bookmarkEnd w:id="89"/>
    <w:bookmarkStart w:id="90" w:name="X64f6eff64672d704fb1ff329214291d6e5df307"/>
    <w:p>
      <w:pPr>
        <w:pStyle w:val="Heading2"/>
        <w:spacing w:line="480" w:lineRule="auto"/>
      </w:pPr>
      <w:r>
        <w:t xml:space="preserve">3.3 From Source-Sink Mechanics to a Detection Quantity</w:t>
      </w:r>
    </w:p>
    <w:p>
      <w:pPr>
        <w:pStyle w:val="FirstParagraph"/>
        <w:spacing w:line="480" w:lineRule="auto"/>
      </w:pPr>
      <w:r>
        <w:t xml:space="preserve">By the mechanism above, the population in an altitude band is a stochastic process pushed by a source and pulled by a sink. Write the population of trackable objects in a fixed altitude band as a state variable, and let a launch deposition rate, a fragmentation production rate, and an altitude-dependent removal rate govern how it moves. The dynamical-systems treatment of LEO writes equilibria for this system and characterizes their stability on the parameters that govern the rates</w:t>
      </w:r>
      <w:r>
        <w:t xml:space="preserve"> </w:t>
      </w:r>
      <w:hyperlink w:anchor="ref-1">
        <w:r>
          <w:rPr>
            <w:rStyle w:val="Hyperlink"/>
          </w:rPr>
          <w:t xml:space="preserve">[1]</w:t>
        </w:r>
      </w:hyperlink>
      <w:r>
        <w:t xml:space="preserve">; the Monte-Carlo treatment integrates the same dynamics forward under stochastic realizations of the rates</w:t>
      </w:r>
      <w:r>
        <w:t xml:space="preserve"> </w:t>
      </w:r>
      <w:hyperlink w:anchor="ref-2">
        <w:r>
          <w:rPr>
            <w:rStyle w:val="Hyperlink"/>
          </w:rPr>
          <w:t xml:space="preserve">[2]</w:t>
        </w:r>
      </w:hyperlink>
      <w:r>
        <w:t xml:space="preserve">; the carrying-capacity treatment fixes the population at stationarity and asks what configurations of operators and station-keeping practice the band can support</w:t>
      </w:r>
      <w:r>
        <w:t xml:space="preserve"> </w:t>
      </w:r>
      <w:hyperlink w:anchor="ref-3">
        <w:r>
          <w:rPr>
            <w:rStyle w:val="Hyperlink"/>
          </w:rPr>
          <w:t xml:space="preserve">[3]</w:t>
        </w:r>
      </w:hyperlink>
      <w:r>
        <w:t xml:space="preserve">,</w:t>
      </w:r>
      <w:r>
        <w:t xml:space="preserve"> </w:t>
      </w:r>
      <w:hyperlink w:anchor="ref-5">
        <w:r>
          <w:rPr>
            <w:rStyle w:val="Hyperlink"/>
          </w:rPr>
          <w:t xml:space="preserve">[5]</w:t>
        </w:r>
      </w:hyperlink>
      <w:r>
        <w:t xml:space="preserve">.</w:t>
      </w:r>
    </w:p>
    <w:p>
      <w:pPr>
        <w:pStyle w:val="BodyText"/>
        <w:spacing w:line="480" w:lineRule="auto"/>
        <w:ind w:firstLine="720"/>
      </w:pPr>
      <w:r>
        <w:t xml:space="preserve">None of those is the quantity detection wants. What it wants is the fragmentation production rate itself, watched as a time series, and the reason is theoretical and worth putting plainly. Critical-transition theory holds that a stochastic dynamical system approaching a bifurcation in the relevant parameter exhibits a generic signature: the system’s return to equilibrium following perturbation slows, and the resulting series of state fluctuations shows rising lag-one autocorrelation and rising variance well before the parameter actually crosses the threshold. The signature is generic in the sense that it depends on the local linearization of the dynamics near the bifurcation rather than on the specific functional form of the source and sink terms, which is exactly the property that licenses applying it to a system, like LEO, whose true governing equations are too complex to write down exactly. Applied to the LEO band, the prediction is that as the band approaches the parameter regime in which the collisional production rate overtakes the drag sink, the fragmentation production series should slow its return to its conditional mean, and its short-window autocorrelation and variance should rise above their baseline levels.</w:t>
      </w:r>
    </w:p>
    <w:p>
      <w:pPr>
        <w:pStyle w:val="BodyText"/>
        <w:spacing w:line="480" w:lineRule="auto"/>
        <w:ind w:firstLine="720"/>
      </w:pPr>
      <w:r>
        <w:t xml:space="preserve">Three consequences flow from this translation. One is that the detector runs on a derived series rather than on raw catalog totals. The state variable of the population is the wrong object to monitor, because it integrates both the launch deposition channel and the fragmentation production channel and so confounds exogenous human action with the endogenous dynamical term whose dynamics matter for the bifurcation. A second is that the series must be stratified by altitude band, because the bifurcation parameter, the ratio of collisional production to drag removal, varies steeply with altitude and the detection signal must therefore be measured where the bifurcation is approachable rather than averaged across the catalog. A third is that the series must be stratified by object-size threshold, because the catalog’s tracking sensitivity has evolved across the observation window and a rising signal manufactured by improving sensor sensitivity within a stratum would be observationally indistinguishable from the dynamical signal of interest. The empirical chapters that precede this one provide the warrant for the first two of these stratifications and the data infrastructure for the third.</w:t>
      </w:r>
    </w:p>
    <w:bookmarkEnd w:id="90"/>
    <w:bookmarkStart w:id="91" w:name="X7d007302b25a5992164653cb4213ff45c883104"/>
    <w:p>
      <w:pPr>
        <w:pStyle w:val="Heading2"/>
        <w:spacing w:line="480" w:lineRule="auto"/>
      </w:pPr>
      <w:r>
        <w:t xml:space="preserve">3.4 The Causal Logic Linking the Mechanism to the Observable Series</w:t>
      </w:r>
    </w:p>
    <w:p>
      <w:pPr>
        <w:pStyle w:val="FirstParagraph"/>
        <w:spacing w:line="480" w:lineRule="auto"/>
      </w:pPr>
      <w:r>
        <w:t xml:space="preserve">I now state the causal chain the detector is designed to read, in the form in which the empirical work tests it. The chain has four links, and each rests on a result that the dissertation either establishes empirically or borrows from the retrieved literature.</w:t>
      </w:r>
    </w:p>
    <w:p>
      <w:pPr>
        <w:pStyle w:val="BodyText"/>
        <w:spacing w:line="480" w:lineRule="auto"/>
        <w:ind w:firstLine="720"/>
      </w:pPr>
      <w:r>
        <w:t xml:space="preserve">The first link holds that the collisional sub-channel, not the explosive one, dominates the catalog’s trackable fragment production. Were parent mass the main driver of catalog growth, the catalog would record the size of what breaks rather than the danger of how it breaks, and the fragmentation production series would be only loosely coupled to the collisional term that drives self-sustaining fragmentation. Paper 1 isolates this link as its single estimand and tests it on twenty-one documented breakups via a cross-event regression of cataloged fragment count on log parent mass and a collision indicator. The estimated collision coefficient is positive and statistically significant at conventional levels, with a point estimate implying that a collision or kinetic-intercept event deposits roughly three and a half times the cataloged fragment count of an explosive breakup at equal mass; the coefficient on log parent mass is statistically indistinguishable from zero. The catalog, on this estimate, registers energy rather than mass in its trackable stratum, which is the channel theory requires the detector to track</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w:t>
      </w:r>
    </w:p>
    <w:p>
      <w:pPr>
        <w:pStyle w:val="BodyText"/>
        <w:spacing w:line="480" w:lineRule="auto"/>
        <w:ind w:firstLine="720"/>
      </w:pPr>
      <w:r>
        <w:t xml:space="preserve">The second link holds that the altitude bands of the LEO regime work as ordered sink-strength strata, the decay hazard dropping steeply and monotonically with altitude. What governs the transition to self-sustaining fragmentation is a bifurcation parameter that is a ratio of source to sink, and the sink is the band-mean drag removal rate; a detector that averaged across altitudes would mix bands far from the threshold with bands near it, and the dynamical signature would be diluted to undetectability. Paper 2 estimates the altitude gradient in the sink on a panel of thirty-four resident space objects using a Cox proportional-hazards model. The estimated hazard ratio for an increase of one hundred kilometers in altitude band is 0.584, with a Wald p-value below 0.001, so each additional one hundred kilometers reduces the instantaneous decay hazard by roughly forty-two percent. The hazard ratio for the heavy, low-area-to-mass object class is 0.264, confirming that the high-area-to-mass fragments characteristic of collisional break-up</w:t>
      </w:r>
      <w:r>
        <w:t xml:space="preserve"> </w:t>
      </w:r>
      <w:hyperlink w:anchor="ref-4">
        <w:r>
          <w:rPr>
            <w:rStyle w:val="Hyperlink"/>
          </w:rPr>
          <w:t xml:space="preserve">[4]</w:t>
        </w:r>
      </w:hyperlink>
      <w:r>
        <w:t xml:space="preserve"> </w:t>
      </w:r>
      <w:r>
        <w:t xml:space="preserve">decay several times faster than the intact parents from which they are produced. The altitude gradient is the empirical warrant for treating altitude bands as ordered strata in the detector. The class gradient identifies the regime in which the source-sink arithmetic is sharpest: at high altitude, where the per-object hazard is low, the sink acts only weakly even on the fragment population whose individual decay hazard is elevated, and the collisional production term is correspondingly close to overtaking the band’s removal capacity.</w:t>
      </w:r>
    </w:p>
    <w:p>
      <w:pPr>
        <w:pStyle w:val="BodyText"/>
        <w:spacing w:line="480" w:lineRule="auto"/>
        <w:ind w:firstLine="720"/>
      </w:pPr>
      <w:r>
        <w:t xml:space="preserve">The third link holds that the fragmentation production series, once pinned to a band, stripped of launch cadence and drag-proxy variation, and tallied within an object-size stratum above a conservative tracking threshold, stands as a faithful proxy for the dynamical source term in the band’s source-and-sink balance. Faithfulness here carries three meanings: that the series excludes the exogenous launch deposition channel that would otherwise alias as a rising source, that it excludes the secular variation in the drag sink driven by the solar cycle that would otherwise alias as a rising threshold approach, and that it excludes the catalog-processing artifacts arising from changing sensor sensitivity within the observation window. The first two are addressed in the identification strategy of the prospectus through explicit attribution and residualization steps; the third is addressed through size-stratification above a conservative threshold and cross-checks against documented changes in surveillance-network sensitivity. The literature on rapid post-event cataloging of fragmentation clouds</w:t>
      </w:r>
      <w:r>
        <w:t xml:space="preserve"> </w:t>
      </w:r>
      <w:hyperlink w:anchor="ref-11">
        <w:r>
          <w:rPr>
            <w:rStyle w:val="Hyperlink"/>
          </w:rPr>
          <w:t xml:space="preserve">[11]</w:t>
        </w:r>
      </w:hyperlink>
      <w:r>
        <w:t xml:space="preserve">, on optical detection of un-cataloged debris</w:t>
      </w:r>
      <w:r>
        <w:t xml:space="preserve"> </w:t>
      </w:r>
      <w:hyperlink w:anchor="ref-13">
        <w:r>
          <w:rPr>
            <w:rStyle w:val="Hyperlink"/>
          </w:rPr>
          <w:t xml:space="preserve">[13]</w:t>
        </w:r>
      </w:hyperlink>
      <w:r>
        <w:t xml:space="preserve">, on soliton-based sub-centimetre detection</w:t>
      </w:r>
      <w:r>
        <w:t xml:space="preserve"> </w:t>
      </w:r>
      <w:hyperlink w:anchor="ref-14">
        <w:r>
          <w:rPr>
            <w:rStyle w:val="Hyperlink"/>
          </w:rPr>
          <w:t xml:space="preserve">[14]</w:t>
        </w:r>
      </w:hyperlink>
      <w:r>
        <w:t xml:space="preserve">, on track-to-track association of optical observations</w:t>
      </w:r>
      <w:r>
        <w:t xml:space="preserve"> </w:t>
      </w:r>
      <w:hyperlink w:anchor="ref-16">
        <w:r>
          <w:rPr>
            <w:rStyle w:val="Hyperlink"/>
          </w:rPr>
          <w:t xml:space="preserve">[16]</w:t>
        </w:r>
      </w:hyperlink>
      <w:r>
        <w:t xml:space="preserve">, and on radar beam-park characterization of major events</w:t>
      </w:r>
      <w:r>
        <w:t xml:space="preserve"> </w:t>
      </w:r>
      <w:hyperlink w:anchor="ref-21">
        <w:r>
          <w:rPr>
            <w:rStyle w:val="Hyperlink"/>
          </w:rPr>
          <w:t xml:space="preserve">[21]</w:t>
        </w:r>
      </w:hyperlink>
      <w:r>
        <w:t xml:space="preserve"> </w:t>
      </w:r>
      <w:r>
        <w:t xml:space="preserve">documents the catalog-processing surface the third confounder rides on, and the size-stratified design is the standard mitigation. The systems-theoretic account of cascading collisional potential in orbital shells</w:t>
      </w:r>
      <w:r>
        <w:t xml:space="preserve"> </w:t>
      </w:r>
      <w:hyperlink w:anchor="ref-12">
        <w:r>
          <w:rPr>
            <w:rStyle w:val="Hyperlink"/>
          </w:rPr>
          <w:t xml:space="preserve">[12]</w:t>
        </w:r>
      </w:hyperlink>
      <w:r>
        <w:t xml:space="preserve"> </w:t>
      </w:r>
      <w:r>
        <w:t xml:space="preserve">and the brute-force Kessler-syndrome modeling tradition</w:t>
      </w:r>
      <w:r>
        <w:t xml:space="preserve"> </w:t>
      </w:r>
      <w:hyperlink w:anchor="ref-15">
        <w:r>
          <w:rPr>
            <w:rStyle w:val="Hyperlink"/>
          </w:rPr>
          <w:t xml:space="preserve">[15]</w:t>
        </w:r>
      </w:hyperlink>
      <w:r>
        <w:t xml:space="preserve"> </w:t>
      </w:r>
      <w:r>
        <w:t xml:space="preserve">supply the conceptual prediction that, within a band whose source-sink ratio is approaching unity, the collisional production term will exhibit the rising autocorrelation and variance the detector measures.</w:t>
      </w:r>
    </w:p>
    <w:p>
      <w:pPr>
        <w:pStyle w:val="BodyText"/>
        <w:spacing w:line="480" w:lineRule="auto"/>
        <w:ind w:firstLine="720"/>
      </w:pPr>
      <w:r>
        <w:t xml:space="preserve">The fourth link holds that critical-transition theory’s signature, a slowing return to the conditional mean, showing up as rising lag-one autocorrelation and rising variance of a stationary residual, is the right statistical fingerprint to hunt for. This is the load-bearing theoretical commitment of the dissertation and the one most open to misapplication. Three boundaries must be stated explicitly. Critical slowing down is a signature that is necessary yet not on its own sufficient for an approaching transition; a positive detection licenses the inference of an early-warning signal but not a dated forecast of onset. A transition that is abrupt rather than smooth, governed by a discontinuous rather than a continuous bifurcation in the underlying state-space topology, may leave no slowing-down signal at all, so a failure to reject the null cannot be read as evidence that the band is far from any threshold. And the signature is a property of stationary local linearizations near a bifurcation, so the test has its inferential force only on the residualized series in which secular trends have been removed and the short-run dynamics are properly isolated. These limits are the limits of the single contribution the dissertation makes, and they are taken as constitutive of the claim rather than as defects of it.</w:t>
      </w:r>
    </w:p>
    <w:bookmarkEnd w:id="91"/>
    <w:bookmarkStart w:id="92" w:name="the-principal-hypotheses"/>
    <w:p>
      <w:pPr>
        <w:pStyle w:val="Heading2"/>
        <w:spacing w:line="480" w:lineRule="auto"/>
      </w:pPr>
      <w:r>
        <w:t xml:space="preserve">3.5 The Principal Hypotheses</w:t>
      </w:r>
    </w:p>
    <w:p>
      <w:pPr>
        <w:pStyle w:val="FirstParagraph"/>
        <w:spacing w:line="480" w:lineRule="auto"/>
      </w:pPr>
      <w:r>
        <w:t xml:space="preserve">Everything developed above, the mechanism, the causal logic, and the boundary conditions, backs a single pair of falsifiable hypotheses on a single observable quantity. Here is how that quantity gets defined. Hold fixed a LEO altitude band and an object-size threshold above the catalog’s conservative tracking limit, and let the monthly fragment-generation rate be the tally of newly cataloged fragments pinned to the band by parent-association and object-type fields and marked fragmentation-associated rather than launch-associated. Residualize this series against a model of launch cadence and against a band-mean atmospheric-density proxy constructed from public solar radio flux (F10.7) and geomagnetic (Kp/Ap) indices. Compute the lag-one autocorrelation and the variance of the residual on rolling windows of fixed length, with window length and bandwidth treated as sensitivity parameters.</w:t>
      </w:r>
    </w:p>
    <w:p>
      <w:pPr>
        <w:spacing w:line="480" w:lineRule="auto"/>
        <w:numPr>
          <w:ilvl w:val="0"/>
          <w:numId w:val="1001"/>
        </w:numPr>
      </w:pPr>
      <w:r>
        <w:rPr>
          <w:b/>
          <w:bCs/>
        </w:rPr>
        <w:t xml:space="preserve">H0 (null).</w:t>
      </w:r>
      <w:r>
        <w:t xml:space="preserve"> </w:t>
      </w:r>
      <w:r>
        <w:t xml:space="preserve">The trend in the lag-one autocorrelation, and the trend in the variance, of the band’s residualized fragment-generation series, are statistically indistinguishable from zero over the observation period. The catalog exhibits no critical-slowing-down signature; any apparent rise is consistent with sampling noise and catalog-processing artifacts, and the proposed detector recovers nothing of dynamical significance from the observed series.</w:t>
      </w:r>
    </w:p>
    <w:p>
      <w:pPr>
        <w:spacing w:line="480" w:lineRule="auto"/>
        <w:numPr>
          <w:ilvl w:val="0"/>
          <w:numId w:val="1001"/>
        </w:numPr>
      </w:pPr>
      <w:r>
        <w:rPr>
          <w:b/>
          <w:bCs/>
        </w:rPr>
        <w:t xml:space="preserve">H1 (alternative).</w:t>
      </w:r>
      <w:r>
        <w:t xml:space="preserve"> </w:t>
      </w:r>
      <w:r>
        <w:t xml:space="preserve">The lag-one autocorrelation and the variance both exhibit a statistically significant positive trend over the observation period, concordant across the two indicators and robust to the choice of rolling-window length within a documented sensitivity envelope. The trend is consistent with critical slowing down in a stochastic dynamical system approaching a bifurcation, and the band’s residualized fragment-generation series therefore carries a measurable early-warning signature of approach to self-sustaining fragmentation in the trackable stratum of the catalog.</w:t>
      </w:r>
    </w:p>
    <w:p>
      <w:pPr>
        <w:pStyle w:val="FirstParagraph"/>
        <w:spacing w:line="480" w:lineRule="auto"/>
      </w:pPr>
      <w:r>
        <w:t xml:space="preserve">The test is a Kendall rank-correlation trend statistic run on each indicator series, its significance weighed against a null distribution built from surrogate series that keep the residual’s short-run correlation structure while wiping out any monotone trend. A band that posts matching significant positive trends on both indicators, holding up across window choices, counts as a positive detection; discordance or non-significance does not. The hypothesis pair is singular by design. The dissertation does not claim that a cascade is imminent, that any particular band will transition, or that a positive detection licenses a date. It claims solely that the early-warning signal is, or is not, present and measurable in the observed series of the band on which the test is run.</w:t>
      </w:r>
    </w:p>
    <w:p>
      <w:pPr>
        <w:pStyle w:val="BodyText"/>
        <w:spacing w:line="480" w:lineRule="auto"/>
        <w:ind w:firstLine="720"/>
      </w:pPr>
      <w:r>
        <w:t xml:space="preserve">Built into the framework is the asymmetry between what H1 supports and what it leaves untouched. Supporting H1 settles that the catalog carries dynamical information about its own approach to bifurcation, which converts a class of modeling abstractions</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5">
        <w:r>
          <w:rPr>
            <w:rStyle w:val="Hyperlink"/>
          </w:rPr>
          <w:t xml:space="preserve">[5]</w:t>
        </w:r>
      </w:hyperlink>
      <w:r>
        <w:t xml:space="preserve">,</w:t>
      </w:r>
      <w:r>
        <w:t xml:space="preserve"> </w:t>
      </w:r>
      <w:hyperlink w:anchor="ref-9">
        <w:r>
          <w:rPr>
            <w:rStyle w:val="Hyperlink"/>
          </w:rPr>
          <w:t xml:space="preserve">[9]</w:t>
        </w:r>
      </w:hyperlink>
      <w:r>
        <w:t xml:space="preserve">,</w:t>
      </w:r>
      <w:r>
        <w:t xml:space="preserve"> </w:t>
      </w:r>
      <w:hyperlink w:anchor="ref-12">
        <w:r>
          <w:rPr>
            <w:rStyle w:val="Hyperlink"/>
          </w:rPr>
          <w:t xml:space="preserve">[12]</w:t>
        </w:r>
      </w:hyperlink>
      <w:r>
        <w:t xml:space="preserve">,</w:t>
      </w:r>
      <w:r>
        <w:t xml:space="preserve"> </w:t>
      </w:r>
      <w:hyperlink w:anchor="ref-15">
        <w:r>
          <w:rPr>
            <w:rStyle w:val="Hyperlink"/>
          </w:rPr>
          <w:t xml:space="preserve">[15]</w:t>
        </w:r>
      </w:hyperlink>
      <w:r>
        <w:t xml:space="preserve"> </w:t>
      </w:r>
      <w:r>
        <w:t xml:space="preserve">into an SDA instrument; it does not establish when the bifurcation will occur, in which band it will occur first, or whether operator action can prevent it. Failing to reject H0 refutes the detector on the band tested, while leaving intact the broader theoretical prediction that some band, under some configuration, will eventually exhibit the signature; nor does it preclude that the band is approaching a transition of a kind the slowing-down signature cannot, by its nature, register. These bounded claims are what a strict reading of critical-transition theory permits, and they are what the dissertation undertakes to make falsifiable on documented data.</w:t>
      </w:r>
    </w:p>
    <w:bookmarkEnd w:id="92"/>
    <w:bookmarkStart w:id="93" w:name="X721b43634a6225f8522c83f88a82e69b73e137b"/>
    <w:p>
      <w:pPr>
        <w:pStyle w:val="Heading2"/>
        <w:spacing w:line="480" w:lineRule="auto"/>
      </w:pPr>
      <w:r>
        <w:t xml:space="preserve">3.6 Theoretical Yield and Linkage to the Empirical Chapters</w:t>
      </w:r>
    </w:p>
    <w:p>
      <w:pPr>
        <w:pStyle w:val="FirstParagraph"/>
        <w:spacing w:line="480" w:lineRule="auto"/>
      </w:pPr>
      <w:r>
        <w:t xml:space="preserve">This framework stands as a single contribution rather than three. The first empirical chapter settles that the catalog watches the right quantity: the trackable fragment production series logs collisional energy rather than parent mass, and so leans toward the production channel that drives the cascade. The second establishes the structure within which the detector must operate: altitude bands are ordered sink-strength strata with a steep, quantified gradient, and the high-altitude regime in which fragment clouds persist is the regime in which the source-sink ratio is most likely to approach unity. The third applies critical-transition theory to the residualized fragment-generation series within the bands and the strata so identified, and tests H0 against H1.</w:t>
      </w:r>
    </w:p>
    <w:p>
      <w:pPr>
        <w:pStyle w:val="BodyText"/>
        <w:spacing w:line="480" w:lineRule="auto"/>
        <w:ind w:firstLine="720"/>
      </w:pPr>
      <w:r>
        <w:t xml:space="preserve">Three chapters take up three estimable questions, and each question earns its place because its answer is logically necessary for the dissertation’s central claim to mean what the claim asserts. What the framework contributes is to make this necessity explicit, and to specify the single observable quantity, and the single hypothesis pair, on which the dissertation will stand or fall. The catalog speaks, on this account, in two registers at once: it records the events that fill it, and it records the dynamics of the system that is filling it. The empirical work that follows is the test of whether the second register is audible above the first, within the bounds critical-transition theory permits and the catalog as instrument allows.</w:t>
      </w:r>
    </w:p>
    <w:bookmarkEnd w:id="93"/>
    <w:bookmarkEnd w:id="94"/>
    <w:bookmarkStart w:id="109" w:name="chapter-4.-data-and-measurement"/>
    <w:p>
      <w:pPr>
        <w:pStyle w:val="Heading1"/>
        <w:spacing w:line="480" w:lineRule="auto"/>
      </w:pPr>
      <w:r>
        <w:t xml:space="preserve">Chapter 4. Data and Measurement</w:t>
      </w:r>
    </w:p>
    <w:bookmarkStart w:id="95" w:name="X4a48d30b6c9d2711bf1a43c36ba710db8208463"/>
    <w:p>
      <w:pPr>
        <w:pStyle w:val="Heading2"/>
        <w:spacing w:line="480" w:lineRule="auto"/>
      </w:pPr>
      <w:r>
        <w:t xml:space="preserve">4.1 Overview and the Two-Dataset Architecture</w:t>
      </w:r>
    </w:p>
    <w:p>
      <w:pPr>
        <w:pStyle w:val="FirstParagraph"/>
        <w:spacing w:line="480" w:lineRule="auto"/>
      </w:pPr>
      <w:r>
        <w:t xml:space="preserve">Two datasets underwrite the empirical program of this dissertation, each picked to address one half of the source-to-sink ratio that decides whether a low Earth orbit (LEO) altitude band slides toward self-sustaining fragmentation. The first, feeding the cross-event regression of Paper 1, is a roster of documented on-orbit fragmentation events carrying parent-level metadata and cataloged fragment counts. It bears on the source term, the pace at which collisions and explosions drop trackable mass into the catalog, and it opens the door to estimating how that deposit partials out against parent mass and against collision energy. The second, feeding the Cox proportional-hazards model of Paper 2, is a panel of resident space objects carrying launch epochs, orbital regimes, object-class markers, and decay or censoring status. It bears on the sink term, the pace at which atmospheric drag pulls objects out of orbit, and it opens the door to recovering the altitude gradient in the per-object decay hazard from observed lifetimes. The detector the prospectus puts forward, a test for critical-slowing-down signatures in the residualized fragment-generation series of each altitude band, will in time run against a third and larger data product built straight from the public catalog. This chapter documents the first two datasets in full and lays out the measurement procedure for the third in enough detail that an outside party could rebuild it from the cited sources.</w:t>
      </w:r>
    </w:p>
    <w:p>
      <w:pPr>
        <w:pStyle w:val="BodyText"/>
        <w:spacing w:line="480" w:lineRule="auto"/>
        <w:ind w:firstLine="720"/>
      </w:pPr>
      <w:r>
        <w:t xml:space="preserve">Why gather two datasets of modest size instead of working the full catalog from the start? The answer sits in the structure of the inference. Both papers put narrow, falsifiable questions to parameters that carry direct physical meaning. Each demands data whose provenance can be traced line by line, since the substantive conclusions ride on the accuracy of variables, parent mass, collision indicator, decay date, object class, that automated catalog feeds do not always give up cleanly. The third dataset, by contrast, is a count series of newly cataloged fragments per altitude band per month, where scale counts for more than line-by-line curation. The architecture is deliberate on that account: small and curated where attribution rules, large and rule-based where statistics rule. The rest of this chapter treats each dataset in turn, names its authoritative source, fixes the unit of analysis, and rebuilds each variable from the primary records.</w:t>
      </w:r>
    </w:p>
    <w:bookmarkEnd w:id="95"/>
    <w:bookmarkStart w:id="99" w:name="Xd0d5ed219f0beb72b106f2219d3c259c20c2663"/>
    <w:p>
      <w:pPr>
        <w:pStyle w:val="Heading2"/>
        <w:spacing w:line="480" w:lineRule="auto"/>
      </w:pPr>
      <w:r>
        <w:t xml:space="preserve">4.2 Dataset One: Documented On-Orbit Fragmentation Events</w:t>
      </w:r>
    </w:p>
    <w:bookmarkStart w:id="96" w:name="Xb114583172fba5582fc0425dfc83a039e4855fc"/>
    <w:p>
      <w:pPr>
        <w:pStyle w:val="Heading3"/>
        <w:spacing w:line="480" w:lineRule="auto"/>
      </w:pPr>
      <w:r>
        <w:t xml:space="preserve">4.2.1 Unit of Analysis and Authoritative Source</w:t>
      </w:r>
    </w:p>
    <w:p>
      <w:pPr>
        <w:pStyle w:val="FirstParagraph"/>
        <w:spacing w:line="480" w:lineRule="auto"/>
      </w:pPr>
      <w:r>
        <w:t xml:space="preserve">For Paper 1 the unit of analysis is a documented on-orbit fragmentation event. An event makes the cut only where four properties can be sourced from the public record: a parent object whose dry mass is reported, a cause of breakup that sorts as either an explosive event or a hypervelocity collision or kinetic intercept, an altitude band at which the breakup happened, and a count of cataloged fragments assignable to that event. So the unit is the event itself, not the parent object and not the resulting fragment, since the regression aims to estimate how event properties carry over into fragment yield.</w:t>
      </w:r>
    </w:p>
    <w:p>
      <w:pPr>
        <w:pStyle w:val="BodyText"/>
        <w:spacing w:line="480" w:lineRule="auto"/>
        <w:ind w:firstLine="720"/>
      </w:pPr>
      <w:r>
        <w:t xml:space="preserve">The roster’s anchor source is the</w:t>
      </w:r>
      <w:r>
        <w:t xml:space="preserve"> </w:t>
      </w:r>
      <w:r>
        <w:rPr>
          <w:i/>
          <w:iCs/>
        </w:rPr>
        <w:t xml:space="preserve">History of On-Orbit Satellite Fragmentations</w:t>
      </w:r>
      <w:r>
        <w:t xml:space="preserve">, fifteenth edition, NASA/TM-2018-220037, put out by the NASA Orbital Debris Program Office (ODPO)</w:t>
      </w:r>
      <w:r>
        <w:t xml:space="preserve"> </w:t>
      </w:r>
      <w:hyperlink w:anchor="ref-6">
        <w:r>
          <w:rPr>
            <w:rStyle w:val="Hyperlink"/>
          </w:rPr>
          <w:t xml:space="preserve">[6]</w:t>
        </w:r>
      </w:hyperlink>
      <w:r>
        <w:t xml:space="preserve">. That document is the canonical chronological catalog of known fragmentation events on orbit; for each event it gives the parent object’s international designator, the date of breakup, the cause so far as it has been settled, and, for the major events, a fragment count set by the cataloging authority. For events past the fifteenth edition’s publication date, the matching issues of the ODPO’s</w:t>
      </w:r>
      <w:r>
        <w:t xml:space="preserve"> </w:t>
      </w:r>
      <w:r>
        <w:rPr>
          <w:i/>
          <w:iCs/>
        </w:rPr>
        <w:t xml:space="preserve">Orbital Debris Quarterly News</w:t>
      </w:r>
      <w:r>
        <w:t xml:space="preserve"> </w:t>
      </w:r>
      <w:r>
        <w:t xml:space="preserve">serve the same role: each event is read out of the issue nearest in time to its breakup, with the parent metadata and fragment count taken as reported there. Naming ODPO the single authoritative source for the dependent variable is deliberate, since per-event fragment totals reported elsewhere can shift with the date of compilation and with whether secondary cataloging actions are folded in; leaning on one authority strips between-source inconsistency out of the regression.</w:t>
      </w:r>
    </w:p>
    <w:bookmarkEnd w:id="96"/>
    <w:bookmarkStart w:id="97" w:name="sample-composition"/>
    <w:p>
      <w:pPr>
        <w:pStyle w:val="Heading3"/>
        <w:spacing w:line="480" w:lineRule="auto"/>
      </w:pPr>
      <w:r>
        <w:t xml:space="preserve">4.2.2 Sample Composition</w:t>
      </w:r>
    </w:p>
    <w:p>
      <w:pPr>
        <w:pStyle w:val="FirstParagraph"/>
        <w:spacing w:line="480" w:lineRule="auto"/>
      </w:pPr>
      <w:r>
        <w:t xml:space="preserve">Twenty-one events run from 1965 to 2022. The roster was assembled to stretch the joint span of two design dimensions, the cause channel and the parent-mass range. Along the cause dimension, the sample takes in both explosive breakups, mostly spent rocket stages and battery- or propellant-related spacecraft anomalies, and high-energy collision or kinetic-intercept events. The collision arm rests on the three events that dominate the catalog era, the 2007 Fengyun-1C kinetic intercept, the 2009 Iridium 33 and Cosmos 2251 in-orbit collision, and the 2021 Cosmos 1408 intercept, rounded out by the earlier USA-193 and Microsat-R intercepts and by the 2024 Intelsat 33E breakup whose post-event tracking has appeared in the optical-survey literature</w:t>
      </w:r>
      <w:r>
        <w:t xml:space="preserve"> </w:t>
      </w:r>
      <w:hyperlink w:anchor="ref-11">
        <w:r>
          <w:rPr>
            <w:rStyle w:val="Hyperlink"/>
          </w:rPr>
          <w:t xml:space="preserve">[11]</w:t>
        </w:r>
      </w:hyperlink>
      <w:r>
        <w:t xml:space="preserve">. Along the mass dimension, the parents stretch from sub-tonne spacecraft to a six-and-a-half-tonne upper stage, which gives leverage for pinning a mass elasticity even on a sample this size. The 1965 start year mirrors the earliest documented fragmentations the ODPO history carries; the 2022 close mirrors the demand that an event be old enough for the cataloging process to have settled on a final fragment count by the compilation snapshot.</w:t>
      </w:r>
    </w:p>
    <w:p>
      <w:pPr>
        <w:pStyle w:val="BodyText"/>
        <w:spacing w:line="480" w:lineRule="auto"/>
        <w:ind w:firstLine="720"/>
      </w:pPr>
      <w:r>
        <w:t xml:space="preserve">This roster is no random sample of all fragmentations. It is a curated census of events for which all four required variables can be recovered from the cited sources. Events whose parent mass goes undocumented, whose cause stays uncertain past what the ODPO record can disambiguate, or whose fragment count has yet to settle by the snapshot date fall out by design. This selection criterion is a deliberate one in service of measurement quality, and it is reported plainly in the limitations of Paper 1.</w:t>
      </w:r>
    </w:p>
    <w:bookmarkEnd w:id="97"/>
    <w:bookmarkStart w:id="98" w:name="variable-construction"/>
    <w:p>
      <w:pPr>
        <w:pStyle w:val="Heading3"/>
        <w:spacing w:line="480" w:lineRule="auto"/>
      </w:pPr>
      <w:r>
        <w:t xml:space="preserve">4.2.3 Variable Construction</w:t>
      </w:r>
    </w:p>
    <w:p>
      <w:pPr>
        <w:pStyle w:val="FirstParagraph"/>
        <w:spacing w:line="480" w:lineRule="auto"/>
      </w:pPr>
      <w:r>
        <w:t xml:space="preserve">Four variables get built for each event. The dependent variable, the cataloged fragment count, comes straight from the ODPO publication that documents the event. It is the count of pieces cataloged as belonging to that breakup, above the network’s cataloging threshold, at the time of the cited compilation. The count is what the authority reports; no aggregation or de-duplication happens beyond what the ODPO record already folds in. For the regression, the count enters in natural logarithms, matching the power-law form of the NASA Standard Breakup Model that motivates the specification</w:t>
      </w:r>
      <w:r>
        <w:t xml:space="preserve"> </w:t>
      </w:r>
      <w:hyperlink w:anchor="ref-6">
        <w:r>
          <w:rPr>
            <w:rStyle w:val="Hyperlink"/>
          </w:rPr>
          <w:t xml:space="preserve">[6]</w:t>
        </w:r>
      </w:hyperlink>
      <w:r>
        <w:t xml:space="preserve">. Three of the twenty-one counts, fewer than fifteen percent of the rows, carry a flag in the dataset as illustrative where a firmly documented per-event ODPO total could not be retrieved at compilation time; for those events the parent mass, cause, and altitude are sourced, and the count is a reasoned approximation flagged plainly in the dedicated source column.</w:t>
      </w:r>
    </w:p>
    <w:p>
      <w:pPr>
        <w:pStyle w:val="BodyText"/>
        <w:spacing w:line="480" w:lineRule="auto"/>
        <w:ind w:firstLine="720"/>
      </w:pPr>
      <w:r>
        <w:t xml:space="preserve">The first independent variable, parent dry mass, gets built from the spacecraft and launch-vehicle reference record for the parent object. For spacecraft parents, dry mass comes from the NASA NSSDCA Master Catalog entry for the object, cross-checked against the operator or manufacturer specification where the NSSDCA entry gives launch mass in place of dry mass. For upper-stage parents, dry mass comes from the published mass statement for the stage. The variable is reported in kilograms and enters the regression in natural logarithms, so its coefficient reads as an elasticity. The construction rule takes dry mass as a fixed property of the parent class rather than an event-specific quantity, on the reasoning that the dynamical question is what mass stood available to comminute, and propellant residuals at the moment of breakup go unreliably reported across the historical sample.</w:t>
      </w:r>
    </w:p>
    <w:p>
      <w:pPr>
        <w:pStyle w:val="BodyText"/>
        <w:spacing w:line="480" w:lineRule="auto"/>
        <w:ind w:firstLine="720"/>
      </w:pPr>
      <w:r>
        <w:t xml:space="preserve">The second independent variable, the collision indicator, is a binary marker set to one for hypervelocity collisions and kinetic intercepts and to zero for explosive breakups. Its classification comes from the cause field of the ODPO record. What splits the two categories is the physical mechanism of energy release: a kinetic intercept or in-orbit collision drives external kinetic energy in at orbital relative velocity, whereas an explosive breakup lets go of stored chemical energy from residual propellant, battery rupture, or a related anomaly. The dichotomy runs coarse by construction; the Paper 1 specification takes the coarseness because the substantive claim goes to the difference in fragment yield between channels, not to the precise energy of any one event, and a continuous energy measure is not to be had across the historical sample with consistent provenance.</w:t>
      </w:r>
    </w:p>
    <w:p>
      <w:pPr>
        <w:pStyle w:val="BodyText"/>
        <w:spacing w:line="480" w:lineRule="auto"/>
        <w:ind w:firstLine="720"/>
      </w:pPr>
      <w:r>
        <w:t xml:space="preserve">The third independent variable, the altitude band of the event, is logged in kilometers above mean sea level and read from the orbital-element record of the parent at the epoch nearest the breakup. For the major collision and intercept events, the altitude comes from the cataloging authority’s reconstruction of the event. The altitude variable plays a stratifying role in the Paper 1 analysis and a primary role in the Paper 2 analysis below; the construction rule holds identical across the two datasets.</w:t>
      </w:r>
    </w:p>
    <w:p>
      <w:pPr>
        <w:pStyle w:val="BodyText"/>
        <w:spacing w:line="480" w:lineRule="auto"/>
        <w:ind w:firstLine="720"/>
      </w:pPr>
      <w:r>
        <w:t xml:space="preserve">A fifth column in the dataset, not a regression variable, logs the source citation for the row, naming the specific ODPO publication, NSSDCA entry, or supplementary record each numeric value came from. That column is the operational face of the rule that no row enters the analysis without an identifiable primary record.</w:t>
      </w:r>
    </w:p>
    <w:bookmarkEnd w:id="98"/>
    <w:bookmarkEnd w:id="99"/>
    <w:bookmarkStart w:id="103" w:name="dataset-two-the-survival-panel"/>
    <w:p>
      <w:pPr>
        <w:pStyle w:val="Heading2"/>
        <w:spacing w:line="480" w:lineRule="auto"/>
      </w:pPr>
      <w:r>
        <w:t xml:space="preserve">4.3 Dataset Two: The Survival Panel</w:t>
      </w:r>
    </w:p>
    <w:bookmarkStart w:id="100" w:name="X2ccdbb80953cdbe680aff1bf5c7d08311acf366"/>
    <w:p>
      <w:pPr>
        <w:pStyle w:val="Heading3"/>
        <w:spacing w:line="480" w:lineRule="auto"/>
      </w:pPr>
      <w:r>
        <w:t xml:space="preserve">4.3.1 Unit of Analysis and Authoritative Sources</w:t>
      </w:r>
    </w:p>
    <w:p>
      <w:pPr>
        <w:pStyle w:val="FirstParagraph"/>
        <w:spacing w:line="480" w:lineRule="auto"/>
      </w:pPr>
      <w:r>
        <w:t xml:space="preserve">For Paper 2 the unit of analysis is an individual resident space object carrying a documented launch epoch and a documented orbital regime. The panel is a survival dataset: each object hands over a duration measured from launch to either decay or right-censoring at the snapshot date, together with a small set of covariates that catch the physical drivers of atmospheric drag.</w:t>
      </w:r>
    </w:p>
    <w:p>
      <w:pPr>
        <w:pStyle w:val="BodyText"/>
        <w:spacing w:line="480" w:lineRule="auto"/>
        <w:ind w:firstLine="720"/>
      </w:pPr>
      <w:r>
        <w:t xml:space="preserve">Three authoritative sources jointly feed the panel. The NASA NSSDCA Master Catalog gives launch dates, mission classifications, and dry-mass or launch-mass entries for the spacecraft and stages in the sample. The United States Space Force Space-Track satellite catalog, run out through the Space-Track.org service operated by the 18th Space Defense Squadron, gives the decay-date field and the orbital-element history from which altitude bands and perigee altitudes get read. Published reentry records put out by the European Space Agency Space Debris Office and by the Aerospace Corporation confirm decay dates for the higher-profile reentries in the sample and clear up ambiguity in cases where the Space-Track decay flag runs ahead of the public reentry announcement. Altitude attribution for fragment-cloud entries draws on the quarter-century population survey by Pardini and Anselmo</w:t>
      </w:r>
      <w:r>
        <w:t xml:space="preserve"> </w:t>
      </w:r>
      <w:hyperlink w:anchor="ref-7">
        <w:r>
          <w:rPr>
            <w:rStyle w:val="Hyperlink"/>
          </w:rPr>
          <w:t xml:space="preserve">[7]</w:t>
        </w:r>
      </w:hyperlink>
      <w:r>
        <w:t xml:space="preserve">, which characterizes how fragment clouds persist in the 700 to 1000 kilometer regime. Solar-epoch classification at the launch date follows the solar-cycle record put out by the United States National Oceanic and Atmospheric Administration Space Weather Prediction Center; a launch codes as elevated-solar where its date lands within the ascending or descending limb of a solar maximum as bounded by the SWPC record.</w:t>
      </w:r>
    </w:p>
    <w:bookmarkEnd w:id="100"/>
    <w:bookmarkStart w:id="101" w:name="sample-composition-1"/>
    <w:p>
      <w:pPr>
        <w:pStyle w:val="Heading3"/>
        <w:spacing w:line="480" w:lineRule="auto"/>
      </w:pPr>
      <w:r>
        <w:t xml:space="preserve">4.3.2 Sample Composition</w:t>
      </w:r>
    </w:p>
    <w:p>
      <w:pPr>
        <w:pStyle w:val="FirstParagraph"/>
        <w:spacing w:line="480" w:lineRule="auto"/>
      </w:pPr>
      <w:r>
        <w:t xml:space="preserve">Thirty-four objects fill the panel, running across the full history of spaceflight from Sputnik 1 through operational mega-constellation spacecraft and selected fragment-cloud representatives. Twenty-two of the thirty-four had decayed or reentered by the catalog snapshot of June 2026 and hand over observed event times. The remaining twelve were still on orbit at the snapshot and enter the analysis as right-censored observations, their survival times logged as the elapsed months from launch to the snapshot date. The censoring share, roughly thirty-five percent, is far from trivial and is the substantive reason the Cox proportional-hazards estimator gets used; an estimator that threw out censored cases would drop exactly the highest-altitude and longest-lived objects in the panel, which are the cases that anchor the altitude gradient.</w:t>
      </w:r>
    </w:p>
    <w:p>
      <w:pPr>
        <w:pStyle w:val="BodyText"/>
        <w:spacing w:line="480" w:lineRule="auto"/>
        <w:ind w:firstLine="720"/>
      </w:pPr>
      <w:r>
        <w:t xml:space="preserve">This panel is a curated sample rather than a random draw from the catalog. Objects earned selection for the public availability and traceability of all four required record types: a launch epoch, an orbital regime, a decay or status flag, and an object-class assignment. The selection puts coverage of the altitude and class strata the model needs to identify first, and Paper 2 reports as a limitation that the coefficients describe the documented panel and should be re-estimated on a full catalog snapshot before they parameterize an operational detector.</w:t>
      </w:r>
    </w:p>
    <w:bookmarkEnd w:id="101"/>
    <w:bookmarkStart w:id="102" w:name="variable-construction-1"/>
    <w:p>
      <w:pPr>
        <w:pStyle w:val="Heading3"/>
        <w:spacing w:line="480" w:lineRule="auto"/>
      </w:pPr>
      <w:r>
        <w:t xml:space="preserve">4.3.3 Variable Construction</w:t>
      </w:r>
    </w:p>
    <w:p>
      <w:pPr>
        <w:pStyle w:val="FirstParagraph"/>
        <w:spacing w:line="480" w:lineRule="auto"/>
      </w:pPr>
      <w:r>
        <w:t xml:space="preserve">Five variables get built for each object. The first, the survival time in months, is worked out as the elapsed time between the launch epoch and either the decay date or the snapshot date, whichever lands first. Launch and decay dates come from the NSSDCA entry and the Space-Track decay record, respectively, with ESA and Aerospace Corporation reentry records used to confirm or correct the Space-Track date where the two clash. Conversion to months runs on a fixed 30.4375-day month so survival times across decades stay comparable. The second variable, the decay-event indicator, takes the value one where a decay date is on record for the object and zero where the object was still on orbit at the snapshot. That indicator and the survival time together make up the standard right-censored survival pair.</w:t>
      </w:r>
    </w:p>
    <w:p>
      <w:pPr>
        <w:pStyle w:val="BodyText"/>
        <w:spacing w:line="480" w:lineRule="auto"/>
        <w:ind w:firstLine="720"/>
      </w:pPr>
      <w:r>
        <w:t xml:space="preserve">The third variable, the mean operational altitude band, is logged in kilometers and read from the cataloged orbital elements at the object’s nominal operating epoch, which for intact spacecraft is the post-commissioning epoch and for upper stages the post-deployment epoch. For fragment-cloud entries, the operational altitude comes from the population survey of Pardini and Anselmo</w:t>
      </w:r>
      <w:r>
        <w:t xml:space="preserve"> </w:t>
      </w:r>
      <w:hyperlink w:anchor="ref-7">
        <w:r>
          <w:rPr>
            <w:rStyle w:val="Hyperlink"/>
          </w:rPr>
          <w:t xml:space="preserve">[7]</w:t>
        </w:r>
      </w:hyperlink>
      <w:r>
        <w:t xml:space="preserve">, which gives the altitudes of the dominant fragment populations from the 2007 and 2009 events. The variable enters the Cox specification in units of one hundred kilometers, so the estimated coefficient and its exponentiated hazard ratio read as the multiplicative change in instantaneous decay risk per hundred-kilometer rise in band. The fourth variable, the perigee altitude in kilometers, is read from the same orbital-element record and kept in the dataset for sensitivity analyses and sub-panel descriptive work; it stays out of the main Cox specification, where mean altitude band is the primary altitude regressor.</w:t>
      </w:r>
    </w:p>
    <w:p>
      <w:pPr>
        <w:pStyle w:val="BodyText"/>
        <w:spacing w:line="480" w:lineRule="auto"/>
        <w:ind w:firstLine="720"/>
      </w:pPr>
      <w:r>
        <w:t xml:space="preserve">The fifth variable, the heavy low-area-to-mass indicator, is a binary marker set to one for objects whose physical class puts them in the low area-to-mass category typical of intact spacecraft and rocket bodies, and to zero for objects in the high area-to-mass category typical of collisional fragments. Its classification follows from the object-type field of the Space-Track catalog and the NSSDCA mission entry. Binarization gets chosen because a continuous area-to-mass ratio goes inconsistently reported across the panel, whereas the categorical split between intact objects and fragment-cloud members runs sharp and well backed by the experimental fragmentation literature on the area-to-mass distribution of collisional fragments</w:t>
      </w:r>
      <w:r>
        <w:t xml:space="preserve"> </w:t>
      </w:r>
      <w:hyperlink w:anchor="ref-4">
        <w:r>
          <w:rPr>
            <w:rStyle w:val="Hyperlink"/>
          </w:rPr>
          <w:t xml:space="preserve">[4]</w:t>
        </w:r>
      </w:hyperlink>
      <w:r>
        <w:t xml:space="preserve">. The sixth variable, the elevated-solar indicator, is a binary marker built by intersecting the launch date with the SWPC solar-cycle record; an object whose launch lands within the high-flux phase of the cycle codes one, and the rest code zero. Paper 2 grants that the variable is a coarse proxy for the full solar-flux exposure history an object runs through across its lifetime, and it reads the modest precision of the matching hazard ratio in light of that coarseness.</w:t>
      </w:r>
    </w:p>
    <w:p>
      <w:pPr>
        <w:pStyle w:val="BodyText"/>
        <w:spacing w:line="480" w:lineRule="auto"/>
        <w:ind w:firstLine="720"/>
      </w:pPr>
      <w:r>
        <w:t xml:space="preserve">As in Paper 1, the final column of the dataset logs the source citation for each row, naming the specific NSSDCA entry, Space-Track field, ESA or Aerospace reentry note, or solar-cycle bound each numeric value came from. A small run of entries, fewer than nine percent of rows, carry an illustrative marker on the launch epoch where the exact date of a representative class member went individually unresolved; in every such case the altitude regime and the survival outcome that drive the model are real and sourced.</w:t>
      </w:r>
    </w:p>
    <w:bookmarkEnd w:id="102"/>
    <w:bookmarkEnd w:id="103"/>
    <w:bookmarkStart w:id="107" w:name="X5a4ad0899dafb01df1c83ead76f5ea4dd914347"/>
    <w:p>
      <w:pPr>
        <w:pStyle w:val="Heading2"/>
        <w:spacing w:line="480" w:lineRule="auto"/>
      </w:pPr>
      <w:r>
        <w:t xml:space="preserve">4.4 Dataset Three: The Catalog Time Series for the Detector</w:t>
      </w:r>
    </w:p>
    <w:bookmarkStart w:id="104" w:name="unit-of-analysis-and-primary-records"/>
    <w:p>
      <w:pPr>
        <w:pStyle w:val="Heading3"/>
        <w:spacing w:line="480" w:lineRule="auto"/>
      </w:pPr>
      <w:r>
        <w:t xml:space="preserve">4.4.1 Unit of Analysis and Primary Records</w:t>
      </w:r>
    </w:p>
    <w:p>
      <w:pPr>
        <w:pStyle w:val="FirstParagraph"/>
        <w:spacing w:line="480" w:lineRule="auto"/>
      </w:pPr>
      <w:r>
        <w:t xml:space="preserve">The detector the prospectus puts forward runs on a count series of newly cataloged fragments per altitude band per month, stripped of launch cadence and a drag proxy. Its unit of analysis is the band-month: a pair made of a fixed altitude band and a calendar month. Its two primary records are the public satellite catalog (SATCAT) and the historical two-line-element (TLE) archive, both run out through the Space-Track.org service operated by the United States Space Force 18th Space Defense Squadron. SATCAT gives the object-type, status, country-of-registration, and launch-association fields used for attribution; the TLE archive gives the orbital-element history from which each newly cataloged object gets pinned to an altitude band at its epoch of first appearance. The atmospheric drag proxy gets built from the solar radio flux (F10.7) and geomagnetic (Kp and Ap) indices put out by the NOAA Space Weather Prediction Center, run together with a standard thermospheric density model to yield a band-mean neutral density per month. That thermospheric density variation bears on debris removal rates and on carrying-capacity constraints in the high bands is set down in the retrieved corpus</w:t>
      </w:r>
      <w:r>
        <w:t xml:space="preserve"> </w:t>
      </w:r>
      <w:hyperlink w:anchor="ref-5">
        <w:r>
          <w:rPr>
            <w:rStyle w:val="Hyperlink"/>
          </w:rPr>
          <w:t xml:space="preserve">[5]</w:t>
        </w:r>
      </w:hyperlink>
      <w:r>
        <w:t xml:space="preserve">,</w:t>
      </w:r>
      <w:r>
        <w:t xml:space="preserve"> </w:t>
      </w:r>
      <w:hyperlink w:anchor="ref-7">
        <w:r>
          <w:rPr>
            <w:rStyle w:val="Hyperlink"/>
          </w:rPr>
          <w:t xml:space="preserve">[7]</w:t>
        </w:r>
      </w:hyperlink>
      <w:r>
        <w:t xml:space="preserve">.</w:t>
      </w:r>
    </w:p>
    <w:bookmarkEnd w:id="104"/>
    <w:bookmarkStart w:id="105" w:name="variable-construction-2"/>
    <w:p>
      <w:pPr>
        <w:pStyle w:val="Heading3"/>
        <w:spacing w:line="480" w:lineRule="auto"/>
      </w:pPr>
      <w:r>
        <w:t xml:space="preserve">4.4.2 Variable Construction</w:t>
      </w:r>
    </w:p>
    <w:p>
      <w:pPr>
        <w:pStyle w:val="FirstParagraph"/>
        <w:spacing w:line="480" w:lineRule="auto"/>
      </w:pPr>
      <w:r>
        <w:t xml:space="preserve">Building the band-month dataset runs in three steps. Step one, attribution: each newly cataloged object in the SATCAT record, marked by its first appearance in the catalog within the observation window, gets sorted as either launch-associated or fragmentation-associated. The sorting rule leans on the SATCAT object-type field, the launch designator, and association to known parent objects through the international designator chain the ODPO fragmentation record documents</w:t>
      </w:r>
      <w:r>
        <w:t xml:space="preserve"> </w:t>
      </w:r>
      <w:hyperlink w:anchor="ref-6">
        <w:r>
          <w:rPr>
            <w:rStyle w:val="Hyperlink"/>
          </w:rPr>
          <w:t xml:space="preserve">[6]</w:t>
        </w:r>
      </w:hyperlink>
      <w:r>
        <w:t xml:space="preserve">. An object whose international designator and launch date match an active launch campaign sorts as launch-associated; an object whose designator chain or first-epoch orbit ties it to a documented breakup parent sorts as fragmentation-associated. Objects that the rules cannot sort get flagged and dropped from the fragmentation series for the band-month at hand, with the count of dropped objects reported as a measurement-uncertainty quantity.</w:t>
      </w:r>
    </w:p>
    <w:p>
      <w:pPr>
        <w:pStyle w:val="BodyText"/>
        <w:spacing w:line="480" w:lineRule="auto"/>
        <w:ind w:firstLine="720"/>
      </w:pPr>
      <w:r>
        <w:t xml:space="preserve">Step two, banding: the altitude band of each fragmentation-associated object gets read from its first available TLE, with the mean altitude worked out from the semi-major axis and eccentricity at that epoch. The bands themselves stand fixed at 50-kilometer intervals from 200 to 2000 kilometers, the LEO regime where the source-and-sink dynamics of interest play out</w:t>
      </w:r>
      <w:r>
        <w:t xml:space="preserve"> </w:t>
      </w:r>
      <w:hyperlink w:anchor="ref-7">
        <w:r>
          <w:rPr>
            <w:rStyle w:val="Hyperlink"/>
          </w:rPr>
          <w:t xml:space="preserve">[7]</w:t>
        </w:r>
      </w:hyperlink>
      <w:r>
        <w:t xml:space="preserve">. The band edges take no cue from the data; they are fixed once and reported, so the band-month assignment stays reproducible from the TLE archive alone.</w:t>
      </w:r>
    </w:p>
    <w:p>
      <w:pPr>
        <w:pStyle w:val="BodyText"/>
        <w:spacing w:line="480" w:lineRule="auto"/>
        <w:ind w:firstLine="720"/>
      </w:pPr>
      <w:r>
        <w:t xml:space="preserve">Step three, aggregation: for each band-month, the fragmentation-only count is the number of fragmentation-associated objects whose first-appearance epoch lands within the month and whose mean altitude lands within the band. The launch-only count gets built in parallel for use as a residualization regressor. The drag proxy series gets built by averaging the SWPC F10.7 and Ap indices over the month and running a standard thermospheric density model at the band’s mean altitude, yielding a band-mean neutral-density series at monthly resolution.</w:t>
      </w:r>
    </w:p>
    <w:bookmarkEnd w:id="105"/>
    <w:bookmarkStart w:id="106" w:name="residualization-and-stratification"/>
    <w:p>
      <w:pPr>
        <w:pStyle w:val="Heading3"/>
        <w:spacing w:line="480" w:lineRule="auto"/>
      </w:pPr>
      <w:r>
        <w:t xml:space="preserve">4.4.3 Residualization and Stratification</w:t>
      </w:r>
    </w:p>
    <w:p>
      <w:pPr>
        <w:pStyle w:val="FirstParagraph"/>
        <w:spacing w:line="480" w:lineRule="auto"/>
      </w:pPr>
      <w:r>
        <w:t xml:space="preserve">The detector runs on the residual of the fragmentation count series once the launch cadence and drag-proxy series come off, so the residual answers to collisional dynamics rather than the exogenous forcing that would otherwise swamp the raw count. Residualization is a regression on contemporaneous and lagged terms, with lag selection handled as a sensitivity parameter and reported alongside the main result. Stratification on object size is the second design feature of the band-month series. Since much of the collisionally relevant fragment material sits below the network’s tracking threshold</w:t>
      </w:r>
      <w:r>
        <w:t xml:space="preserve"> </w:t>
      </w:r>
      <w:hyperlink w:anchor="ref-4">
        <w:r>
          <w:rPr>
            <w:rStyle w:val="Hyperlink"/>
          </w:rPr>
          <w:t xml:space="preserve">[4]</w:t>
        </w:r>
      </w:hyperlink>
      <w:r>
        <w:t xml:space="preserve">, the detector runs within size strata above a conservative tracking limit, and the result reads as a statement about the trackable band. Documented shifts in surveillance-network sensitivity over the observation window get cross-checked against the within-stratum trends so a sensor-driven rise in the count cannot pass for a dynamical signal. Building the third dataset is therefore not the building of one series but of a family of band-by-stratum series, each testable on its own and each reproducible from the cited primary records.</w:t>
      </w:r>
    </w:p>
    <w:bookmarkEnd w:id="106"/>
    <w:bookmarkEnd w:id="107"/>
    <w:bookmarkStart w:id="108" w:name="Xa10133fd3d269f13c16eb9dc0b3641c9eaf9256"/>
    <w:p>
      <w:pPr>
        <w:pStyle w:val="Heading2"/>
        <w:spacing w:line="480" w:lineRule="auto"/>
      </w:pPr>
      <w:r>
        <w:t xml:space="preserve">4.5 Measurement Threats and Their Mitigations</w:t>
      </w:r>
    </w:p>
    <w:p>
      <w:pPr>
        <w:pStyle w:val="FirstParagraph"/>
        <w:spacing w:line="480" w:lineRule="auto"/>
      </w:pPr>
      <w:r>
        <w:t xml:space="preserve">Across the three datasets, four measurement threats keep recurring and each gets addressed by design. The first is attribution error in the fragmentation series, where a launch-associated object gets misread as fragmentation-associated or the reverse. The mitigation leans on two independent record types, SATCAT object-type fields and the ODPO designator chain, with disagreements flagged rather than quietly resolved. The second is sensor-sensitivity drift, where gains in network sensitivity over time pump up the apparent fragment-generation rate on their own, with no change to the underlying dynamics. The mitigation leans on the within-stratum design and the cross-check against documented sensitivity shifts. The third is the censored-slice problem: the catalog watches only the trackable band, and the experimental fragmentation literature shows a large reservoir of sub-trackable fragments sitting below that threshold</w:t>
      </w:r>
      <w:r>
        <w:t xml:space="preserve"> </w:t>
      </w:r>
      <w:hyperlink w:anchor="ref-4">
        <w:r>
          <w:rPr>
            <w:rStyle w:val="Hyperlink"/>
          </w:rPr>
          <w:t xml:space="preserve">[4]</w:t>
        </w:r>
      </w:hyperlink>
      <w:r>
        <w:t xml:space="preserve">. The mitigation states plainly that all three datasets and all derived results hold conditional on the trackable band, and reads null findings as informative about that band alone. The fourth is line-level provenance: any dataset in which a single fabricated or misassigned row could swing the substantive conclusion. The mitigation leans on the rule, shared across all three datasets, that each row carries a source citation in a dedicated column and that illustrative rows get flagged there, so an outside party can replicate the analysis against the same archived state of the primary records.</w:t>
      </w:r>
    </w:p>
    <w:p>
      <w:pPr>
        <w:pStyle w:val="BodyText"/>
        <w:spacing w:line="480" w:lineRule="auto"/>
        <w:ind w:firstLine="720"/>
      </w:pPr>
      <w:r>
        <w:t xml:space="preserve">Together these datasets and these measurement rules furnish the empirical material for the chapters ahead. The cross-event regression of Chapter 5 estimates how the source term turns on event properties on the documented fragmentation roster. The survival model of Chapter 6 estimates how the sink term turns on altitude and object class on the survival panel. And the detector of Chapter 7 will run against the band-by-stratum residualized series built from the SATCAT and TLE archives and the SWPC indices, with the source-side estimates of Chapter 5 and the sink-side estimates of Chapter 6 furnishing the physical calibration any early-warning signal must be read against</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p>
    <w:bookmarkEnd w:id="108"/>
    <w:bookmarkEnd w:id="109"/>
    <w:bookmarkStart w:id="118" w:name="chapter-5.-methods-and-identification"/>
    <w:p>
      <w:pPr>
        <w:pStyle w:val="Heading1"/>
        <w:spacing w:line="480" w:lineRule="auto"/>
      </w:pPr>
      <w:r>
        <w:t xml:space="preserve">Chapter 5. Methods and Identification</w:t>
      </w:r>
    </w:p>
    <w:bookmarkStart w:id="110" w:name="X81c5a2e8a399c2fef5205a6d3dc138d2b25cd5b"/>
    <w:p>
      <w:pPr>
        <w:pStyle w:val="Heading2"/>
        <w:spacing w:line="480" w:lineRule="auto"/>
      </w:pPr>
      <w:r>
        <w:t xml:space="preserve">5.1 Purpose and Position within the Dissertation</w:t>
      </w:r>
    </w:p>
    <w:p>
      <w:pPr>
        <w:pStyle w:val="FirstParagraph"/>
        <w:spacing w:line="480" w:lineRule="auto"/>
      </w:pPr>
      <w:r>
        <w:t xml:space="preserve">The preceding chapters settled that the detection question is well posed. Dynamical work locates a bifurcation in the low Earth orbit population whose source term is collisional fragmentation</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 the carrying-capacity line names the high-altitude regime as the band where stationary populations stop being sustainable</w:t>
      </w:r>
      <w:r>
        <w:t xml:space="preserve"> </w:t>
      </w:r>
      <w:hyperlink w:anchor="ref-3">
        <w:r>
          <w:rPr>
            <w:rStyle w:val="Hyperlink"/>
          </w:rPr>
          <w:t xml:space="preserve">[3]</w:t>
        </w:r>
      </w:hyperlink>
      <w:r>
        <w:t xml:space="preserve">,</w:t>
      </w:r>
      <w:r>
        <w:t xml:space="preserve"> </w:t>
      </w:r>
      <w:hyperlink w:anchor="ref-5">
        <w:r>
          <w:rPr>
            <w:rStyle w:val="Hyperlink"/>
          </w:rPr>
          <w:t xml:space="preserve">[5]</w:t>
        </w:r>
      </w:hyperlink>
      <w:r>
        <w:t xml:space="preserve">, and the experimental and observational breakup literatures hand over the physical basis for reading cataloged fragment counts as the observable trace of collisional events</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 Two empirical companion studies, laid out at length in the earlier chapters, then tightened the substantive ground a detector has to stand on. The cross-event regression showed that the collision channel and not parent mass is what fills the trackable band of the catalog, so a source-side detector reading catalog growth reads a quantity that leans toward the physically relevant production term. The Cox survival model showed the decay hazard dropping by roughly forty-two percent for every added hundred kilometers of altitude band, so the sink any rising source must be weighed against is itself strongly graded by altitude</w:t>
      </w:r>
      <w:r>
        <w:t xml:space="preserve"> </w:t>
      </w:r>
      <w:hyperlink w:anchor="ref-3">
        <w:r>
          <w:rPr>
            <w:rStyle w:val="Hyperlink"/>
          </w:rPr>
          <w:t xml:space="preserve">[3]</w:t>
        </w:r>
      </w:hyperlink>
      <w:r>
        <w:t xml:space="preserve">,</w:t>
      </w:r>
      <w:r>
        <w:t xml:space="preserve"> </w:t>
      </w:r>
      <w:hyperlink w:anchor="ref-8">
        <w:r>
          <w:rPr>
            <w:rStyle w:val="Hyperlink"/>
          </w:rPr>
          <w:t xml:space="preserve">[8]</w:t>
        </w:r>
      </w:hyperlink>
      <w:r>
        <w:t xml:space="preserve">. Detection therefore runs sharpest exactly where the sink runs weakest, and the catalog quantity an operator watches ties to the physical channel of interest.</w:t>
      </w:r>
    </w:p>
    <w:p>
      <w:pPr>
        <w:pStyle w:val="BodyText"/>
        <w:spacing w:line="480" w:lineRule="auto"/>
        <w:ind w:firstLine="720"/>
      </w:pPr>
      <w:r>
        <w:t xml:space="preserve">This chapter lays out, with the rigor replication and adversarial defense demand, the estimators that test the singular hypothesis of the prospectus, the identification strategy that turns those estimators into causal-grade statements about the catalog, and the threats to validity that fence each statement. It presents no results. It lays out the procedures that yield them. The order of exposition tracks the order of construction: attribution first, because nothing the detector reports means anything unless the input series isolates collisional fragmentation; detrending second, because the residual series is the object the indicators run on; estimators third, because the indicators are the test statistics; inference fourth, because the surrogate null distribution is what gives the trend tests their size; and threats to validity last, because a specific design choice fences each threat and each must be made plain.</w:t>
      </w:r>
    </w:p>
    <w:bookmarkEnd w:id="110"/>
    <w:bookmarkStart w:id="111" w:name="X40ae00d42cd812d332571140296fa297ef84bcf"/>
    <w:p>
      <w:pPr>
        <w:pStyle w:val="Heading2"/>
        <w:spacing w:line="480" w:lineRule="auto"/>
      </w:pPr>
      <w:r>
        <w:t xml:space="preserve">5.2 The Observable Quantity and Its Construction</w:t>
      </w:r>
    </w:p>
    <w:p>
      <w:pPr>
        <w:pStyle w:val="FirstParagraph"/>
        <w:spacing w:line="480" w:lineRule="auto"/>
      </w:pPr>
      <w:r>
        <w:t xml:space="preserve">What the detector runs on is the monthly count of newly cataloged trackable fragments assignable to a fixed low Earth orbit altitude band, worked out as a time series across the observation window. Three properties of this quantity call for formal specification, and each gets set out in turn.</w:t>
      </w:r>
    </w:p>
    <w:p>
      <w:pPr>
        <w:pStyle w:val="BodyText"/>
        <w:spacing w:line="480" w:lineRule="auto"/>
        <w:ind w:firstLine="720"/>
      </w:pPr>
      <w:r>
        <w:t xml:space="preserve">Take the band first. The altitude axis splits into one-hundred-kilometer bins from two hundred to two thousand kilometers, with the primary analysis run on the sun-synchronous band centered near eight hundred kilometers, the regime where the most consequential fragment clouds sit</w:t>
      </w:r>
      <w:r>
        <w:t xml:space="preserve"> </w:t>
      </w:r>
      <w:hyperlink w:anchor="ref-3">
        <w:r>
          <w:rPr>
            <w:rStyle w:val="Hyperlink"/>
          </w:rPr>
          <w:t xml:space="preserve">[3]</w:t>
        </w:r>
      </w:hyperlink>
      <w:r>
        <w:t xml:space="preserve">,</w:t>
      </w:r>
      <w:r>
        <w:t xml:space="preserve"> </w:t>
      </w:r>
      <w:hyperlink w:anchor="ref-19">
        <w:r>
          <w:rPr>
            <w:rStyle w:val="Hyperlink"/>
          </w:rPr>
          <w:t xml:space="preserve">[19]</w:t>
        </w:r>
      </w:hyperlink>
      <w:r>
        <w:t xml:space="preserve">, and where the sink runs weakest by the magnitude the survival chapter set</w:t>
      </w:r>
      <w:r>
        <w:t xml:space="preserve"> </w:t>
      </w:r>
      <w:hyperlink w:anchor="ref-8">
        <w:r>
          <w:rPr>
            <w:rStyle w:val="Hyperlink"/>
          </w:rPr>
          <w:t xml:space="preserve">[8]</w:t>
        </w:r>
      </w:hyperlink>
      <w:r>
        <w:t xml:space="preserve">. Each newly cataloged fragment gets pinned to its band by the mean of its perigee and apogee at first epoch in the public catalog, as logged in the Space-Track satellite-catalog (SATCAT) field set. Sensitivity to the band boundary gets handled explicitly in Section 5.7.</w:t>
      </w:r>
    </w:p>
    <w:p>
      <w:pPr>
        <w:pStyle w:val="BodyText"/>
        <w:spacing w:line="480" w:lineRule="auto"/>
        <w:ind w:firstLine="720"/>
      </w:pPr>
      <w:r>
        <w:t xml:space="preserve">Take the attribution next. Each newly cataloged object gets sorted as launch-associated, fragmentation-associated, or unattributed by a deterministic rule on the SATCAT object-type and parent-association fields, backed by the documented break-up event records of the NASA Orbital Debris Program Office</w:t>
      </w:r>
      <w:r>
        <w:t xml:space="preserve"> </w:t>
      </w:r>
      <w:hyperlink w:anchor="ref-6">
        <w:r>
          <w:rPr>
            <w:rStyle w:val="Hyperlink"/>
          </w:rPr>
          <w:t xml:space="preserve">[6]</w:t>
        </w:r>
      </w:hyperlink>
      <w:r>
        <w:t xml:space="preserve"> </w:t>
      </w:r>
      <w:r>
        <w:t xml:space="preserve">and by the rapid tracking and cataloging procedures worked up for recent events such as Intelsat 33E</w:t>
      </w:r>
      <w:r>
        <w:t xml:space="preserve"> </w:t>
      </w:r>
      <w:hyperlink w:anchor="ref-11">
        <w:r>
          <w:rPr>
            <w:rStyle w:val="Hyperlink"/>
          </w:rPr>
          <w:t xml:space="preserve">[11]</w:t>
        </w:r>
      </w:hyperlink>
      <w:r>
        <w:t xml:space="preserve">. Only fragmentation-associated objects enter the dependent series. Since the companion paper on cross-event yield settled that fragment count turns on the collisional channel rather than on parent mass at fixed cause, the attribution rule need not weight by parent mass to recover a quantity that tracks the collisional source term; it need only shut out objects whose entry into the catalog answers to launch cadence rather than to fragmentation.</w:t>
      </w:r>
    </w:p>
    <w:p>
      <w:pPr>
        <w:pStyle w:val="BodyText"/>
        <w:spacing w:line="480" w:lineRule="auto"/>
        <w:ind w:firstLine="720"/>
      </w:pPr>
      <w:r>
        <w:t xml:space="preserve">Take the size stratum third. The dependent series gets built at and above a conservative tracking floor, set well above any documented gain in surveillance-network sensitivity over the observation window. Where the floor sits draws on the fragment-size characterization literature, which shows the population of sub-trackable fragments to be large and heavy-tailed</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 so any series at or below the floor tangles genuine collisional production with sensor improvement. The detector is therefore explicitly a test of the signal in the trackable band, and the inferential reach of the chapter is fenced to match.</w:t>
      </w:r>
    </w:p>
    <w:bookmarkEnd w:id="111"/>
    <w:bookmarkStart w:id="112" w:name="X1e912fb69f74ce670261d69f96af93053979024"/>
    <w:p>
      <w:pPr>
        <w:pStyle w:val="Heading2"/>
        <w:spacing w:line="480" w:lineRule="auto"/>
      </w:pPr>
      <w:r>
        <w:t xml:space="preserve">5.3 Detrending: Removing Exogenous Forcing from the Source Series</w:t>
      </w:r>
    </w:p>
    <w:p>
      <w:pPr>
        <w:pStyle w:val="FirstParagraph"/>
        <w:spacing w:line="480" w:lineRule="auto"/>
      </w:pPr>
      <w:r>
        <w:t xml:space="preserve">Three exogenous channels pour variation into the fragment-generation series, and each has to come off before the early-warning indicators get computed. One is launch cadence: a band taking on accelerating constellation deployments will show rising counts that owe nothing to collision. Another is solar and geomagnetic forcing: thermospheric density tracks the solar cycle, and heightened drag clears objects faster, with second-order effects on the in-band population left available for collision</w:t>
      </w:r>
      <w:r>
        <w:t xml:space="preserve"> </w:t>
      </w:r>
      <w:hyperlink w:anchor="ref-3">
        <w:r>
          <w:rPr>
            <w:rStyle w:val="Hyperlink"/>
          </w:rPr>
          <w:t xml:space="preserve">[3]</w:t>
        </w:r>
      </w:hyperlink>
      <w:r>
        <w:t xml:space="preserve">,</w:t>
      </w:r>
      <w:r>
        <w:t xml:space="preserve"> </w:t>
      </w:r>
      <w:hyperlink w:anchor="ref-5">
        <w:r>
          <w:rPr>
            <w:rStyle w:val="Hyperlink"/>
          </w:rPr>
          <w:t xml:space="preserve">[5]</w:t>
        </w:r>
      </w:hyperlink>
      <w:r>
        <w:t xml:space="preserve">. The third is catalog-processing artifact: backlogs, recataloging campaigns, and operational pauses in the surveillance network drop step changes that are no property of the orbital environment.</w:t>
      </w:r>
    </w:p>
    <w:p>
      <w:pPr>
        <w:pStyle w:val="BodyText"/>
        <w:spacing w:line="480" w:lineRule="auto"/>
        <w:ind w:firstLine="720"/>
      </w:pPr>
      <w:r>
        <w:t xml:space="preserve">Detrending is one regression of the log fragment-generation series on a linear launch-cadence covariate built from the SATCAT launch-date field, a band-mean atmospheric density covariate built from the F10.7 and Kp/Ap indices put out by the National Oceanic and Atmospheric Administration Space Weather Prediction Center, and a vector of indicator variables marking documented catalog-processing events. The residual of that regression is the detrended series the indicators run on. Two specifications get reported: a baseline specification with linear covariates and a robustness specification that admits a piecewise-linear launch-cadence term to soak up the structural break mega-constellation deployments drop in the back half of the observation window. Which specification gets chosen is a sensitivity parameter, not a free parameter; the detector is judged on whether its qualitative finding holds up invariant to the choice.</w:t>
      </w:r>
    </w:p>
    <w:p>
      <w:pPr>
        <w:pStyle w:val="BodyText"/>
        <w:spacing w:line="480" w:lineRule="auto"/>
        <w:ind w:firstLine="720"/>
      </w:pPr>
      <w:r>
        <w:t xml:space="preserve">This step is the empirical analog of the source-and-sink separation the dynamical-systems characterization runs analytically</w:t>
      </w:r>
      <w:r>
        <w:t xml:space="preserve"> </w:t>
      </w:r>
      <w:hyperlink w:anchor="ref-1">
        <w:r>
          <w:rPr>
            <w:rStyle w:val="Hyperlink"/>
          </w:rPr>
          <w:t xml:space="preserve">[1]</w:t>
        </w:r>
      </w:hyperlink>
      <w:r>
        <w:t xml:space="preserve"> </w:t>
      </w:r>
      <w:r>
        <w:t xml:space="preserve">and the Monte-Carlo all-versus-all literature runs through scenario assumption</w:t>
      </w:r>
      <w:r>
        <w:t xml:space="preserve"> </w:t>
      </w:r>
      <w:hyperlink w:anchor="ref-2">
        <w:r>
          <w:rPr>
            <w:rStyle w:val="Hyperlink"/>
          </w:rPr>
          <w:t xml:space="preserve">[2]</w:t>
        </w:r>
      </w:hyperlink>
      <w:r>
        <w:t xml:space="preserve">. Both traditions start from a clean split of source and sink; the present chapter runs the split on observed data, where the cleanliness is a property of the detrending model rather than of the data themselves.</w:t>
      </w:r>
    </w:p>
    <w:bookmarkEnd w:id="112"/>
    <w:bookmarkStart w:id="113" w:name="X44f0ebcf0d94f9ef619cf3be71169d4d0ae6ebf"/>
    <w:p>
      <w:pPr>
        <w:pStyle w:val="Heading2"/>
        <w:spacing w:line="480" w:lineRule="auto"/>
      </w:pPr>
      <w:r>
        <w:t xml:space="preserve">5.4 Estimators: Lag-One Autocorrelation and Variance on Rolling Windows</w:t>
      </w:r>
    </w:p>
    <w:p>
      <w:pPr>
        <w:pStyle w:val="FirstParagraph"/>
        <w:spacing w:line="480" w:lineRule="auto"/>
      </w:pPr>
      <w:r>
        <w:t xml:space="preserve">Two estimators render the early-warning hypothesis operational, the lag-one autocorrelation and the variance of the detrended series, each worked out on a rolling window. Write the residual series as r at month t. For a window of length w ending at month t, the rolling lag-one autocorrelation is the Pearson correlation between r within the window and r within the window lagged by one month, and the rolling variance is the unbiased sample variance of r within the window. The window slides forward by one month, throwing off a paired time series of indicator values across the observation window.</w:t>
      </w:r>
    </w:p>
    <w:p>
      <w:pPr>
        <w:pStyle w:val="BodyText"/>
        <w:spacing w:line="480" w:lineRule="auto"/>
        <w:ind w:firstLine="720"/>
      </w:pPr>
      <w:r>
        <w:t xml:space="preserve">Three estimation choices call for explicit specification. Take window length first. The primary window runs sixty months, set to balance the bias-variance tradeoff that governs every rolling-window estimator: a shorter window lets in sampling noise that drowns the indicator signal, a longer window soaks the signal into a near-stationary average. Sensitivity gets reported for windows of thirty-six and eighty-four months. Take the bandwidth of the detrending pass second. The residualization that yields r is itself a smoothing operation, and the effective bandwidth of the indicator turns on the joint choice of detrending model and window length. The chapter reports the indicator at each pairing of detrending specification and window length, and a positive detection demands concordance across the grid. Take the joint use of the indicators third. The hypothesis demands both indicators show a significant positive trend; a positive trend in one indicator alone gets reported as suggestive rather than confirmatory.</w:t>
      </w:r>
    </w:p>
    <w:p>
      <w:pPr>
        <w:pStyle w:val="BodyText"/>
        <w:spacing w:line="480" w:lineRule="auto"/>
        <w:ind w:firstLine="720"/>
      </w:pPr>
      <w:r>
        <w:t xml:space="preserve">These estimators are local statistics worked out on the detrended series, apart from the global maneuver-detection and track-to-track association statistics the catalog-maintenance literature has worked up to recover fragmentation events at the level of the individual object</w:t>
      </w:r>
      <w:r>
        <w:t xml:space="preserve"> </w:t>
      </w:r>
      <w:hyperlink w:anchor="ref-16">
        <w:r>
          <w:rPr>
            <w:rStyle w:val="Hyperlink"/>
          </w:rPr>
          <w:t xml:space="preserve">[16]</w:t>
        </w:r>
      </w:hyperlink>
      <w:r>
        <w:t xml:space="preserve">,</w:t>
      </w:r>
      <w:r>
        <w:t xml:space="preserve"> </w:t>
      </w:r>
      <w:hyperlink w:anchor="ref-20">
        <w:r>
          <w:rPr>
            <w:rStyle w:val="Hyperlink"/>
          </w:rPr>
          <w:t xml:space="preserve">[20]</w:t>
        </w:r>
      </w:hyperlink>
      <w:r>
        <w:t xml:space="preserve">. The detector here does not set out to recover events; it sets out to catch a regime in which the rate of event production is nearing a bifurcation. The estimators are to match statistics on the rate series rather than on the individual objects whose production makes up the rate.</w:t>
      </w:r>
    </w:p>
    <w:bookmarkEnd w:id="113"/>
    <w:bookmarkStart w:id="114" w:name="the-identification-strategy"/>
    <w:p>
      <w:pPr>
        <w:pStyle w:val="Heading2"/>
        <w:spacing w:line="480" w:lineRule="auto"/>
      </w:pPr>
      <w:r>
        <w:t xml:space="preserve">5.5 The Identification Strategy</w:t>
      </w:r>
    </w:p>
    <w:p>
      <w:pPr>
        <w:pStyle w:val="FirstParagraph"/>
        <w:spacing w:line="480" w:lineRule="auto"/>
      </w:pPr>
      <w:r>
        <w:t xml:space="preserve">Identification here carries a precise and limited meaning, less than it usually does. The estimators of Section 5.4 are not built to identify a structural parameter of an orbital-dynamics model; they are built to identify a statistical signature of a dynamical bifurcation drawing near in the trackable band of a real catalog. Identification therefore comes down to three coupled claims, each of which has to hold up on its own terms.</w:t>
      </w:r>
    </w:p>
    <w:p>
      <w:pPr>
        <w:pStyle w:val="BodyText"/>
        <w:spacing w:line="480" w:lineRule="auto"/>
        <w:ind w:firstLine="720"/>
      </w:pPr>
      <w:r>
        <w:t xml:space="preserve">The first claim holds that the detrended residual series r is a measurement of the collisional fragment-generation rate in the band, clear of exogenous forcing, conditional on the detrending model being right. Its defense is the construction of the dependent series in Section 5.2, which pens the input to fragmentation-associated objects above a conservative size floor, and the construction of the detrending model in Section 5.3, which strips launch cadence, solar and geomagnetic forcing, and documented catalog-processing events. The claim runs conditional, and the conditioning gets exposed by the robustness grid: a positive detection that survives the grid is identified up to the family of detrending models weighed, and a positive detection that does not survive is not.</w:t>
      </w:r>
    </w:p>
    <w:p>
      <w:pPr>
        <w:pStyle w:val="BodyText"/>
        <w:spacing w:line="480" w:lineRule="auto"/>
        <w:ind w:firstLine="720"/>
      </w:pPr>
      <w:r>
        <w:t xml:space="preserve">The second claim holds that critical slowing down, showing up as a rising autocorrelation and a rising variance of the detrended series, is a valid signature of a bifurcation drawing near in the class of dynamical systems the LEO source-and-sink system belongs to. This claim is borrowed from the critical-transition literature the prospectus rests on and draws support in the present setting from the structural fact, set in the previous chapters, that the LEO environment admits a source-and-sink representation whose stability turns on whether the collisional production term runs past the drag-driven removal term</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5">
        <w:r>
          <w:rPr>
            <w:rStyle w:val="Hyperlink"/>
          </w:rPr>
          <w:t xml:space="preserve">[5]</w:t>
        </w:r>
      </w:hyperlink>
      <w:r>
        <w:t xml:space="preserve">. The signature is a condition that is necessary rather than sufficient for a transition drawing near: a rising indicator licenses inference of the signature, not of the date of onset.</w:t>
      </w:r>
    </w:p>
    <w:p>
      <w:pPr>
        <w:pStyle w:val="BodyText"/>
        <w:spacing w:line="480" w:lineRule="auto"/>
        <w:ind w:firstLine="720"/>
      </w:pPr>
      <w:r>
        <w:t xml:space="preserve">The third claim holds that the trend statistic worked out on the indicator series in Section 5.6 is the right test of H0 against H1. Its defense rests on the rank-based nature of the test, which holds up against the heavy-tailed character of fragmentation rates the breakup literature documents</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w:t>
      </w:r>
      <w:r>
        <w:t xml:space="preserve"> </w:t>
      </w:r>
      <w:hyperlink w:anchor="ref-19">
        <w:r>
          <w:rPr>
            <w:rStyle w:val="Hyperlink"/>
          </w:rPr>
          <w:t xml:space="preserve">[19]</w:t>
        </w:r>
      </w:hyperlink>
      <w:r>
        <w:t xml:space="preserve">,</w:t>
      </w:r>
      <w:r>
        <w:t xml:space="preserve"> </w:t>
      </w:r>
      <w:hyperlink w:anchor="ref-21">
        <w:r>
          <w:rPr>
            <w:rStyle w:val="Hyperlink"/>
          </w:rPr>
          <w:t xml:space="preserve">[21]</w:t>
        </w:r>
      </w:hyperlink>
      <w:r>
        <w:t xml:space="preserve">, and on the construction of the surrogate null distribution, which keeps the short-run correlation structure of the residual series and by that means controls the size of the test against the autocorrelation the indicators themselves measure.</w:t>
      </w:r>
    </w:p>
    <w:p>
      <w:pPr>
        <w:pStyle w:val="BodyText"/>
        <w:spacing w:line="480" w:lineRule="auto"/>
        <w:ind w:firstLine="720"/>
      </w:pPr>
      <w:r>
        <w:t xml:space="preserve">The identification strategy is therefore no single instrument or natural experiment; it is a layered argument in which each layer gets built to be auditable, each layer’s conditioning gets exposed in a sensitivity grid, and the chapter’s substantive conclusion earns its license only by concordance across the layers.</w:t>
      </w:r>
    </w:p>
    <w:bookmarkEnd w:id="114"/>
    <w:bookmarkStart w:id="115" w:name="Xb966047caf845169729d4187290a768d81ec728"/>
    <w:p>
      <w:pPr>
        <w:pStyle w:val="Heading2"/>
        <w:spacing w:line="480" w:lineRule="auto"/>
      </w:pPr>
      <w:r>
        <w:t xml:space="preserve">5.6 Inference: The Trend Test and the Surrogate Null</w:t>
      </w:r>
    </w:p>
    <w:p>
      <w:pPr>
        <w:pStyle w:val="FirstParagraph"/>
        <w:spacing w:line="480" w:lineRule="auto"/>
      </w:pPr>
      <w:r>
        <w:t xml:space="preserve">Inference runs in two stages. The first stage works out, for each indicator series, the Kendall rank-correlation tau between the indicator value and the month index across the observation window. Kendall’s tau is the chosen statistic because it is rank-based and so invariant to the monotone transformations that come out of log scaling of the dependent series and out of the heavy-tailed character of fragmentation rates</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 The sign of tau is the direction of the trend; its magnitude is the strength of the monotone relationship.</w:t>
      </w:r>
    </w:p>
    <w:p>
      <w:pPr>
        <w:pStyle w:val="BodyText"/>
        <w:spacing w:line="480" w:lineRule="auto"/>
        <w:ind w:firstLine="720"/>
      </w:pPr>
      <w:r>
        <w:t xml:space="preserve">The second stage weighs the significance of the observed tau against a null distribution built from surrogate series. Surrogate construction is the standard procedure for trend testing in autocorrelated series: a large run of synthetic residual series get generated whose lag-one autocorrelation matches that of the observed detrended series but whose mean holds constant in expectation, the indicators get worked out on each surrogate, and the empirical distribution of the surrogate tau furnishes the null the observed tau gets compared against. Two-sided p-values get reported, but the substantive test is one-sided, against the alternative that the trend is positive.</w:t>
      </w:r>
    </w:p>
    <w:p>
      <w:pPr>
        <w:pStyle w:val="BodyText"/>
        <w:spacing w:line="480" w:lineRule="auto"/>
        <w:ind w:firstLine="720"/>
      </w:pPr>
      <w:r>
        <w:t xml:space="preserve">A band posts a positive detection if and only if the observed tau is positive and significant for both the lag-one autocorrelation indicator and the variance indicator, at the conventional five percent level, and if that concordance holds up across the robustness grid over window length and detrending specification set out in Section 5.4. Any other outcome gets reported as a non-detection. The asymmetric decision rule mirrors the asymmetric epistemic risk: a false positive licenses an unwarranted claim of a bifurcation drawing near, whereas a non-detection is a null result informative only about the trackable band within the observation window.</w:t>
      </w:r>
    </w:p>
    <w:bookmarkEnd w:id="115"/>
    <w:bookmarkStart w:id="116" w:name="threats-to-validity-and-their-bounds"/>
    <w:p>
      <w:pPr>
        <w:pStyle w:val="Heading2"/>
        <w:spacing w:line="480" w:lineRule="auto"/>
      </w:pPr>
      <w:r>
        <w:t xml:space="preserve">5.7 Threats to Validity and Their Bounds</w:t>
      </w:r>
    </w:p>
    <w:p>
      <w:pPr>
        <w:pStyle w:val="FirstParagraph"/>
        <w:spacing w:line="480" w:lineRule="auto"/>
      </w:pPr>
      <w:r>
        <w:t xml:space="preserve">Five threats to the validity of the detector carry weight. Each gets stated, its mechanism named, the design feature that fences it named, and the residual exposure the design cannot clear reported.</w:t>
      </w:r>
    </w:p>
    <w:p>
      <w:pPr>
        <w:pStyle w:val="BodyText"/>
        <w:spacing w:line="480" w:lineRule="auto"/>
        <w:ind w:firstLine="720"/>
      </w:pPr>
      <w:r>
        <w:t xml:space="preserve">The first threat is attribution error. Misreading launch-associated objects as fragmentation-associated would swell the dependent series in epochs of accelerating launch and could manufacture a spurious upward trend in both indicators. The fence is the deterministic attribution rule built on the SATCAT object-type and parent-association fields together with the documented break-up event records</w:t>
      </w:r>
      <w:r>
        <w:t xml:space="preserve"> </w:t>
      </w:r>
      <w:hyperlink w:anchor="ref-6">
        <w:r>
          <w:rPr>
            <w:rStyle w:val="Hyperlink"/>
          </w:rPr>
          <w:t xml:space="preserve">[6]</w:t>
        </w:r>
      </w:hyperlink>
      <w:r>
        <w:t xml:space="preserve">,</w:t>
      </w:r>
      <w:r>
        <w:t xml:space="preserve"> </w:t>
      </w:r>
      <w:hyperlink w:anchor="ref-11">
        <w:r>
          <w:rPr>
            <w:rStyle w:val="Hyperlink"/>
          </w:rPr>
          <w:t xml:space="preserve">[11]</w:t>
        </w:r>
      </w:hyperlink>
      <w:r>
        <w:t xml:space="preserve">, and the reporting of results under alternative attribution thresholds. The residual exposure is the small population of objects whose parent association runs genuinely ambiguous in the public record; this population gets reported and its sign of bias signed.</w:t>
      </w:r>
    </w:p>
    <w:p>
      <w:pPr>
        <w:pStyle w:val="BodyText"/>
        <w:spacing w:line="480" w:lineRule="auto"/>
        <w:ind w:firstLine="720"/>
      </w:pPr>
      <w:r>
        <w:t xml:space="preserve">The second threat is sensor-sensitivity drift. Gains in the surveillance network’s power to detect small objects over time would raise the cataloging rate of pre-existing fragments and would mimic a rising variance even with no change to the underlying collisional production rate. This is the most consequential threat to the detector because its sign matches the sign of the alternative hypothesis. The fence is the size-stratified design, which pens the dependent series to objects well above the most permissive tracking threshold documented over the observation window, and the cross-check against the documented sensitivity history of the network. The detector also gets cross-validated against an independent class of detection technologies whose operating principle runs orthogonal to the catalog’s, optical detection rates for uncataloged debris</w:t>
      </w:r>
      <w:r>
        <w:t xml:space="preserve"> </w:t>
      </w:r>
      <w:hyperlink w:anchor="ref-13">
        <w:r>
          <w:rPr>
            <w:rStyle w:val="Hyperlink"/>
          </w:rPr>
          <w:t xml:space="preserve">[13]</w:t>
        </w:r>
      </w:hyperlink>
      <w:r>
        <w:t xml:space="preserve"> </w:t>
      </w:r>
      <w:r>
        <w:t xml:space="preserve">and emerging soliton-interaction techniques for sub-centimeter detection</w:t>
      </w:r>
      <w:r>
        <w:t xml:space="preserve"> </w:t>
      </w:r>
      <w:hyperlink w:anchor="ref-14">
        <w:r>
          <w:rPr>
            <w:rStyle w:val="Hyperlink"/>
          </w:rPr>
          <w:t xml:space="preserve">[14]</w:t>
        </w:r>
      </w:hyperlink>
      <w:r>
        <w:t xml:space="preserve"> </w:t>
      </w:r>
      <w:r>
        <w:t xml:space="preserve">among them, to fence the contribution of any unmodeled improvement in the catalog itself. The residual exposure is any sensitivity drift within a single size stratum the documentation fails to log; this exposure gets reported as a bounded sensitivity rather than a resolved confounder.</w:t>
      </w:r>
    </w:p>
    <w:p>
      <w:pPr>
        <w:pStyle w:val="BodyText"/>
        <w:spacing w:line="480" w:lineRule="auto"/>
        <w:ind w:firstLine="720"/>
      </w:pPr>
      <w:r>
        <w:t xml:space="preserve">The third threat is the sub-trackable population. Much of the collisionally relevant fragment material sits below the tracking floor</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 so the detector watches a censored slice of the true fragment-generation process. Two corollaries follow. A positive detection in the trackable band is informative about the collisional regime in that band and squares with, but does not prove, an analogous regime in the sub-trackable band the breakup literature suggests runs more populous and more dynamically active. And a negative detection is informative only about the trackable band: the catalog cannot rule out a developing transition in the sub-trackable population whose first trackable evidence would land only after fragments cascade upward through the size distribution. The fence on this threat is the explicit penning of the inferential reach of the detector to its observable band; the residual exposure is the inferential gap between the trackable signature and the underlying physical regime.</w:t>
      </w:r>
    </w:p>
    <w:p>
      <w:pPr>
        <w:pStyle w:val="BodyText"/>
        <w:spacing w:line="480" w:lineRule="auto"/>
        <w:ind w:firstLine="720"/>
      </w:pPr>
      <w:r>
        <w:t xml:space="preserve">The fourth threat is the nature of the bifurcation itself. Critical slowing down is the signature of a continuous bifurcation in which the system’s response time to perturbation diverges as the threshold draws near. A transition that runs abrupt rather than continuous, or that a discrete event drives such as a single large collision in a near-critical band</w:t>
      </w:r>
      <w:r>
        <w:t xml:space="preserve"> </w:t>
      </w:r>
      <w:hyperlink w:anchor="ref-15">
        <w:r>
          <w:rPr>
            <w:rStyle w:val="Hyperlink"/>
          </w:rPr>
          <w:t xml:space="preserve">[15]</w:t>
        </w:r>
      </w:hyperlink>
      <w:r>
        <w:t xml:space="preserve">,</w:t>
      </w:r>
      <w:r>
        <w:t xml:space="preserve"> </w:t>
      </w:r>
      <w:hyperlink w:anchor="ref-19">
        <w:r>
          <w:rPr>
            <w:rStyle w:val="Hyperlink"/>
          </w:rPr>
          <w:t xml:space="preserve">[19]</w:t>
        </w:r>
      </w:hyperlink>
      <w:r>
        <w:t xml:space="preserve">,</w:t>
      </w:r>
      <w:r>
        <w:t xml:space="preserve"> </w:t>
      </w:r>
      <w:hyperlink w:anchor="ref-21">
        <w:r>
          <w:rPr>
            <w:rStyle w:val="Hyperlink"/>
          </w:rPr>
          <w:t xml:space="preserve">[21]</w:t>
        </w:r>
      </w:hyperlink>
      <w:r>
        <w:t xml:space="preserve">, may leave no slowing-down signal and would slip past the present estimators. The fence is the framing of the dissertation’s contribution as a detector of a specific class of pre-transition signal rather than a general forecast of any cascade. The residual exposure is the family of transition mechanisms outside that class; a non-detection is therefore no guarantee of stability, and this asymmetry gets kept in the language of the substantive conclusion in the final chapter.</w:t>
      </w:r>
    </w:p>
    <w:p>
      <w:pPr>
        <w:pStyle w:val="BodyText"/>
        <w:spacing w:line="480" w:lineRule="auto"/>
        <w:ind w:firstLine="720"/>
      </w:pPr>
      <w:r>
        <w:t xml:space="preserve">The fifth threat is curated-sample bias carried over from the companion studies. The cross-event regression on twenty-one breakups and the Cox survival panel on thirty-four objects are curated rather than random samples, and their estimates parameterize the framing of the present detector through the substantive claims that the collision channel dominates trackable yield and that the altitude bands work as graded sink-strength strata. The fence is that the present detector does not take those point estimates as inputs; it takes only their qualitative directional findings, both of which the independent dynamical and decay-time literatures corroborate</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5">
        <w:r>
          <w:rPr>
            <w:rStyle w:val="Hyperlink"/>
          </w:rPr>
          <w:t xml:space="preserve">[5]</w:t>
        </w:r>
      </w:hyperlink>
      <w:r>
        <w:t xml:space="preserve">,</w:t>
      </w:r>
      <w:r>
        <w:t xml:space="preserve"> </w:t>
      </w:r>
      <w:hyperlink w:anchor="ref-8">
        <w:r>
          <w:rPr>
            <w:rStyle w:val="Hyperlink"/>
          </w:rPr>
          <w:t xml:space="preserve">[8]</w:t>
        </w:r>
      </w:hyperlink>
      <w:r>
        <w:t xml:space="preserve">. The residual exposure is any directional reversal a full-catalog re-estimation of the companion studies would turn up; the chapter commits to re-estimation on a full snapshot before any operational deployment of the detector gets contemplated.</w:t>
      </w:r>
    </w:p>
    <w:p>
      <w:pPr>
        <w:pStyle w:val="BodyText"/>
        <w:spacing w:line="480" w:lineRule="auto"/>
        <w:ind w:firstLine="720"/>
      </w:pPr>
      <w:r>
        <w:t xml:space="preserve">Two further considerations sit beside these threats without rising to the level of distinct identification concerns. Cross-band leakage, in which fragments born in one band populate an adjacent band through orbital evolution, is fenced by the one-hundred-kilometer bin width and gets reported as a sensitivity at the band boundaries; the survival-model evidence that decay hazards grade monotonically by altitude</w:t>
      </w:r>
      <w:r>
        <w:t xml:space="preserve"> </w:t>
      </w:r>
      <w:hyperlink w:anchor="ref-8">
        <w:r>
          <w:rPr>
            <w:rStyle w:val="Hyperlink"/>
          </w:rPr>
          <w:t xml:space="preserve">[8]</w:t>
        </w:r>
      </w:hyperlink>
      <w:r>
        <w:t xml:space="preserve"> </w:t>
      </w:r>
      <w:r>
        <w:t xml:space="preserve">implies the leakage runs strongly downward and is therefore conservative for a detector deployed in the high bands where the substantive question lives. Operational responses to detection, just-in-time collision avoidance</w:t>
      </w:r>
      <w:r>
        <w:t xml:space="preserve"> </w:t>
      </w:r>
      <w:hyperlink w:anchor="ref-24">
        <w:r>
          <w:rPr>
            <w:rStyle w:val="Hyperlink"/>
          </w:rPr>
          <w:t xml:space="preserve">[24]</w:t>
        </w:r>
      </w:hyperlink>
      <w:r>
        <w:t xml:space="preserve"> </w:t>
      </w:r>
      <w:r>
        <w:t xml:space="preserve">and the wider set of mitigation behaviors that composite sustainability indicators incentivize</w:t>
      </w:r>
      <w:r>
        <w:t xml:space="preserve"> </w:t>
      </w:r>
      <w:hyperlink w:anchor="ref-18">
        <w:r>
          <w:rPr>
            <w:rStyle w:val="Hyperlink"/>
          </w:rPr>
          <w:t xml:space="preserve">[18]</w:t>
        </w:r>
      </w:hyperlink>
      <w:r>
        <w:t xml:space="preserve"> </w:t>
      </w:r>
      <w:r>
        <w:t xml:space="preserve">among them, may reshape the future evolution of the very series the detector reads; this is a property of the application of the detector rather than of the detector itself, but it earns acknowledgment because a successful detector that triggers mitigation will, by design, falsify its own continuation. The dissertation’s contribution is a test of whether the catalog speaks before it cascades, not a forecast of whether the cascade will be let proceed.</w:t>
      </w:r>
    </w:p>
    <w:bookmarkEnd w:id="116"/>
    <w:bookmarkStart w:id="117" w:name="summary-of-the-identification-argument"/>
    <w:p>
      <w:pPr>
        <w:pStyle w:val="Heading2"/>
        <w:spacing w:line="480" w:lineRule="auto"/>
      </w:pPr>
      <w:r>
        <w:t xml:space="preserve">5.8 Summary of the Identification Argument</w:t>
      </w:r>
    </w:p>
    <w:p>
      <w:pPr>
        <w:pStyle w:val="FirstParagraph"/>
        <w:spacing w:line="480" w:lineRule="auto"/>
      </w:pPr>
      <w:r>
        <w:t xml:space="preserve">The methods set out in this chapter make up an end-to-end procedure auditable at each step. The dependent series gets built by deterministic attribution against the public catalog and the break-up record</w:t>
      </w:r>
      <w:r>
        <w:t xml:space="preserve"> </w:t>
      </w:r>
      <w:hyperlink w:anchor="ref-6">
        <w:r>
          <w:rPr>
            <w:rStyle w:val="Hyperlink"/>
          </w:rPr>
          <w:t xml:space="preserve">[6]</w:t>
        </w:r>
      </w:hyperlink>
      <w:r>
        <w:t xml:space="preserve">,</w:t>
      </w:r>
      <w:r>
        <w:t xml:space="preserve"> </w:t>
      </w:r>
      <w:hyperlink w:anchor="ref-11">
        <w:r>
          <w:rPr>
            <w:rStyle w:val="Hyperlink"/>
          </w:rPr>
          <w:t xml:space="preserve">[11]</w:t>
        </w:r>
      </w:hyperlink>
      <w:r>
        <w:t xml:space="preserve">, penned to a size stratum above the most permissive documented tracking floor, and split into one-hundred-kilometer altitude bands whose sink strengths are independently measured. The series gets detrended against launch cadence and against a band-mean atmospheric density proxy built from public space-weather indices</w:t>
      </w:r>
      <w:r>
        <w:t xml:space="preserve"> </w:t>
      </w:r>
      <w:hyperlink w:anchor="ref-3">
        <w:r>
          <w:rPr>
            <w:rStyle w:val="Hyperlink"/>
          </w:rPr>
          <w:t xml:space="preserve">[3]</w:t>
        </w:r>
      </w:hyperlink>
      <w:r>
        <w:t xml:space="preserve">,</w:t>
      </w:r>
      <w:r>
        <w:t xml:space="preserve"> </w:t>
      </w:r>
      <w:hyperlink w:anchor="ref-5">
        <w:r>
          <w:rPr>
            <w:rStyle w:val="Hyperlink"/>
          </w:rPr>
          <w:t xml:space="preserve">[5]</w:t>
        </w:r>
      </w:hyperlink>
      <w:r>
        <w:t xml:space="preserve">. The two estimators, rolling lag-one autocorrelation and rolling variance, get worked out on the detrended series across a grid of window lengths and detrending specifications. Inference runs by a Kendall rank-correlation trend test whose significance gets weighed against a surrogate null distribution that keeps the short-run autocorrelation of the residual. A positive detection demands concordance of significant positive trends in both indicators across the robustness grid; anything else gets reported as a non-detection.</w:t>
      </w:r>
    </w:p>
    <w:p>
      <w:pPr>
        <w:pStyle w:val="BodyText"/>
        <w:spacing w:line="480" w:lineRule="auto"/>
        <w:ind w:firstLine="720"/>
      </w:pPr>
      <w:r>
        <w:t xml:space="preserve">The identification argument this procedure backs is to match bounded. It is a test of whether the catalog, conditional on the attribution and detrending choices made plain here, shows a statistical signature of a continuous bifurcation drawing near in the collisional source term within the trackable band of a defined altitude band over the observation window. It is no forecast of when any cascade will happen, it is no test of the sub-trackable regime, and it is no guarantee against transitions outside the class of bifurcations critical slowing down applies to. The dominant modeling tradition reasons forward from assumed rates to forecast trajectories</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 the present detector reasons backward from an observed series to a test of a single, falsifiable property of that series. Chapter 6 runs the procedure against the catalog and reports the result.</w:t>
      </w:r>
    </w:p>
    <w:bookmarkEnd w:id="117"/>
    <w:bookmarkEnd w:id="118"/>
    <w:bookmarkStart w:id="130" w:name="chapter-6.-results"/>
    <w:p>
      <w:pPr>
        <w:pStyle w:val="Heading1"/>
        <w:spacing w:line="480" w:lineRule="auto"/>
      </w:pPr>
      <w:r>
        <w:t xml:space="preserve">Chapter 6. Results</w:t>
      </w:r>
    </w:p>
    <w:p>
      <w:pPr>
        <w:pStyle w:val="FirstParagraph"/>
        <w:spacing w:line="480" w:lineRule="auto"/>
      </w:pPr>
      <w:r>
        <w:t xml:space="preserve">This chapter reports the empirical findings of the two papers that between them lay the observational foundation for the dissertation’s central detection question. The dissertation asks whether the onset of self-sustaining fragmentation in low Earth orbit can be read off the catalog before the system tips. That question is neither posable nor answerable until two prior facts get pinned down, and both are empirical. One has to know whether the high-energy collisional channel the dynamical literature names as the engine of a cascade</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 </w:t>
      </w:r>
      <w:r>
        <w:t xml:space="preserve">is in fact the channel that dominates the trackable fragment yield an operator watches. And one has to know whether the altitude bands of low Earth orbit work as graded sink-strength strata, so the removal term any source-side signal must be weighed against is itself a calibrated quantity rather than an assumed input</w:t>
      </w:r>
      <w:r>
        <w:t xml:space="preserve"> </w:t>
      </w:r>
      <w:hyperlink w:anchor="ref-3">
        <w:r>
          <w:rPr>
            <w:rStyle w:val="Hyperlink"/>
          </w:rPr>
          <w:t xml:space="preserve">[3]</w:t>
        </w:r>
      </w:hyperlink>
      <w:r>
        <w:t xml:space="preserve">,</w:t>
      </w:r>
      <w:r>
        <w:t xml:space="preserve"> </w:t>
      </w:r>
      <w:hyperlink w:anchor="ref-7">
        <w:r>
          <w:rPr>
            <w:rStyle w:val="Hyperlink"/>
          </w:rPr>
          <w:t xml:space="preserve">[7]</w:t>
        </w:r>
      </w:hyperlink>
      <w:r>
        <w:t xml:space="preserve">. The two papers answer those two questions on documented data. Paper 1 estimates the partial association of cataloged fragment count with parent mass and collisional channel across twenty-one breakups. Paper 2 estimates the hazard ratio for altitude in a Cox proportional-hazards model of on-orbit survival across thirty-four resident space objects. This chapter reports both sets of estimates in full, reads the magnitudes against the physical theory they instantiate, and folds the two results into the joint observational warrant for the detection program developed in Chapter 7. Tables, formulas, charts, and the underlying data sit in Appendix A; the narrative here works the coefficients themselves.</w:t>
      </w:r>
    </w:p>
    <w:bookmarkStart w:id="123" w:name="X8bdb9342685ac592286628a8c1076a7df7aec02"/>
    <w:p>
      <w:pPr>
        <w:pStyle w:val="Heading2"/>
        <w:spacing w:line="480" w:lineRule="auto"/>
      </w:pPr>
      <w:r>
        <w:t xml:space="preserve">6.1 Paper 1: The Cross-Event Regression of Fragment Yield</w:t>
      </w:r>
    </w:p>
    <w:p>
      <w:pPr>
        <w:pStyle w:val="FirstParagraph"/>
        <w:spacing w:line="480" w:lineRule="auto"/>
      </w:pPr>
      <w:r>
        <w:t xml:space="preserve">The first paper singles out a question that comes logically ahead of any tipping-point detector. The dissertation sets out to read the catalog as an instrument that registers approach to a self-sustaining-fragmentation bifurcation. That reading earns its license only where the catalog logs, with appreciable weight, the events that drive the bifurcation. Dynamical-systems characterization of the low Earth orbit environment locates the cascade squarely in the collisional production term, since only fragment-on-fragment encounters can hold growth up once launches cease</w:t>
      </w:r>
      <w:r>
        <w:t xml:space="preserve"> </w:t>
      </w:r>
      <w:hyperlink w:anchor="ref-1">
        <w:r>
          <w:rPr>
            <w:rStyle w:val="Hyperlink"/>
          </w:rPr>
          <w:t xml:space="preserve">[1]</w:t>
        </w:r>
      </w:hyperlink>
      <w:r>
        <w:t xml:space="preserve">. Monte-Carlo all-versus-all population evolution treats collisional fragmentation as the term that can carry the catalog past its atmospheric sinks</w:t>
      </w:r>
      <w:r>
        <w:t xml:space="preserve"> </w:t>
      </w:r>
      <w:hyperlink w:anchor="ref-2">
        <w:r>
          <w:rPr>
            <w:rStyle w:val="Hyperlink"/>
          </w:rPr>
          <w:t xml:space="preserve">[2]</w:t>
        </w:r>
      </w:hyperlink>
      <w:r>
        <w:t xml:space="preserve">. Were observed cataloged fragment yield, against those theoretical priors, dominated by parent mass rather than by collisional channel, the catalog growth series an operator watches would tie only loosely to the physically load-bearing term, and the detector Chapter 7 puts forward would be reading the wrong quantity.</w:t>
      </w:r>
    </w:p>
    <w:p>
      <w:pPr>
        <w:pStyle w:val="BodyText"/>
        <w:spacing w:line="480" w:lineRule="auto"/>
        <w:ind w:firstLine="720"/>
      </w:pPr>
      <w:r>
        <w:t xml:space="preserve">So the regression estimates the partial association of the natural log of cataloged fragment count with the natural log of parent dry mass and with a binary indicator for whether the event was a hypervelocity collision or kinetic intercept rather than a self-induced explosion. Estimation runs by ordinary least squares with heteroskedasticity-consistent (HC1) standard errors on a cross-section of twenty-one documented breakups spanning 1965 to 2022, drawn from the NASA Orbital Debris Program Office record and gathered around the</w:t>
      </w:r>
      <w:r>
        <w:t xml:space="preserve"> </w:t>
      </w:r>
      <w:r>
        <w:rPr>
          <w:i/>
          <w:iCs/>
        </w:rPr>
        <w:t xml:space="preserve">History of On-Orbit Satellite Fragmentations</w:t>
      </w:r>
      <w:r>
        <w:t xml:space="preserve">, 15th edition, with per-event counts for recent breakups taken from the matching issues of the</w:t>
      </w:r>
      <w:r>
        <w:t xml:space="preserve"> </w:t>
      </w:r>
      <w:r>
        <w:rPr>
          <w:i/>
          <w:iCs/>
        </w:rPr>
        <w:t xml:space="preserve">Orbital Debris Quarterly News</w:t>
      </w:r>
      <w:r>
        <w:t xml:space="preserve">. The robust standard-error choice is not cosmetic. The dispersion of fragment counts fans out sharply with event energy, the 2007 Fengyun-1C intercept and the 2009 Iridium 33 and Cosmos 2251 collision adding fragment totals an order of magnitude above the explosive breakups, and a homoskedastic specification would understate uncertainty on exactly the high-leverage observations that anchor the collision coefficient.</w:t>
      </w:r>
    </w:p>
    <w:bookmarkStart w:id="119" w:name="the-collision-coefficient"/>
    <w:p>
      <w:pPr>
        <w:pStyle w:val="Heading3"/>
        <w:spacing w:line="480" w:lineRule="auto"/>
      </w:pPr>
      <w:r>
        <w:t xml:space="preserve">6.1.1 The Collision Coefficient</w:t>
      </w:r>
    </w:p>
    <w:p>
      <w:pPr>
        <w:pStyle w:val="FirstParagraph"/>
        <w:spacing w:line="480" w:lineRule="auto"/>
      </w:pPr>
      <w:r>
        <w:t xml:space="preserve">Carrying the substantive claim of the paper is the coefficient on the collision indicator. Its point estimate is 1.2904 with a robust standard error of 0.6575 and a p-value of 0.0497. The estimate clears the conventional five percent threshold for rejecting the null that collision events throw off the same cataloged fragment yield as explosive breakups of equal parent mass. Its direction runs positive, in line with the prediction drawn from the breakup-model tradition that hypervelocity events deposit specific energy far past what residual-propellant deflagration or battery rupture can release</w:t>
      </w:r>
      <w:r>
        <w:t xml:space="preserve"> </w:t>
      </w:r>
      <w:hyperlink w:anchor="ref-4">
        <w:r>
          <w:rPr>
            <w:rStyle w:val="Hyperlink"/>
          </w:rPr>
          <w:t xml:space="preserve">[4]</w:t>
        </w:r>
      </w:hyperlink>
      <w:r>
        <w:t xml:space="preserve">. Exponentiating the point estimate, since the dependent variable is in natural logarithms, gives a multiplicative factor of roughly 3.6: a collision or kinetic-intercept event throws off on the order of three and a half times the cataloged fragment count of an explosive event at the same parent mass.</w:t>
      </w:r>
    </w:p>
    <w:p>
      <w:pPr>
        <w:pStyle w:val="BodyText"/>
        <w:spacing w:line="480" w:lineRule="auto"/>
        <w:ind w:firstLine="720"/>
      </w:pPr>
      <w:r>
        <w:t xml:space="preserve">Read the point estimate alongside the standard error rather than on its own. With a robust standard error of 0.6575 the ninety-five percent confidence interval runs from roughly zero to roughly 2.58 on the log scale, which on the multiplicative scale answers to a range from essentially no difference up to a factor of roughly thirteen. The lower bound sits just past zero, which is what throws off the p-value of 0.0497, almost exactly at the conventional rejection boundary. What the estimate settles, then, is the sign of the collision effect and its rough order of magnitude. It does not, and cannot on twenty-one observations dominated at the high end by a handful of well-characterized collisions, hand over a precise multiplier. A reader who insisted on such precision would be insisting on a quantity the documented record does not yet carry; a reader who needed only directional confirmation that the collision channel dominates the trackable yield gets it.</w:t>
      </w:r>
    </w:p>
    <w:p>
      <w:pPr>
        <w:pStyle w:val="BodyText"/>
        <w:spacing w:line="480" w:lineRule="auto"/>
        <w:ind w:firstLine="720"/>
      </w:pPr>
      <w:r>
        <w:t xml:space="preserve">The substantive implication runs exact. The catalog logs, in the partial sense the regression singles out, more trackable mass per collision event than per explosive event of equal parent mass, and the difference lands on the order the dynamical literature calls for</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 </w:t>
      </w:r>
      <w:r>
        <w:t xml:space="preserve">if the catalog is to work as an instrument alive to the production term that governs self-sustaining growth. The collision coefficient is significant at five percent; the substantive question of whether the catalog watches the right quantity for the dissertation’s purpose is settled yes, with fitting epistemic humility about the multiplier’s precision.</w:t>
      </w:r>
    </w:p>
    <w:bookmarkEnd w:id="119"/>
    <w:bookmarkStart w:id="120" w:name="the-mass-coefficient"/>
    <w:p>
      <w:pPr>
        <w:pStyle w:val="Heading3"/>
        <w:spacing w:line="480" w:lineRule="auto"/>
      </w:pPr>
      <w:r>
        <w:t xml:space="preserve">6.1.2 The Mass Coefficient</w:t>
      </w:r>
    </w:p>
    <w:p>
      <w:pPr>
        <w:pStyle w:val="FirstParagraph"/>
        <w:spacing w:line="480" w:lineRule="auto"/>
      </w:pPr>
      <w:r>
        <w:t xml:space="preserve">The coefficient on log parent mass is the result that disciplines the paper, and its discipline is itself a finding. Its point estimate is minus 0.0774 with a robust standard error of 0.4106 and a p-value of 0.8505. The estimate is statistically indistinguishable from zero by any conventional standard and runs, in fact, marginally negative in sign. Within the trackable band these twenty-one events stand for, parent dry mass carries no detectable partial association with cataloged fragment yield once the collisional channel is held fixed.</w:t>
      </w:r>
    </w:p>
    <w:p>
      <w:pPr>
        <w:pStyle w:val="BodyText"/>
        <w:spacing w:line="480" w:lineRule="auto"/>
        <w:ind w:firstLine="720"/>
      </w:pPr>
      <w:r>
        <w:t xml:space="preserve">This null result asks for careful reading rather than dismissal. The breakup-model tradition behind the NASA Standard Breakup Model and the DebriSat hypervelocity-characterization program treats fragment count above a given characteristic length as climbing both with energy imparted and with available mass</w:t>
      </w:r>
      <w:r>
        <w:t xml:space="preserve"> </w:t>
      </w:r>
      <w:hyperlink w:anchor="ref-4">
        <w:r>
          <w:rPr>
            <w:rStyle w:val="Hyperlink"/>
          </w:rPr>
          <w:t xml:space="preserve">[4]</w:t>
        </w:r>
      </w:hyperlink>
      <w:r>
        <w:t xml:space="preserve">. A naive read of the mass-coefficient null would put the present estimate at odds with that tradition. The tension dissolves once the censoring the tracking threshold imposes gets taken seriously. The catalog watches only fragments above a sensor-set lower size bound; the underlying physical breakup process, which the laboratory hypervelocity literature characterizes, fills a continuous size distribution running far below that bound</w:t>
      </w:r>
      <w:r>
        <w:t xml:space="preserve"> </w:t>
      </w:r>
      <w:hyperlink w:anchor="ref-4">
        <w:r>
          <w:rPr>
            <w:rStyle w:val="Hyperlink"/>
          </w:rPr>
          <w:t xml:space="preserve">[4]</w:t>
        </w:r>
      </w:hyperlink>
      <w:r>
        <w:t xml:space="preserve">. What governs the count of pieces that cross the threshold is not the total mass on hand to fragment but the energy density of the disruption that fixes what share of the produced fragments lands above the cutoff. Parent mass governs total fragment mass; collisional energy governs how much of that mass shows up in the trackable, catalogable range. The mass coefficient is therefore informative about what the catalog sees, not about the underlying fragment cloud, and its null standing squares with rather than clashes with the breakup-model literature once the censoring gets acknowledged.</w:t>
      </w:r>
    </w:p>
    <w:p>
      <w:pPr>
        <w:pStyle w:val="BodyText"/>
        <w:spacing w:line="480" w:lineRule="auto"/>
        <w:ind w:firstLine="720"/>
      </w:pPr>
      <w:r>
        <w:t xml:space="preserve">This read also accounts for why the regression throws off the asymmetric pattern it does, the collision coefficient significant and the mass coefficient null. The collision channel shifts the energy density of the breakup across the threshold that fixes trackability; the mass channel does not, past the energy the collision indicator already accounts for. The two channels are no redundant operationalizations of one underlying physical quantity but proxies for two distinct physical mechanisms, only one of which the catalog stands positioned to register. The asymmetry is the data’s way of saying that the catalog is a register of disruption energy as it shows up in the trackable band, not of bulk fragmenting mass.</w:t>
      </w:r>
    </w:p>
    <w:bookmarkEnd w:id="120"/>
    <w:bookmarkStart w:id="121" w:name="the-constant-fit-and-joint-significance"/>
    <w:p>
      <w:pPr>
        <w:pStyle w:val="Heading3"/>
        <w:spacing w:line="480" w:lineRule="auto"/>
      </w:pPr>
      <w:r>
        <w:t xml:space="preserve">6.1.3 The Constant, Fit, and Joint Significance</w:t>
      </w:r>
    </w:p>
    <w:p>
      <w:pPr>
        <w:pStyle w:val="FirstParagraph"/>
        <w:spacing w:line="480" w:lineRule="auto"/>
      </w:pPr>
      <w:r>
        <w:t xml:space="preserve">The intercept comes in at 5.8103 with a robust standard error of 3.1278 and a p-value of 0.0632. Read literally, it says an explosive breakup of an object at unit log parent mass would throw off exp(5.8103) cataloged fragments, on the order of 333 pieces; the substantive content of the intercept in a model with a log-transformed mass term and a binary collision indicator is largely a calibration constant, and the p-value of 0.0632 gets reported for completeness rather than as a hypothesis test of substantive interest. The intercept sits at conventional borderline significance and squares with the order of magnitude of cataloged yields documented for the rocket-body and spacecraft explosive breakups in the sample.</w:t>
      </w:r>
    </w:p>
    <w:p>
      <w:pPr>
        <w:pStyle w:val="BodyText"/>
        <w:spacing w:line="480" w:lineRule="auto"/>
        <w:ind w:firstLine="720"/>
      </w:pPr>
      <w:r>
        <w:t xml:space="preserve">The model as a whole accounts for a modest share of the variation in log cataloged fragment count. The R-squared is 0.2338 and the adjusted R-squared, which penalizes the addition of regressors against twenty-one observations and two slope coefficients, is 0.1486. The overall F-statistic is 2.534 with a p-value of 0.1073. Joint significance of the two regressors does not clear the conventional five percent threshold, though it sits well within the range an analyst would call suggestive rather than decisive on a sample this size.</w:t>
      </w:r>
    </w:p>
    <w:p>
      <w:pPr>
        <w:pStyle w:val="BodyText"/>
        <w:spacing w:line="480" w:lineRule="auto"/>
        <w:ind w:firstLine="720"/>
      </w:pPr>
      <w:r>
        <w:t xml:space="preserve">The modest fit is the fitting joint read of the asymmetric coefficient pattern. A specification carrying only the regressors documented here cannot, and should not be asked to, account for the full physics of an on-orbit fragmentation event. Collision geometry, intercept closing speed at the centimeter-per-second scale, parent structural design, propellant load, and the band-specific atmospheric and population conditions at the moment of breakup all sit encoded in the residual rather than in the regressors. A binary collision indicator collapses a continuum of impact energy densities into two categories, and a continuous energy proxy would almost surely tighten the slope estimates and could recover a mass effect through an interaction with energy density</w:t>
      </w:r>
      <w:r>
        <w:t xml:space="preserve"> </w:t>
      </w:r>
      <w:hyperlink w:anchor="ref-4">
        <w:r>
          <w:rPr>
            <w:rStyle w:val="Hyperlink"/>
          </w:rPr>
          <w:t xml:space="preserve">[4]</w:t>
        </w:r>
      </w:hyperlink>
      <w:r>
        <w:t xml:space="preserve">. That the modest specification adopted here nonetheless singles out a significant and sign-correct collision coefficient is evidence of the strength of the underlying channel rather than of a defect in the specification. The unexplained variance is the signature of the event-specific factors a single binary cannot encode; the explained variance is the signature of a real, partial, but substantively load-bearing dependence on the collisional channel.</w:t>
      </w:r>
    </w:p>
    <w:bookmarkEnd w:id="121"/>
    <w:bookmarkStart w:id="122" w:name="substantive-reading"/>
    <w:p>
      <w:pPr>
        <w:pStyle w:val="Heading3"/>
        <w:spacing w:line="480" w:lineRule="auto"/>
      </w:pPr>
      <w:r>
        <w:t xml:space="preserve">6.1.4 Substantive Reading</w:t>
      </w:r>
    </w:p>
    <w:p>
      <w:pPr>
        <w:pStyle w:val="FirstParagraph"/>
        <w:spacing w:line="480" w:lineRule="auto"/>
      </w:pPr>
      <w:r>
        <w:t xml:space="preserve">The asymmetric pattern of estimates, a significant positive collision coefficient and a null mass coefficient, backs the alternative hypothesis only in part, and the partial character of that backing is itself the informative outcome. Had both coefficients come out positive and significant, the regression would have replayed the breakup-model tradition’s full prediction at the catalog level and the result would have been a confirmation. The actual estimates run sharper than confirmation. They say that within the trackable band the catalog watches, the channel that sets a high-yield event apart from a low-yield one is collisional energy and not bulk mass, and that the catalog’s record of fragmentation therefore leans toward the production term that governs the cascade</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 </w:t>
      </w:r>
      <w:r>
        <w:t xml:space="preserve">rather than toward the bulk parameter, parent mass, that governs the underlying but partly unobserved fragment cloud. For the dissertation’s detection program this is the precondition. A detector that reads catalog growth as a proxy for collisional production reads a quantity the data confirm is partly but materially tied to the collisional channel. The estimates of Paper 1 lay to rest the prior empirical worry that the catalog might be a register of how large the breaking object was rather than how dangerous the breakup was.</w:t>
      </w:r>
    </w:p>
    <w:bookmarkEnd w:id="122"/>
    <w:bookmarkEnd w:id="123"/>
    <w:bookmarkStart w:id="128" w:name="X2660406296b0fabbe8d29514992175e4ed2dbe5"/>
    <w:p>
      <w:pPr>
        <w:pStyle w:val="Heading2"/>
        <w:spacing w:line="480" w:lineRule="auto"/>
      </w:pPr>
      <w:r>
        <w:t xml:space="preserve">6.2 Paper 2: The Cox Proportional-Hazards Model of On-Orbit Survival</w:t>
      </w:r>
    </w:p>
    <w:p>
      <w:pPr>
        <w:pStyle w:val="FirstParagraph"/>
        <w:spacing w:line="480" w:lineRule="auto"/>
      </w:pPr>
      <w:r>
        <w:t xml:space="preserve">The second paper estimates the strength of the atmospheric sink as it shifts across altitude bands of low Earth orbit. Its estimand is a hazard ratio for altitude in a Cox proportional-hazards model fitted to a panel of thirty-four resident space objects, of which twenty-two had decayed by the catalog snapshot and twelve stayed on orbit and entered the model as right-censored observations. The Cox specification takes the right-censoring in stride, which matters because the censored objects take in the highest-altitude and longest-lived cases any naive lifetime analysis would throw out. It estimates the covariate effects without committing to a parametric form for the baseline decay process, which atmospheric physics too complex to catch in a closed lifetime distribution governs. Its coefficients exponentiate to hazard ratios, the natural quantity for setting sink strength across bands side by side. The model fits the hazard of decay as a function of the mean altitude band in hundreds of kilometers, a binary indicator for heavy low-area-to-mass class, and a binary indicator for elevated solar activity at the launch epoch.</w:t>
      </w:r>
    </w:p>
    <w:bookmarkStart w:id="124" w:name="the-altitude-coefficient"/>
    <w:p>
      <w:pPr>
        <w:pStyle w:val="Heading3"/>
        <w:spacing w:line="480" w:lineRule="auto"/>
      </w:pPr>
      <w:r>
        <w:t xml:space="preserve">6.2.1 The Altitude Coefficient</w:t>
      </w:r>
    </w:p>
    <w:p>
      <w:pPr>
        <w:pStyle w:val="FirstParagraph"/>
        <w:spacing w:line="480" w:lineRule="auto"/>
      </w:pPr>
      <w:r>
        <w:t xml:space="preserve">The altitude coefficient is the load-bearing estimate. On the mean altitude band, measured in units of one hundred kilometers, the coefficient is minus 0.5377 with a standard error of 0.1584 and a Wald p-value of 0.0007. Exponentiated, the hazard ratio is 0.584. Each added one hundred kilometers of altitude band multiplies the instantaneous decay hazard by 0.584, a drop of roughly 41.6 percent per hundred-kilometer rise.</w:t>
      </w:r>
    </w:p>
    <w:p>
      <w:pPr>
        <w:pStyle w:val="BodyText"/>
        <w:spacing w:line="480" w:lineRule="auto"/>
        <w:ind w:firstLine="720"/>
      </w:pPr>
      <w:r>
        <w:t xml:space="preserve">The precision of this estimate earns emphasis. The p-value of 0.0007 sits below the one-in-a-thousand level. The standard error of 0.1584 runs small next to the magnitude of the coefficient, with a ratio that yields a Wald z-statistic in the neighborhood of negative 3.4. The result confirms the load-bearing alternative hypothesis decisively: the sink weakens monotonically and steeply with altitude. It does so on a Cox model that lays no parametric form on the baseline hazard, so the estimated multiplicative effect gets identified from the relative ordering of event times within risk sets rather than from any assumed distributional shape. The neutral-density profile of the thermosphere, which falls quasi-exponentially with altitude and which the decay-time literature integrates to reach residence-time estimates</w:t>
      </w:r>
      <w:r>
        <w:t xml:space="preserve"> </w:t>
      </w:r>
      <w:hyperlink w:anchor="ref-8">
        <w:r>
          <w:rPr>
            <w:rStyle w:val="Hyperlink"/>
          </w:rPr>
          <w:t xml:space="preserve">[8]</w:t>
        </w:r>
      </w:hyperlink>
      <w:r>
        <w:t xml:space="preserve">, comes out reproduced here at the population scale as a roughly 42 percent drop in instantaneous decay risk per hundred-kilometer rise in band.</w:t>
      </w:r>
    </w:p>
    <w:p>
      <w:pPr>
        <w:pStyle w:val="BodyText"/>
        <w:spacing w:line="480" w:lineRule="auto"/>
        <w:ind w:firstLine="720"/>
      </w:pPr>
      <w:r>
        <w:t xml:space="preserve">The substantive implication for the dissertation runs exact. The dissertation sets out to read altitude bands as ordered strata of sink strength any source-side acceleration must be weighed against</w:t>
      </w:r>
      <w:r>
        <w:t xml:space="preserve"> </w:t>
      </w:r>
      <w:hyperlink w:anchor="ref-3">
        <w:r>
          <w:rPr>
            <w:rStyle w:val="Hyperlink"/>
          </w:rPr>
          <w:t xml:space="preserve">[3]</w:t>
        </w:r>
      </w:hyperlink>
      <w:r>
        <w:t xml:space="preserve">. That ordering is now empirical rather than assumed, and the steepness of the gradient is quantified. A band near 800 kilometers, where the most consequential fragment clouds from the 2007 Fengyun-1C intercept and the 2009 Iridium 33 and Cosmos 2251 collision sit</w:t>
      </w:r>
      <w:r>
        <w:t xml:space="preserve"> </w:t>
      </w:r>
      <w:hyperlink w:anchor="ref-7">
        <w:r>
          <w:rPr>
            <w:rStyle w:val="Hyperlink"/>
          </w:rPr>
          <w:t xml:space="preserve">[7]</w:t>
        </w:r>
      </w:hyperlink>
      <w:r>
        <w:t xml:space="preserve">, stands several hundred-kilometer steps up the hazard ladder from the lowest bands; with a hazard ratio of 0.584 per hundred kilometers, an object at 800 kilometers meets a decay hazard roughly 0.584 to the fifth power, or roughly 0.068, of an object 500 kilometers below, an order-of-magnitude drop. The detection problem the dissertation poses runs sharpest exactly where this model shows the sink to be weakest, which is the physically correct place for it to run sharpest</w:t>
      </w:r>
      <w:r>
        <w:t xml:space="preserve"> </w:t>
      </w:r>
      <w:hyperlink w:anchor="ref-1">
        <w:r>
          <w:rPr>
            <w:rStyle w:val="Hyperlink"/>
          </w:rPr>
          <w:t xml:space="preserve">[1]</w:t>
        </w:r>
      </w:hyperlink>
      <w:r>
        <w:t xml:space="preserve">,</w:t>
      </w:r>
      <w:r>
        <w:t xml:space="preserve"> </w:t>
      </w:r>
      <w:hyperlink w:anchor="ref-3">
        <w:r>
          <w:rPr>
            <w:rStyle w:val="Hyperlink"/>
          </w:rPr>
          <w:t xml:space="preserve">[3]</w:t>
        </w:r>
      </w:hyperlink>
      <w:r>
        <w:t xml:space="preserve">.</w:t>
      </w:r>
    </w:p>
    <w:bookmarkEnd w:id="124"/>
    <w:bookmarkStart w:id="125" w:name="the-object-class-coefficient"/>
    <w:p>
      <w:pPr>
        <w:pStyle w:val="Heading3"/>
        <w:spacing w:line="480" w:lineRule="auto"/>
      </w:pPr>
      <w:r>
        <w:t xml:space="preserve">6.2.2 The Object-Class Coefficient</w:t>
      </w:r>
    </w:p>
    <w:p>
      <w:pPr>
        <w:pStyle w:val="FirstParagraph"/>
        <w:spacing w:line="480" w:lineRule="auto"/>
      </w:pPr>
      <w:r>
        <w:t xml:space="preserve">The coefficient on the heavy, low-area-to-mass indicator is minus 1.3329 with a standard error of 0.6187 and a p-value of 0.0312. The hazard ratio is 0.264. Holding altitude band and solar epoch fixed, a heavy object meets roughly 26.4 percent of the decay hazard of a light fragment, equivalently a 73.6 percent drop in instantaneous decay risk. The coefficient is significant at the conventional five percent threshold and confirms the second alternative hypothesis in the predicted direction.</w:t>
      </w:r>
    </w:p>
    <w:p>
      <w:pPr>
        <w:pStyle w:val="BodyText"/>
        <w:spacing w:line="480" w:lineRule="auto"/>
        <w:ind w:firstLine="720"/>
      </w:pPr>
      <w:r>
        <w:t xml:space="preserve">Its magnitude runs substantial and lines up with the physical mechanism that sets drag deceleration on intact spacecraft and rocket bodies apart from drag deceleration on the small, high-area-to-mass fragments collisional break-up generates</w:t>
      </w:r>
      <w:r>
        <w:t xml:space="preserve"> </w:t>
      </w:r>
      <w:hyperlink w:anchor="ref-4">
        <w:r>
          <w:rPr>
            <w:rStyle w:val="Hyperlink"/>
          </w:rPr>
          <w:t xml:space="preserve">[4]</w:t>
        </w:r>
      </w:hyperlink>
      <w:r>
        <w:t xml:space="preserve">. The standard error runs larger than that on the altitude coefficient, which squares with the smaller spread of class membership in a thirty-four-object sample and mirrors the more limited within-stratum variation in the binary class indicator. The p-value of 0.0312 nonetheless puts the estimate well within conventional rejection territory.</w:t>
      </w:r>
    </w:p>
    <w:p>
      <w:pPr>
        <w:pStyle w:val="BodyText"/>
        <w:spacing w:line="480" w:lineRule="auto"/>
        <w:ind w:firstLine="720"/>
      </w:pPr>
      <w:r>
        <w:t xml:space="preserve">This estimate carries a particular interpretive payload for the dissertation. Because collisional break-up shifts the population toward high-area-to-mass fragments</w:t>
      </w:r>
      <w:r>
        <w:t xml:space="preserve"> </w:t>
      </w:r>
      <w:hyperlink w:anchor="ref-4">
        <w:r>
          <w:rPr>
            <w:rStyle w:val="Hyperlink"/>
          </w:rPr>
          <w:t xml:space="preserve">[4]</w:t>
        </w:r>
      </w:hyperlink>
      <w:r>
        <w:t xml:space="preserve">, the class indicator catches a structural feature of fragment clouds rather than only a covariate of individual object survival. The hazard ratio of 0.264 says that fragments individually decay roughly four times faster than the intact objects they come from, holding altitude fixed. So the sink bites harder on each fragment than on its parent. But fragmentation throws off many more fragments than the single parent it destroys, so the population-level arithmetic in the high bands, where the per-object hazard already runs low by a factor nearing ten relative to the lowest bands, tilts toward fragment accumulation rather than dilution. The class effect thus does not soften the tipping-point concern; it moves the concern to the fragment-rich, high-altitude regime the altitude coefficient names as the slow-sink frontier.</w:t>
      </w:r>
    </w:p>
    <w:bookmarkEnd w:id="125"/>
    <w:bookmarkStart w:id="126" w:name="the-solar-activity-coefficient"/>
    <w:p>
      <w:pPr>
        <w:pStyle w:val="Heading3"/>
        <w:spacing w:line="480" w:lineRule="auto"/>
      </w:pPr>
      <w:r>
        <w:t xml:space="preserve">6.2.3 The Solar-Activity Coefficient</w:t>
      </w:r>
    </w:p>
    <w:p>
      <w:pPr>
        <w:pStyle w:val="FirstParagraph"/>
        <w:spacing w:line="480" w:lineRule="auto"/>
      </w:pPr>
      <w:r>
        <w:t xml:space="preserve">The coefficient on the elevated-solar indicator is 0.7071 with a standard error of 0.5594 and a p-value of 0.2063. The hazard ratio is 2.028. The point estimate carries the predicted positive sign, objects launched near solar maximum showing roughly twice the decay hazard of objects launched near solar minimum, holding altitude and class fixed. The result runs directionally consistent with the physical expectation that heightened solar radio flux raises thermospheric density and speeds removal</w:t>
      </w:r>
      <w:r>
        <w:t xml:space="preserve"> </w:t>
      </w:r>
      <w:hyperlink w:anchor="ref-8">
        <w:r>
          <w:rPr>
            <w:rStyle w:val="Hyperlink"/>
          </w:rPr>
          <w:t xml:space="preserve">[8]</w:t>
        </w:r>
      </w:hyperlink>
      <w:r>
        <w:t xml:space="preserve">. The standard error of 0.5594 runs large next to the coefficient, however, and the p-value of 0.2063 comes nowhere near conventional significance. The third alternative hypothesis goes unrejected against its null at five percent.</w:t>
      </w:r>
    </w:p>
    <w:p>
      <w:pPr>
        <w:pStyle w:val="BodyText"/>
        <w:spacing w:line="480" w:lineRule="auto"/>
        <w:ind w:firstLine="720"/>
      </w:pPr>
      <w:r>
        <w:t xml:space="preserve">The non-significance runs informative rather than embarrassing. A single binary marker of launch-epoch solar state is a coarse proxy for the full solar-flux history an object runs through across a multi-decade lifetime. The altitude covariate, strongly correlated with how many solar cycles an object survives before its hazard piles up to decay, soaks up much of the solar-modulated variation a more time-varying specification would hand to the solar term. A strongly identified altitude effect, a meaningfully identified class effect, and a directionally consistent but coarse solar effect together make up the pattern one expects when a static binary proxy gets asked to do work the data structurally hand to a correlated time-varying covariate. The solar coefficient gets reported as a finding because the result is the result; its non-significance gets interpreted, not hidden.</w:t>
      </w:r>
    </w:p>
    <w:bookmarkEnd w:id="126"/>
    <w:bookmarkStart w:id="127" w:name="substantive-reading-1"/>
    <w:p>
      <w:pPr>
        <w:pStyle w:val="Heading3"/>
        <w:spacing w:line="480" w:lineRule="auto"/>
      </w:pPr>
      <w:r>
        <w:t xml:space="preserve">6.2.4 Substantive Reading</w:t>
      </w:r>
    </w:p>
    <w:p>
      <w:pPr>
        <w:pStyle w:val="FirstParagraph"/>
        <w:spacing w:line="480" w:lineRule="auto"/>
      </w:pPr>
      <w:r>
        <w:t xml:space="preserve">The model on thirty-four objects with twenty-two events throws off two decisively identified effects and one directionally consistent but coarsely measured effect. The altitude coefficient confirms the load-bearing hypothesis at a p-value of 0.0007. The class coefficient confirms the area-to-mass hypothesis at a p-value of 0.0312. The solar coefficient leaves its hypothesis directionally backed but not statistically resolved at a p-value of 0.2063. Taken together, the altitude and class coefficients settle that on-orbit survival is governed in the predicted direction and at the predicted magnitude by the two covariates tied most directly to drag.</w:t>
      </w:r>
    </w:p>
    <w:p>
      <w:pPr>
        <w:pStyle w:val="BodyText"/>
        <w:spacing w:line="480" w:lineRule="auto"/>
        <w:ind w:firstLine="720"/>
      </w:pPr>
      <w:r>
        <w:t xml:space="preserve">The central result is the altitude hazard ratio of 0.584 per hundred kilometers. It turns the qualitative claim, common in the field, that high bands are dangerous into a calibrated statement about sink strength on the catalog scale. For the dissertation, this hazard ratio is the denominator of the tipping-point ratio the detector developed in Chapter 7 will read against. A sink measured at 0.584 per hundred kilometers, with a standard error of 0.1584, is no longer an assumption to be handed to a forward-integrating model</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 it is an estimate with a standard error any acceleration of the source can be statistically judged against.</w:t>
      </w:r>
    </w:p>
    <w:bookmarkEnd w:id="127"/>
    <w:bookmarkEnd w:id="128"/>
    <w:bookmarkStart w:id="129" w:name="integration"/>
    <w:p>
      <w:pPr>
        <w:pStyle w:val="Heading2"/>
        <w:spacing w:line="480" w:lineRule="auto"/>
      </w:pPr>
      <w:r>
        <w:t xml:space="preserve">6.3 Integration</w:t>
      </w:r>
    </w:p>
    <w:p>
      <w:pPr>
        <w:pStyle w:val="FirstParagraph"/>
        <w:spacing w:line="480" w:lineRule="auto"/>
      </w:pPr>
      <w:r>
        <w:t xml:space="preserve">The two papers answer the two prior empirical questions the detection program rests on, and they do so in a coordinated way that carries more information than the sum of the parts.</w:t>
      </w:r>
    </w:p>
    <w:p>
      <w:pPr>
        <w:pStyle w:val="BodyText"/>
        <w:spacing w:line="480" w:lineRule="auto"/>
        <w:ind w:firstLine="720"/>
      </w:pPr>
      <w:r>
        <w:t xml:space="preserve">Paper 1 shows that within the trackable band the catalog watches, collisional energy and not parent mass is the channel that sets high-yield apart from low-yield events, with a partial multiplier on the order of three and a half at the five percent significance threshold. Paper 2 shows that within the population of on-orbit objects, the atmospheric sink collisional production is set against falls steeply with altitude, with a hazard ratio of 0.584 per hundred kilometers at a p-value below one in a thousand. The first result settles that the catalog growth series the detector reads leans toward the production term that drives the cascade. The second settles that the removal term that would have to be run past for the cascade to be self-sustaining is itself a quantified, decreasing function of altitude, with an explicit measured value and standard error.</w:t>
      </w:r>
    </w:p>
    <w:p>
      <w:pPr>
        <w:pStyle w:val="BodyText"/>
        <w:spacing w:line="480" w:lineRule="auto"/>
        <w:ind w:firstLine="720"/>
      </w:pPr>
      <w:r>
        <w:t xml:space="preserve">The two results meet at a single physical point. The high bands where the sink runs weakest by an order of magnitude are also the bands where the highest-energy collisional events of the catalog era have dropped their fragment clouds</w:t>
      </w:r>
      <w:r>
        <w:t xml:space="preserve"> </w:t>
      </w:r>
      <w:hyperlink w:anchor="ref-7">
        <w:r>
          <w:rPr>
            <w:rStyle w:val="Hyperlink"/>
          </w:rPr>
          <w:t xml:space="preserve">[7]</w:t>
        </w:r>
      </w:hyperlink>
      <w:r>
        <w:t xml:space="preserve">. Paper 1 confirms that those events drop on the order of three and a half times the trackable fragments of explosive events at equal parent mass. Paper 2 confirms that the bands those fragments live in clear material at a fraction of the rate of the lower bands. The detection program of Chapter 7 therefore inherits, from the present chapter, a catalog that leans toward the right production term and a sink term that is calibrated rather than assumed. The empirical preconditions for the central detection question are met.</w:t>
      </w:r>
    </w:p>
    <w:p>
      <w:pPr>
        <w:pStyle w:val="BodyText"/>
        <w:spacing w:line="480" w:lineRule="auto"/>
        <w:ind w:firstLine="720"/>
      </w:pPr>
      <w:r>
        <w:t xml:space="preserve">Three limits fence this integration and frame the work ahead. The dependent variable in Paper 1 is the trackable band only, and the censoring the tracking threshold imposes means the mass-coefficient null is a statement about what the catalog sees rather than about the underlying fragment cloud, much of it sub-trackable</w:t>
      </w:r>
      <w:r>
        <w:t xml:space="preserve"> </w:t>
      </w:r>
      <w:hyperlink w:anchor="ref-4">
        <w:r>
          <w:rPr>
            <w:rStyle w:val="Hyperlink"/>
          </w:rPr>
          <w:t xml:space="preserve">[4]</w:t>
        </w:r>
      </w:hyperlink>
      <w:r>
        <w:t xml:space="preserve">. The detector is on that account a detector of signal in the trackable band, and a null result there is informative only for that band. Second, Paper 2’s sample is a curated panel of well-documented objects rather than a random draw from the full catalog, and the coefficients describe the documented population; before they parameterize an operational detector at scale, they should be re-estimated on a full catalog snapshot, a step the data and provenance section of the prospectus has already marked as feasible against the Space-Track historical record. Third, the proportional-hazards assumption treats the covariate effects as constant over each object’s life, and a time-varying specification would sharpen the solar term the binary proxy of Paper 2 leaves at a p-value of 0.2063. None of these limits unsettles the central findings: the collision coefficient is significant at 0.0497 with a multiplier of roughly 3.6, the altitude coefficient is significant at 0.0007 with a hazard ratio of 0.584 per hundred kilometers, and the class coefficient is significant at 0.0312 with a hazard ratio of 0.264.</w:t>
      </w:r>
    </w:p>
    <w:p>
      <w:pPr>
        <w:pStyle w:val="BodyText"/>
        <w:spacing w:line="480" w:lineRule="auto"/>
        <w:ind w:firstLine="720"/>
      </w:pPr>
      <w:r>
        <w:t xml:space="preserve">With the catalog set as a partial but materially load-bearing register of collisional production, and the altitude bands set as graded sink-strength strata with measured gradients, the detection question the dissertation raised in Chapter 1 is now posable on calibrated quantities. Chapter 7 turns to that detection question, running early-warning indicators against the band-stratified, residualized fragment-generation series whose physical content the present chapter has empirically warranted.</w:t>
      </w:r>
    </w:p>
    <w:bookmarkEnd w:id="129"/>
    <w:bookmarkEnd w:id="130"/>
    <w:bookmarkStart w:id="137" w:name="X21322cb5e29cbf4eb576afddcad42f86ace4e0d"/>
    <w:p>
      <w:pPr>
        <w:pStyle w:val="Heading1"/>
        <w:spacing w:line="480" w:lineRule="auto"/>
      </w:pPr>
      <w:r>
        <w:t xml:space="preserve">Chapter 7. Discussion and Governance Implications</w:t>
      </w:r>
    </w:p>
    <w:bookmarkStart w:id="131" w:name="what-the-findings-mean-taken-together"/>
    <w:p>
      <w:pPr>
        <w:pStyle w:val="Heading2"/>
        <w:spacing w:line="480" w:lineRule="auto"/>
      </w:pPr>
      <w:r>
        <w:t xml:space="preserve">7.1 What the Findings Mean Taken Together</w:t>
      </w:r>
    </w:p>
    <w:p>
      <w:pPr>
        <w:pStyle w:val="FirstParagraph"/>
        <w:spacing w:line="480" w:lineRule="auto"/>
      </w:pPr>
      <w:r>
        <w:t xml:space="preserve">The three empirical studies at the analytical core of this dissertation were built to answer one prior question and two foundational ones, and the answers they return hang together tightly enough to be worth stating at the head of this chapter. The prospectus raised a detection problem: whether the onset of self-sustaining fragmentation in low Earth orbit leaves a measurable statistical fingerprint in the observed catalog before the threshold gets crossed. That detection problem cannot be taken up responsibly without first knowing whether the catalog watches the right quantity, and without first calibrating the sink term any acceleration of the source must be weighed against. The cross-event regression of cataloged fragment yield on parent mass and collision energy answered the first prerequisite by showing that what fills the trackable catalog is collision energy rather than parent mass, collisions dropping on the order of three and a half times as many cataloged fragments as explosions of equivalent parent mass. The Cox proportional-hazards model of on-orbit survival answered the second by recovering a hazard ratio of 0.584 per hundred kilometers of altitude band, a drop of roughly forty-two percent in the instantaneous decay hazard for every hundred kilometers of added altitude. Read together, these two findings settle that the catalog leans toward the production channel that drives the long-run instability and that the sink opposing that instability weakens steeply and monotonically with altitude. On these grounds the detection program of the prospectus watches the physically correct quantity in the physically correct place.</w:t>
      </w:r>
    </w:p>
    <w:p>
      <w:pPr>
        <w:pStyle w:val="BodyText"/>
        <w:spacing w:line="480" w:lineRule="auto"/>
        <w:ind w:firstLine="720"/>
      </w:pPr>
      <w:r>
        <w:t xml:space="preserve">The claim that comes out is not that a cascade looms. The finding runs quieter than that. It is that the catalog is, in principle, an instrument that can speak before it cascades, and that whether it does so is a tractable empirical question rather than a modeling abstraction. Dynamical-systems characterization of the LEO environment locates the bifurcation structure analytically</w:t>
      </w:r>
      <w:r>
        <w:t xml:space="preserve"> </w:t>
      </w:r>
      <w:hyperlink w:anchor="ref-1">
        <w:r>
          <w:rPr>
            <w:rStyle w:val="Hyperlink"/>
          </w:rPr>
          <w:t xml:space="preserve">[1]</w:t>
        </w:r>
      </w:hyperlink>
      <w:r>
        <w:t xml:space="preserve">, the Monte-Carlo all-versus-all evolution literature forecasts trajectories under scenario assumptions</w:t>
      </w:r>
      <w:r>
        <w:t xml:space="preserve"> </w:t>
      </w:r>
      <w:hyperlink w:anchor="ref-2">
        <w:r>
          <w:rPr>
            <w:rStyle w:val="Hyperlink"/>
          </w:rPr>
          <w:t xml:space="preserve">[2]</w:t>
        </w:r>
      </w:hyperlink>
      <w:r>
        <w:t xml:space="preserve">, and the carrying-capacity tradition asks what stationary populations stay sustainable</w:t>
      </w:r>
      <w:r>
        <w:t xml:space="preserve"> </w:t>
      </w:r>
      <w:hyperlink w:anchor="ref-3">
        <w:r>
          <w:rPr>
            <w:rStyle w:val="Hyperlink"/>
          </w:rPr>
          <w:t xml:space="preserve">[3]</w:t>
        </w:r>
      </w:hyperlink>
      <w:r>
        <w:t xml:space="preserve">,</w:t>
      </w:r>
      <w:r>
        <w:t xml:space="preserve"> </w:t>
      </w:r>
      <w:hyperlink w:anchor="ref-5">
        <w:r>
          <w:rPr>
            <w:rStyle w:val="Hyperlink"/>
          </w:rPr>
          <w:t xml:space="preserve">[5]</w:t>
        </w:r>
      </w:hyperlink>
      <w:r>
        <w:t xml:space="preserve">. None of these traditions takes up whether the moving catalog already gives away its own approach to the edge. What the present work adds is to clear the ground on which that question can be raised: a fragment-yield regression that warrants reading catalog growth as a proxy for the collisional production term, and a survival model that fixes the denominator of the tipping-point ratio with a calibrated, rather than assumed, removal rate.</w:t>
      </w:r>
    </w:p>
    <w:bookmarkEnd w:id="131"/>
    <w:bookmarkStart w:id="132" w:name="implications-for-nasa-program-management"/>
    <w:p>
      <w:pPr>
        <w:pStyle w:val="Heading2"/>
        <w:spacing w:line="480" w:lineRule="auto"/>
      </w:pPr>
      <w:r>
        <w:t xml:space="preserve">7.2 Implications for NASA Program Management</w:t>
      </w:r>
    </w:p>
    <w:p>
      <w:pPr>
        <w:pStyle w:val="FirstParagraph"/>
        <w:spacing w:line="480" w:lineRule="auto"/>
      </w:pPr>
      <w:r>
        <w:t xml:space="preserve">Implications for NASA program management follow from the meeting of these two results and bear on three program lines whose decisions get made today on assumed rather than estimated parameters.</w:t>
      </w:r>
    </w:p>
    <w:p>
      <w:pPr>
        <w:pStyle w:val="BodyText"/>
        <w:spacing w:line="480" w:lineRule="auto"/>
        <w:ind w:firstLine="720"/>
      </w:pPr>
      <w:r>
        <w:t xml:space="preserve">The first is the orbital debris program proper. For four decades the NASA Orbital Debris Program Office has run its modeling tradition around forward integration of source-and-sink dynamics whose removal terms come parameterized from atmospheric models and whose collisional production terms come estimated from the breakup model and its hypervelocity-fragmentation calibration</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 The Cox estimate developed in this dissertation is no replacement for that machinery, which runs at far finer altitude and inclination resolution than a thirty-four-object survival panel could carry. It is, though, a calibration check of a kind the existing pipeline does not natively throw off, since it flips the posture of the tradition: rather than assuming a decay rate and carrying it forward, it recovers the decay rate from observed lifetimes and reports a standard error. For a program office whose long-horizon forecasts ride on a removal term rarely audited against survival data on the actual cataloged population, an empirically anchored hazard ratio with a confidence interval is a managerially useful artifact. It hands over a quantity the assumed removal rates in EVOLVE-family propagators can be cross-checked against, and it does so in units, hazard ratio per hundred kilometers of altitude, that read plainly to program managers without specialist knowledge of the underlying drag physics.</w:t>
      </w:r>
    </w:p>
    <w:p>
      <w:pPr>
        <w:pStyle w:val="BodyText"/>
        <w:spacing w:line="480" w:lineRule="auto"/>
        <w:ind w:firstLine="720"/>
      </w:pPr>
      <w:r>
        <w:t xml:space="preserve">A second program line goes to the LeoLabs-era and Space Surveillance Network-era observation infrastructure that NASA leans on for catalog inputs but does not itself run. The fragment-yield finding settles that the catalog logs collision energy more sharply than parent mass, but it does so only in the trackable band, and the sub-trackable fragment population no catalog resolves stays the dominant unobserved hazard</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 This carries a direct managerial consequence. NASA’s posture toward investments in new sensing modalities, whether the soliton-soliton interaction approach to sub-centimeter debris detection</w:t>
      </w:r>
      <w:r>
        <w:t xml:space="preserve"> </w:t>
      </w:r>
      <w:hyperlink w:anchor="ref-14">
        <w:r>
          <w:rPr>
            <w:rStyle w:val="Hyperlink"/>
          </w:rPr>
          <w:t xml:space="preserve">[14]</w:t>
        </w:r>
      </w:hyperlink>
      <w:r>
        <w:t xml:space="preserve">, the optical telescope networks demonstrated against the Intelsat 33E fragmentation</w:t>
      </w:r>
      <w:r>
        <w:t xml:space="preserve"> </w:t>
      </w:r>
      <w:hyperlink w:anchor="ref-11">
        <w:r>
          <w:rPr>
            <w:rStyle w:val="Hyperlink"/>
          </w:rPr>
          <w:t xml:space="preserve">[11]</w:t>
        </w:r>
      </w:hyperlink>
      <w:r>
        <w:t xml:space="preserve">, the GEO-to-GEO optical sensing approach to uncataloged objects</w:t>
      </w:r>
      <w:r>
        <w:t xml:space="preserve"> </w:t>
      </w:r>
      <w:hyperlink w:anchor="ref-13">
        <w:r>
          <w:rPr>
            <w:rStyle w:val="Hyperlink"/>
          </w:rPr>
          <w:t xml:space="preserve">[13]</w:t>
        </w:r>
      </w:hyperlink>
      <w:r>
        <w:t xml:space="preserve">, or the radar beam-park characterization deployed against the Kosmos 1408 event</w:t>
      </w:r>
      <w:r>
        <w:t xml:space="preserve"> </w:t>
      </w:r>
      <w:hyperlink w:anchor="ref-21">
        <w:r>
          <w:rPr>
            <w:rStyle w:val="Hyperlink"/>
          </w:rPr>
          <w:t xml:space="preserve">[21]</w:t>
        </w:r>
      </w:hyperlink>
      <w:r>
        <w:t xml:space="preserve">, should turn on which band each modality fills. The catalog already speaks credibly about the high-energy collisional channel in the trackable band, so the marginal value of a new sensor runs highest where it stretches observation into the censored regime that drives the bifurcation but cannot be seen from current ground-based radars. For program-level investment decisions, this is the difference between buying redundancy and buying new information.</w:t>
      </w:r>
    </w:p>
    <w:p>
      <w:pPr>
        <w:pStyle w:val="BodyText"/>
        <w:spacing w:line="480" w:lineRule="auto"/>
        <w:ind w:firstLine="720"/>
      </w:pPr>
      <w:r>
        <w:t xml:space="preserve">The third program line, and the one nearest the dissertation’s animating question, is the National Space Policy obligation to hold situational awareness adequate to safeguard human spaceflight and crewed platforms. The short-term effects of the Cosmos 1408 fragmentation on neighboring inhabited platforms and large constellations have been characterized in the open literature</w:t>
      </w:r>
      <w:r>
        <w:t xml:space="preserve"> </w:t>
      </w:r>
      <w:hyperlink w:anchor="ref-19">
        <w:r>
          <w:rPr>
            <w:rStyle w:val="Hyperlink"/>
          </w:rPr>
          <w:t xml:space="preserve">[19]</w:t>
        </w:r>
      </w:hyperlink>
      <w:r>
        <w:t xml:space="preserve"> </w:t>
      </w:r>
      <w:r>
        <w:t xml:space="preserve">and have already set off operational responses including just-in-time collision avoidance</w:t>
      </w:r>
      <w:r>
        <w:t xml:space="preserve"> </w:t>
      </w:r>
      <w:hyperlink w:anchor="ref-24">
        <w:r>
          <w:rPr>
            <w:rStyle w:val="Hyperlink"/>
          </w:rPr>
          <w:t xml:space="preserve">[24]</w:t>
        </w:r>
      </w:hyperlink>
      <w:r>
        <w:t xml:space="preserve">. What the Cox finding adds is to make plain, in calibrated form, the asymmetry those operational responses quietly assume: bands at the altitude of the International Space Station and of the operational mega-constellations sit on opposite sides of a steep hazard gradient, and the upper bands pile up fragment populations whose individual hazard ratios run several multiplicative steps below the bands where most crewed activity happens. NASA program management decisions about transit operations, station-keeping budgets, and conjunction-warning thresholds are therefore playing out across a sink-strength gradient now estimated rather than assumed. This does not shift the operational decisions in any one conjunction case; it shifts the basis on which the underlying risk model can be defended.</w:t>
      </w:r>
    </w:p>
    <w:p>
      <w:pPr>
        <w:pStyle w:val="BodyText"/>
        <w:spacing w:line="480" w:lineRule="auto"/>
        <w:ind w:firstLine="720"/>
      </w:pPr>
      <w:r>
        <w:t xml:space="preserve">A fourth implication, more diffuse but no less consequential, goes to NASA’s role as a convener of the international space-sustainability community. The Space Sustainability Rating composite indicator framework</w:t>
      </w:r>
      <w:r>
        <w:t xml:space="preserve"> </w:t>
      </w:r>
      <w:hyperlink w:anchor="ref-18">
        <w:r>
          <w:rPr>
            <w:rStyle w:val="Hyperlink"/>
          </w:rPr>
          <w:t xml:space="preserve">[18]</w:t>
        </w:r>
      </w:hyperlink>
      <w:r>
        <w:t xml:space="preserve"> </w:t>
      </w:r>
      <w:r>
        <w:t xml:space="preserve">and the planetary-boundaries framework for space activity</w:t>
      </w:r>
      <w:r>
        <w:t xml:space="preserve"> </w:t>
      </w:r>
      <w:hyperlink w:anchor="ref-23">
        <w:r>
          <w:rPr>
            <w:rStyle w:val="Hyperlink"/>
          </w:rPr>
          <w:t xml:space="preserve">[23]</w:t>
        </w:r>
      </w:hyperlink>
      <w:r>
        <w:t xml:space="preserve"> </w:t>
      </w:r>
      <w:r>
        <w:t xml:space="preserve">both ride, for the rigor of their thresholds, on calibrated estimates of how the LEO environment answers to incremental loading. The hazard ratio reported here is one such estimate, with documented provenance, and it can fold into the parameterization of those frameworks without the analytical concessions that purely model-based removal rates have historically forced. NASA’s convening posture in those communities strengthens to the degree that the parameters it brings to the table come estimated on data the international community can audit.</w:t>
      </w:r>
    </w:p>
    <w:bookmarkEnd w:id="132"/>
    <w:bookmarkStart w:id="133" w:name="implications-for-jpl-decision-making"/>
    <w:p>
      <w:pPr>
        <w:pStyle w:val="Heading2"/>
        <w:spacing w:line="480" w:lineRule="auto"/>
      </w:pPr>
      <w:r>
        <w:t xml:space="preserve">7.3 Implications for JPL Decision-Making</w:t>
      </w:r>
    </w:p>
    <w:p>
      <w:pPr>
        <w:pStyle w:val="FirstParagraph"/>
        <w:spacing w:line="480" w:lineRule="auto"/>
      </w:pPr>
      <w:r>
        <w:t xml:space="preserve">Implications for the Jet Propulsion Laboratory run different in kind from those for the headquarters program office, because JPL’s decision-making concentrates at the level of mission concept, mission design, and the trajectory and disposal architectures that fix how a given mission interacts with the LEO environment over its life. Three implications bear on that decision-making layer.</w:t>
      </w:r>
    </w:p>
    <w:p>
      <w:pPr>
        <w:pStyle w:val="BodyText"/>
        <w:spacing w:line="480" w:lineRule="auto"/>
        <w:ind w:firstLine="720"/>
      </w:pPr>
      <w:r>
        <w:t xml:space="preserve">The first goes to mission design and end-of-life disposal for science missions that cross or terminate in LEO. The Cox hazard ratio of 0.584 per hundred kilometers is a quantitative statement about how steeply the disposal cost climbs with target altitude. For a mission whose disposal orbit gets chosen on mission requirements and propellant budget, the marginal sustainability cost of picking a disposal altitude a hundred kilometers higher than minimally required is no longer a vague qualitative worry but a calibrated multiplicative degradation of the removal term. The decay-time literature has long set down the underlying drag physics</w:t>
      </w:r>
      <w:r>
        <w:t xml:space="preserve"> </w:t>
      </w:r>
      <w:hyperlink w:anchor="ref-8">
        <w:r>
          <w:rPr>
            <w:rStyle w:val="Hyperlink"/>
          </w:rPr>
          <w:t xml:space="preserve">[8]</w:t>
        </w:r>
      </w:hyperlink>
      <w:r>
        <w:t xml:space="preserve">, but flipping that physics into a hazard-ratio statement on the actual cataloged population hands JPL mission designers a tractable input for trade studies. A mission that can lower its disposal perigee by one hundred kilometers buys, on the present estimate, a forty-two-percent drop in the per-object decay hazard, and that drop is the right currency in which to argue the disposal trade against the propellant and operational costs the lowering runs up.</w:t>
      </w:r>
    </w:p>
    <w:p>
      <w:pPr>
        <w:pStyle w:val="BodyText"/>
        <w:spacing w:line="480" w:lineRule="auto"/>
        <w:ind w:firstLine="720"/>
      </w:pPr>
      <w:r>
        <w:t xml:space="preserve">The second implication goes to the heavy, low-area-to-mass class of intact objects JPL routinely designs and operates. The finding that heavy objects meet roughly a quarter of the decay hazard of light fragments at the same altitude, with a hazard ratio of 0.264, is on its face a statement about the surviving residence times of intact spacecraft. For JPL it is also a statement about the long-term liability profile of any heavy mission left in a high band at end of life. The fragmentation literature settles that collisional break-up of an intact spacecraft throws off a population skewed toward high-area-to-mass fragments</w:t>
      </w:r>
      <w:r>
        <w:t xml:space="preserve"> </w:t>
      </w:r>
      <w:hyperlink w:anchor="ref-4">
        <w:r>
          <w:rPr>
            <w:rStyle w:val="Hyperlink"/>
          </w:rPr>
          <w:t xml:space="preserve">[4]</w:t>
        </w:r>
      </w:hyperlink>
      <w:r>
        <w:t xml:space="preserve">, and the present model puts those fragments at roughly four times the per-object decay hazard of the parent. For a mission designer, the arithmetic runs unforgiving. An intact heavy spacecraft is a slow-decaying single object whose collisional disruption would throw off many objects, each of them itself slow-decaying in absolute terms despite running faster than the parent. The asymmetry rewards passivation, controlled deorbit, and active removal at end of life in calibrated rather than rhetorical terms, and it does so most strongly for missions whose disposal altitudes sit above the bands where the existing fragment clouds from the 2007 and 2009 events reside</w:t>
      </w:r>
      <w:r>
        <w:t xml:space="preserve"> </w:t>
      </w:r>
      <w:hyperlink w:anchor="ref-3">
        <w:r>
          <w:rPr>
            <w:rStyle w:val="Hyperlink"/>
          </w:rPr>
          <w:t xml:space="preserve">[3]</w:t>
        </w:r>
      </w:hyperlink>
      <w:r>
        <w:t xml:space="preserve">,</w:t>
      </w:r>
      <w:r>
        <w:t xml:space="preserve"> </w:t>
      </w:r>
      <w:hyperlink w:anchor="ref-7">
        <w:r>
          <w:rPr>
            <w:rStyle w:val="Hyperlink"/>
          </w:rPr>
          <w:t xml:space="preserve">[7]</w:t>
        </w:r>
      </w:hyperlink>
      <w:r>
        <w:t xml:space="preserve">.</w:t>
      </w:r>
    </w:p>
    <w:p>
      <w:pPr>
        <w:pStyle w:val="BodyText"/>
        <w:spacing w:line="480" w:lineRule="auto"/>
        <w:ind w:firstLine="720"/>
      </w:pPr>
      <w:r>
        <w:t xml:space="preserve">The third implication goes to JPL’s involvement in conjunction screening, catalog maintenance, and the wider catalog-product enterprise. Catalog maintenance under modern conditions takes in the detection and estimation of spacecraft maneuvers</w:t>
      </w:r>
      <w:r>
        <w:t xml:space="preserve"> </w:t>
      </w:r>
      <w:hyperlink w:anchor="ref-20">
        <w:r>
          <w:rPr>
            <w:rStyle w:val="Hyperlink"/>
          </w:rPr>
          <w:t xml:space="preserve">[20]</w:t>
        </w:r>
      </w:hyperlink>
      <w:r>
        <w:t xml:space="preserve">, the track-to-track association of fragmentation events from optical observations</w:t>
      </w:r>
      <w:r>
        <w:t xml:space="preserve"> </w:t>
      </w:r>
      <w:hyperlink w:anchor="ref-16">
        <w:r>
          <w:rPr>
            <w:rStyle w:val="Hyperlink"/>
          </w:rPr>
          <w:t xml:space="preserve">[16]</w:t>
        </w:r>
      </w:hyperlink>
      <w:r>
        <w:t xml:space="preserve">, and the cascading-collision potential of orbital shells under systems-theory analysis</w:t>
      </w:r>
      <w:r>
        <w:t xml:space="preserve"> </w:t>
      </w:r>
      <w:hyperlink w:anchor="ref-12">
        <w:r>
          <w:rPr>
            <w:rStyle w:val="Hyperlink"/>
          </w:rPr>
          <w:t xml:space="preserve">[12]</w:t>
        </w:r>
      </w:hyperlink>
      <w:r>
        <w:t xml:space="preserve">. The fragment-yield regression carries a methodological implication for this work. If the catalog logs collision energy more sharply than parent mass, then catalog-product processing lines that triage events by parent mass, and that hand out downstream characterization effort to match, are weighting the wrong quantity. A triage rule keyed to an indicator of collision channel, even a binary one of the kind the regression here uses, would line up better with the production term that drives the long-run hazard. For JPL groups whose work touches the catalog product, this is a near-term, low-friction improvement to be had without rebuilding any underlying infrastructure.</w:t>
      </w:r>
    </w:p>
    <w:p>
      <w:pPr>
        <w:pStyle w:val="BodyText"/>
        <w:spacing w:line="480" w:lineRule="auto"/>
        <w:ind w:firstLine="720"/>
      </w:pPr>
      <w:r>
        <w:t xml:space="preserve">A more strategic implication for JPL goes to the decadal-survey-shaped portfolio of LEO and cislunar science missions whose architectures will get set in the next planning cycle. The meeting of the two empirical findings, the catalog as a credible recorder of the relevant production channel and the sink as a steeply graded function of altitude, suggests that the right mission-design posture is not one that treats sustainability as a constraint applied at the disposal phase but one that treats it as a parameter of the mission architecture from concept selection forward. The hazard ratio per hundred kilometers works as a price signal JPL mission concept teams can fold into early-phase trade studies, and the price runs steeper than the qualitative literature has historically conveyed.</w:t>
      </w:r>
    </w:p>
    <w:bookmarkEnd w:id="133"/>
    <w:bookmarkStart w:id="134" w:name="cross-cutting-governance-implications"/>
    <w:p>
      <w:pPr>
        <w:pStyle w:val="Heading2"/>
        <w:spacing w:line="480" w:lineRule="auto"/>
      </w:pPr>
      <w:r>
        <w:t xml:space="preserve">7.4 Cross-Cutting Governance Implications</w:t>
      </w:r>
    </w:p>
    <w:p>
      <w:pPr>
        <w:pStyle w:val="FirstParagraph"/>
        <w:spacing w:line="480" w:lineRule="auto"/>
      </w:pPr>
      <w:r>
        <w:t xml:space="preserve">Past the program-level and laboratory-level implications, the findings carry three governance implications that span the institutional boundary between NASA and the wider space-sustainability regime.</w:t>
      </w:r>
    </w:p>
    <w:p>
      <w:pPr>
        <w:pStyle w:val="BodyText"/>
        <w:spacing w:line="480" w:lineRule="auto"/>
        <w:ind w:firstLine="720"/>
      </w:pPr>
      <w:r>
        <w:t xml:space="preserve">The first goes to the design of carrying-capacity-based governance instruments. The carrying-capacity tradition has ripened into specific design proposals, capacity modeling for sustainable LEO constellation design</w:t>
      </w:r>
      <w:r>
        <w:t xml:space="preserve"> </w:t>
      </w:r>
      <w:hyperlink w:anchor="ref-9">
        <w:r>
          <w:rPr>
            <w:rStyle w:val="Hyperlink"/>
          </w:rPr>
          <w:t xml:space="preserve">[9]</w:t>
        </w:r>
      </w:hyperlink>
      <w:r>
        <w:t xml:space="preserve"> </w:t>
      </w:r>
      <w:r>
        <w:t xml:space="preserve">and design trades for environmentally friendly broadband LEO systems</w:t>
      </w:r>
      <w:r>
        <w:t xml:space="preserve"> </w:t>
      </w:r>
      <w:hyperlink w:anchor="ref-10">
        <w:r>
          <w:rPr>
            <w:rStyle w:val="Hyperlink"/>
          </w:rPr>
          <w:t xml:space="preserve">[10]</w:t>
        </w:r>
      </w:hyperlink>
      <w:r>
        <w:t xml:space="preserve"> </w:t>
      </w:r>
      <w:r>
        <w:t xml:space="preserve">among them. These proposals presuppose a calibrated removal term, since the carrying capacity of a band gets fixed by the ratio of the source to the sink and means nothing without an estimate of the latter. The Cox hazard ratio reported here is one input such instruments can use, and its provenance, a partial-likelihood estimate on documented launch and decay records, is the kind of provenance a governance instrument can defensibly anchor to. The governance implication is that carrying-capacity instruments need not lean solely on assumed removal rates carried over from population-model traditions; an estimated alternative is on hand.</w:t>
      </w:r>
    </w:p>
    <w:p>
      <w:pPr>
        <w:pStyle w:val="BodyText"/>
        <w:spacing w:line="480" w:lineRule="auto"/>
        <w:ind w:firstLine="720"/>
      </w:pPr>
      <w:r>
        <w:t xml:space="preserve">The second goes to the framing of bifurcation analysis in the governance literature. Systems-theory analyses of cascading collision potential</w:t>
      </w:r>
      <w:r>
        <w:t xml:space="preserve"> </w:t>
      </w:r>
      <w:hyperlink w:anchor="ref-12">
        <w:r>
          <w:rPr>
            <w:rStyle w:val="Hyperlink"/>
          </w:rPr>
          <w:t xml:space="preserve">[12]</w:t>
        </w:r>
      </w:hyperlink>
      <w:r>
        <w:t xml:space="preserve"> </w:t>
      </w:r>
      <w:r>
        <w:t xml:space="preserve">and brute-force modeling of the Kessler syndrome</w:t>
      </w:r>
      <w:r>
        <w:t xml:space="preserve"> </w:t>
      </w:r>
      <w:hyperlink w:anchor="ref-15">
        <w:r>
          <w:rPr>
            <w:rStyle w:val="Hyperlink"/>
          </w:rPr>
          <w:t xml:space="preserve">[15]</w:t>
        </w:r>
      </w:hyperlink>
      <w:r>
        <w:t xml:space="preserve"> </w:t>
      </w:r>
      <w:r>
        <w:t xml:space="preserve">have settled that the LEO environment admits cascading dynamics in principle, but they reason on simulated populations rather than on detection from data. The detection posture taken in this dissertation, that the catalog is the instrument and the question is whether it speaks before it cascades, rounds out rather than replaces those analyses. The governance implication is that a detector-based instrument, once empirically validated, would hand over a regulatory trigger that is observable rather than projected, and observable triggers run easier to operationalize in international fora than projected ones because they do not ask parties to agree on the assumed rates that underlie a forecast.</w:t>
      </w:r>
    </w:p>
    <w:p>
      <w:pPr>
        <w:pStyle w:val="BodyText"/>
        <w:spacing w:line="480" w:lineRule="auto"/>
        <w:ind w:firstLine="720"/>
      </w:pPr>
      <w:r>
        <w:t xml:space="preserve">The third goes to the just-in-time collision avoidance posture that has come up as the operational response to the present hazard environment</w:t>
      </w:r>
      <w:r>
        <w:t xml:space="preserve"> </w:t>
      </w:r>
      <w:hyperlink w:anchor="ref-24">
        <w:r>
          <w:rPr>
            <w:rStyle w:val="Hyperlink"/>
          </w:rPr>
          <w:t xml:space="preserve">[24]</w:t>
        </w:r>
      </w:hyperlink>
      <w:r>
        <w:t xml:space="preserve">. Just-in-time avoidance is an architecture of last resort, and its long-run cost scales with the frequency of conjunctions, which itself scales with the population density of the bands. Should the source-side detector developed in the broader dissertation in time return a positive identification of pre-transition signal in a specific band, the governance question turns from whether to act into at what point along the warning-to-action timeline an internationally credible response can be coordinated. The calibrated sink term reported here informs that question by making plain how much warning the underlying physics is able to give. A band whose sink runs weak takes decades to clear even under the most aggressive removal posture, so the governance window for action runs correspondingly long if action comes early and correspondingly short if action waits for unambiguous evidence of transition.</w:t>
      </w:r>
    </w:p>
    <w:bookmarkEnd w:id="134"/>
    <w:bookmarkStart w:id="135" w:name="limitations"/>
    <w:p>
      <w:pPr>
        <w:pStyle w:val="Heading2"/>
        <w:spacing w:line="480" w:lineRule="auto"/>
      </w:pPr>
      <w:r>
        <w:t xml:space="preserve">7.5 Limitations</w:t>
      </w:r>
    </w:p>
    <w:p>
      <w:pPr>
        <w:pStyle w:val="FirstParagraph"/>
        <w:spacing w:line="480" w:lineRule="auto"/>
      </w:pPr>
      <w:r>
        <w:t xml:space="preserve">The limitations of the work fall into four classes, and each gets stated in terms that fence the inferential reach of the dissertation rather than apologize for it.</w:t>
      </w:r>
    </w:p>
    <w:p>
      <w:pPr>
        <w:pStyle w:val="BodyText"/>
        <w:spacing w:line="480" w:lineRule="auto"/>
        <w:ind w:firstLine="720"/>
      </w:pPr>
      <w:r>
        <w:t xml:space="preserve">The first class goes to the trackable-band confinement of both empirical studies. The fragment-yield regression takes as its dependent variable the count of cataloged fragments, which by construction leaves out the sub-trackable population experimental hypervelocity-fragmentation work sets as numerous and consequential</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 The Cox model takes as its sample a panel of well-documented objects above the tracking threshold. Neither study can speak to the dynamics of the sub-trackable cloud, and a complete account of the cascade calls for a complementary observational program that resolves that cloud. The optical and radar approaches drawn from the reference pool address parts of this gap</w:t>
      </w:r>
      <w:r>
        <w:t xml:space="preserve"> </w:t>
      </w:r>
      <w:hyperlink w:anchor="ref-11">
        <w:r>
          <w:rPr>
            <w:rStyle w:val="Hyperlink"/>
          </w:rPr>
          <w:t xml:space="preserve">[11]</w:t>
        </w:r>
      </w:hyperlink>
      <w:r>
        <w:t xml:space="preserve">,</w:t>
      </w:r>
      <w:r>
        <w:t xml:space="preserve"> </w:t>
      </w:r>
      <w:hyperlink w:anchor="ref-13">
        <w:r>
          <w:rPr>
            <w:rStyle w:val="Hyperlink"/>
          </w:rPr>
          <w:t xml:space="preserve">[13]</w:t>
        </w:r>
      </w:hyperlink>
      <w:r>
        <w:t xml:space="preserve">,</w:t>
      </w:r>
      <w:r>
        <w:t xml:space="preserve"> </w:t>
      </w:r>
      <w:hyperlink w:anchor="ref-14">
        <w:r>
          <w:rPr>
            <w:rStyle w:val="Hyperlink"/>
          </w:rPr>
          <w:t xml:space="preserve">[14]</w:t>
        </w:r>
      </w:hyperlink>
      <w:r>
        <w:t xml:space="preserve">,</w:t>
      </w:r>
      <w:r>
        <w:t xml:space="preserve"> </w:t>
      </w:r>
      <w:hyperlink w:anchor="ref-16">
        <w:r>
          <w:rPr>
            <w:rStyle w:val="Hyperlink"/>
          </w:rPr>
          <w:t xml:space="preserve">[16]</w:t>
        </w:r>
      </w:hyperlink>
      <w:r>
        <w:t xml:space="preserve">,</w:t>
      </w:r>
      <w:r>
        <w:t xml:space="preserve"> </w:t>
      </w:r>
      <w:hyperlink w:anchor="ref-21">
        <w:r>
          <w:rPr>
            <w:rStyle w:val="Hyperlink"/>
          </w:rPr>
          <w:t xml:space="preserve">[21]</w:t>
        </w:r>
      </w:hyperlink>
      <w:r>
        <w:t xml:space="preserve">, but the synthesis stays a future-work item rather than a present finding.</w:t>
      </w:r>
    </w:p>
    <w:p>
      <w:pPr>
        <w:pStyle w:val="BodyText"/>
        <w:spacing w:line="480" w:lineRule="auto"/>
        <w:ind w:firstLine="720"/>
      </w:pPr>
      <w:r>
        <w:t xml:space="preserve">The second class goes to sample size and selection. The fragment-yield regression rests on twenty-one documented events and an overall F-statistic with a p-value of 0.11, so its joint significance runs suggestive rather than decisive, even though the substantive coefficient on the collision channel is significant at the conventional level. The Cox model rests on thirty-four objects of which twenty-two met the decay event, and the sample is curated rather than randomly drawn from the catalog. Both estimates would sharpen under re-estimation on the full catalog snapshot, and the dissertation reports the present estimates as warranted within their documented samples rather than as final values for operational use.</w:t>
      </w:r>
    </w:p>
    <w:p>
      <w:pPr>
        <w:pStyle w:val="BodyText"/>
        <w:spacing w:line="480" w:lineRule="auto"/>
        <w:ind w:firstLine="720"/>
      </w:pPr>
      <w:r>
        <w:t xml:space="preserve">The third class goes to the unidentified terms. The fragment-yield regression collapses a continuum of impact energies into a binary collision indicator, and a richer energy measure would almost surely tighten the estimates and may recover a mass effect through an interaction. The Cox model treats covariate effects as constant over an object’s life under the proportional-hazards assumption, whereas drag forcing shifts with the solar cycle in ways a binary launch-epoch indicator does not fully catch, leaving the solar coefficient directionally consistent with theory but not statistically resolved. The decay-time literature suggests a time-varying specification with continuous solar-flux exposure would be the natural refinement</w:t>
      </w:r>
      <w:r>
        <w:t xml:space="preserve"> </w:t>
      </w:r>
      <w:hyperlink w:anchor="ref-8">
        <w:r>
          <w:rPr>
            <w:rStyle w:val="Hyperlink"/>
          </w:rPr>
          <w:t xml:space="preserve">[8]</w:t>
        </w:r>
      </w:hyperlink>
      <w:r>
        <w:t xml:space="preserve">. The detection question itself, the rising autocorrelation and variance the prospectus puts forward, has gone untested in the empirical chapters of this work and stands reserved as the governing future-work item.</w:t>
      </w:r>
    </w:p>
    <w:p>
      <w:pPr>
        <w:pStyle w:val="BodyText"/>
        <w:spacing w:line="480" w:lineRule="auto"/>
        <w:ind w:firstLine="720"/>
      </w:pPr>
      <w:r>
        <w:t xml:space="preserve">The fourth class goes to the inferential scope of the detection program even on its own terms. Critical slowing down is a signature that is necessary yet not on its own sufficient for a transition drawing near, so a positive detection by the prospectus’s proposed indicators would license inference of an early-warning signal but not a dated forecast of onset; conversely, a transition that runs abrupt rather than continuous may leave no slowing-down signal, so a null result does not prove a band far from any threshold. The reasoning here runs parallel to the limits stated in the prospectus and stays the boundary against which any operational adoption of the detector must be planned.</w:t>
      </w:r>
    </w:p>
    <w:bookmarkEnd w:id="135"/>
    <w:bookmarkStart w:id="136" w:name="future-research"/>
    <w:p>
      <w:pPr>
        <w:pStyle w:val="Heading2"/>
        <w:spacing w:line="480" w:lineRule="auto"/>
      </w:pPr>
      <w:r>
        <w:t xml:space="preserve">7.6 Future Research</w:t>
      </w:r>
    </w:p>
    <w:p>
      <w:pPr>
        <w:pStyle w:val="FirstParagraph"/>
        <w:spacing w:line="480" w:lineRule="auto"/>
      </w:pPr>
      <w:r>
        <w:t xml:space="preserve">Future research follows from each of the four classes of limitation and from the synthetic question the two empirical chapters leave on the table.</w:t>
      </w:r>
    </w:p>
    <w:p>
      <w:pPr>
        <w:pStyle w:val="BodyText"/>
        <w:spacing w:line="480" w:lineRule="auto"/>
        <w:ind w:firstLine="720"/>
      </w:pPr>
      <w:r>
        <w:t xml:space="preserve">The first line of future research is running the detector itself against the full Space-Track catalog snapshot. The fragment-attribution, detrending, indicator-estimation, and surrogate-inference machinery the prospectus sets out is well defined and the computational demands run modest. What it takes is the disciplined application of that machinery, with documented sensitivity analyses against window length, attribution thresholds, and size-stratification choices, against the calibrated sink term reported in the present Cox analysis. Its output is a band-by-band test of H0 against H1, and the value of the work holds the same whether the test rejects or fails to reject.</w:t>
      </w:r>
    </w:p>
    <w:p>
      <w:pPr>
        <w:pStyle w:val="BodyText"/>
        <w:spacing w:line="480" w:lineRule="auto"/>
        <w:ind w:firstLine="720"/>
      </w:pPr>
      <w:r>
        <w:t xml:space="preserve">The second line of future research is stretching the survival model to a time-varying specification with continuous solar-flux exposure as a covariate. The proportional-hazards assumption is a strong restriction in a setting where drag forcing runs non-stationary on the timescale of an object’s lifetime, and the decay-time literature hands over the physical machinery for a time-varying replacement</w:t>
      </w:r>
      <w:r>
        <w:t xml:space="preserve"> </w:t>
      </w:r>
      <w:hyperlink w:anchor="ref-8">
        <w:r>
          <w:rPr>
            <w:rStyle w:val="Hyperlink"/>
          </w:rPr>
          <w:t xml:space="preserve">[8]</w:t>
        </w:r>
      </w:hyperlink>
      <w:r>
        <w:t xml:space="preserve">. The expected payoff is a sharper estimate of the solar term and a hazard ratio for altitude more robust to the cyclical variation in the underlying density field.</w:t>
      </w:r>
    </w:p>
    <w:p>
      <w:pPr>
        <w:pStyle w:val="BodyText"/>
        <w:spacing w:line="480" w:lineRule="auto"/>
        <w:ind w:firstLine="720"/>
      </w:pPr>
      <w:r>
        <w:t xml:space="preserve">The third line of future research is bolstering the fragment-yield regression with continuous-energy measurements where they exist. The closing speed of intercept events and the relative velocity of collision events are on hand for the better-characterized events in the dataset and would swap out the binary collision indicator for a continuous regressor tied more closely to the breakup-model parameterization</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 A larger sample drawn from a fuller working of the History of On-Orbit Satellite Fragmentations and its supplements</w:t>
      </w:r>
      <w:r>
        <w:t xml:space="preserve"> </w:t>
      </w:r>
      <w:hyperlink w:anchor="ref-6">
        <w:r>
          <w:rPr>
            <w:rStyle w:val="Hyperlink"/>
          </w:rPr>
          <w:t xml:space="preserve">[6]</w:t>
        </w:r>
      </w:hyperlink>
      <w:r>
        <w:t xml:space="preserve"> </w:t>
      </w:r>
      <w:r>
        <w:t xml:space="preserve">would address the small-sample limitation at the same stroke.</w:t>
      </w:r>
    </w:p>
    <w:p>
      <w:pPr>
        <w:pStyle w:val="BodyText"/>
        <w:spacing w:line="480" w:lineRule="auto"/>
        <w:ind w:firstLine="720"/>
      </w:pPr>
      <w:r>
        <w:t xml:space="preserve">The fourth line of future research is knitting the detection program together with the sub-trackable observation modalities. The retrieved literature on soliton-based sub-centimeter detection</w:t>
      </w:r>
      <w:r>
        <w:t xml:space="preserve"> </w:t>
      </w:r>
      <w:hyperlink w:anchor="ref-14">
        <w:r>
          <w:rPr>
            <w:rStyle w:val="Hyperlink"/>
          </w:rPr>
          <w:t xml:space="preserve">[14]</w:t>
        </w:r>
      </w:hyperlink>
      <w:r>
        <w:t xml:space="preserve">, optical fragmentation characterization</w:t>
      </w:r>
      <w:r>
        <w:t xml:space="preserve"> </w:t>
      </w:r>
      <w:hyperlink w:anchor="ref-11">
        <w:r>
          <w:rPr>
            <w:rStyle w:val="Hyperlink"/>
          </w:rPr>
          <w:t xml:space="preserve">[11]</w:t>
        </w:r>
      </w:hyperlink>
      <w:r>
        <w:t xml:space="preserve">, GEO-to-GEO optical sensing</w:t>
      </w:r>
      <w:r>
        <w:t xml:space="preserve"> </w:t>
      </w:r>
      <w:hyperlink w:anchor="ref-13">
        <w:r>
          <w:rPr>
            <w:rStyle w:val="Hyperlink"/>
          </w:rPr>
          <w:t xml:space="preserve">[13]</w:t>
        </w:r>
      </w:hyperlink>
      <w:r>
        <w:t xml:space="preserve">, track-to-track association</w:t>
      </w:r>
      <w:r>
        <w:t xml:space="preserve"> </w:t>
      </w:r>
      <w:hyperlink w:anchor="ref-16">
        <w:r>
          <w:rPr>
            <w:rStyle w:val="Hyperlink"/>
          </w:rPr>
          <w:t xml:space="preserve">[16]</w:t>
        </w:r>
      </w:hyperlink>
      <w:r>
        <w:t xml:space="preserve">, and radar beam-park characterization</w:t>
      </w:r>
      <w:r>
        <w:t xml:space="preserve"> </w:t>
      </w:r>
      <w:hyperlink w:anchor="ref-21">
        <w:r>
          <w:rPr>
            <w:rStyle w:val="Hyperlink"/>
          </w:rPr>
          <w:t xml:space="preserve">[21]</w:t>
        </w:r>
      </w:hyperlink>
      <w:r>
        <w:t xml:space="preserve"> </w:t>
      </w:r>
      <w:r>
        <w:t xml:space="preserve">sketches an instrument suite that could in principle stretch the detection question into the censored band. The research design challenge is the cross-calibration of catalogs run on different sensitivity thresholds, and the work belongs jointly to the SDA observation community and to the survival-analysis tradition the present dissertation has carried into the field.</w:t>
      </w:r>
    </w:p>
    <w:p>
      <w:pPr>
        <w:pStyle w:val="BodyText"/>
        <w:spacing w:line="480" w:lineRule="auto"/>
        <w:ind w:firstLine="720"/>
      </w:pPr>
      <w:r>
        <w:t xml:space="preserve">A fifth and more programmatic line goes to the connection of detector outputs to governance triggers. Should the source-side detector return a positive identification of pre-transition signal in a specific band, the question of what a credible international response looks like turns urgent. The Space Sustainability Rating framework</w:t>
      </w:r>
      <w:r>
        <w:t xml:space="preserve"> </w:t>
      </w:r>
      <w:hyperlink w:anchor="ref-18">
        <w:r>
          <w:rPr>
            <w:rStyle w:val="Hyperlink"/>
          </w:rPr>
          <w:t xml:space="preserve">[18]</w:t>
        </w:r>
      </w:hyperlink>
      <w:r>
        <w:t xml:space="preserve"> </w:t>
      </w:r>
      <w:r>
        <w:t xml:space="preserve">and the planetary-boundaries framework for space</w:t>
      </w:r>
      <w:r>
        <w:t xml:space="preserve"> </w:t>
      </w:r>
      <w:hyperlink w:anchor="ref-23">
        <w:r>
          <w:rPr>
            <w:rStyle w:val="Hyperlink"/>
          </w:rPr>
          <w:t xml:space="preserve">[23]</w:t>
        </w:r>
      </w:hyperlink>
      <w:r>
        <w:t xml:space="preserve"> </w:t>
      </w:r>
      <w:r>
        <w:t xml:space="preserve">hand over candidate governance instruments, and the carrying-capacity design tradition</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 </w:t>
      </w:r>
      <w:r>
        <w:t xml:space="preserve">hands over candidate operational constraints, but the mapping from detector output to instrument activation stays undeveloped. Future work in this line would run cross-disciplinary, drawing on the SDA community for the detector calibration and on the policy community for the threshold-to-action design.</w:t>
      </w:r>
    </w:p>
    <w:p>
      <w:pPr>
        <w:pStyle w:val="BodyText"/>
        <w:spacing w:line="480" w:lineRule="auto"/>
        <w:ind w:firstLine="720"/>
      </w:pPr>
      <w:r>
        <w:t xml:space="preserve">A final note on the cumulative posture of the work. The dissertation set out at the head to turn a modeling abstraction into an SDA instrument, and the empirical chapters have settled the two prerequisites for that turn: that the catalog logs the right quantity, and that the sink term is calibrated rather than assumed. The turn itself stays to be made, and the prospectus sets out exactly how. The discipline of the contribution is its singularity. The detector is the test of whether the catalog speaks before it cascades, and the value of the test holds independent of its result.</w:t>
      </w:r>
    </w:p>
    <w:bookmarkEnd w:id="136"/>
    <w:bookmarkEnd w:id="137"/>
    <w:bookmarkStart w:id="181" w:name="chapter-8.-conclusion"/>
    <w:p>
      <w:pPr>
        <w:pStyle w:val="Heading1"/>
        <w:spacing w:line="480" w:lineRule="auto"/>
      </w:pPr>
      <w:r>
        <w:t xml:space="preserve">Chapter 8. Conclusion</w:t>
      </w:r>
    </w:p>
    <w:bookmarkStart w:id="138" w:name="the-argument-in-one-movement"/>
    <w:p>
      <w:pPr>
        <w:pStyle w:val="Heading2"/>
        <w:spacing w:line="480" w:lineRule="auto"/>
      </w:pPr>
      <w:r>
        <w:t xml:space="preserve">8.1 The Argument in One Movement</w:t>
      </w:r>
    </w:p>
    <w:p>
      <w:pPr>
        <w:pStyle w:val="FirstParagraph"/>
        <w:spacing w:line="480" w:lineRule="auto"/>
      </w:pPr>
      <w:r>
        <w:t xml:space="preserve">This dissertation set out from a mismatch between how the hazard of self-sustaining fragmentation in low Earth orbit gets modeled and how it would actually be watched. Four decades of debris scholarship have characterized the prospect of a runaway cascade by reasoning forward from assumed source and sink rates, locating equilibria of a dynamical source-and-sink system and carrying Monte-Carlo all-versus-all ensembles into the future under stated launch and fragmentation assumptions</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 In a complementary register, the carrying-capacity tradition has asked what stationary satellite populations stay sustainable once collisional production enters the ledger, and has pressed the resilience of constellations to fragmentation as a design problem</w:t>
      </w:r>
      <w:r>
        <w:t xml:space="preserve"> </w:t>
      </w:r>
      <w:hyperlink w:anchor="ref-3">
        <w:r>
          <w:rPr>
            <w:rStyle w:val="Hyperlink"/>
          </w:rPr>
          <w:t xml:space="preserve">[3]</w:t>
        </w:r>
      </w:hyperlink>
      <w:r>
        <w:t xml:space="preserve">,</w:t>
      </w:r>
      <w:r>
        <w:t xml:space="preserve"> </w:t>
      </w:r>
      <w:hyperlink w:anchor="ref-5">
        <w:r>
          <w:rPr>
            <w:rStyle w:val="Hyperlink"/>
          </w:rPr>
          <w:t xml:space="preserve">[5]</w:t>
        </w:r>
      </w:hyperlink>
      <w:r>
        <w:t xml:space="preserve">. None of these traditions, though, takes up the question an operator or a regulator actually faces. What the operator does not watch is the future. What the operator watches is a catalog, updated without pause, and must decide, on that catalog and nothing else, whether a band is nearing the edge of sustainability. This dissertation has cast that question as a detection problem and chased the single falsifiable claim that the onset of self-sustaining fragmentation in a defined altitude band comes ahead of a measurable rise in the lag-one autocorrelation and variance of the band’s fragment-generation series.</w:t>
      </w:r>
    </w:p>
    <w:p>
      <w:pPr>
        <w:pStyle w:val="BodyText"/>
        <w:spacing w:line="480" w:lineRule="auto"/>
        <w:ind w:firstLine="720"/>
      </w:pPr>
      <w:r>
        <w:t xml:space="preserve">The argument that backs this claim has been built in three load-bearing movements, not one. The prospectus set the detection question, fixed the null and alternative hypotheses on the early-warning indicators, and laid out an identification strategy grounded in the public catalog run through Space-Track.org and in solar and geomagnetic indices put out by the National Oceanic and Atmospheric Administration. The first empirical paper then took up a prior question any catalog-based detector must answer before it can be trusted, namely whether the channel that drives a cascade in theory is also the channel that dominates trackable catalog growth in practice. Running a cross-event regression on twenty-one documented breakups drawn from the NASA Orbital Debris Program Office record, it found the collision indicator carrying a coefficient of 1.29 on log fragment count, statistically significant at the conventional level, while parent mass carries no detectable association in the trackable band once the collision channel gets conditioned out. The second empirical paper flipped the standard modeling posture, treating the removal rate as the unknown to be recovered from observed lifetimes rather than as an input. A Cox proportional-hazards model on thirty-four documented objects, twenty-two of which had decayed by the snapshot, returned a hazard ratio of 0.584 per hundred kilometers of altitude band, with a Wald p-value of 0.0007, and a hazard ratio of 0.264 on the heavy, low-area-to-mass indicator. Between them, the two empirical chapters hand over the two halves of the tipping-point ratio: the source term the catalog leans toward watching, and the sink term any acceleration of that source must be weighed against.</w:t>
      </w:r>
    </w:p>
    <w:p>
      <w:pPr>
        <w:pStyle w:val="BodyText"/>
        <w:spacing w:line="480" w:lineRule="auto"/>
        <w:ind w:firstLine="720"/>
      </w:pPr>
      <w:r>
        <w:t xml:space="preserve">The detector the prospectus puts forward is not vindicated by these two findings, since vindication would call for showing the early-warning signal itself in the catalog, which is the work the prospectus reserves for the dissertation’s empirical core. What the two chapters do settle is that the detector reads the physically correct quantity and reads it against a calibrated, rather than assumed, removal rate. That is the conditional foundation the falsifiable claim can be tested on. Find the early-warning signal, and it will be a signal in the channel the cascade actually lives in, measured against a sink whose strength is known to within a standard error. Fail to find it, and the null result will carry information because it will not be tangled by a misidentified source term or by a removal rate borrowed from another study.</w:t>
      </w:r>
    </w:p>
    <w:bookmarkEnd w:id="138"/>
    <w:bookmarkStart w:id="139" w:name="synthesis-across-the-three-movements"/>
    <w:p>
      <w:pPr>
        <w:pStyle w:val="Heading2"/>
        <w:spacing w:line="480" w:lineRule="auto"/>
      </w:pPr>
      <w:r>
        <w:t xml:space="preserve">8.2 Synthesis Across the Three Movements</w:t>
      </w:r>
    </w:p>
    <w:p>
      <w:pPr>
        <w:pStyle w:val="FirstParagraph"/>
        <w:spacing w:line="480" w:lineRule="auto"/>
      </w:pPr>
      <w:r>
        <w:t xml:space="preserve">The synthesis that comes out across the three movements turns on a single conceptual reorientation. The dominant tradition treats the catalog as a noisy realization of an underlying physical process whose parameters must be estimated and then carried forward; the catalog is, on that posture, an input to a forecast. This dissertation has argued instead that the catalog is itself the instrument, a series updated without pause whose statistical properties carry information about the dynamical regime the underlying system is running in. This reorientation carries substantive consequences at each layer of the argument.</w:t>
      </w:r>
    </w:p>
    <w:p>
      <w:pPr>
        <w:pStyle w:val="BodyText"/>
        <w:spacing w:line="480" w:lineRule="auto"/>
        <w:ind w:firstLine="720"/>
      </w:pPr>
      <w:r>
        <w:t xml:space="preserve">At the source layer, the reorientation accounts for why the collision indicator dominates the cross-event regression while parent mass does not. The trackable band is a censored slice of the underlying fragment cloud, and the censoring threshold sits well above the size at which most collisional fragments get produced</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 What the catalog logs is not the total mass that broke but the share of that mass driven across the trackable threshold by the energy of the breakup. A six-and-a-half-tonne stage that vents propellant relatively gently can throw off fewer cataloged fragments than a one-tonne spacecraft destroyed in a hypervelocity intercept, since mass governs the integral of the cloud while energy governs how much of that integral is watchable. This squares with the predictions of the NASA Standard Breakup Model and with the hypervelocity-laboratory record that calibrates it</w:t>
      </w:r>
      <w:r>
        <w:t xml:space="preserve"> </w:t>
      </w:r>
      <w:hyperlink w:anchor="ref-6">
        <w:r>
          <w:rPr>
            <w:rStyle w:val="Hyperlink"/>
          </w:rPr>
          <w:t xml:space="preserve">[6]</w:t>
        </w:r>
      </w:hyperlink>
      <w:r>
        <w:t xml:space="preserve">. It squares too with the operational evidence that the most consequential catalog-loading events of the modern era, the 2007 Fengyun-1C intercept, the 2009 Iridium 33 and Cosmos 2251 collision, and the 2021 Cosmos 1408 intercept, were high-energy collisions whose downstream effects on neighboring inhabited stations and constellations have been documented in detail</w:t>
      </w:r>
      <w:r>
        <w:t xml:space="preserve"> </w:t>
      </w:r>
      <w:hyperlink w:anchor="ref-19">
        <w:r>
          <w:rPr>
            <w:rStyle w:val="Hyperlink"/>
          </w:rPr>
          <w:t xml:space="preserve">[19]</w:t>
        </w:r>
      </w:hyperlink>
      <w:r>
        <w:t xml:space="preserve">,</w:t>
      </w:r>
      <w:r>
        <w:t xml:space="preserve"> </w:t>
      </w:r>
      <w:hyperlink w:anchor="ref-21">
        <w:r>
          <w:rPr>
            <w:rStyle w:val="Hyperlink"/>
          </w:rPr>
          <w:t xml:space="preserve">[21]</w:t>
        </w:r>
      </w:hyperlink>
      <w:r>
        <w:t xml:space="preserve">. The reorientation thus hands over a precise statement of what the catalog is: an instrument whose sensitivity to a cascade gets set by the energy of the events that load it.</w:t>
      </w:r>
    </w:p>
    <w:p>
      <w:pPr>
        <w:pStyle w:val="BodyText"/>
        <w:spacing w:line="480" w:lineRule="auto"/>
        <w:ind w:firstLine="720"/>
      </w:pPr>
      <w:r>
        <w:t xml:space="preserve">At the sink layer, the reorientation turns the removal rate from a modeling assumption into an empirical quantity with a measurable gradient. The hazard ratio of 0.584 per hundred kilometers is not merely a confirmation that high bands are dangerous; it is a calibrated description of how steeply the system’s restoring force weakens as one climbs. The figure lines up with quarter-century surveys of the cataloged LEO population that show the lowest bands clearing quickly while bands above roughly 700 to 800 kilometers hold debris for decades to centuries</w:t>
      </w:r>
      <w:r>
        <w:t xml:space="preserve"> </w:t>
      </w:r>
      <w:hyperlink w:anchor="ref-7">
        <w:r>
          <w:rPr>
            <w:rStyle w:val="Hyperlink"/>
          </w:rPr>
          <w:t xml:space="preserve">[7]</w:t>
        </w:r>
      </w:hyperlink>
      <w:r>
        <w:t xml:space="preserve">,</w:t>
      </w:r>
      <w:r>
        <w:t xml:space="preserve"> </w:t>
      </w:r>
      <w:hyperlink w:anchor="ref-17">
        <w:r>
          <w:rPr>
            <w:rStyle w:val="Hyperlink"/>
          </w:rPr>
          <w:t xml:space="preserve">[17]</w:t>
        </w:r>
      </w:hyperlink>
      <w:r>
        <w:t xml:space="preserve">. It lines up too with the decay-time literature that integrates the drag equation against observed reentries and with the carrying-capacity tradition that locates the unsustainable populations squarely in the slow-sink regime</w:t>
      </w:r>
      <w:r>
        <w:t xml:space="preserve"> </w:t>
      </w:r>
      <w:hyperlink w:anchor="ref-8">
        <w:r>
          <w:rPr>
            <w:rStyle w:val="Hyperlink"/>
          </w:rPr>
          <w:t xml:space="preserve">[8]</w:t>
        </w:r>
      </w:hyperlink>
      <w:r>
        <w:t xml:space="preserve">. The detector the prospectus poses inherits this gradient as its denominator. A band whose fragment-generation series accelerates against a sink whose strength is known sits in a different epistemic situation from a band whose fragment-generation series accelerates against a sink that has been assumed.</w:t>
      </w:r>
    </w:p>
    <w:p>
      <w:pPr>
        <w:pStyle w:val="BodyText"/>
        <w:spacing w:line="480" w:lineRule="auto"/>
        <w:ind w:firstLine="720"/>
      </w:pPr>
      <w:r>
        <w:t xml:space="preserve">At the detection layer, the two prior movements license a stronger read of what a positive or negative finding on the early-warning indicators will mean. A positive detection in a high band will be a detection in the regime where the source-side regression places the catalog’s most consequential growth and where the sink-side hazard model places the system’s weakest restoring force; it will therefore be a detection that is physically interpretable rather than statistically suggestive. A null result, on the other hand, will be a null result with fenced confounders, since the size-stratified design cuts the trackable band off from sensor-sensitivity drift and since the residualization against launch cadence and the drag proxy splits collisional dynamics from exogenous forcing. The detection question is, in this sense, well posed only because the two empirical chapters have made it well posed.</w:t>
      </w:r>
    </w:p>
    <w:bookmarkEnd w:id="139"/>
    <w:bookmarkStart w:id="140" w:name="contribution-to-knowledge"/>
    <w:p>
      <w:pPr>
        <w:pStyle w:val="Heading2"/>
        <w:spacing w:line="480" w:lineRule="auto"/>
      </w:pPr>
      <w:r>
        <w:t xml:space="preserve">8.3 Contribution to Knowledge</w:t>
      </w:r>
    </w:p>
    <w:p>
      <w:pPr>
        <w:pStyle w:val="FirstParagraph"/>
        <w:spacing w:line="480" w:lineRule="auto"/>
      </w:pPr>
      <w:r>
        <w:t xml:space="preserve">The contribution this dissertation makes to the literature runs narrow in scope and consequential in kind. It runs narrow because it tests a single falsifiable claim about a single observable quantity. It runs consequential because it turns a long-standing modeling abstraction into a candidate space domain awareness instrument and hands over the empirical grounding needed to read that instrument honestly.</w:t>
      </w:r>
    </w:p>
    <w:p>
      <w:pPr>
        <w:pStyle w:val="BodyText"/>
        <w:spacing w:line="480" w:lineRule="auto"/>
        <w:ind w:firstLine="720"/>
      </w:pPr>
      <w:r>
        <w:t xml:space="preserve">Three specific contributions can be laid out. The first is conceptual. The dissertation carries the established machinery of early-warning indicators over from critical-transition theory and applies it, for the first time to the candidate’s knowledge, to the time series of the cataloged debris population. Dynamical-systems characterization of the LEO environment as a source-and-sink system settles that a bifurcation structure holds in principle</w:t>
      </w:r>
      <w:r>
        <w:t xml:space="preserve"> </w:t>
      </w:r>
      <w:hyperlink w:anchor="ref-1">
        <w:r>
          <w:rPr>
            <w:rStyle w:val="Hyperlink"/>
          </w:rPr>
          <w:t xml:space="preserve">[1]</w:t>
        </w:r>
      </w:hyperlink>
      <w:r>
        <w:t xml:space="preserve">, and the Monte-Carlo all-versus-all forecasting literature settles that the collisional term can carry the population past its sinks under plausible scenarios</w:t>
      </w:r>
      <w:r>
        <w:t xml:space="preserve"> </w:t>
      </w:r>
      <w:hyperlink w:anchor="ref-2">
        <w:r>
          <w:rPr>
            <w:rStyle w:val="Hyperlink"/>
          </w:rPr>
          <w:t xml:space="preserve">[2]</w:t>
        </w:r>
      </w:hyperlink>
      <w:r>
        <w:t xml:space="preserve">. The detection program asks, on observable data rather than on assumed parameters, whether the catalog is nearing that bifurcation now. This moves the locus of the cascade debate from prospective scenario analysis to retrospective empirical inference, which is the posture an operator can act on.</w:t>
      </w:r>
    </w:p>
    <w:p>
      <w:pPr>
        <w:pStyle w:val="BodyText"/>
        <w:spacing w:line="480" w:lineRule="auto"/>
        <w:ind w:firstLine="720"/>
      </w:pPr>
      <w:r>
        <w:t xml:space="preserve">The second contribution is empirical. The cross-event regression settles, on documented data, that the trackable catalog leans toward the high-energy collisional channel rather than toward the size of the breaking object. The Cox hazard model settles, on observed lifetimes, that the altitude gradient in the sink runs steep, monotone, and precisely estimated. Neither result is independently novel in its qualitative direction; the literature has looked ahead to both</w:t>
      </w:r>
      <w:r>
        <w:t xml:space="preserve"> </w:t>
      </w:r>
      <w:hyperlink w:anchor="ref-3">
        <w:r>
          <w:rPr>
            <w:rStyle w:val="Hyperlink"/>
          </w:rPr>
          <w:t xml:space="preserve">[3]</w:t>
        </w:r>
      </w:hyperlink>
      <w:r>
        <w:t xml:space="preserve">,</w:t>
      </w:r>
      <w:r>
        <w:t xml:space="preserve"> </w:t>
      </w:r>
      <w:hyperlink w:anchor="ref-5">
        <w:r>
          <w:rPr>
            <w:rStyle w:val="Hyperlink"/>
          </w:rPr>
          <w:t xml:space="preserve">[5]</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 What is novel is the joint use of the two results to fix the numerator and the denominator of a tipping-point ratio with measured precision and to do so on public data whose provenance traces fully to the NASA Orbital Debris Program Office record, to Space-Track decay records, and to NOAA Space Weather Prediction Center indices.</w:t>
      </w:r>
    </w:p>
    <w:p>
      <w:pPr>
        <w:pStyle w:val="BodyText"/>
        <w:spacing w:line="480" w:lineRule="auto"/>
        <w:ind w:firstLine="720"/>
      </w:pPr>
      <w:r>
        <w:t xml:space="preserve">The third contribution is methodological. The detector gets laid out end to end as a reproducible computational pipeline: attribution of cataloged objects to launch or fragmentation channels, residualization against launch cadence and a drag proxy, indicator estimation on rolling windows, and inference by Kendall trend tests against surrogate-series null distributions. The pipeline is built to run against a fixed catalog snapshot and to return a binary verdict, positive detection or not, with documented sensitivities to window length, attribution threshold, and size stratum. This is a different kind of contribution from a parameter estimate. It is a usable artifact, and its usability is itself the contribution. The space sustainability rating effort has pressed that incentive structures for operators ride on observable, auditable indicators of environmental state</w:t>
      </w:r>
      <w:r>
        <w:t xml:space="preserve"> </w:t>
      </w:r>
      <w:hyperlink w:anchor="ref-18">
        <w:r>
          <w:rPr>
            <w:rStyle w:val="Hyperlink"/>
          </w:rPr>
          <w:t xml:space="preserve">[18]</w:t>
        </w:r>
      </w:hyperlink>
      <w:r>
        <w:t xml:space="preserve">, and integrated planetary-boundaries frameworks have argued that the orbital regime calls for the same kind of measured boundary conditions that have organized terrestrial environmental governance</w:t>
      </w:r>
      <w:r>
        <w:t xml:space="preserve"> </w:t>
      </w:r>
      <w:hyperlink w:anchor="ref-23">
        <w:r>
          <w:rPr>
            <w:rStyle w:val="Hyperlink"/>
          </w:rPr>
          <w:t xml:space="preserve">[23]</w:t>
        </w:r>
      </w:hyperlink>
      <w:r>
        <w:t xml:space="preserve">. A detector that returns a reproducible verdict against an archived catalog snapshot is the kind of instrument such frameworks call for.</w:t>
      </w:r>
    </w:p>
    <w:p>
      <w:pPr>
        <w:pStyle w:val="BodyText"/>
        <w:spacing w:line="480" w:lineRule="auto"/>
        <w:ind w:firstLine="720"/>
      </w:pPr>
      <w:r>
        <w:t xml:space="preserve">A fourth, more tentative contribution sits in the relationship between detection and response. The just-in-time collision-avoidance literature has shown that operational responses to the orbital debris hazard run practicable on short timescales when actionable warning is on hand</w:t>
      </w:r>
      <w:r>
        <w:t xml:space="preserve"> </w:t>
      </w:r>
      <w:hyperlink w:anchor="ref-24">
        <w:r>
          <w:rPr>
            <w:rStyle w:val="Hyperlink"/>
          </w:rPr>
          <w:t xml:space="preserve">[24]</w:t>
        </w:r>
      </w:hyperlink>
      <w:r>
        <w:t xml:space="preserve">. The detector put forward here runs on a far longer timescale than collision avoidance, but the underlying logic holds the same: a calibrated warning, if it can be given, widens the action space open to operators and regulators. The dissertation does not claim the detector will give such a warning; it claims only that whether it can is well posed and empirically tractable.</w:t>
      </w:r>
    </w:p>
    <w:bookmarkEnd w:id="140"/>
    <w:bookmarkStart w:id="141" w:name="X5b3f15d19389f27ce3f0cbee656fbac85351c8f"/>
    <w:p>
      <w:pPr>
        <w:pStyle w:val="Heading2"/>
        <w:spacing w:line="480" w:lineRule="auto"/>
      </w:pPr>
      <w:r>
        <w:t xml:space="preserve">8.4 Limits Acknowledged and the Boundary of the Claim</w:t>
      </w:r>
    </w:p>
    <w:p>
      <w:pPr>
        <w:pStyle w:val="FirstParagraph"/>
        <w:spacing w:line="480" w:lineRule="auto"/>
      </w:pPr>
      <w:r>
        <w:t xml:space="preserve">The conclusion would run incomplete without restating the limits within which the contribution is offered. The detector watches the trackable band and so stays silent on the sub-trackable population no catalog resolves; the experimental fragmentation literature settles that much of the collisionally relevant material sits below the tracking threshold</w:t>
      </w:r>
      <w:r>
        <w:t xml:space="preserve"> </w:t>
      </w:r>
      <w:hyperlink w:anchor="ref-4">
        <w:r>
          <w:rPr>
            <w:rStyle w:val="Hyperlink"/>
          </w:rPr>
          <w:t xml:space="preserve">[4]</w:t>
        </w:r>
      </w:hyperlink>
      <w:r>
        <w:t xml:space="preserve">, and the detector’s positive or negative verdicts are statements about the band the catalog can see. Critical slowing down is a signature that is necessary yet not on its own sufficient for a transition drawing near, so a positive detection licenses the inference of an early-warning signal without licensing a dated forecast of onset, and a transition that runs abrupt rather than continuous may leave no slowing-down signal at all. The cross-event regression rests on twenty-one events and the hazard model on thirty-four objects, both samples small next to the underlying populations and curated for documentary completeness rather than randomly drawn. The bounds of inference are fenced to match.</w:t>
      </w:r>
    </w:p>
    <w:p>
      <w:pPr>
        <w:pStyle w:val="BodyText"/>
        <w:spacing w:line="480" w:lineRule="auto"/>
        <w:ind w:firstLine="720"/>
      </w:pPr>
      <w:r>
        <w:t xml:space="preserve">These limits are no concessions; they are the boundary of the claim. The dissertation has held disciplined throughout to advancing one falsifiable contribution and to refusing the rhetorical pull to claim more. The detector is offered as a candidate instrument, the two empirical chapters as the conditional foundation it stands on, and the conclusion as a statement of what the argument does and does not deliver.</w:t>
      </w:r>
    </w:p>
    <w:bookmarkEnd w:id="141"/>
    <w:bookmarkStart w:id="142" w:name="closing-statement"/>
    <w:p>
      <w:pPr>
        <w:pStyle w:val="Heading2"/>
        <w:spacing w:line="480" w:lineRule="auto"/>
      </w:pPr>
      <w:r>
        <w:t xml:space="preserve">8.5 Closing Statement</w:t>
      </w:r>
    </w:p>
    <w:p>
      <w:pPr>
        <w:pStyle w:val="FirstParagraph"/>
        <w:spacing w:line="480" w:lineRule="auto"/>
      </w:pPr>
      <w:r>
        <w:t xml:space="preserve">Four decades of debris scholarship have laid the ground for a question the field has yet to put to its own data. Whether the catalog speaks before it cascades is that question, and everything here turns on it. This dissertation has formalized the question, has named the channel in which a cascade would drop the trackable signal it would have to leave, has measured the sink against which that signal would have to push, and has laid out the detector that would read the signal if it is there. Whether the signal is there is an empirical matter the detector will adjudicate against an archived snapshot of the public catalog, and that adjudication will return a verdict that is, by design, falsifiable. A positive verdict gives the field a space domain awareness instrument it does not currently hold. A null verdict gives the field a fenced statement of what the catalog cannot, in its trackable band, be made to say. Either outcome moves the literature forward, since either outcome turns a long-running modeling debate into an empirical finding on observable data. What this dissertation hands over is the apparatus that makes such a verdict possible and the discipline of staking the whole argument on a single claim the data it is asked to address can refute.</w:t>
      </w:r>
    </w:p>
    <w:bookmarkEnd w:id="142"/>
    <w:bookmarkStart w:id="180" w:name="references"/>
    <w:p>
      <w:pPr>
        <w:pStyle w:val="Heading2"/>
        <w:spacing w:line="480" w:lineRule="auto"/>
      </w:pPr>
      <w:r>
        <w:t xml:space="preserve">References</w:t>
      </w:r>
    </w:p>
    <w:p>
      <w:pPr>
        <w:pStyle w:val="FirstParagraph"/>
        <w:spacing w:line="480" w:lineRule="auto"/>
      </w:pPr>
      <w:bookmarkStart w:id="143" w:name="ref-1"/>
      <w:bookmarkEnd w:id="143"/>
      <w:r>
        <w:t xml:space="preserve">1. D. Jang, A. D’Ambrosio, M. Lifson, C. Pasiecznik, and R. Linares,</w:t>
      </w:r>
      <w:r>
        <w:t xml:space="preserve"> </w:t>
      </w:r>
      <w:r>
        <w:t xml:space="preserve">“Stability of the LEO Environment as a Dynamical System,”</w:t>
      </w:r>
      <w:r>
        <w:t xml:space="preserve"> </w:t>
      </w:r>
      <w:r>
        <w:t xml:space="preserve">Proc. Advanced Maui Optical and Space Surveillance Technologies (AMOS) Conference, 2022.</w:t>
      </w:r>
    </w:p>
    <w:p>
      <w:pPr>
        <w:pStyle w:val="BodyText"/>
        <w:spacing w:line="480" w:lineRule="auto"/>
        <w:ind w:firstLine="720"/>
      </w:pPr>
      <w:bookmarkStart w:id="144" w:name="ref-2"/>
      <w:bookmarkEnd w:id="144"/>
      <w:r>
        <w:t xml:space="preserve">2. D. Jang, P. M. Siew, P. Machuca, and R. Linares,</w:t>
      </w:r>
      <w:r>
        <w:t xml:space="preserve"> </w:t>
      </w:r>
      <w:r>
        <w:t xml:space="preserve">“Monte-Carlo Methods for All-vs-all Future LEO Population Evolution Modeling,”</w:t>
      </w:r>
      <w:r>
        <w:t xml:space="preserve"> </w:t>
      </w:r>
      <w:r>
        <w:t xml:space="preserve">Proc. Advanced Maui Optical and Space Surveillance Technologies (AMOS) Conference, 2023.</w:t>
      </w:r>
    </w:p>
    <w:p>
      <w:pPr>
        <w:pStyle w:val="BodyText"/>
        <w:spacing w:line="480" w:lineRule="auto"/>
        <w:ind w:firstLine="720"/>
      </w:pPr>
      <w:bookmarkStart w:id="145" w:name="ref-3"/>
      <w:bookmarkEnd w:id="145"/>
      <w:r>
        <w:t xml:space="preserve">3. M. Sturza, M. Dankberg, and W. Blount,</w:t>
      </w:r>
      <w:r>
        <w:t xml:space="preserve"> </w:t>
      </w:r>
      <w:r>
        <w:t xml:space="preserve">“Resilience of LEO Constellations to Accidental and Intentional Fragmentation Events,”</w:t>
      </w:r>
      <w:r>
        <w:t xml:space="preserve"> </w:t>
      </w:r>
      <w:r>
        <w:t xml:space="preserve">Proc. Advanced Maui Optical and Space Surveillance Technologies (AMOS) Conference, 2024. doi:</w:t>
      </w:r>
      <w:r>
        <w:t xml:space="preserve"> </w:t>
      </w:r>
      <w:hyperlink r:id="rId146">
        <w:r>
          <w:rPr>
            <w:rStyle w:val="Hyperlink"/>
          </w:rPr>
          <w:t xml:space="preserve">10.64861/ZFDQ4641</w:t>
        </w:r>
      </w:hyperlink>
    </w:p>
    <w:p>
      <w:pPr>
        <w:pStyle w:val="BodyText"/>
        <w:spacing w:line="480" w:lineRule="auto"/>
        <w:ind w:firstLine="720"/>
      </w:pPr>
      <w:bookmarkStart w:id="147" w:name="ref-4"/>
      <w:bookmarkEnd w:id="147"/>
      <w:r>
        <w:t xml:space="preserve">4. A. Rossi, F. Fabri, and L. Olivieri,</w:t>
      </w:r>
      <w:r>
        <w:t xml:space="preserve"> </w:t>
      </w:r>
      <w:r>
        <w:t xml:space="preserve">“Analysis of submillimetre fragments generated by high-velocity impacts of a picosatellite mock-up,”</w:t>
      </w:r>
      <w:r>
        <w:t xml:space="preserve"> </w:t>
      </w:r>
      <w:r>
        <w:t xml:space="preserve">Acta Astronautica, vol. 246, 2026. doi:</w:t>
      </w:r>
      <w:r>
        <w:t xml:space="preserve"> </w:t>
      </w:r>
      <w:hyperlink r:id="rId148">
        <w:r>
          <w:rPr>
            <w:rStyle w:val="Hyperlink"/>
          </w:rPr>
          <w:t xml:space="preserve">10.1016/j.actaastro.2026.04.044</w:t>
        </w:r>
      </w:hyperlink>
    </w:p>
    <w:p>
      <w:pPr>
        <w:pStyle w:val="BodyText"/>
        <w:spacing w:line="480" w:lineRule="auto"/>
        <w:ind w:firstLine="720"/>
      </w:pPr>
      <w:bookmarkStart w:id="149" w:name="ref-5"/>
      <w:bookmarkEnd w:id="149"/>
      <w:r>
        <w:t xml:space="preserve">5. M. Lifson,</w:t>
      </w:r>
      <w:r>
        <w:t xml:space="preserve"> </w:t>
      </w:r>
      <w:r>
        <w:t xml:space="preserve">“Orbital Carrying Capacity and the Sustainability of the LEO Environment,”</w:t>
      </w:r>
      <w:r>
        <w:t xml:space="preserve"> </w:t>
      </w:r>
      <w:r>
        <w:t xml:space="preserve">Proc. Advanced Maui Optical and Space Surveillance Technologies (AMOS) Conference, 2022.</w:t>
      </w:r>
    </w:p>
    <w:p>
      <w:pPr>
        <w:pStyle w:val="BodyText"/>
        <w:spacing w:line="480" w:lineRule="auto"/>
        <w:ind w:firstLine="720"/>
      </w:pPr>
      <w:bookmarkStart w:id="150" w:name="ref-6"/>
      <w:bookmarkEnd w:id="150"/>
      <w:r>
        <w:t xml:space="preserve">6. N. L. Johnson, P. H. Krisko, J.-C. Liou, and P. D. Anz-Meador,</w:t>
      </w:r>
      <w:r>
        <w:t xml:space="preserve"> </w:t>
      </w:r>
      <w:r>
        <w:t xml:space="preserve">“NASA’s New Breakup Model of EVOLVE 4.0,”</w:t>
      </w:r>
      <w:r>
        <w:t xml:space="preserve"> </w:t>
      </w:r>
      <w:r>
        <w:t xml:space="preserve">and supporting DebriSat hypervelocity-fragmentation characterization, NASA Orbital Debris Program Office; and</w:t>
      </w:r>
      <w:r>
        <w:t xml:space="preserve"> </w:t>
      </w:r>
      <w:r>
        <w:rPr>
          <w:i/>
          <w:iCs/>
        </w:rPr>
        <w:t xml:space="preserve">History of On-Orbit Satellite Fragmentations</w:t>
      </w:r>
      <w:r>
        <w:t xml:space="preserve">, 15th ed., NASA/TM-2018-220037, 2018.</w:t>
      </w:r>
    </w:p>
    <w:p>
      <w:pPr>
        <w:pStyle w:val="BodyText"/>
        <w:spacing w:line="480" w:lineRule="auto"/>
        <w:ind w:firstLine="720"/>
      </w:pPr>
      <w:bookmarkStart w:id="151" w:name="ref-7"/>
      <w:bookmarkEnd w:id="151"/>
      <w:r>
        <w:t xml:space="preserve">7. C. Pardini and L. Anselmo,</w:t>
      </w:r>
      <w:r>
        <w:t xml:space="preserve"> </w:t>
      </w:r>
      <w:r>
        <w:t xml:space="preserve">“Evaluating the impact of space activities in low earth orbit,”</w:t>
      </w:r>
      <w:r>
        <w:t xml:space="preserve"> </w:t>
      </w:r>
      <w:r>
        <w:t xml:space="preserve">Acta Astronautica, vol. 184, pp. 11-22, 2021. doi:</w:t>
      </w:r>
      <w:r>
        <w:t xml:space="preserve"> </w:t>
      </w:r>
      <w:hyperlink r:id="rId152">
        <w:r>
          <w:rPr>
            <w:rStyle w:val="Hyperlink"/>
          </w:rPr>
          <w:t xml:space="preserve">10.1016/j.actaastro.2021.03.030</w:t>
        </w:r>
      </w:hyperlink>
    </w:p>
    <w:p>
      <w:pPr>
        <w:pStyle w:val="BodyText"/>
        <w:spacing w:line="480" w:lineRule="auto"/>
        <w:ind w:firstLine="720"/>
      </w:pPr>
      <w:bookmarkStart w:id="153" w:name="ref-8"/>
      <w:bookmarkEnd w:id="153"/>
      <w:r>
        <w:t xml:space="preserve">8. L. Niccolai and G. Mengali,</w:t>
      </w:r>
      <w:r>
        <w:t xml:space="preserve"> </w:t>
      </w:r>
      <w:r>
        <w:t xml:space="preserve">“Decay time estimate for LEO spacecraft,”</w:t>
      </w:r>
      <w:r>
        <w:t xml:space="preserve"> </w:t>
      </w:r>
      <w:r>
        <w:t xml:space="preserve">Acta Astronautica, vol. 225, pp. 601-612, 2024. doi:</w:t>
      </w:r>
      <w:r>
        <w:t xml:space="preserve"> </w:t>
      </w:r>
      <w:hyperlink r:id="rId154">
        <w:r>
          <w:rPr>
            <w:rStyle w:val="Hyperlink"/>
          </w:rPr>
          <w:t xml:space="preserve">10.1016/j.actaastro.2024.09.045</w:t>
        </w:r>
      </w:hyperlink>
    </w:p>
    <w:p>
      <w:pPr>
        <w:pStyle w:val="BodyText"/>
        <w:spacing w:line="480" w:lineRule="auto"/>
        <w:ind w:firstLine="720"/>
      </w:pPr>
      <w:bookmarkStart w:id="155" w:name="ref-9"/>
      <w:bookmarkEnd w:id="155"/>
      <w:r>
        <w:t xml:space="preserve">9. Mark A. Sturza, Viasat, Inc.; Mark D. Dankberg, Viasat, Inc.; William N. Blount, Viasat, Inc.. LEO Capacity Modeling for Sustainable Design (2022).</w:t>
      </w:r>
    </w:p>
    <w:p>
      <w:pPr>
        <w:pStyle w:val="BodyText"/>
        <w:spacing w:line="480" w:lineRule="auto"/>
        <w:ind w:firstLine="720"/>
      </w:pPr>
      <w:bookmarkStart w:id="156" w:name="ref-10"/>
      <w:bookmarkEnd w:id="156"/>
      <w:r>
        <w:t xml:space="preserve">10. Mark A. Sturza, 3C Systems Company; Gemma Saura Carretero, Viasat, Inc.. Design Trades for Environmentally Friendly Broadband LEO Satellite Systems (2021).</w:t>
      </w:r>
    </w:p>
    <w:p>
      <w:pPr>
        <w:pStyle w:val="BodyText"/>
        <w:spacing w:line="480" w:lineRule="auto"/>
        <w:ind w:firstLine="720"/>
      </w:pPr>
      <w:bookmarkStart w:id="157" w:name="ref-11"/>
      <w:bookmarkEnd w:id="157"/>
      <w:r>
        <w:t xml:space="preserve">11. Manuel Pavy, CNES; Valentin Baral, CNES; Emmanuel Delande, CNES; Yvan Gary, CNES; Pascal Richard, CNES; Raphel Ferme, CS Group. Rapid Tracking and Cataloguing Fragmentation in Orbit Using Three Telescopes: The Intelsat 33E Case (2025). doi:</w:t>
      </w:r>
      <w:r>
        <w:t xml:space="preserve"> </w:t>
      </w:r>
      <w:hyperlink r:id="rId158">
        <w:r>
          <w:rPr>
            <w:rStyle w:val="Hyperlink"/>
          </w:rPr>
          <w:t xml:space="preserve">10.64861/PWDH6364</w:t>
        </w:r>
      </w:hyperlink>
    </w:p>
    <w:p>
      <w:pPr>
        <w:pStyle w:val="BodyText"/>
        <w:spacing w:line="480" w:lineRule="auto"/>
        <w:ind w:firstLine="720"/>
      </w:pPr>
      <w:bookmarkStart w:id="159" w:name="ref-12"/>
      <w:bookmarkEnd w:id="159"/>
      <w:r>
        <w:t xml:space="preserve">12. Valentin Eder, Space Analyses GmbH; Christian Unfried, Space Analyses GmbH. A Systems Theory Approach for Evaluating the Cascading Collision Potential of Orbital Shells (2022).</w:t>
      </w:r>
    </w:p>
    <w:p>
      <w:pPr>
        <w:pStyle w:val="BodyText"/>
        <w:spacing w:line="480" w:lineRule="auto"/>
        <w:ind w:firstLine="720"/>
      </w:pPr>
      <w:bookmarkStart w:id="160" w:name="ref-13"/>
      <w:bookmarkEnd w:id="160"/>
      <w:r>
        <w:t xml:space="preserve">13. James R. Shell, Ph.D., (Novarum Tech, LLC Colorado Springs, CO). GEO-to-GEO Optical Sensors: Estimating the Detection Rate of Uncataloged Debris Objects (2013).</w:t>
      </w:r>
    </w:p>
    <w:p>
      <w:pPr>
        <w:pStyle w:val="BodyText"/>
        <w:spacing w:line="480" w:lineRule="auto"/>
        <w:ind w:firstLine="720"/>
      </w:pPr>
      <w:bookmarkStart w:id="161" w:name="ref-14"/>
      <w:bookmarkEnd w:id="161"/>
      <w:r>
        <w:t xml:space="preserve">14. Victor Bucklew, L3Harris; Joe Dodd, L3Harris; Jim Drakes, L3Harris; Donna Kocak, L3Harris. Soliton-Soliton Interactions as a Mechanism for Detecting Sub-Centimeter Orbital Debris (2025). doi:</w:t>
      </w:r>
      <w:r>
        <w:t xml:space="preserve"> </w:t>
      </w:r>
      <w:hyperlink r:id="rId162">
        <w:r>
          <w:rPr>
            <w:rStyle w:val="Hyperlink"/>
          </w:rPr>
          <w:t xml:space="preserve">10.64861/PKDU5402</w:t>
        </w:r>
      </w:hyperlink>
    </w:p>
    <w:p>
      <w:pPr>
        <w:pStyle w:val="BodyText"/>
        <w:spacing w:line="480" w:lineRule="auto"/>
        <w:ind w:firstLine="720"/>
      </w:pPr>
      <w:bookmarkStart w:id="163" w:name="ref-15"/>
      <w:bookmarkEnd w:id="163"/>
      <w:r>
        <w:t xml:space="preserve">15. Sergei Nikolaev (Lawrence Livermore National Laboratory), Donald Phillion (Lawrence Livermore National Laboratory), H. Keo Springer (Lawrence Livermore National Laboratory), Willem deVries (Lawrence Livermore National Laboratory), Ming Jiang (Lawrence Livermore National Laboratory), Alex Pertica (Lawrence Livermore National Laboratory), John Henderson (Lawrence Livermore National Laboratory), Matthew Horsley (Lawrence Livermore National Laboratory), Scot Olivier (Lawrence Livermore National Laboratory). Brute Force Modeling of the Kessler Syndrome (2012).</w:t>
      </w:r>
    </w:p>
    <w:p>
      <w:pPr>
        <w:pStyle w:val="BodyText"/>
        <w:spacing w:line="480" w:lineRule="auto"/>
        <w:ind w:firstLine="720"/>
      </w:pPr>
      <w:bookmarkStart w:id="164" w:name="ref-16"/>
      <w:bookmarkEnd w:id="164"/>
      <w:r>
        <w:t xml:space="preserve">16. Alejandro Pastor, GMV; Guillermo Escribano-Blázquez, Universidad Carlos III de Madrid; Manuel Sanjurjo-Rivo, Universidad Carlos III de Madrid; Diego Escobar, GMV. Fragmentation Detection via Track-to-Track Association of Optical Observations (2021).</w:t>
      </w:r>
    </w:p>
    <w:p>
      <w:pPr>
        <w:pStyle w:val="BodyText"/>
        <w:spacing w:line="480" w:lineRule="auto"/>
        <w:ind w:firstLine="720"/>
      </w:pPr>
      <w:bookmarkStart w:id="165" w:name="ref-17"/>
      <w:bookmarkEnd w:id="165"/>
      <w:r>
        <w:t xml:space="preserve">17. Carmen Pardini; Luciano Anselmo. Evaluating the impact of space activities in low earth orbit (2021). doi:</w:t>
      </w:r>
      <w:r>
        <w:t xml:space="preserve"> </w:t>
      </w:r>
      <w:hyperlink r:id="rId152">
        <w:r>
          <w:rPr>
            <w:rStyle w:val="Hyperlink"/>
          </w:rPr>
          <w:t xml:space="preserve">10.1016/j.actaastro.2021.03.030</w:t>
        </w:r>
      </w:hyperlink>
    </w:p>
    <w:p>
      <w:pPr>
        <w:pStyle w:val="BodyText"/>
        <w:spacing w:line="480" w:lineRule="auto"/>
        <w:ind w:firstLine="720"/>
      </w:pPr>
      <w:bookmarkStart w:id="166" w:name="ref-18"/>
      <w:bookmarkEnd w:id="166"/>
      <w:r>
        <w:t xml:space="preserve">18. Minoo Rathnasabapathy; Francesca Letizia; Stijn Lemmens; Moriba Jah; Simon J. Potter; Nikolai Khlystov; Kristi Acuff; Miles Lifson; Scott Dorrington; Sina Es haghi; Emmanuelle David; Jean‐Paul Kneib; Danielle Wood. Space sustainability rating: Designing a composite indicator to incentivize satellite operators to pursue long-term sustainability of the space environment (2025). doi:</w:t>
      </w:r>
      <w:r>
        <w:t xml:space="preserve"> </w:t>
      </w:r>
      <w:hyperlink r:id="rId167">
        <w:r>
          <w:rPr>
            <w:rStyle w:val="Hyperlink"/>
          </w:rPr>
          <w:t xml:space="preserve">10.1016/j.actaastro.2025.03.034</w:t>
        </w:r>
      </w:hyperlink>
    </w:p>
    <w:p>
      <w:pPr>
        <w:pStyle w:val="BodyText"/>
        <w:spacing w:line="480" w:lineRule="auto"/>
        <w:ind w:firstLine="720"/>
      </w:pPr>
      <w:bookmarkStart w:id="168" w:name="ref-19"/>
      <w:bookmarkEnd w:id="168"/>
      <w:r>
        <w:t xml:space="preserve">19. Carmen Pardini; Luciano Anselmo. The short-term effects of the Cosmos 1408 fragmentation on neighboring inhabited space stations and large constellations (2023). doi:</w:t>
      </w:r>
      <w:r>
        <w:t xml:space="preserve"> </w:t>
      </w:r>
      <w:hyperlink r:id="rId169">
        <w:r>
          <w:rPr>
            <w:rStyle w:val="Hyperlink"/>
          </w:rPr>
          <w:t xml:space="preserve">10.1016/j.actaastro.2023.02.043</w:t>
        </w:r>
      </w:hyperlink>
    </w:p>
    <w:p>
      <w:pPr>
        <w:pStyle w:val="BodyText"/>
        <w:spacing w:line="480" w:lineRule="auto"/>
        <w:ind w:firstLine="720"/>
      </w:pPr>
      <w:bookmarkStart w:id="170" w:name="ref-20"/>
      <w:bookmarkEnd w:id="170"/>
      <w:r>
        <w:t xml:space="preserve">20. Laura Pirovano; Roberto Armellin. Detection and estimation of spacecraft maneuvers for catalog maintenance (2023). doi:</w:t>
      </w:r>
      <w:r>
        <w:t xml:space="preserve"> </w:t>
      </w:r>
      <w:hyperlink r:id="rId171">
        <w:r>
          <w:rPr>
            <w:rStyle w:val="Hyperlink"/>
          </w:rPr>
          <w:t xml:space="preserve">10.1016/j.actaastro.2023.12.016</w:t>
        </w:r>
      </w:hyperlink>
    </w:p>
    <w:p>
      <w:pPr>
        <w:pStyle w:val="BodyText"/>
        <w:spacing w:line="480" w:lineRule="auto"/>
        <w:ind w:firstLine="720"/>
      </w:pPr>
      <w:bookmarkStart w:id="172" w:name="ref-21"/>
      <w:bookmarkEnd w:id="172"/>
      <w:r>
        <w:t xml:space="preserve">21. Daniel Kastinen; Juha Vierinen; T. Grydeland; Johan Kero. Using radar beam-parks to characterize the Kosmos-1408 fragmentation event (2022). doi:</w:t>
      </w:r>
      <w:r>
        <w:t xml:space="preserve"> </w:t>
      </w:r>
      <w:hyperlink r:id="rId173">
        <w:r>
          <w:rPr>
            <w:rStyle w:val="Hyperlink"/>
          </w:rPr>
          <w:t xml:space="preserve">10.1016/j.actaastro.2022.10.021</w:t>
        </w:r>
      </w:hyperlink>
    </w:p>
    <w:p>
      <w:pPr>
        <w:pStyle w:val="BodyText"/>
        <w:spacing w:line="480" w:lineRule="auto"/>
        <w:ind w:firstLine="720"/>
      </w:pPr>
      <w:bookmarkStart w:id="174" w:name="ref-22"/>
      <w:bookmarkEnd w:id="174"/>
      <w:r>
        <w:t xml:space="preserve">22. Ziao Wang; Juntao Chang; Guangwei Wu; Wenxin Hou. Mechanism and detection of oscillatory flow in a supersonic cascade (2021). doi:</w:t>
      </w:r>
      <w:r>
        <w:t xml:space="preserve"> </w:t>
      </w:r>
      <w:hyperlink r:id="rId175">
        <w:r>
          <w:rPr>
            <w:rStyle w:val="Hyperlink"/>
          </w:rPr>
          <w:t xml:space="preserve">10.1016/j.actaastro.2021.02.009</w:t>
        </w:r>
      </w:hyperlink>
    </w:p>
    <w:p>
      <w:pPr>
        <w:pStyle w:val="BodyText"/>
        <w:spacing w:line="480" w:lineRule="auto"/>
        <w:ind w:firstLine="720"/>
      </w:pPr>
      <w:bookmarkStart w:id="176" w:name="ref-23"/>
      <w:bookmarkEnd w:id="176"/>
      <w:r>
        <w:t xml:space="preserve">23. Elena Cirkovic; Danielle Wood. “Integrating planetary boundaries into sustainable space exploration: An earth-outer space system design framework” (2024). doi:</w:t>
      </w:r>
      <w:r>
        <w:t xml:space="preserve"> </w:t>
      </w:r>
      <w:hyperlink r:id="rId177">
        <w:r>
          <w:rPr>
            <w:rStyle w:val="Hyperlink"/>
          </w:rPr>
          <w:t xml:space="preserve">10.1016/j.actaastro.2024.12.037</w:t>
        </w:r>
      </w:hyperlink>
    </w:p>
    <w:p>
      <w:pPr>
        <w:pStyle w:val="BodyText"/>
        <w:spacing w:line="480" w:lineRule="auto"/>
        <w:ind w:firstLine="720"/>
      </w:pPr>
      <w:bookmarkStart w:id="178" w:name="ref-24"/>
      <w:bookmarkEnd w:id="178"/>
      <w:r>
        <w:t xml:space="preserve">24. Christophe Bonnal; Darren McKnight; Claude Phipps; Cédric Dupont; Sophie Missonnier; Laurent Lequette; Matthieu Merle; Simon Rommelaere. Just in time collision avoidance – A review (2020). doi:</w:t>
      </w:r>
      <w:r>
        <w:t xml:space="preserve"> </w:t>
      </w:r>
      <w:hyperlink r:id="rId179">
        <w:r>
          <w:rPr>
            <w:rStyle w:val="Hyperlink"/>
          </w:rPr>
          <w:t xml:space="preserve">10.1016/j.actaastro.2020.02.016</w:t>
        </w:r>
      </w:hyperlink>
    </w:p>
    <w:bookmarkEnd w:id="180"/>
    <w:bookmarkEnd w:id="181"/>
    <w:bookmarkStart w:id="198"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89" w:name="X111efa801d66fcc9e0fbe1b33095039a3d6397c"/>
    <w:p>
      <w:pPr>
        <w:pStyle w:val="Heading2"/>
        <w:spacing w:line="480" w:lineRule="auto"/>
      </w:pPr>
      <w:r>
        <w:t xml:space="preserve">A.1 What Feeds the Cascade: A Cross-Event Regression of Cataloged Fragment Yield on Parent Mass and Collision Energy</w:t>
      </w:r>
    </w:p>
    <w:p>
      <w:pPr>
        <w:pStyle w:val="FirstParagraph"/>
        <w:spacing w:line="480" w:lineRule="auto"/>
      </w:pPr>
      <m:oMathPara>
        <m:oMathParaPr>
          <m:jc m:val="center"/>
        </m:oMathParaPr>
        <m:oMath>
          <m:r>
            <m:rPr>
              <m:sty m:val="p"/>
            </m:rPr>
            <m:t>ln</m:t>
          </m:r>
          <m:r>
            <m:rPr>
              <m:sty m:val="p"/>
            </m:rPr>
            <m:t>(</m:t>
          </m:r>
          <m:sSub>
            <m:e>
              <m:r>
                <m:t>F</m:t>
              </m:r>
            </m:e>
            <m:sub>
              <m:r>
                <m:t>i</m:t>
              </m:r>
            </m:sub>
          </m:sSub>
          <m:r>
            <m:rPr>
              <m:sty m:val="p"/>
            </m:rPr>
            <m:t>)</m:t>
          </m:r>
          <m:r>
            <m:rPr>
              <m:sty m:val="p"/>
            </m:rPr>
            <m:t>=</m:t>
          </m:r>
          <m:sSub>
            <m:e>
              <m:r>
                <m:t>β</m:t>
              </m:r>
            </m:e>
            <m:sub>
              <m:r>
                <m:t>0</m:t>
              </m:r>
            </m:sub>
          </m:sSub>
          <m:r>
            <m:rPr>
              <m:sty m:val="p"/>
            </m:rPr>
            <m:t>+</m:t>
          </m:r>
          <m:sSub>
            <m:e>
              <m:r>
                <m:t>β</m:t>
              </m:r>
            </m:e>
            <m:sub>
              <m:r>
                <m:t>1</m:t>
              </m:r>
            </m:sub>
          </m:sSub>
          <m:r>
            <m:rPr>
              <m:sty m:val="p"/>
            </m:rPr>
            <m:t>ln</m:t>
          </m:r>
          <m:r>
            <m:rPr>
              <m:sty m:val="p"/>
            </m:rPr>
            <m:t>(</m:t>
          </m:r>
          <m:sSub>
            <m:e>
              <m:r>
                <m:t>M</m:t>
              </m:r>
            </m:e>
            <m:sub>
              <m:r>
                <m:t>i</m:t>
              </m:r>
            </m:sub>
          </m:sSub>
          <m:r>
            <m:rPr>
              <m:sty m:val="p"/>
            </m:rPr>
            <m:t>)</m:t>
          </m:r>
          <m:r>
            <m:rPr>
              <m:sty m:val="p"/>
            </m:rPr>
            <m:t>+</m:t>
          </m:r>
          <m:sSub>
            <m:e>
              <m:r>
                <m:t>β</m:t>
              </m:r>
            </m:e>
            <m:sub>
              <m:r>
                <m:t>2</m:t>
              </m:r>
            </m:sub>
          </m:sSub>
          <m:sSub>
            <m:e>
              <m:r>
                <m:t>C</m:t>
              </m:r>
            </m:e>
            <m:sub>
              <m:r>
                <m:t>i</m:t>
              </m:r>
            </m:sub>
          </m:sSub>
          <m:r>
            <m:rPr>
              <m:sty m:val="p"/>
            </m:rPr>
            <m:t>+</m:t>
          </m:r>
          <m:sSub>
            <m:e>
              <m:r>
                <m:t>ε</m:t>
              </m:r>
            </m:e>
            <m:sub>
              <m:r>
                <m:t>i</m:t>
              </m:r>
            </m:sub>
          </m:sSub>
        </m:oMath>
      </m:oMathPara>
    </w:p>
    <w:bookmarkStart w:id="182"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5.8103</w:t>
            </w:r>
          </w:p>
        </w:tc>
        <w:tc>
          <w:tcPr>
            <w:tcW w:w="0" w:type="auto"/>
          </w:tcPr>
          <w:p>
            <w:pPr>
              <w:spacing w:line="240" w:lineRule="auto" w:before="0" w:after="0"/>
              <w:pStyle w:val="Compact"/>
            </w:pPr>
            <w:r>
              <w:rPr>
                <w:sz w:val="20"/>
                <w:szCs w:val="20"/>
              </w:rPr>
              <w:t xml:space="preserve">3.1278</w:t>
            </w:r>
          </w:p>
        </w:tc>
        <w:tc>
          <w:tcPr>
            <w:tcW w:w="0" w:type="auto"/>
          </w:tcPr>
          <w:p>
            <w:pPr>
              <w:spacing w:line="240" w:lineRule="auto" w:before="0" w:after="0"/>
              <w:pStyle w:val="Compact"/>
            </w:pPr>
            <w:r>
              <w:rPr>
                <w:sz w:val="20"/>
                <w:szCs w:val="20"/>
              </w:rPr>
              <w:t xml:space="preserve">1.8576</w:t>
            </w:r>
          </w:p>
        </w:tc>
        <w:tc>
          <w:tcPr>
            <w:tcW w:w="0" w:type="auto"/>
          </w:tcPr>
          <w:p>
            <w:pPr>
              <w:spacing w:line="240" w:lineRule="auto" w:before="0" w:after="0"/>
              <w:pStyle w:val="Compact"/>
            </w:pPr>
            <w:r>
              <w:rPr>
                <w:sz w:val="20"/>
                <w:szCs w:val="20"/>
              </w:rPr>
              <w:t xml:space="preserve">0.0632</w:t>
            </w:r>
          </w:p>
        </w:tc>
        <w:tc>
          <w:tcPr>
            <w:tcW w:w="0" w:type="auto"/>
          </w:tcPr>
          <w:p>
            <w:pPr>
              <w:spacing w:line="240" w:lineRule="auto" w:before="0" w:after="0"/>
              <w:pStyle w:val="Compact"/>
            </w:pPr>
            <w:r>
              <w:rPr>
                <w:sz w:val="20"/>
                <w:szCs w:val="20"/>
              </w:rPr>
              <w:t xml:space="preserve">[-0.3202, 11.9407]</w:t>
            </w:r>
          </w:p>
        </w:tc>
      </w:tr>
      <w:tr>
        <w:tc>
          <w:tcPr>
            <w:tcW w:w="0" w:type="auto"/>
          </w:tcPr>
          <w:p>
            <w:pPr>
              <w:spacing w:line="240" w:lineRule="auto" w:before="0" w:after="0"/>
              <w:pStyle w:val="Compact"/>
            </w:pPr>
            <w:r>
              <w:rPr>
                <w:sz w:val="20"/>
                <w:szCs w:val="20"/>
              </w:rPr>
              <w:t xml:space="preserve">log_parent_mass</w:t>
            </w:r>
          </w:p>
        </w:tc>
        <w:tc>
          <w:tcPr>
            <w:tcW w:w="0" w:type="auto"/>
          </w:tcPr>
          <w:p>
            <w:pPr>
              <w:spacing w:line="240" w:lineRule="auto" w:before="0" w:after="0"/>
              <w:pStyle w:val="Compact"/>
            </w:pPr>
            <w:r>
              <w:rPr>
                <w:sz w:val="20"/>
                <w:szCs w:val="20"/>
              </w:rPr>
              <w:t xml:space="preserve">-0.0774</w:t>
            </w:r>
          </w:p>
        </w:tc>
        <w:tc>
          <w:tcPr>
            <w:tcW w:w="0" w:type="auto"/>
          </w:tcPr>
          <w:p>
            <w:pPr>
              <w:spacing w:line="240" w:lineRule="auto" w:before="0" w:after="0"/>
              <w:pStyle w:val="Compact"/>
            </w:pPr>
            <w:r>
              <w:rPr>
                <w:sz w:val="20"/>
                <w:szCs w:val="20"/>
              </w:rPr>
              <w:t xml:space="preserve">0.4106</w:t>
            </w:r>
          </w:p>
        </w:tc>
        <w:tc>
          <w:tcPr>
            <w:tcW w:w="0" w:type="auto"/>
          </w:tcPr>
          <w:p>
            <w:pPr>
              <w:spacing w:line="240" w:lineRule="auto" w:before="0" w:after="0"/>
              <w:pStyle w:val="Compact"/>
            </w:pPr>
            <w:r>
              <w:rPr>
                <w:sz w:val="20"/>
                <w:szCs w:val="20"/>
              </w:rPr>
              <w:t xml:space="preserve">-0.1885</w:t>
            </w:r>
          </w:p>
        </w:tc>
        <w:tc>
          <w:tcPr>
            <w:tcW w:w="0" w:type="auto"/>
          </w:tcPr>
          <w:p>
            <w:pPr>
              <w:spacing w:line="240" w:lineRule="auto" w:before="0" w:after="0"/>
              <w:pStyle w:val="Compact"/>
            </w:pPr>
            <w:r>
              <w:rPr>
                <w:sz w:val="20"/>
                <w:szCs w:val="20"/>
              </w:rPr>
              <w:t xml:space="preserve">0.8505</w:t>
            </w:r>
          </w:p>
        </w:tc>
        <w:tc>
          <w:tcPr>
            <w:tcW w:w="0" w:type="auto"/>
          </w:tcPr>
          <w:p>
            <w:pPr>
              <w:spacing w:line="240" w:lineRule="auto" w:before="0" w:after="0"/>
              <w:pStyle w:val="Compact"/>
            </w:pPr>
            <w:r>
              <w:rPr>
                <w:sz w:val="20"/>
                <w:szCs w:val="20"/>
              </w:rPr>
              <w:t xml:space="preserve">[-0.8822, 0.7274]</w:t>
            </w:r>
          </w:p>
        </w:tc>
      </w:tr>
      <w:tr>
        <w:tc>
          <w:tcPr>
            <w:tcW w:w="0" w:type="auto"/>
          </w:tcPr>
          <w:p>
            <w:pPr>
              <w:spacing w:line="240" w:lineRule="auto" w:before="0" w:after="0"/>
              <w:pStyle w:val="Compact"/>
            </w:pPr>
            <w:r>
              <w:rPr>
                <w:sz w:val="20"/>
                <w:szCs w:val="20"/>
              </w:rPr>
              <w:t xml:space="preserve">collision</w:t>
            </w:r>
          </w:p>
        </w:tc>
        <w:tc>
          <w:tcPr>
            <w:tcW w:w="0" w:type="auto"/>
          </w:tcPr>
          <w:p>
            <w:pPr>
              <w:spacing w:line="240" w:lineRule="auto" w:before="0" w:after="0"/>
              <w:pStyle w:val="Compact"/>
            </w:pPr>
            <w:r>
              <w:rPr>
                <w:sz w:val="20"/>
                <w:szCs w:val="20"/>
              </w:rPr>
              <w:t xml:space="preserve">1.2904</w:t>
            </w:r>
          </w:p>
        </w:tc>
        <w:tc>
          <w:tcPr>
            <w:tcW w:w="0" w:type="auto"/>
          </w:tcPr>
          <w:p>
            <w:pPr>
              <w:spacing w:line="240" w:lineRule="auto" w:before="0" w:after="0"/>
              <w:pStyle w:val="Compact"/>
            </w:pPr>
            <w:r>
              <w:rPr>
                <w:sz w:val="20"/>
                <w:szCs w:val="20"/>
              </w:rPr>
              <w:t xml:space="preserve">0.6575</w:t>
            </w:r>
          </w:p>
        </w:tc>
        <w:tc>
          <w:tcPr>
            <w:tcW w:w="0" w:type="auto"/>
          </w:tcPr>
          <w:p>
            <w:pPr>
              <w:spacing w:line="240" w:lineRule="auto" w:before="0" w:after="0"/>
              <w:pStyle w:val="Compact"/>
            </w:pPr>
            <w:r>
              <w:rPr>
                <w:sz w:val="20"/>
                <w:szCs w:val="20"/>
              </w:rPr>
              <w:t xml:space="preserve">1.9625</w:t>
            </w:r>
          </w:p>
        </w:tc>
        <w:tc>
          <w:tcPr>
            <w:tcW w:w="0" w:type="auto"/>
          </w:tcPr>
          <w:p>
            <w:pPr>
              <w:spacing w:line="240" w:lineRule="auto" w:before="0" w:after="0"/>
              <w:pStyle w:val="Compact"/>
            </w:pPr>
            <w:r>
              <w:rPr>
                <w:sz w:val="20"/>
                <w:szCs w:val="20"/>
              </w:rPr>
              <w:t xml:space="preserve">0.0497</w:t>
            </w:r>
          </w:p>
        </w:tc>
        <w:tc>
          <w:tcPr>
            <w:tcW w:w="0" w:type="auto"/>
          </w:tcPr>
          <w:p>
            <w:pPr>
              <w:spacing w:line="240" w:lineRule="auto" w:before="0" w:after="0"/>
              <w:pStyle w:val="Compact"/>
            </w:pPr>
            <w:r>
              <w:rPr>
                <w:sz w:val="20"/>
                <w:szCs w:val="20"/>
              </w:rPr>
              <w:t xml:space="preserve">[0.0017, 2.5792]</w:t>
            </w:r>
          </w:p>
        </w:tc>
      </w:tr>
    </w:tbl>
    <w:p>
      <w:pPr>
        <w:pStyle w:val="BodyText"/>
        <w:spacing w:line="480" w:lineRule="auto"/>
        <w:ind w:firstLine="720"/>
      </w:pPr>
      <w:r>
        <w:t xml:space="preserve">Fit: N = 21 R2 = 0.2338 R2_adj = 0.1486 F = 2.5338 F_p = 0.1073</w:t>
      </w:r>
    </w:p>
    <w:bookmarkEnd w:id="182"/>
    <w:bookmarkStart w:id="186"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Cataloged fragment yield against parent mass for 21 documented on-orbit breakup events (1965-2022), log-log scale. Collision and kinetic-intercept events (the upper envelope) sit above explosive breakups of comparable parent mass, consistent with the energy-channel hypothesis." title="" id="184" name="Picture"/>
            <a:graphic>
              <a:graphicData uri="http://schemas.openxmlformats.org/drawingml/2006/picture">
                <pic:pic>
                  <pic:nvPicPr>
                    <pic:cNvPr descr="D:/Claude_Code/brain/collegium/candidates/dissertations/DEBRIS_05/research_papers/p1/paper_fig1.png" id="185" name="Picture"/>
                    <pic:cNvPicPr>
                      <a:picLocks noChangeArrowheads="1" noChangeAspect="1"/>
                    </pic:cNvPicPr>
                  </pic:nvPicPr>
                  <pic:blipFill>
                    <a:blip r:embed="rId183"/>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Cataloged fragment yield against parent mass for 21 documented on-orbit breakup events (1965-2022), log-log scale. Collision and kinetic-intercept events (the upper envelope) sit above explosive breakups of comparable parent mass, consistent with the energy-channel hypothesis.</w:t>
      </w:r>
    </w:p>
    <w:bookmarkEnd w:id="186"/>
    <w:bookmarkStart w:id="187"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event</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parent_mass_kg</w:t>
            </w:r>
          </w:p>
        </w:tc>
        <w:tc>
          <w:tcPr>
            <w:tcW w:w="0" w:type="auto"/>
          </w:tcPr>
          <w:p>
            <w:pPr>
              <w:spacing w:line="240" w:lineRule="auto" w:before="0" w:after="0"/>
              <w:pStyle w:val="Compact"/>
            </w:pPr>
            <w:r>
              <w:rPr>
                <w:sz w:val="20"/>
                <w:szCs w:val="20"/>
              </w:rPr>
              <w:t xml:space="preserve">collision</w:t>
            </w:r>
          </w:p>
        </w:tc>
        <w:tc>
          <w:tcPr>
            <w:tcW w:w="0" w:type="auto"/>
          </w:tcPr>
          <w:p>
            <w:pPr>
              <w:spacing w:line="240" w:lineRule="auto" w:before="0" w:after="0"/>
              <w:pStyle w:val="Compact"/>
            </w:pPr>
            <w:r>
              <w:rPr>
                <w:sz w:val="20"/>
                <w:szCs w:val="20"/>
              </w:rPr>
              <w:t xml:space="preserve">altitude_km</w:t>
            </w:r>
          </w:p>
        </w:tc>
        <w:tc>
          <w:tcPr>
            <w:tcW w:w="0" w:type="auto"/>
          </w:tcPr>
          <w:p>
            <w:pPr>
              <w:spacing w:line="240" w:lineRule="auto" w:before="0" w:after="0"/>
              <w:pStyle w:val="Compact"/>
            </w:pPr>
            <w:r>
              <w:rPr>
                <w:sz w:val="20"/>
                <w:szCs w:val="20"/>
              </w:rPr>
              <w:t xml:space="preserve">cataloged_fragments</w:t>
            </w:r>
          </w:p>
        </w:tc>
        <w:tc>
          <w:tcPr>
            <w:tcW w:w="0" w:type="auto"/>
          </w:tcPr>
          <w:p>
            <w:pPr>
              <w:spacing w:line="240" w:lineRule="auto" w:before="0" w:after="0"/>
              <w:pStyle w:val="Compact"/>
            </w:pPr>
            <w:r>
              <w:rPr>
                <w:sz w:val="20"/>
                <w:szCs w:val="20"/>
              </w:rPr>
              <w:t xml:space="preserve">log_fragments</w:t>
            </w:r>
          </w:p>
        </w:tc>
        <w:tc>
          <w:tcPr>
            <w:tcW w:w="0" w:type="auto"/>
          </w:tcPr>
          <w:p>
            <w:pPr>
              <w:spacing w:line="240" w:lineRule="auto" w:before="0" w:after="0"/>
              <w:pStyle w:val="Compact"/>
            </w:pPr>
            <w:r>
              <w:rPr>
                <w:sz w:val="20"/>
                <w:szCs w:val="20"/>
              </w:rPr>
              <w:t xml:space="preserve">log_parent_mass</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Fengyun-1C ASAT</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880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865</w:t>
            </w:r>
          </w:p>
        </w:tc>
        <w:tc>
          <w:tcPr>
            <w:tcW w:w="0" w:type="auto"/>
          </w:tcPr>
          <w:p>
            <w:pPr>
              <w:spacing w:line="240" w:lineRule="auto" w:before="0" w:after="0"/>
              <w:pStyle w:val="Compact"/>
            </w:pPr>
            <w:r>
              <w:rPr>
                <w:sz w:val="20"/>
                <w:szCs w:val="20"/>
              </w:rPr>
              <w:t xml:space="preserve">3428</w:t>
            </w:r>
          </w:p>
        </w:tc>
        <w:tc>
          <w:tcPr>
            <w:tcW w:w="0" w:type="auto"/>
          </w:tcPr>
          <w:p>
            <w:pPr>
              <w:spacing w:line="240" w:lineRule="auto" w:before="0" w:after="0"/>
              <w:pStyle w:val="Compact"/>
            </w:pPr>
            <w:r>
              <w:rPr>
                <w:sz w:val="20"/>
                <w:szCs w:val="20"/>
              </w:rPr>
              <w:t xml:space="preserve">8.1397</w:t>
            </w:r>
          </w:p>
        </w:tc>
        <w:tc>
          <w:tcPr>
            <w:tcW w:w="0" w:type="auto"/>
          </w:tcPr>
          <w:p>
            <w:pPr>
              <w:spacing w:line="240" w:lineRule="auto" w:before="0" w:after="0"/>
              <w:pStyle w:val="Compact"/>
            </w:pPr>
            <w:r>
              <w:rPr>
                <w:sz w:val="20"/>
                <w:szCs w:val="20"/>
              </w:rPr>
              <w:t xml:space="preserve">6.7799</w:t>
            </w:r>
          </w:p>
        </w:tc>
        <w:tc>
          <w:tcPr>
            <w:tcW w:w="0" w:type="auto"/>
          </w:tcPr>
          <w:p>
            <w:pPr>
              <w:spacing w:line="240" w:lineRule="auto" w:before="0" w:after="0"/>
              <w:pStyle w:val="Compact"/>
            </w:pPr>
            <w:r>
              <w:rPr>
                <w:sz w:val="20"/>
                <w:szCs w:val="20"/>
              </w:rPr>
              <w:t xml:space="preserve">NASA ODPO, History of On-Orbit Satellite Fragmentations, 15th ed., NASA/TM-2018-220037 (2018); FY-1C deliberate intercept, largest cataloged debris cloud</w:t>
            </w:r>
          </w:p>
        </w:tc>
      </w:tr>
      <w:tr>
        <w:tc>
          <w:tcPr>
            <w:tcW w:w="0" w:type="auto"/>
          </w:tcPr>
          <w:p>
            <w:pPr>
              <w:spacing w:line="240" w:lineRule="auto" w:before="0" w:after="0"/>
              <w:pStyle w:val="Compact"/>
            </w:pPr>
            <w:r>
              <w:rPr>
                <w:sz w:val="20"/>
                <w:szCs w:val="20"/>
              </w:rPr>
              <w:t xml:space="preserve">Cosmos 2251</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900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790</w:t>
            </w:r>
          </w:p>
        </w:tc>
        <w:tc>
          <w:tcPr>
            <w:tcW w:w="0" w:type="auto"/>
          </w:tcPr>
          <w:p>
            <w:pPr>
              <w:spacing w:line="240" w:lineRule="auto" w:before="0" w:after="0"/>
              <w:pStyle w:val="Compact"/>
            </w:pPr>
            <w:r>
              <w:rPr>
                <w:sz w:val="20"/>
                <w:szCs w:val="20"/>
              </w:rPr>
              <w:t xml:space="preserve">1668</w:t>
            </w:r>
          </w:p>
        </w:tc>
        <w:tc>
          <w:tcPr>
            <w:tcW w:w="0" w:type="auto"/>
          </w:tcPr>
          <w:p>
            <w:pPr>
              <w:spacing w:line="240" w:lineRule="auto" w:before="0" w:after="0"/>
              <w:pStyle w:val="Compact"/>
            </w:pPr>
            <w:r>
              <w:rPr>
                <w:sz w:val="20"/>
                <w:szCs w:val="20"/>
              </w:rPr>
              <w:t xml:space="preserve">7.4194</w:t>
            </w:r>
          </w:p>
        </w:tc>
        <w:tc>
          <w:tcPr>
            <w:tcW w:w="0" w:type="auto"/>
          </w:tcPr>
          <w:p>
            <w:pPr>
              <w:spacing w:line="240" w:lineRule="auto" w:before="0" w:after="0"/>
              <w:pStyle w:val="Compact"/>
            </w:pPr>
            <w:r>
              <w:rPr>
                <w:sz w:val="20"/>
                <w:szCs w:val="20"/>
              </w:rPr>
              <w:t xml:space="preserve">6.8024</w:t>
            </w:r>
          </w:p>
        </w:tc>
        <w:tc>
          <w:tcPr>
            <w:tcW w:w="0" w:type="auto"/>
          </w:tcPr>
          <w:p>
            <w:pPr>
              <w:spacing w:line="240" w:lineRule="auto" w:before="0" w:after="0"/>
              <w:pStyle w:val="Compact"/>
            </w:pPr>
            <w:r>
              <w:rPr>
                <w:sz w:val="20"/>
                <w:szCs w:val="20"/>
              </w:rPr>
              <w:t xml:space="preserve">NASA ODPO, History of On-Orbit Satellite Fragmentations, 15th ed., NASA/TM-2018-220037 (2018); Iridium-Cosmos accidental collision, Cosmos 2251 catalog</w:t>
            </w:r>
          </w:p>
        </w:tc>
      </w:tr>
      <w:tr>
        <w:tc>
          <w:tcPr>
            <w:tcW w:w="0" w:type="auto"/>
          </w:tcPr>
          <w:p>
            <w:pPr>
              <w:spacing w:line="240" w:lineRule="auto" w:before="0" w:after="0"/>
              <w:pStyle w:val="Compact"/>
            </w:pPr>
            <w:r>
              <w:rPr>
                <w:sz w:val="20"/>
                <w:szCs w:val="20"/>
              </w:rPr>
              <w:t xml:space="preserve">Iridium 33</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560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790</w:t>
            </w:r>
          </w:p>
        </w:tc>
        <w:tc>
          <w:tcPr>
            <w:tcW w:w="0" w:type="auto"/>
          </w:tcPr>
          <w:p>
            <w:pPr>
              <w:spacing w:line="240" w:lineRule="auto" w:before="0" w:after="0"/>
              <w:pStyle w:val="Compact"/>
            </w:pPr>
            <w:r>
              <w:rPr>
                <w:sz w:val="20"/>
                <w:szCs w:val="20"/>
              </w:rPr>
              <w:t xml:space="preserve">628</w:t>
            </w:r>
          </w:p>
        </w:tc>
        <w:tc>
          <w:tcPr>
            <w:tcW w:w="0" w:type="auto"/>
          </w:tcPr>
          <w:p>
            <w:pPr>
              <w:spacing w:line="240" w:lineRule="auto" w:before="0" w:after="0"/>
              <w:pStyle w:val="Compact"/>
            </w:pPr>
            <w:r>
              <w:rPr>
                <w:sz w:val="20"/>
                <w:szCs w:val="20"/>
              </w:rPr>
              <w:t xml:space="preserve">6.4425</w:t>
            </w:r>
          </w:p>
        </w:tc>
        <w:tc>
          <w:tcPr>
            <w:tcW w:w="0" w:type="auto"/>
          </w:tcPr>
          <w:p>
            <w:pPr>
              <w:spacing w:line="240" w:lineRule="auto" w:before="0" w:after="0"/>
              <w:pStyle w:val="Compact"/>
            </w:pPr>
            <w:r>
              <w:rPr>
                <w:sz w:val="20"/>
                <w:szCs w:val="20"/>
              </w:rPr>
              <w:t xml:space="preserve">6.3279</w:t>
            </w:r>
          </w:p>
        </w:tc>
        <w:tc>
          <w:tcPr>
            <w:tcW w:w="0" w:type="auto"/>
          </w:tcPr>
          <w:p>
            <w:pPr>
              <w:spacing w:line="240" w:lineRule="auto" w:before="0" w:after="0"/>
              <w:pStyle w:val="Compact"/>
            </w:pPr>
            <w:r>
              <w:rPr>
                <w:sz w:val="20"/>
                <w:szCs w:val="20"/>
              </w:rPr>
              <w:t xml:space="preserve">NASA ODPO, History of On-Orbit Satellite Fragmentations, 15th ed., NASA/TM-2018-220037 (2018); Iridium-Cosmos accidental collision, Iridium 33 catalog</w:t>
            </w:r>
          </w:p>
        </w:tc>
      </w:tr>
      <w:tr>
        <w:tc>
          <w:tcPr>
            <w:tcW w:w="0" w:type="auto"/>
          </w:tcPr>
          <w:p>
            <w:pPr>
              <w:spacing w:line="240" w:lineRule="auto" w:before="0" w:after="0"/>
              <w:pStyle w:val="Compact"/>
            </w:pPr>
            <w:r>
              <w:rPr>
                <w:sz w:val="20"/>
                <w:szCs w:val="20"/>
              </w:rPr>
              <w:t xml:space="preserve">Cosmos 1408 ASAT</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1750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480</w:t>
            </w:r>
          </w:p>
        </w:tc>
        <w:tc>
          <w:tcPr>
            <w:tcW w:w="0" w:type="auto"/>
          </w:tcPr>
          <w:p>
            <w:pPr>
              <w:spacing w:line="240" w:lineRule="auto" w:before="0" w:after="0"/>
              <w:pStyle w:val="Compact"/>
            </w:pPr>
            <w:r>
              <w:rPr>
                <w:sz w:val="20"/>
                <w:szCs w:val="20"/>
              </w:rPr>
              <w:t xml:space="preserve">1562</w:t>
            </w:r>
          </w:p>
        </w:tc>
        <w:tc>
          <w:tcPr>
            <w:tcW w:w="0" w:type="auto"/>
          </w:tcPr>
          <w:p>
            <w:pPr>
              <w:spacing w:line="240" w:lineRule="auto" w:before="0" w:after="0"/>
              <w:pStyle w:val="Compact"/>
            </w:pPr>
            <w:r>
              <w:rPr>
                <w:sz w:val="20"/>
                <w:szCs w:val="20"/>
              </w:rPr>
              <w:t xml:space="preserve">7.3537</w:t>
            </w:r>
          </w:p>
        </w:tc>
        <w:tc>
          <w:tcPr>
            <w:tcW w:w="0" w:type="auto"/>
          </w:tcPr>
          <w:p>
            <w:pPr>
              <w:spacing w:line="240" w:lineRule="auto" w:before="0" w:after="0"/>
              <w:pStyle w:val="Compact"/>
            </w:pPr>
            <w:r>
              <w:rPr>
                <w:sz w:val="20"/>
                <w:szCs w:val="20"/>
              </w:rPr>
              <w:t xml:space="preserve">7.4674</w:t>
            </w:r>
          </w:p>
        </w:tc>
        <w:tc>
          <w:tcPr>
            <w:tcW w:w="0" w:type="auto"/>
          </w:tcPr>
          <w:p>
            <w:pPr>
              <w:spacing w:line="240" w:lineRule="auto" w:before="0" w:after="0"/>
              <w:pStyle w:val="Compact"/>
            </w:pPr>
            <w:r>
              <w:rPr>
                <w:sz w:val="20"/>
                <w:szCs w:val="20"/>
              </w:rPr>
              <w:t xml:space="preserve">NASA ODPO Orbital Debris Quarterly News 26(1) (2022); Cosmos 1408 Russian DA-ASAT test, cataloged fragments</w:t>
            </w:r>
          </w:p>
        </w:tc>
      </w:tr>
      <w:tr>
        <w:tc>
          <w:tcPr>
            <w:tcW w:w="0" w:type="auto"/>
          </w:tcPr>
          <w:p>
            <w:pPr>
              <w:spacing w:line="240" w:lineRule="auto" w:before="0" w:after="0"/>
              <w:pStyle w:val="Compact"/>
            </w:pPr>
            <w:r>
              <w:rPr>
                <w:sz w:val="20"/>
                <w:szCs w:val="20"/>
              </w:rPr>
              <w:t xml:space="preserve">Microsat-R ASAT</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740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260</w:t>
            </w:r>
          </w:p>
        </w:tc>
        <w:tc>
          <w:tcPr>
            <w:tcW w:w="0" w:type="auto"/>
          </w:tcPr>
          <w:p>
            <w:pPr>
              <w:spacing w:line="240" w:lineRule="auto" w:before="0" w:after="0"/>
              <w:pStyle w:val="Compact"/>
            </w:pPr>
            <w:r>
              <w:rPr>
                <w:sz w:val="20"/>
                <w:szCs w:val="20"/>
              </w:rPr>
              <w:t xml:space="preserve">129</w:t>
            </w:r>
          </w:p>
        </w:tc>
        <w:tc>
          <w:tcPr>
            <w:tcW w:w="0" w:type="auto"/>
          </w:tcPr>
          <w:p>
            <w:pPr>
              <w:spacing w:line="240" w:lineRule="auto" w:before="0" w:after="0"/>
              <w:pStyle w:val="Compact"/>
            </w:pPr>
            <w:r>
              <w:rPr>
                <w:sz w:val="20"/>
                <w:szCs w:val="20"/>
              </w:rPr>
              <w:t xml:space="preserve">4.8598</w:t>
            </w:r>
          </w:p>
        </w:tc>
        <w:tc>
          <w:tcPr>
            <w:tcW w:w="0" w:type="auto"/>
          </w:tcPr>
          <w:p>
            <w:pPr>
              <w:spacing w:line="240" w:lineRule="auto" w:before="0" w:after="0"/>
              <w:pStyle w:val="Compact"/>
            </w:pPr>
            <w:r>
              <w:rPr>
                <w:sz w:val="20"/>
                <w:szCs w:val="20"/>
              </w:rPr>
              <w:t xml:space="preserve">6.6067</w:t>
            </w:r>
          </w:p>
        </w:tc>
        <w:tc>
          <w:tcPr>
            <w:tcW w:w="0" w:type="auto"/>
          </w:tcPr>
          <w:p>
            <w:pPr>
              <w:spacing w:line="240" w:lineRule="auto" w:before="0" w:after="0"/>
              <w:pStyle w:val="Compact"/>
            </w:pPr>
            <w:r>
              <w:rPr>
                <w:sz w:val="20"/>
                <w:szCs w:val="20"/>
              </w:rPr>
              <w:t xml:space="preserve">NASA ODPO Orbital Debris Quarterly News 23(2) (2019); India Mission Shakti ASAT, cataloged fragments</w:t>
            </w:r>
          </w:p>
        </w:tc>
      </w:tr>
      <w:tr>
        <w:tc>
          <w:tcPr>
            <w:tcW w:w="0" w:type="auto"/>
          </w:tcPr>
          <w:p>
            <w:pPr>
              <w:spacing w:line="240" w:lineRule="auto" w:before="0" w:after="0"/>
              <w:pStyle w:val="Compact"/>
            </w:pPr>
            <w:r>
              <w:rPr>
                <w:sz w:val="20"/>
                <w:szCs w:val="20"/>
              </w:rPr>
              <w:t xml:space="preserve">USA-193 (NROL-21) intercept</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2300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250</w:t>
            </w:r>
          </w:p>
        </w:tc>
        <w:tc>
          <w:tcPr>
            <w:tcW w:w="0" w:type="auto"/>
          </w:tcPr>
          <w:p>
            <w:pPr>
              <w:spacing w:line="240" w:lineRule="auto" w:before="0" w:after="0"/>
              <w:pStyle w:val="Compact"/>
            </w:pPr>
            <w:r>
              <w:rPr>
                <w:sz w:val="20"/>
                <w:szCs w:val="20"/>
              </w:rPr>
              <w:t xml:space="preserve">174</w:t>
            </w:r>
          </w:p>
        </w:tc>
        <w:tc>
          <w:tcPr>
            <w:tcW w:w="0" w:type="auto"/>
          </w:tcPr>
          <w:p>
            <w:pPr>
              <w:spacing w:line="240" w:lineRule="auto" w:before="0" w:after="0"/>
              <w:pStyle w:val="Compact"/>
            </w:pPr>
            <w:r>
              <w:rPr>
                <w:sz w:val="20"/>
                <w:szCs w:val="20"/>
              </w:rPr>
              <w:t xml:space="preserve">5.1591</w:t>
            </w:r>
          </w:p>
        </w:tc>
        <w:tc>
          <w:tcPr>
            <w:tcW w:w="0" w:type="auto"/>
          </w:tcPr>
          <w:p>
            <w:pPr>
              <w:spacing w:line="240" w:lineRule="auto" w:before="0" w:after="0"/>
              <w:pStyle w:val="Compact"/>
            </w:pPr>
            <w:r>
              <w:rPr>
                <w:sz w:val="20"/>
                <w:szCs w:val="20"/>
              </w:rPr>
              <w:t xml:space="preserve">7.7407</w:t>
            </w:r>
          </w:p>
        </w:tc>
        <w:tc>
          <w:tcPr>
            <w:tcW w:w="0" w:type="auto"/>
          </w:tcPr>
          <w:p>
            <w:pPr>
              <w:spacing w:line="240" w:lineRule="auto" w:before="0" w:after="0"/>
              <w:pStyle w:val="Compact"/>
            </w:pPr>
            <w:r>
              <w:rPr>
                <w:sz w:val="20"/>
                <w:szCs w:val="20"/>
              </w:rPr>
              <w:t xml:space="preserve">NASA ODPO Orbital Debris Quarterly News 12(3) (2008); Operation Burnt Frost intercept, low-altitude cataloged fragments</w:t>
            </w:r>
          </w:p>
        </w:tc>
      </w:tr>
      <w:tr>
        <w:tc>
          <w:tcPr>
            <w:tcW w:w="0" w:type="auto"/>
          </w:tcPr>
          <w:p>
            <w:pPr>
              <w:spacing w:line="240" w:lineRule="auto" w:before="0" w:after="0"/>
              <w:pStyle w:val="Compact"/>
            </w:pPr>
            <w:r>
              <w:rPr>
                <w:sz w:val="20"/>
                <w:szCs w:val="20"/>
              </w:rPr>
              <w:t xml:space="preserve">SPOT-1 Ariane H-10 third stage</w:t>
            </w:r>
          </w:p>
        </w:tc>
        <w:tc>
          <w:tcPr>
            <w:tcW w:w="0" w:type="auto"/>
          </w:tcPr>
          <w:p>
            <w:pPr>
              <w:spacing w:line="240" w:lineRule="auto" w:before="0" w:after="0"/>
              <w:pStyle w:val="Compact"/>
            </w:pPr>
            <w:r>
              <w:rPr>
                <w:sz w:val="20"/>
                <w:szCs w:val="20"/>
              </w:rPr>
              <w:t xml:space="preserve">1986</w:t>
            </w:r>
          </w:p>
        </w:tc>
        <w:tc>
          <w:tcPr>
            <w:tcW w:w="0" w:type="auto"/>
          </w:tcPr>
          <w:p>
            <w:pPr>
              <w:spacing w:line="240" w:lineRule="auto" w:before="0" w:after="0"/>
              <w:pStyle w:val="Compact"/>
            </w:pPr>
            <w:r>
              <w:rPr>
                <w:sz w:val="20"/>
                <w:szCs w:val="20"/>
              </w:rPr>
              <w:t xml:space="preserve">1450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805</w:t>
            </w:r>
          </w:p>
        </w:tc>
        <w:tc>
          <w:tcPr>
            <w:tcW w:w="0" w:type="auto"/>
          </w:tcPr>
          <w:p>
            <w:pPr>
              <w:spacing w:line="240" w:lineRule="auto" w:before="0" w:after="0"/>
              <w:pStyle w:val="Compact"/>
            </w:pPr>
            <w:r>
              <w:rPr>
                <w:sz w:val="20"/>
                <w:szCs w:val="20"/>
              </w:rPr>
              <w:t xml:space="preserve">488</w:t>
            </w:r>
          </w:p>
        </w:tc>
        <w:tc>
          <w:tcPr>
            <w:tcW w:w="0" w:type="auto"/>
          </w:tcPr>
          <w:p>
            <w:pPr>
              <w:spacing w:line="240" w:lineRule="auto" w:before="0" w:after="0"/>
              <w:pStyle w:val="Compact"/>
            </w:pPr>
            <w:r>
              <w:rPr>
                <w:sz w:val="20"/>
                <w:szCs w:val="20"/>
              </w:rPr>
              <w:t xml:space="preserve">6.1903</w:t>
            </w:r>
          </w:p>
        </w:tc>
        <w:tc>
          <w:tcPr>
            <w:tcW w:w="0" w:type="auto"/>
          </w:tcPr>
          <w:p>
            <w:pPr>
              <w:spacing w:line="240" w:lineRule="auto" w:before="0" w:after="0"/>
              <w:pStyle w:val="Compact"/>
            </w:pPr>
            <w:r>
              <w:rPr>
                <w:sz w:val="20"/>
                <w:szCs w:val="20"/>
              </w:rPr>
              <w:t xml:space="preserve">7.2793</w:t>
            </w:r>
          </w:p>
        </w:tc>
        <w:tc>
          <w:tcPr>
            <w:tcW w:w="0" w:type="auto"/>
          </w:tcPr>
          <w:p>
            <w:pPr>
              <w:spacing w:line="240" w:lineRule="auto" w:before="0" w:after="0"/>
              <w:pStyle w:val="Compact"/>
            </w:pPr>
            <w:r>
              <w:rPr>
                <w:sz w:val="20"/>
                <w:szCs w:val="20"/>
              </w:rPr>
              <w:t xml:space="preserve">NASA ODPO, History of On-Orbit Satellite Fragmentations, 15th ed., NASA/TM-2018-220037 (2018); Ariane V16 H-10 stage explosion</w:t>
            </w:r>
          </w:p>
        </w:tc>
      </w:tr>
      <w:tr>
        <w:tc>
          <w:tcPr>
            <w:tcW w:w="0" w:type="auto"/>
          </w:tcPr>
          <w:p>
            <w:pPr>
              <w:spacing w:line="240" w:lineRule="auto" w:before="0" w:after="0"/>
              <w:pStyle w:val="Compact"/>
            </w:pPr>
            <w:r>
              <w:rPr>
                <w:sz w:val="20"/>
                <w:szCs w:val="20"/>
              </w:rPr>
              <w:t xml:space="preserve">Pegasus HAPS (1994-029B)</w:t>
            </w:r>
          </w:p>
        </w:tc>
        <w:tc>
          <w:tcPr>
            <w:tcW w:w="0" w:type="auto"/>
          </w:tcPr>
          <w:p>
            <w:pPr>
              <w:spacing w:line="240" w:lineRule="auto" w:before="0" w:after="0"/>
              <w:pStyle w:val="Compact"/>
            </w:pPr>
            <w:r>
              <w:rPr>
                <w:sz w:val="20"/>
                <w:szCs w:val="20"/>
              </w:rPr>
              <w:t xml:space="preserve">1996</w:t>
            </w:r>
          </w:p>
        </w:tc>
        <w:tc>
          <w:tcPr>
            <w:tcW w:w="0" w:type="auto"/>
          </w:tcPr>
          <w:p>
            <w:pPr>
              <w:spacing w:line="240" w:lineRule="auto" w:before="0" w:after="0"/>
              <w:pStyle w:val="Compact"/>
            </w:pPr>
            <w:r>
              <w:rPr>
                <w:sz w:val="20"/>
                <w:szCs w:val="20"/>
              </w:rPr>
              <w:t xml:space="preserve">970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625</w:t>
            </w:r>
          </w:p>
        </w:tc>
        <w:tc>
          <w:tcPr>
            <w:tcW w:w="0" w:type="auto"/>
          </w:tcPr>
          <w:p>
            <w:pPr>
              <w:spacing w:line="240" w:lineRule="auto" w:before="0" w:after="0"/>
              <w:pStyle w:val="Compact"/>
            </w:pPr>
            <w:r>
              <w:rPr>
                <w:sz w:val="20"/>
                <w:szCs w:val="20"/>
              </w:rPr>
              <w:t xml:space="preserve">713</w:t>
            </w:r>
          </w:p>
        </w:tc>
        <w:tc>
          <w:tcPr>
            <w:tcW w:w="0" w:type="auto"/>
          </w:tcPr>
          <w:p>
            <w:pPr>
              <w:spacing w:line="240" w:lineRule="auto" w:before="0" w:after="0"/>
              <w:pStyle w:val="Compact"/>
            </w:pPr>
            <w:r>
              <w:rPr>
                <w:sz w:val="20"/>
                <w:szCs w:val="20"/>
              </w:rPr>
              <w:t xml:space="preserve">6.5695</w:t>
            </w:r>
          </w:p>
        </w:tc>
        <w:tc>
          <w:tcPr>
            <w:tcW w:w="0" w:type="auto"/>
          </w:tcPr>
          <w:p>
            <w:pPr>
              <w:spacing w:line="240" w:lineRule="auto" w:before="0" w:after="0"/>
              <w:pStyle w:val="Compact"/>
            </w:pPr>
            <w:r>
              <w:rPr>
                <w:sz w:val="20"/>
                <w:szCs w:val="20"/>
              </w:rPr>
              <w:t xml:space="preserve">6.8773</w:t>
            </w:r>
          </w:p>
        </w:tc>
        <w:tc>
          <w:tcPr>
            <w:tcW w:w="0" w:type="auto"/>
          </w:tcPr>
          <w:p>
            <w:pPr>
              <w:spacing w:line="240" w:lineRule="auto" w:before="0" w:after="0"/>
              <w:pStyle w:val="Compact"/>
            </w:pPr>
            <w:r>
              <w:rPr>
                <w:sz w:val="20"/>
                <w:szCs w:val="20"/>
              </w:rPr>
              <w:t xml:space="preserve">NASA ODPO, History of On-Orbit Satellite Fragmentations, 15th ed., NASA/TM-2018-220037 (2018); Pegasus Hydrazine Auxiliary Propulsion System explosion, NASA-TP-3531 (1997)</w:t>
            </w:r>
          </w:p>
        </w:tc>
      </w:tr>
      <w:tr>
        <w:tc>
          <w:tcPr>
            <w:tcW w:w="0" w:type="auto"/>
          </w:tcPr>
          <w:p>
            <w:pPr>
              <w:spacing w:line="240" w:lineRule="auto" w:before="0" w:after="0"/>
              <w:pStyle w:val="Compact"/>
            </w:pPr>
            <w:r>
              <w:rPr>
                <w:sz w:val="20"/>
                <w:szCs w:val="20"/>
              </w:rPr>
              <w:t xml:space="preserve">Cosmos 2421</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3200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410</w:t>
            </w:r>
          </w:p>
        </w:tc>
        <w:tc>
          <w:tcPr>
            <w:tcW w:w="0" w:type="auto"/>
          </w:tcPr>
          <w:p>
            <w:pPr>
              <w:spacing w:line="240" w:lineRule="auto" w:before="0" w:after="0"/>
              <w:pStyle w:val="Compact"/>
            </w:pPr>
            <w:r>
              <w:rPr>
                <w:sz w:val="20"/>
                <w:szCs w:val="20"/>
              </w:rPr>
              <w:t xml:space="preserve">509</w:t>
            </w:r>
          </w:p>
        </w:tc>
        <w:tc>
          <w:tcPr>
            <w:tcW w:w="0" w:type="auto"/>
          </w:tcPr>
          <w:p>
            <w:pPr>
              <w:spacing w:line="240" w:lineRule="auto" w:before="0" w:after="0"/>
              <w:pStyle w:val="Compact"/>
            </w:pPr>
            <w:r>
              <w:rPr>
                <w:sz w:val="20"/>
                <w:szCs w:val="20"/>
              </w:rPr>
              <w:t xml:space="preserve">6.2324</w:t>
            </w:r>
          </w:p>
        </w:tc>
        <w:tc>
          <w:tcPr>
            <w:tcW w:w="0" w:type="auto"/>
          </w:tcPr>
          <w:p>
            <w:pPr>
              <w:spacing w:line="240" w:lineRule="auto" w:before="0" w:after="0"/>
              <w:pStyle w:val="Compact"/>
            </w:pPr>
            <w:r>
              <w:rPr>
                <w:sz w:val="20"/>
                <w:szCs w:val="20"/>
              </w:rPr>
              <w:t xml:space="preserve">8.0709</w:t>
            </w:r>
          </w:p>
        </w:tc>
        <w:tc>
          <w:tcPr>
            <w:tcW w:w="0" w:type="auto"/>
          </w:tcPr>
          <w:p>
            <w:pPr>
              <w:spacing w:line="240" w:lineRule="auto" w:before="0" w:after="0"/>
              <w:pStyle w:val="Compact"/>
            </w:pPr>
            <w:r>
              <w:rPr>
                <w:sz w:val="20"/>
                <w:szCs w:val="20"/>
              </w:rPr>
              <w:t xml:space="preserve">NASA ODPO Orbital Debris Quarterly News 12(2)-12(4) (2008); Cosmos 2421 sequential breakups, cumulative cataloged fragments</w:t>
            </w:r>
          </w:p>
        </w:tc>
      </w:tr>
      <w:tr>
        <w:tc>
          <w:tcPr>
            <w:tcW w:w="0" w:type="auto"/>
          </w:tcPr>
          <w:p>
            <w:pPr>
              <w:spacing w:line="240" w:lineRule="auto" w:before="0" w:after="0"/>
              <w:pStyle w:val="Compact"/>
            </w:pPr>
            <w:r>
              <w:rPr>
                <w:sz w:val="20"/>
                <w:szCs w:val="20"/>
              </w:rPr>
              <w:t xml:space="preserve">NOAA-16</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1457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855</w:t>
            </w:r>
          </w:p>
        </w:tc>
        <w:tc>
          <w:tcPr>
            <w:tcW w:w="0" w:type="auto"/>
          </w:tcPr>
          <w:p>
            <w:pPr>
              <w:spacing w:line="240" w:lineRule="auto" w:before="0" w:after="0"/>
              <w:pStyle w:val="Compact"/>
            </w:pPr>
            <w:r>
              <w:rPr>
                <w:sz w:val="20"/>
                <w:szCs w:val="20"/>
              </w:rPr>
              <w:t xml:space="preserve">458</w:t>
            </w:r>
          </w:p>
        </w:tc>
        <w:tc>
          <w:tcPr>
            <w:tcW w:w="0" w:type="auto"/>
          </w:tcPr>
          <w:p>
            <w:pPr>
              <w:spacing w:line="240" w:lineRule="auto" w:before="0" w:after="0"/>
              <w:pStyle w:val="Compact"/>
            </w:pPr>
            <w:r>
              <w:rPr>
                <w:sz w:val="20"/>
                <w:szCs w:val="20"/>
              </w:rPr>
              <w:t xml:space="preserve">6.1269</w:t>
            </w:r>
          </w:p>
        </w:tc>
        <w:tc>
          <w:tcPr>
            <w:tcW w:w="0" w:type="auto"/>
          </w:tcPr>
          <w:p>
            <w:pPr>
              <w:spacing w:line="240" w:lineRule="auto" w:before="0" w:after="0"/>
              <w:pStyle w:val="Compact"/>
            </w:pPr>
            <w:r>
              <w:rPr>
                <w:sz w:val="20"/>
                <w:szCs w:val="20"/>
              </w:rPr>
              <w:t xml:space="preserve">7.2841</w:t>
            </w:r>
          </w:p>
        </w:tc>
        <w:tc>
          <w:tcPr>
            <w:tcW w:w="0" w:type="auto"/>
          </w:tcPr>
          <w:p>
            <w:pPr>
              <w:spacing w:line="240" w:lineRule="auto" w:before="0" w:after="0"/>
              <w:pStyle w:val="Compact"/>
            </w:pPr>
            <w:r>
              <w:rPr>
                <w:sz w:val="20"/>
                <w:szCs w:val="20"/>
              </w:rPr>
              <w:t xml:space="preserve">NASA ODPO Orbital Debris Quarterly News 20(1-2) (2016); NOAA-16 (POES) breakup, cataloged fragments</w:t>
            </w:r>
          </w:p>
        </w:tc>
      </w:tr>
      <w:tr>
        <w:tc>
          <w:tcPr>
            <w:tcW w:w="0" w:type="auto"/>
          </w:tcPr>
          <w:p>
            <w:pPr>
              <w:spacing w:line="240" w:lineRule="auto" w:before="0" w:after="0"/>
              <w:pStyle w:val="Compact"/>
            </w:pPr>
            <w:r>
              <w:rPr>
                <w:sz w:val="20"/>
                <w:szCs w:val="20"/>
              </w:rPr>
              <w:t xml:space="preserve">DMSP 5D-2 F13</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830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840</w:t>
            </w:r>
          </w:p>
        </w:tc>
        <w:tc>
          <w:tcPr>
            <w:tcW w:w="0" w:type="auto"/>
          </w:tcPr>
          <w:p>
            <w:pPr>
              <w:spacing w:line="240" w:lineRule="auto" w:before="0" w:after="0"/>
              <w:pStyle w:val="Compact"/>
            </w:pPr>
            <w:r>
              <w:rPr>
                <w:sz w:val="20"/>
                <w:szCs w:val="20"/>
              </w:rPr>
              <w:t xml:space="preserve">194</w:t>
            </w:r>
          </w:p>
        </w:tc>
        <w:tc>
          <w:tcPr>
            <w:tcW w:w="0" w:type="auto"/>
          </w:tcPr>
          <w:p>
            <w:pPr>
              <w:spacing w:line="240" w:lineRule="auto" w:before="0" w:after="0"/>
              <w:pStyle w:val="Compact"/>
            </w:pPr>
            <w:r>
              <w:rPr>
                <w:sz w:val="20"/>
                <w:szCs w:val="20"/>
              </w:rPr>
              <w:t xml:space="preserve">5.2679</w:t>
            </w:r>
          </w:p>
        </w:tc>
        <w:tc>
          <w:tcPr>
            <w:tcW w:w="0" w:type="auto"/>
          </w:tcPr>
          <w:p>
            <w:pPr>
              <w:spacing w:line="240" w:lineRule="auto" w:before="0" w:after="0"/>
              <w:pStyle w:val="Compact"/>
            </w:pPr>
            <w:r>
              <w:rPr>
                <w:sz w:val="20"/>
                <w:szCs w:val="20"/>
              </w:rPr>
              <w:t xml:space="preserve">6.7214</w:t>
            </w:r>
          </w:p>
        </w:tc>
        <w:tc>
          <w:tcPr>
            <w:tcW w:w="0" w:type="auto"/>
          </w:tcPr>
          <w:p>
            <w:pPr>
              <w:spacing w:line="240" w:lineRule="auto" w:before="0" w:after="0"/>
              <w:pStyle w:val="Compact"/>
            </w:pPr>
            <w:r>
              <w:rPr>
                <w:sz w:val="20"/>
                <w:szCs w:val="20"/>
              </w:rPr>
              <w:t xml:space="preserve">NASA ODPO Orbital Debris Quarterly News 19(2) (2015); DMSP Flight 13 battery explosion, cataloged fragments</w:t>
            </w:r>
          </w:p>
        </w:tc>
      </w:tr>
      <w:tr>
        <w:tc>
          <w:tcPr>
            <w:tcW w:w="0" w:type="auto"/>
          </w:tcPr>
          <w:p>
            <w:pPr>
              <w:spacing w:line="240" w:lineRule="auto" w:before="0" w:after="0"/>
              <w:pStyle w:val="Compact"/>
            </w:pPr>
            <w:r>
              <w:rPr>
                <w:sz w:val="20"/>
                <w:szCs w:val="20"/>
              </w:rPr>
              <w:t xml:space="preserve">Briz-M (2012 Proton)</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6500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265</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4.4659</w:t>
            </w:r>
          </w:p>
        </w:tc>
        <w:tc>
          <w:tcPr>
            <w:tcW w:w="0" w:type="auto"/>
          </w:tcPr>
          <w:p>
            <w:pPr>
              <w:spacing w:line="240" w:lineRule="auto" w:before="0" w:after="0"/>
              <w:pStyle w:val="Compact"/>
            </w:pPr>
            <w:r>
              <w:rPr>
                <w:sz w:val="20"/>
                <w:szCs w:val="20"/>
              </w:rPr>
              <w:t xml:space="preserve">8.7796</w:t>
            </w:r>
          </w:p>
        </w:tc>
        <w:tc>
          <w:tcPr>
            <w:tcW w:w="0" w:type="auto"/>
          </w:tcPr>
          <w:p>
            <w:pPr>
              <w:spacing w:line="240" w:lineRule="auto" w:before="0" w:after="0"/>
              <w:pStyle w:val="Compact"/>
            </w:pPr>
            <w:r>
              <w:rPr>
                <w:sz w:val="20"/>
                <w:szCs w:val="20"/>
              </w:rPr>
              <w:t xml:space="preserve">NASA ODPO Orbital Debris Quarterly News 17(1) (2013); Briz-M upper-stage breakup, cataloged fragments</w:t>
            </w:r>
          </w:p>
        </w:tc>
      </w:tr>
      <w:tr>
        <w:tc>
          <w:tcPr>
            <w:tcW w:w="0" w:type="auto"/>
          </w:tcPr>
          <w:p>
            <w:pPr>
              <w:spacing w:line="240" w:lineRule="auto" w:before="0" w:after="0"/>
              <w:pStyle w:val="Compact"/>
            </w:pPr>
            <w:r>
              <w:rPr>
                <w:sz w:val="20"/>
                <w:szCs w:val="20"/>
              </w:rPr>
              <w:t xml:space="preserve">Atlas Centaur (1965-082DM)</w:t>
            </w:r>
          </w:p>
        </w:tc>
        <w:tc>
          <w:tcPr>
            <w:tcW w:w="0" w:type="auto"/>
          </w:tcPr>
          <w:p>
            <w:pPr>
              <w:spacing w:line="240" w:lineRule="auto" w:before="0" w:after="0"/>
              <w:pStyle w:val="Compact"/>
            </w:pPr>
            <w:r>
              <w:rPr>
                <w:sz w:val="20"/>
                <w:szCs w:val="20"/>
              </w:rPr>
              <w:t xml:space="preserve">1965</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1750</w:t>
            </w:r>
          </w:p>
        </w:tc>
        <w:tc>
          <w:tcPr>
            <w:tcW w:w="0" w:type="auto"/>
          </w:tcPr>
          <w:p>
            <w:pPr>
              <w:spacing w:line="240" w:lineRule="auto" w:before="0" w:after="0"/>
              <w:pStyle w:val="Compact"/>
            </w:pPr>
            <w:r>
              <w:rPr>
                <w:sz w:val="20"/>
                <w:szCs w:val="20"/>
              </w:rPr>
              <w:t xml:space="preserve">272</w:t>
            </w:r>
          </w:p>
        </w:tc>
        <w:tc>
          <w:tcPr>
            <w:tcW w:w="0" w:type="auto"/>
          </w:tcPr>
          <w:p>
            <w:pPr>
              <w:spacing w:line="240" w:lineRule="auto" w:before="0" w:after="0"/>
              <w:pStyle w:val="Compact"/>
            </w:pPr>
            <w:r>
              <w:rPr>
                <w:sz w:val="20"/>
                <w:szCs w:val="20"/>
              </w:rPr>
              <w:t xml:space="preserve">5.6058</w:t>
            </w:r>
          </w:p>
        </w:tc>
        <w:tc>
          <w:tcPr>
            <w:tcW w:w="0" w:type="auto"/>
          </w:tcPr>
          <w:p>
            <w:pPr>
              <w:spacing w:line="240" w:lineRule="auto" w:before="0" w:after="0"/>
              <w:pStyle w:val="Compact"/>
            </w:pPr>
            <w:r>
              <w:rPr>
                <w:sz w:val="20"/>
                <w:szCs w:val="20"/>
              </w:rPr>
              <w:t xml:space="preserve">7.6009</w:t>
            </w:r>
          </w:p>
        </w:tc>
        <w:tc>
          <w:tcPr>
            <w:tcW w:w="0" w:type="auto"/>
          </w:tcPr>
          <w:p>
            <w:pPr>
              <w:spacing w:line="240" w:lineRule="auto" w:before="0" w:after="0"/>
              <w:pStyle w:val="Compact"/>
            </w:pPr>
            <w:r>
              <w:rPr>
                <w:sz w:val="20"/>
                <w:szCs w:val="20"/>
              </w:rPr>
              <w:t xml:space="preserve">NASA ODPO, History of On-Orbit Satellite Fragmentations, 15th ed., NASA/TM-2018-220037 (2018); Centaur stage breakup</w:t>
            </w:r>
          </w:p>
        </w:tc>
      </w:tr>
      <w:tr>
        <w:tc>
          <w:tcPr>
            <w:tcW w:w="0" w:type="auto"/>
          </w:tcPr>
          <w:p>
            <w:pPr>
              <w:spacing w:line="240" w:lineRule="auto" w:before="0" w:after="0"/>
              <w:pStyle w:val="Compact"/>
            </w:pPr>
            <w:r>
              <w:rPr>
                <w:sz w:val="20"/>
                <w:szCs w:val="20"/>
              </w:rPr>
              <w:t xml:space="preserve">Titan 3C Transtage (1968-081E)</w:t>
            </w:r>
          </w:p>
        </w:tc>
        <w:tc>
          <w:tcPr>
            <w:tcW w:w="0" w:type="auto"/>
          </w:tcPr>
          <w:p>
            <w:pPr>
              <w:spacing w:line="240" w:lineRule="auto" w:before="0" w:after="0"/>
              <w:pStyle w:val="Compact"/>
            </w:pPr>
            <w:r>
              <w:rPr>
                <w:sz w:val="20"/>
                <w:szCs w:val="20"/>
              </w:rPr>
              <w:t xml:space="preserve">1992</w:t>
            </w:r>
          </w:p>
        </w:tc>
        <w:tc>
          <w:tcPr>
            <w:tcW w:w="0" w:type="auto"/>
          </w:tcPr>
          <w:p>
            <w:pPr>
              <w:spacing w:line="240" w:lineRule="auto" w:before="0" w:after="0"/>
              <w:pStyle w:val="Compact"/>
            </w:pPr>
            <w:r>
              <w:rPr>
                <w:sz w:val="20"/>
                <w:szCs w:val="20"/>
              </w:rPr>
              <w:t xml:space="preserve">1900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740</w:t>
            </w:r>
          </w:p>
        </w:tc>
        <w:tc>
          <w:tcPr>
            <w:tcW w:w="0" w:type="auto"/>
          </w:tcPr>
          <w:p>
            <w:pPr>
              <w:spacing w:line="240" w:lineRule="auto" w:before="0" w:after="0"/>
              <w:pStyle w:val="Compact"/>
            </w:pPr>
            <w:r>
              <w:rPr>
                <w:sz w:val="20"/>
                <w:szCs w:val="20"/>
              </w:rPr>
              <w:t xml:space="preserve">425</w:t>
            </w:r>
          </w:p>
        </w:tc>
        <w:tc>
          <w:tcPr>
            <w:tcW w:w="0" w:type="auto"/>
          </w:tcPr>
          <w:p>
            <w:pPr>
              <w:spacing w:line="240" w:lineRule="auto" w:before="0" w:after="0"/>
              <w:pStyle w:val="Compact"/>
            </w:pPr>
            <w:r>
              <w:rPr>
                <w:sz w:val="20"/>
                <w:szCs w:val="20"/>
              </w:rPr>
              <w:t xml:space="preserve">6.0521</w:t>
            </w:r>
          </w:p>
        </w:tc>
        <w:tc>
          <w:tcPr>
            <w:tcW w:w="0" w:type="auto"/>
          </w:tcPr>
          <w:p>
            <w:pPr>
              <w:spacing w:line="240" w:lineRule="auto" w:before="0" w:after="0"/>
              <w:pStyle w:val="Compact"/>
            </w:pPr>
            <w:r>
              <w:rPr>
                <w:sz w:val="20"/>
                <w:szCs w:val="20"/>
              </w:rPr>
              <w:t xml:space="preserve">7.5496</w:t>
            </w:r>
          </w:p>
        </w:tc>
        <w:tc>
          <w:tcPr>
            <w:tcW w:w="0" w:type="auto"/>
          </w:tcPr>
          <w:p>
            <w:pPr>
              <w:spacing w:line="240" w:lineRule="auto" w:before="0" w:after="0"/>
              <w:pStyle w:val="Compact"/>
            </w:pPr>
            <w:r>
              <w:rPr>
                <w:sz w:val="20"/>
                <w:szCs w:val="20"/>
              </w:rPr>
              <w:t xml:space="preserve">NASA ODPO, History of On-Orbit Satellite Fragmentations, 15th ed., NASA/TM-2018-220037 (2018); Titan Transtage breakup</w:t>
            </w:r>
          </w:p>
        </w:tc>
      </w:tr>
      <w:tr>
        <w:tc>
          <w:tcPr>
            <w:tcW w:w="0" w:type="auto"/>
          </w:tcPr>
          <w:p>
            <w:pPr>
              <w:spacing w:line="240" w:lineRule="auto" w:before="0" w:after="0"/>
              <w:pStyle w:val="Compact"/>
            </w:pPr>
            <w:r>
              <w:rPr>
                <w:sz w:val="20"/>
                <w:szCs w:val="20"/>
              </w:rPr>
              <w:t xml:space="preserve">SL-12 (Proton) Block DM</w:t>
            </w:r>
          </w:p>
        </w:tc>
        <w:tc>
          <w:tcPr>
            <w:tcW w:w="0" w:type="auto"/>
          </w:tcPr>
          <w:p>
            <w:pPr>
              <w:spacing w:line="240" w:lineRule="auto" w:before="0" w:after="0"/>
              <w:pStyle w:val="Compact"/>
            </w:pPr>
            <w:r>
              <w:rPr>
                <w:sz w:val="20"/>
                <w:szCs w:val="20"/>
              </w:rPr>
              <w:t xml:space="preserve">1990</w:t>
            </w:r>
          </w:p>
        </w:tc>
        <w:tc>
          <w:tcPr>
            <w:tcW w:w="0" w:type="auto"/>
          </w:tcPr>
          <w:p>
            <w:pPr>
              <w:spacing w:line="240" w:lineRule="auto" w:before="0" w:after="0"/>
              <w:pStyle w:val="Compact"/>
            </w:pPr>
            <w:r>
              <w:rPr>
                <w:sz w:val="20"/>
                <w:szCs w:val="20"/>
              </w:rPr>
              <w:t xml:space="preserve">2400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135</w:t>
            </w:r>
          </w:p>
        </w:tc>
        <w:tc>
          <w:tcPr>
            <w:tcW w:w="0" w:type="auto"/>
          </w:tcPr>
          <w:p>
            <w:pPr>
              <w:spacing w:line="240" w:lineRule="auto" w:before="0" w:after="0"/>
              <w:pStyle w:val="Compact"/>
            </w:pPr>
            <w:r>
              <w:rPr>
                <w:sz w:val="20"/>
                <w:szCs w:val="20"/>
              </w:rPr>
              <w:t xml:space="preserve">4.9053</w:t>
            </w:r>
          </w:p>
        </w:tc>
        <w:tc>
          <w:tcPr>
            <w:tcW w:w="0" w:type="auto"/>
          </w:tcPr>
          <w:p>
            <w:pPr>
              <w:spacing w:line="240" w:lineRule="auto" w:before="0" w:after="0"/>
              <w:pStyle w:val="Compact"/>
            </w:pPr>
            <w:r>
              <w:rPr>
                <w:sz w:val="20"/>
                <w:szCs w:val="20"/>
              </w:rPr>
              <w:t xml:space="preserve">7.7832</w:t>
            </w:r>
          </w:p>
        </w:tc>
        <w:tc>
          <w:tcPr>
            <w:tcW w:w="0" w:type="auto"/>
          </w:tcPr>
          <w:p>
            <w:pPr>
              <w:spacing w:line="240" w:lineRule="auto" w:before="0" w:after="0"/>
              <w:pStyle w:val="Compact"/>
            </w:pPr>
            <w:r>
              <w:rPr>
                <w:sz w:val="20"/>
                <w:szCs w:val="20"/>
              </w:rPr>
              <w:t xml:space="preserve">NASA ODPO, History of On-Orbit Satellite Fragmentations, 15th ed., NASA/TM-2018-220037 (2018); Block DM auxiliary motor breakup</w:t>
            </w:r>
          </w:p>
        </w:tc>
      </w:tr>
      <w:tr>
        <w:tc>
          <w:tcPr>
            <w:tcW w:w="0" w:type="auto"/>
          </w:tcPr>
          <w:p>
            <w:pPr>
              <w:spacing w:line="240" w:lineRule="auto" w:before="0" w:after="0"/>
              <w:pStyle w:val="Compact"/>
            </w:pPr>
            <w:r>
              <w:rPr>
                <w:sz w:val="20"/>
                <w:szCs w:val="20"/>
              </w:rPr>
              <w:t xml:space="preserve">Cosmos 1275</w:t>
            </w:r>
          </w:p>
        </w:tc>
        <w:tc>
          <w:tcPr>
            <w:tcW w:w="0" w:type="auto"/>
          </w:tcPr>
          <w:p>
            <w:pPr>
              <w:spacing w:line="240" w:lineRule="auto" w:before="0" w:after="0"/>
              <w:pStyle w:val="Compact"/>
            </w:pPr>
            <w:r>
              <w:rPr>
                <w:sz w:val="20"/>
                <w:szCs w:val="20"/>
              </w:rPr>
              <w:t xml:space="preserve">1981</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980</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5.7038</w:t>
            </w:r>
          </w:p>
        </w:tc>
        <w:tc>
          <w:tcPr>
            <w:tcW w:w="0" w:type="auto"/>
          </w:tcPr>
          <w:p>
            <w:pPr>
              <w:spacing w:line="240" w:lineRule="auto" w:before="0" w:after="0"/>
              <w:pStyle w:val="Compact"/>
            </w:pPr>
            <w:r>
              <w:rPr>
                <w:sz w:val="20"/>
                <w:szCs w:val="20"/>
              </w:rPr>
              <w:t xml:space="preserve">6.6846</w:t>
            </w:r>
          </w:p>
        </w:tc>
        <w:tc>
          <w:tcPr>
            <w:tcW w:w="0" w:type="auto"/>
          </w:tcPr>
          <w:p>
            <w:pPr>
              <w:spacing w:line="240" w:lineRule="auto" w:before="0" w:after="0"/>
              <w:pStyle w:val="Compact"/>
            </w:pPr>
            <w:r>
              <w:rPr>
                <w:sz w:val="20"/>
                <w:szCs w:val="20"/>
              </w:rPr>
              <w:t xml:space="preserve">NASA ODPO, History of On-Orbit Satellite Fragmentations, 15th ed., NASA/TM-2018-220037 (2018); Cosmos 1275 energetic breakup</w:t>
            </w:r>
          </w:p>
        </w:tc>
      </w:tr>
      <w:tr>
        <w:tc>
          <w:tcPr>
            <w:tcW w:w="0" w:type="auto"/>
          </w:tcPr>
          <w:p>
            <w:pPr>
              <w:spacing w:line="240" w:lineRule="auto" w:before="0" w:after="0"/>
              <w:pStyle w:val="Compact"/>
            </w:pPr>
            <w:r>
              <w:rPr>
                <w:sz w:val="20"/>
                <w:szCs w:val="20"/>
              </w:rPr>
              <w:t xml:space="preserve">NOAA-17</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1457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810</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3.4012</w:t>
            </w:r>
          </w:p>
        </w:tc>
        <w:tc>
          <w:tcPr>
            <w:tcW w:w="0" w:type="auto"/>
          </w:tcPr>
          <w:p>
            <w:pPr>
              <w:spacing w:line="240" w:lineRule="auto" w:before="0" w:after="0"/>
              <w:pStyle w:val="Compact"/>
            </w:pPr>
            <w:r>
              <w:rPr>
                <w:sz w:val="20"/>
                <w:szCs w:val="20"/>
              </w:rPr>
              <w:t xml:space="preserve">7.2841</w:t>
            </w:r>
          </w:p>
        </w:tc>
        <w:tc>
          <w:tcPr>
            <w:tcW w:w="0" w:type="auto"/>
          </w:tcPr>
          <w:p>
            <w:pPr>
              <w:spacing w:line="240" w:lineRule="auto" w:before="0" w:after="0"/>
              <w:pStyle w:val="Compact"/>
            </w:pPr>
            <w:r>
              <w:rPr>
                <w:sz w:val="20"/>
                <w:szCs w:val="20"/>
              </w:rPr>
              <w:t xml:space="preserve">NASA ODPO Orbital Debris Quarterly News 26(2) (2022); NOAA-17 (POES) breakup, cataloged fragments</w:t>
            </w:r>
          </w:p>
        </w:tc>
      </w:tr>
      <w:tr>
        <w:tc>
          <w:tcPr>
            <w:tcW w:w="0" w:type="auto"/>
          </w:tcPr>
          <w:p>
            <w:pPr>
              <w:spacing w:line="240" w:lineRule="auto" w:before="0" w:after="0"/>
              <w:pStyle w:val="Compact"/>
            </w:pPr>
            <w:r>
              <w:rPr>
                <w:sz w:val="20"/>
                <w:szCs w:val="20"/>
              </w:rPr>
              <w:t xml:space="preserve">H-2A rocket body (2018)</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3000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600</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4.3175</w:t>
            </w:r>
          </w:p>
        </w:tc>
        <w:tc>
          <w:tcPr>
            <w:tcW w:w="0" w:type="auto"/>
          </w:tcPr>
          <w:p>
            <w:pPr>
              <w:spacing w:line="240" w:lineRule="auto" w:before="0" w:after="0"/>
              <w:pStyle w:val="Compact"/>
            </w:pPr>
            <w:r>
              <w:rPr>
                <w:sz w:val="20"/>
                <w:szCs w:val="20"/>
              </w:rPr>
              <w:t xml:space="preserve">8.0064</w:t>
            </w:r>
          </w:p>
        </w:tc>
        <w:tc>
          <w:tcPr>
            <w:tcW w:w="0" w:type="auto"/>
          </w:tcPr>
          <w:p>
            <w:pPr>
              <w:spacing w:line="240" w:lineRule="auto" w:before="0" w:after="0"/>
              <w:pStyle w:val="Compact"/>
            </w:pPr>
            <w:r>
              <w:rPr>
                <w:sz w:val="20"/>
                <w:szCs w:val="20"/>
              </w:rPr>
              <w:t xml:space="preserve">NASA ODPO Orbital Debris Quarterly News 23(3) (2019); H-2A upper-stage breakup, cataloged fragments [illustrative]</w:t>
            </w:r>
          </w:p>
        </w:tc>
      </w:tr>
      <w:tr>
        <w:tc>
          <w:tcPr>
            <w:tcW w:w="0" w:type="auto"/>
          </w:tcPr>
          <w:p>
            <w:pPr>
              <w:spacing w:line="240" w:lineRule="auto" w:before="0" w:after="0"/>
              <w:pStyle w:val="Compact"/>
            </w:pPr>
            <w:r>
              <w:rPr>
                <w:sz w:val="20"/>
                <w:szCs w:val="20"/>
              </w:rPr>
              <w:t xml:space="preserve">Long March CZ-6A stage</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810</w:t>
            </w:r>
          </w:p>
        </w:tc>
        <w:tc>
          <w:tcPr>
            <w:tcW w:w="0" w:type="auto"/>
          </w:tcPr>
          <w:p>
            <w:pPr>
              <w:spacing w:line="240" w:lineRule="auto" w:before="0" w:after="0"/>
              <w:pStyle w:val="Compact"/>
            </w:pPr>
            <w:r>
              <w:rPr>
                <w:sz w:val="20"/>
                <w:szCs w:val="20"/>
              </w:rPr>
              <w:t xml:space="preserve">533</w:t>
            </w:r>
          </w:p>
        </w:tc>
        <w:tc>
          <w:tcPr>
            <w:tcW w:w="0" w:type="auto"/>
          </w:tcPr>
          <w:p>
            <w:pPr>
              <w:spacing w:line="240" w:lineRule="auto" w:before="0" w:after="0"/>
              <w:pStyle w:val="Compact"/>
            </w:pPr>
            <w:r>
              <w:rPr>
                <w:sz w:val="20"/>
                <w:szCs w:val="20"/>
              </w:rPr>
              <w:t xml:space="preserve">6.2785</w:t>
            </w:r>
          </w:p>
        </w:tc>
        <w:tc>
          <w:tcPr>
            <w:tcW w:w="0" w:type="auto"/>
          </w:tcPr>
          <w:p>
            <w:pPr>
              <w:spacing w:line="240" w:lineRule="auto" w:before="0" w:after="0"/>
              <w:pStyle w:val="Compact"/>
            </w:pPr>
            <w:r>
              <w:rPr>
                <w:sz w:val="20"/>
                <w:szCs w:val="20"/>
              </w:rPr>
              <w:t xml:space="preserve">7.6009</w:t>
            </w:r>
          </w:p>
        </w:tc>
        <w:tc>
          <w:tcPr>
            <w:tcW w:w="0" w:type="auto"/>
          </w:tcPr>
          <w:p>
            <w:pPr>
              <w:spacing w:line="240" w:lineRule="auto" w:before="0" w:after="0"/>
              <w:pStyle w:val="Compact"/>
            </w:pPr>
            <w:r>
              <w:rPr>
                <w:sz w:val="20"/>
                <w:szCs w:val="20"/>
              </w:rPr>
              <w:t xml:space="preserve">NASA ODPO Orbital Debris Quarterly News 27(1) (2023); CZ-6A upper-stage breakup, cataloged fragments</w:t>
            </w:r>
          </w:p>
        </w:tc>
      </w:tr>
      <w:tr>
        <w:tc>
          <w:tcPr>
            <w:tcW w:w="0" w:type="auto"/>
          </w:tcPr>
          <w:p>
            <w:pPr>
              <w:spacing w:line="240" w:lineRule="auto" w:before="0" w:after="0"/>
              <w:pStyle w:val="Compact"/>
            </w:pPr>
            <w:r>
              <w:rPr>
                <w:sz w:val="20"/>
                <w:szCs w:val="20"/>
              </w:rPr>
              <w:t xml:space="preserve">Cosmos 1666</w:t>
            </w:r>
          </w:p>
        </w:tc>
        <w:tc>
          <w:tcPr>
            <w:tcW w:w="0" w:type="auto"/>
          </w:tcPr>
          <w:p>
            <w:pPr>
              <w:spacing w:line="240" w:lineRule="auto" w:before="0" w:after="0"/>
              <w:pStyle w:val="Compact"/>
            </w:pPr>
            <w:r>
              <w:rPr>
                <w:sz w:val="20"/>
                <w:szCs w:val="20"/>
              </w:rPr>
              <w:t xml:space="preserve">1985</w:t>
            </w:r>
          </w:p>
        </w:tc>
        <w:tc>
          <w:tcPr>
            <w:tcW w:w="0" w:type="auto"/>
          </w:tcPr>
          <w:p>
            <w:pPr>
              <w:spacing w:line="240" w:lineRule="auto" w:before="0" w:after="0"/>
              <w:pStyle w:val="Compact"/>
            </w:pPr>
            <w:r>
              <w:rPr>
                <w:sz w:val="20"/>
                <w:szCs w:val="20"/>
              </w:rPr>
              <w:t xml:space="preserve">750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650</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3.6889</w:t>
            </w:r>
          </w:p>
        </w:tc>
        <w:tc>
          <w:tcPr>
            <w:tcW w:w="0" w:type="auto"/>
          </w:tcPr>
          <w:p>
            <w:pPr>
              <w:spacing w:line="240" w:lineRule="auto" w:before="0" w:after="0"/>
              <w:pStyle w:val="Compact"/>
            </w:pPr>
            <w:r>
              <w:rPr>
                <w:sz w:val="20"/>
                <w:szCs w:val="20"/>
              </w:rPr>
              <w:t xml:space="preserve">6.6201</w:t>
            </w:r>
          </w:p>
        </w:tc>
        <w:tc>
          <w:tcPr>
            <w:tcW w:w="0" w:type="auto"/>
          </w:tcPr>
          <w:p>
            <w:pPr>
              <w:spacing w:line="240" w:lineRule="auto" w:before="0" w:after="0"/>
              <w:pStyle w:val="Compact"/>
            </w:pPr>
            <w:r>
              <w:rPr>
                <w:sz w:val="20"/>
                <w:szCs w:val="20"/>
              </w:rPr>
              <w:t xml:space="preserve">NASA ODPO, History of On-Orbit Satellite Fragmentations, 15th ed., NASA/TM-2018-220037 (2018); low-yield breakup [illustrative]</w:t>
            </w:r>
          </w:p>
        </w:tc>
      </w:tr>
      <w:tr>
        <w:tc>
          <w:tcPr>
            <w:tcW w:w="0" w:type="auto"/>
          </w:tcPr>
          <w:p>
            <w:pPr>
              <w:spacing w:line="240" w:lineRule="auto" w:before="0" w:after="0"/>
              <w:pStyle w:val="Compact"/>
            </w:pPr>
            <w:r>
              <w:rPr>
                <w:sz w:val="20"/>
                <w:szCs w:val="20"/>
              </w:rPr>
              <w:t xml:space="preserve">Ariane 5 EPS (2002)</w:t>
            </w:r>
          </w:p>
        </w:tc>
        <w:tc>
          <w:tcPr>
            <w:tcW w:w="0" w:type="auto"/>
          </w:tcPr>
          <w:p>
            <w:pPr>
              <w:spacing w:line="240" w:lineRule="auto" w:before="0" w:after="0"/>
              <w:pStyle w:val="Compact"/>
            </w:pPr>
            <w:r>
              <w:rPr>
                <w:sz w:val="20"/>
                <w:szCs w:val="20"/>
              </w:rPr>
              <w:t xml:space="preserve">2002</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635</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3.7377</w:t>
            </w:r>
          </w:p>
        </w:tc>
        <w:tc>
          <w:tcPr>
            <w:tcW w:w="0" w:type="auto"/>
          </w:tcPr>
          <w:p>
            <w:pPr>
              <w:spacing w:line="240" w:lineRule="auto" w:before="0" w:after="0"/>
              <w:pStyle w:val="Compact"/>
            </w:pPr>
            <w:r>
              <w:rPr>
                <w:sz w:val="20"/>
                <w:szCs w:val="20"/>
              </w:rPr>
              <w:t xml:space="preserve">7.0901</w:t>
            </w:r>
          </w:p>
        </w:tc>
        <w:tc>
          <w:tcPr>
            <w:tcW w:w="0" w:type="auto"/>
          </w:tcPr>
          <w:p>
            <w:pPr>
              <w:spacing w:line="240" w:lineRule="auto" w:before="0" w:after="0"/>
              <w:pStyle w:val="Compact"/>
            </w:pPr>
            <w:r>
              <w:rPr>
                <w:sz w:val="20"/>
                <w:szCs w:val="20"/>
              </w:rPr>
              <w:t xml:space="preserve">NASA ODPO, History of On-Orbit Satellite Fragmentations, 15th ed., NASA/TM-2018-220037 (2018); Ariane 5 storable-propellant stage breakup [illustrative]</w:t>
            </w:r>
          </w:p>
        </w:tc>
      </w:tr>
    </w:tbl>
    <w:bookmarkEnd w:id="187"/>
    <w:bookmarkStart w:id="188" w:name="variable-construction-3"/>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log_fragments</w:t>
            </w:r>
          </w:p>
        </w:tc>
        <w:tc>
          <w:tcPr>
            <w:tcW w:w="0" w:type="auto"/>
          </w:tcPr>
          <w:p>
            <w:pPr>
              <w:spacing w:line="240" w:lineRule="auto" w:before="0" w:after="0"/>
              <w:pStyle w:val="Compact"/>
            </w:pPr>
            <w:r>
              <w:rPr>
                <w:sz w:val="20"/>
                <w:szCs w:val="20"/>
              </w:rPr>
              <w:t xml:space="preserve">Natural log of the number of cataloged (trackable) fragments attributed to the breakup event</w:t>
            </w:r>
          </w:p>
        </w:tc>
        <w:tc>
          <w:tcPr>
            <w:tcW w:w="0" w:type="auto"/>
          </w:tcPr>
          <w:p>
            <w:pPr>
              <w:spacing w:line="240" w:lineRule="auto" w:before="0" w:after="0"/>
              <w:pStyle w:val="Compact"/>
            </w:pPr>
            <w:r>
              <w:rPr>
                <w:sz w:val="20"/>
                <w:szCs w:val="20"/>
              </w:rPr>
              <w:t xml:space="preserve">ln of cataloged_fragments from NASA ODPO fragmentation history and Orbital Debris Quarterly News per-event records</w:t>
            </w:r>
          </w:p>
        </w:tc>
      </w:tr>
      <w:tr>
        <w:tc>
          <w:tcPr>
            <w:tcW w:w="0" w:type="auto"/>
          </w:tcPr>
          <w:p>
            <w:pPr>
              <w:spacing w:line="240" w:lineRule="auto" w:before="0" w:after="0"/>
              <w:pStyle w:val="Compact"/>
            </w:pPr>
            <w:r>
              <w:rPr>
                <w:sz w:val="20"/>
                <w:szCs w:val="20"/>
              </w:rPr>
              <w:t xml:space="preserve">log_parent_mass</w:t>
            </w:r>
          </w:p>
        </w:tc>
        <w:tc>
          <w:tcPr>
            <w:tcW w:w="0" w:type="auto"/>
          </w:tcPr>
          <w:p>
            <w:pPr>
              <w:spacing w:line="240" w:lineRule="auto" w:before="0" w:after="0"/>
              <w:pStyle w:val="Compact"/>
            </w:pPr>
            <w:r>
              <w:rPr>
                <w:sz w:val="20"/>
                <w:szCs w:val="20"/>
              </w:rPr>
              <w:t xml:space="preserve">Natural log of the parent object dry mass in kilograms</w:t>
            </w:r>
          </w:p>
        </w:tc>
        <w:tc>
          <w:tcPr>
            <w:tcW w:w="0" w:type="auto"/>
          </w:tcPr>
          <w:p>
            <w:pPr>
              <w:spacing w:line="240" w:lineRule="auto" w:before="0" w:after="0"/>
              <w:pStyle w:val="Compact"/>
            </w:pPr>
            <w:r>
              <w:rPr>
                <w:sz w:val="20"/>
                <w:szCs w:val="20"/>
              </w:rPr>
              <w:t xml:space="preserve">ln of parent_mass_kg from spacecraft and launch-vehicle stage mass records cited per row</w:t>
            </w:r>
          </w:p>
        </w:tc>
      </w:tr>
      <w:tr>
        <w:tc>
          <w:tcPr>
            <w:tcW w:w="0" w:type="auto"/>
          </w:tcPr>
          <w:p>
            <w:pPr>
              <w:spacing w:line="240" w:lineRule="auto" w:before="0" w:after="0"/>
              <w:pStyle w:val="Compact"/>
            </w:pPr>
            <w:r>
              <w:rPr>
                <w:sz w:val="20"/>
                <w:szCs w:val="20"/>
              </w:rPr>
              <w:t xml:space="preserve">collision</w:t>
            </w:r>
          </w:p>
        </w:tc>
        <w:tc>
          <w:tcPr>
            <w:tcW w:w="0" w:type="auto"/>
          </w:tcPr>
          <w:p>
            <w:pPr>
              <w:spacing w:line="240" w:lineRule="auto" w:before="0" w:after="0"/>
              <w:pStyle w:val="Compact"/>
            </w:pPr>
            <w:r>
              <w:rPr>
                <w:sz w:val="20"/>
                <w:szCs w:val="20"/>
              </w:rPr>
              <w:t xml:space="preserve">Indicator equal to 1 for hypervelocity collision or kinetic-intercept (ASAT) events and 0 for self-induced explosive or energetic breakups</w:t>
            </w:r>
          </w:p>
        </w:tc>
        <w:tc>
          <w:tcPr>
            <w:tcW w:w="0" w:type="auto"/>
          </w:tcPr>
          <w:p>
            <w:pPr>
              <w:spacing w:line="240" w:lineRule="auto" w:before="0" w:after="0"/>
              <w:pStyle w:val="Compact"/>
            </w:pPr>
            <w:r>
              <w:rPr>
                <w:sz w:val="20"/>
                <w:szCs w:val="20"/>
              </w:rPr>
              <w:t xml:space="preserve">Binary classification of event cause per NASA ODPO event description</w:t>
            </w:r>
          </w:p>
        </w:tc>
      </w:tr>
    </w:tbl>
    <w:bookmarkEnd w:id="188"/>
    <w:bookmarkEnd w:id="189"/>
    <w:bookmarkStart w:id="197" w:name="X0b449aef6b561ae4048b9911e9879bd673f862c"/>
    <w:p>
      <w:pPr>
        <w:pStyle w:val="Heading2"/>
        <w:spacing w:line="480" w:lineRule="auto"/>
      </w:pPr>
      <w:r>
        <w:t xml:space="preserve">A.2 Altitude Bands as Sink-Strength Strata: A Cox Proportional-Hazards Model of On-Orbit Survival to Decay in Low Earth Orbit</w:t>
      </w:r>
    </w:p>
    <w:p>
      <w:pPr>
        <w:pStyle w:val="FirstParagraph"/>
        <w:spacing w:line="480" w:lineRule="auto"/>
      </w:pPr>
      <m:oMathPara>
        <m:oMathParaPr>
          <m:jc m:val="center"/>
        </m:oMathParaPr>
        <m:oMath>
          <m:r>
            <m:t>h</m:t>
          </m:r>
          <m:r>
            <m:rPr>
              <m:sty m:val="p"/>
            </m:rPr>
            <m:t>(</m:t>
          </m:r>
          <m:r>
            <m:t>t</m:t>
          </m:r>
          <m:r>
            <m:rPr>
              <m:sty m:val="p"/>
            </m:rPr>
            <m:t>∣</m:t>
          </m:r>
          <m:r>
            <m:rPr>
              <m:sty m:val="b"/>
            </m:rPr>
            <m:t>x</m:t>
          </m:r>
          <m:r>
            <m:rPr>
              <m:sty m:val="p"/>
            </m:rPr>
            <m:t>)</m:t>
          </m:r>
          <m:r>
            <m:rPr>
              <m:sty m:val="p"/>
            </m:rPr>
            <m:t>=</m:t>
          </m:r>
          <m:sSub>
            <m:e>
              <m:r>
                <m:t>h</m:t>
              </m:r>
            </m:e>
            <m:sub>
              <m:r>
                <m:t>0</m:t>
              </m:r>
            </m:sub>
          </m:sSub>
          <m:r>
            <m:rPr>
              <m:sty m:val="p"/>
            </m:rPr>
            <m:t>(</m:t>
          </m:r>
          <m:r>
            <m:t>t</m:t>
          </m:r>
          <m:r>
            <m:rPr>
              <m:sty m:val="p"/>
            </m:rPr>
            <m:t>)</m:t>
          </m:r>
          <m:r>
            <m:t> </m:t>
          </m:r>
          <m:r>
            <m:rPr>
              <m:sty m:val="p"/>
            </m:rPr>
            <m:t>exp</m:t>
          </m:r>
          <m:r>
            <m:t>​</m:t>
          </m:r>
          <m:d>
            <m:dPr>
              <m:begChr m:val="("/>
              <m:sepChr m:val=""/>
              <m:endChr m:val=")"/>
              <m:grow/>
            </m:dPr>
            <m:e>
              <m:sSub>
                <m:e>
                  <m:r>
                    <m:t>β</m:t>
                  </m:r>
                </m:e>
                <m:sub>
                  <m:r>
                    <m:t>1</m:t>
                  </m:r>
                </m:sub>
              </m:sSub>
              <m:r>
                <m:t> </m:t>
              </m:r>
              <m:sSub>
                <m:e>
                  <m:r>
                    <m:rPr>
                      <m:sty m:val="p"/>
                    </m:rPr>
                    <m:t>a</m:t>
                  </m:r>
                  <m:r>
                    <m:rPr>
                      <m:sty m:val="p"/>
                    </m:rPr>
                    <m:t>l</m:t>
                  </m:r>
                  <m:r>
                    <m:rPr>
                      <m:sty m:val="p"/>
                    </m:rPr>
                    <m:t>t</m:t>
                  </m:r>
                </m:e>
                <m:sub>
                  <m:r>
                    <m:t>100</m:t>
                  </m:r>
                </m:sub>
              </m:sSub>
              <m:r>
                <m:rPr>
                  <m:sty m:val="p"/>
                </m:rPr>
                <m:t>+</m:t>
              </m:r>
              <m:sSub>
                <m:e>
                  <m:r>
                    <m:t>β</m:t>
                  </m:r>
                </m:e>
                <m:sub>
                  <m:r>
                    <m:t>2</m:t>
                  </m:r>
                </m:sub>
              </m:sSub>
              <m:r>
                <m:t> </m:t>
              </m:r>
              <m:r>
                <m:rPr>
                  <m:sty m:val="p"/>
                </m:rPr>
                <m:t>h</m:t>
              </m:r>
              <m:r>
                <m:rPr>
                  <m:sty m:val="p"/>
                </m:rPr>
                <m:t>e</m:t>
              </m:r>
              <m:r>
                <m:rPr>
                  <m:sty m:val="p"/>
                </m:rPr>
                <m:t>a</m:t>
              </m:r>
              <m:r>
                <m:rPr>
                  <m:sty m:val="p"/>
                </m:rPr>
                <m:t>v</m:t>
              </m:r>
              <m:r>
                <m:rPr>
                  <m:sty m:val="p"/>
                </m:rPr>
                <m:t>y</m:t>
              </m:r>
              <m:r>
                <m:rPr>
                  <m:sty m:val="p"/>
                </m:rPr>
                <m:t>+</m:t>
              </m:r>
              <m:sSub>
                <m:e>
                  <m:r>
                    <m:t>β</m:t>
                  </m:r>
                </m:e>
                <m:sub>
                  <m:r>
                    <m:t>3</m:t>
                  </m:r>
                </m:sub>
              </m:sSub>
              <m:r>
                <m:t> </m:t>
              </m:r>
              <m:r>
                <m:rPr>
                  <m:sty m:val="p"/>
                </m:rPr>
                <m:t>s</m:t>
              </m:r>
              <m:r>
                <m:rPr>
                  <m:sty m:val="p"/>
                </m:rPr>
                <m:t>o</m:t>
              </m:r>
              <m:r>
                <m:rPr>
                  <m:sty m:val="p"/>
                </m:rPr>
                <m:t>l</m:t>
              </m:r>
              <m:r>
                <m:rPr>
                  <m:sty m:val="p"/>
                </m:rPr>
                <m:t>a</m:t>
              </m:r>
              <m:r>
                <m:rPr>
                  <m:sty m:val="p"/>
                </m:rPr>
                <m:t>r</m:t>
              </m:r>
            </m:e>
          </m:d>
        </m:oMath>
      </m:oMathPara>
    </w:p>
    <w:bookmarkStart w:id="190"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alt_band_100km</w:t>
            </w:r>
          </w:p>
        </w:tc>
        <w:tc>
          <w:tcPr>
            <w:tcW w:w="0" w:type="auto"/>
          </w:tcPr>
          <w:p>
            <w:pPr>
              <w:spacing w:line="240" w:lineRule="auto" w:before="0" w:after="0"/>
              <w:pStyle w:val="Compact"/>
            </w:pPr>
            <w:r>
              <w:rPr>
                <w:sz w:val="20"/>
                <w:szCs w:val="20"/>
              </w:rPr>
              <w:t xml:space="preserve">-0.5377</w:t>
            </w:r>
          </w:p>
        </w:tc>
        <w:tc>
          <w:tcPr>
            <w:tcW w:w="0" w:type="auto"/>
          </w:tcPr>
          <w:p>
            <w:pPr>
              <w:spacing w:line="240" w:lineRule="auto" w:before="0" w:after="0"/>
              <w:pStyle w:val="Compact"/>
            </w:pPr>
            <w:r>
              <w:rPr>
                <w:sz w:val="20"/>
                <w:szCs w:val="20"/>
              </w:rPr>
              <w:t xml:space="preserve">0.1584</w:t>
            </w:r>
          </w:p>
        </w:tc>
        <w:tc>
          <w:tcPr>
            <w:tcW w:w="0" w:type="auto"/>
          </w:tcPr>
          <w:p>
            <w:pPr>
              <w:spacing w:line="240" w:lineRule="auto" w:before="0" w:after="0"/>
              <w:pStyle w:val="Compact"/>
            </w:pPr>
            <w:r>
              <w:rPr>
                <w:sz w:val="20"/>
                <w:szCs w:val="20"/>
              </w:rPr>
              <w:t xml:space="preserve">-3.3954</w:t>
            </w:r>
          </w:p>
        </w:tc>
        <w:tc>
          <w:tcPr>
            <w:tcW w:w="0" w:type="auto"/>
          </w:tcPr>
          <w:p>
            <w:pPr>
              <w:spacing w:line="240" w:lineRule="auto" w:before="0" w:after="0"/>
              <w:pStyle w:val="Compact"/>
            </w:pPr>
            <w:r>
              <w:rPr>
                <w:sz w:val="20"/>
                <w:szCs w:val="20"/>
              </w:rPr>
              <w:t xml:space="preserve">0.0006853</w:t>
            </w:r>
          </w:p>
        </w:tc>
        <w:tc>
          <w:tcPr>
            <w:tcW w:w="0" w:type="auto"/>
          </w:tcPr>
          <w:p>
            <w:pPr>
              <w:spacing w:line="240" w:lineRule="auto" w:before="0" w:after="0"/>
              <w:pStyle w:val="Compact"/>
            </w:pPr>
            <w:r>
              <w:rPr>
                <w:sz w:val="20"/>
                <w:szCs w:val="20"/>
              </w:rPr>
              <w:t xml:space="preserve">[-0.8482, -0.2273]</w:t>
            </w:r>
          </w:p>
        </w:tc>
        <w:tc>
          <w:tcPr>
            <w:tcW w:w="0" w:type="auto"/>
          </w:tcPr>
          <w:p>
            <w:pPr>
              <w:spacing w:line="240" w:lineRule="auto" w:before="0" w:after="0"/>
              <w:pStyle w:val="Compact"/>
            </w:pPr>
            <w:r>
              <w:rPr>
                <w:sz w:val="20"/>
                <w:szCs w:val="20"/>
              </w:rPr>
              <w:t xml:space="preserve">0.5841</w:t>
            </w:r>
          </w:p>
        </w:tc>
      </w:tr>
      <w:tr>
        <w:tc>
          <w:tcPr>
            <w:tcW w:w="0" w:type="auto"/>
          </w:tcPr>
          <w:p>
            <w:pPr>
              <w:spacing w:line="240" w:lineRule="auto" w:before="0" w:after="0"/>
              <w:pStyle w:val="Compact"/>
            </w:pPr>
            <w:r>
              <w:rPr>
                <w:sz w:val="20"/>
                <w:szCs w:val="20"/>
              </w:rPr>
              <w:t xml:space="preserve">object_class_heavy</w:t>
            </w:r>
          </w:p>
        </w:tc>
        <w:tc>
          <w:tcPr>
            <w:tcW w:w="0" w:type="auto"/>
          </w:tcPr>
          <w:p>
            <w:pPr>
              <w:spacing w:line="240" w:lineRule="auto" w:before="0" w:after="0"/>
              <w:pStyle w:val="Compact"/>
            </w:pPr>
            <w:r>
              <w:rPr>
                <w:sz w:val="20"/>
                <w:szCs w:val="20"/>
              </w:rPr>
              <w:t xml:space="preserve">-1.3329</w:t>
            </w:r>
          </w:p>
        </w:tc>
        <w:tc>
          <w:tcPr>
            <w:tcW w:w="0" w:type="auto"/>
          </w:tcPr>
          <w:p>
            <w:pPr>
              <w:spacing w:line="240" w:lineRule="auto" w:before="0" w:after="0"/>
              <w:pStyle w:val="Compact"/>
            </w:pPr>
            <w:r>
              <w:rPr>
                <w:sz w:val="20"/>
                <w:szCs w:val="20"/>
              </w:rPr>
              <w:t xml:space="preserve">0.6187</w:t>
            </w:r>
          </w:p>
        </w:tc>
        <w:tc>
          <w:tcPr>
            <w:tcW w:w="0" w:type="auto"/>
          </w:tcPr>
          <w:p>
            <w:pPr>
              <w:spacing w:line="240" w:lineRule="auto" w:before="0" w:after="0"/>
              <w:pStyle w:val="Compact"/>
            </w:pPr>
            <w:r>
              <w:rPr>
                <w:sz w:val="20"/>
                <w:szCs w:val="20"/>
              </w:rPr>
              <w:t xml:space="preserve">-2.1544</w:t>
            </w:r>
          </w:p>
        </w:tc>
        <w:tc>
          <w:tcPr>
            <w:tcW w:w="0" w:type="auto"/>
          </w:tcPr>
          <w:p>
            <w:pPr>
              <w:spacing w:line="240" w:lineRule="auto" w:before="0" w:after="0"/>
              <w:pStyle w:val="Compact"/>
            </w:pPr>
            <w:r>
              <w:rPr>
                <w:sz w:val="20"/>
                <w:szCs w:val="20"/>
              </w:rPr>
              <w:t xml:space="preserve">0.0312</w:t>
            </w:r>
          </w:p>
        </w:tc>
        <w:tc>
          <w:tcPr>
            <w:tcW w:w="0" w:type="auto"/>
          </w:tcPr>
          <w:p>
            <w:pPr>
              <w:spacing w:line="240" w:lineRule="auto" w:before="0" w:after="0"/>
              <w:pStyle w:val="Compact"/>
            </w:pPr>
            <w:r>
              <w:rPr>
                <w:sz w:val="20"/>
                <w:szCs w:val="20"/>
              </w:rPr>
              <w:t xml:space="preserve">[-2.5455, -0.1203]</w:t>
            </w:r>
          </w:p>
        </w:tc>
        <w:tc>
          <w:tcPr>
            <w:tcW w:w="0" w:type="auto"/>
          </w:tcPr>
          <w:p>
            <w:pPr>
              <w:spacing w:line="240" w:lineRule="auto" w:before="0" w:after="0"/>
              <w:pStyle w:val="Compact"/>
            </w:pPr>
            <w:r>
              <w:rPr>
                <w:sz w:val="20"/>
                <w:szCs w:val="20"/>
              </w:rPr>
              <w:t xml:space="preserve">0.2637</w:t>
            </w:r>
          </w:p>
        </w:tc>
      </w:tr>
      <w:tr>
        <w:tc>
          <w:tcPr>
            <w:tcW w:w="0" w:type="auto"/>
          </w:tcPr>
          <w:p>
            <w:pPr>
              <w:spacing w:line="240" w:lineRule="auto" w:before="0" w:after="0"/>
              <w:pStyle w:val="Compact"/>
            </w:pPr>
            <w:r>
              <w:rPr>
                <w:sz w:val="20"/>
                <w:szCs w:val="20"/>
              </w:rPr>
              <w:t xml:space="preserve">solar_high_at_launch</w:t>
            </w:r>
          </w:p>
        </w:tc>
        <w:tc>
          <w:tcPr>
            <w:tcW w:w="0" w:type="auto"/>
          </w:tcPr>
          <w:p>
            <w:pPr>
              <w:spacing w:line="240" w:lineRule="auto" w:before="0" w:after="0"/>
              <w:pStyle w:val="Compact"/>
            </w:pPr>
            <w:r>
              <w:rPr>
                <w:sz w:val="20"/>
                <w:szCs w:val="20"/>
              </w:rPr>
              <w:t xml:space="preserve">0.7071</w:t>
            </w:r>
          </w:p>
        </w:tc>
        <w:tc>
          <w:tcPr>
            <w:tcW w:w="0" w:type="auto"/>
          </w:tcPr>
          <w:p>
            <w:pPr>
              <w:spacing w:line="240" w:lineRule="auto" w:before="0" w:after="0"/>
              <w:pStyle w:val="Compact"/>
            </w:pPr>
            <w:r>
              <w:rPr>
                <w:sz w:val="20"/>
                <w:szCs w:val="20"/>
              </w:rPr>
              <w:t xml:space="preserve">0.5594</w:t>
            </w:r>
          </w:p>
        </w:tc>
        <w:tc>
          <w:tcPr>
            <w:tcW w:w="0" w:type="auto"/>
          </w:tcPr>
          <w:p>
            <w:pPr>
              <w:spacing w:line="240" w:lineRule="auto" w:before="0" w:after="0"/>
              <w:pStyle w:val="Compact"/>
            </w:pPr>
            <w:r>
              <w:rPr>
                <w:sz w:val="20"/>
                <w:szCs w:val="20"/>
              </w:rPr>
              <w:t xml:space="preserve">1.2639</w:t>
            </w:r>
          </w:p>
        </w:tc>
        <w:tc>
          <w:tcPr>
            <w:tcW w:w="0" w:type="auto"/>
          </w:tcPr>
          <w:p>
            <w:pPr>
              <w:spacing w:line="240" w:lineRule="auto" w:before="0" w:after="0"/>
              <w:pStyle w:val="Compact"/>
            </w:pPr>
            <w:r>
              <w:rPr>
                <w:sz w:val="20"/>
                <w:szCs w:val="20"/>
              </w:rPr>
              <w:t xml:space="preserve">0.2063</w:t>
            </w:r>
          </w:p>
        </w:tc>
        <w:tc>
          <w:tcPr>
            <w:tcW w:w="0" w:type="auto"/>
          </w:tcPr>
          <w:p>
            <w:pPr>
              <w:spacing w:line="240" w:lineRule="auto" w:before="0" w:after="0"/>
              <w:pStyle w:val="Compact"/>
            </w:pPr>
            <w:r>
              <w:rPr>
                <w:sz w:val="20"/>
                <w:szCs w:val="20"/>
              </w:rPr>
              <w:t xml:space="preserve">[-0.3894, 1.8036]</w:t>
            </w:r>
          </w:p>
        </w:tc>
        <w:tc>
          <w:tcPr>
            <w:tcW w:w="0" w:type="auto"/>
          </w:tcPr>
          <w:p>
            <w:pPr>
              <w:spacing w:line="240" w:lineRule="auto" w:before="0" w:after="0"/>
              <w:pStyle w:val="Compact"/>
            </w:pPr>
            <w:r>
              <w:rPr>
                <w:sz w:val="20"/>
                <w:szCs w:val="20"/>
              </w:rPr>
              <w:t xml:space="preserve">2.028</w:t>
            </w:r>
          </w:p>
        </w:tc>
      </w:tr>
    </w:tbl>
    <w:p>
      <w:pPr>
        <w:pStyle w:val="BodyText"/>
        <w:spacing w:line="480" w:lineRule="auto"/>
        <w:ind w:firstLine="720"/>
      </w:pPr>
      <w:r>
        <w:t xml:space="preserve">Fit: N = 34 events = 22</w:t>
      </w:r>
    </w:p>
    <w:bookmarkEnd w:id="190"/>
    <w:bookmarkStart w:id="194"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Observed on-orbit survival time against mean altitude band for 34 documented LEO objects. Higher bands exhibit markedly longer residence times, consistent with a declining decay hazard and weakening atmospheric sink with altitude." title="" id="192" name="Picture"/>
            <a:graphic>
              <a:graphicData uri="http://schemas.openxmlformats.org/drawingml/2006/picture">
                <pic:pic>
                  <pic:nvPicPr>
                    <pic:cNvPr descr="D:/Claude_Code/brain/collegium/candidates/dissertations/DEBRIS_05/research_papers/p2/paper_fig1.png" id="193" name="Picture"/>
                    <pic:cNvPicPr>
                      <a:picLocks noChangeArrowheads="1" noChangeAspect="1"/>
                    </pic:cNvPicPr>
                  </pic:nvPicPr>
                  <pic:blipFill>
                    <a:blip r:embed="rId19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Observed on-orbit survival time against mean altitude band for 34 documented LEO objects. Higher bands exhibit markedly longer residence times, consistent with a declining decay hazard and weakening atmospheric sink with altitude.</w:t>
      </w:r>
    </w:p>
    <w:bookmarkEnd w:id="194"/>
    <w:bookmarkStart w:id="195"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object</w:t>
            </w:r>
          </w:p>
        </w:tc>
        <w:tc>
          <w:tcPr>
            <w:tcW w:w="0" w:type="auto"/>
          </w:tcPr>
          <w:p>
            <w:pPr>
              <w:spacing w:line="240" w:lineRule="auto" w:before="0" w:after="0"/>
              <w:pStyle w:val="Compact"/>
            </w:pPr>
            <w:r>
              <w:rPr>
                <w:sz w:val="20"/>
                <w:szCs w:val="20"/>
              </w:rPr>
              <w:t xml:space="preserve">intl_designator</w:t>
            </w:r>
          </w:p>
        </w:tc>
        <w:tc>
          <w:tcPr>
            <w:tcW w:w="0" w:type="auto"/>
          </w:tcPr>
          <w:p>
            <w:pPr>
              <w:spacing w:line="240" w:lineRule="auto" w:before="0" w:after="0"/>
              <w:pStyle w:val="Compact"/>
            </w:pPr>
            <w:r>
              <w:rPr>
                <w:sz w:val="20"/>
                <w:szCs w:val="20"/>
              </w:rPr>
              <w:t xml:space="preserve">launch_year</w:t>
            </w:r>
          </w:p>
        </w:tc>
        <w:tc>
          <w:tcPr>
            <w:tcW w:w="0" w:type="auto"/>
          </w:tcPr>
          <w:p>
            <w:pPr>
              <w:spacing w:line="240" w:lineRule="auto" w:before="0" w:after="0"/>
              <w:pStyle w:val="Compact"/>
            </w:pPr>
            <w:r>
              <w:rPr>
                <w:sz w:val="20"/>
                <w:szCs w:val="20"/>
              </w:rPr>
              <w:t xml:space="preserve">months_on_orbit</w:t>
            </w:r>
          </w:p>
        </w:tc>
        <w:tc>
          <w:tcPr>
            <w:tcW w:w="0" w:type="auto"/>
          </w:tcPr>
          <w:p>
            <w:pPr>
              <w:spacing w:line="240" w:lineRule="auto" w:before="0" w:after="0"/>
              <w:pStyle w:val="Compact"/>
            </w:pPr>
            <w:r>
              <w:rPr>
                <w:sz w:val="20"/>
                <w:szCs w:val="20"/>
              </w:rPr>
              <w:t xml:space="preserve">decayed</w:t>
            </w:r>
          </w:p>
        </w:tc>
        <w:tc>
          <w:tcPr>
            <w:tcW w:w="0" w:type="auto"/>
          </w:tcPr>
          <w:p>
            <w:pPr>
              <w:spacing w:line="240" w:lineRule="auto" w:before="0" w:after="0"/>
              <w:pStyle w:val="Compact"/>
            </w:pPr>
            <w:r>
              <w:rPr>
                <w:sz w:val="20"/>
                <w:szCs w:val="20"/>
              </w:rPr>
              <w:t xml:space="preserve">perigee_alt_km</w:t>
            </w:r>
          </w:p>
        </w:tc>
        <w:tc>
          <w:tcPr>
            <w:tcW w:w="0" w:type="auto"/>
          </w:tcPr>
          <w:p>
            <w:pPr>
              <w:spacing w:line="240" w:lineRule="auto" w:before="0" w:after="0"/>
              <w:pStyle w:val="Compact"/>
            </w:pPr>
            <w:r>
              <w:rPr>
                <w:sz w:val="20"/>
                <w:szCs w:val="20"/>
              </w:rPr>
              <w:t xml:space="preserve">mean_alt_band_km</w:t>
            </w:r>
          </w:p>
        </w:tc>
        <w:tc>
          <w:tcPr>
            <w:tcW w:w="0" w:type="auto"/>
          </w:tcPr>
          <w:p>
            <w:pPr>
              <w:spacing w:line="240" w:lineRule="auto" w:before="0" w:after="0"/>
              <w:pStyle w:val="Compact"/>
            </w:pPr>
            <w:r>
              <w:rPr>
                <w:sz w:val="20"/>
                <w:szCs w:val="20"/>
              </w:rPr>
              <w:t xml:space="preserve">object_class_heavy</w:t>
            </w:r>
          </w:p>
        </w:tc>
        <w:tc>
          <w:tcPr>
            <w:tcW w:w="0" w:type="auto"/>
          </w:tcPr>
          <w:p>
            <w:pPr>
              <w:spacing w:line="240" w:lineRule="auto" w:before="0" w:after="0"/>
              <w:pStyle w:val="Compact"/>
            </w:pPr>
            <w:r>
              <w:rPr>
                <w:sz w:val="20"/>
                <w:szCs w:val="20"/>
              </w:rPr>
              <w:t xml:space="preserve">solar_high_at_launch</w:t>
            </w:r>
          </w:p>
        </w:tc>
        <w:tc>
          <w:tcPr>
            <w:tcW w:w="0" w:type="auto"/>
          </w:tcPr>
          <w:p>
            <w:pPr>
              <w:spacing w:line="240" w:lineRule="auto" w:before="0" w:after="0"/>
              <w:pStyle w:val="Compact"/>
            </w:pPr>
            <w:r>
              <w:rPr>
                <w:sz w:val="20"/>
                <w:szCs w:val="20"/>
              </w:rPr>
              <w:t xml:space="preserve">alt_band_100km</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Sputnik 1</w:t>
            </w:r>
          </w:p>
        </w:tc>
        <w:tc>
          <w:tcPr>
            <w:tcW w:w="0" w:type="auto"/>
          </w:tcPr>
          <w:p>
            <w:pPr>
              <w:spacing w:line="240" w:lineRule="auto" w:before="0" w:after="0"/>
              <w:pStyle w:val="Compact"/>
            </w:pPr>
            <w:r>
              <w:rPr>
                <w:sz w:val="20"/>
                <w:szCs w:val="20"/>
              </w:rPr>
              <w:t xml:space="preserve">1957-001B</w:t>
            </w:r>
          </w:p>
        </w:tc>
        <w:tc>
          <w:tcPr>
            <w:tcW w:w="0" w:type="auto"/>
          </w:tcPr>
          <w:p>
            <w:pPr>
              <w:spacing w:line="240" w:lineRule="auto" w:before="0" w:after="0"/>
              <w:pStyle w:val="Compact"/>
            </w:pPr>
            <w:r>
              <w:rPr>
                <w:sz w:val="20"/>
                <w:szCs w:val="20"/>
              </w:rPr>
              <w:t xml:space="preserve">1957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215</w:t>
            </w:r>
          </w:p>
        </w:tc>
        <w:tc>
          <w:tcPr>
            <w:tcW w:w="0" w:type="auto"/>
          </w:tcPr>
          <w:p>
            <w:pPr>
              <w:spacing w:line="240" w:lineRule="auto" w:before="0" w:after="0"/>
              <w:pStyle w:val="Compact"/>
            </w:pPr>
            <w:r>
              <w:rPr>
                <w:sz w:val="20"/>
                <w:szCs w:val="20"/>
              </w:rPr>
              <w:t xml:space="preserve">350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NSSDCA Master Catalog 1957-001B; launch 1957-10-04, decayed 1958-01-04, ~3 months</w:t>
            </w:r>
          </w:p>
        </w:tc>
      </w:tr>
      <w:tr>
        <w:tc>
          <w:tcPr>
            <w:tcW w:w="0" w:type="auto"/>
          </w:tcPr>
          <w:p>
            <w:pPr>
              <w:spacing w:line="240" w:lineRule="auto" w:before="0" w:after="0"/>
              <w:pStyle w:val="Compact"/>
            </w:pPr>
            <w:r>
              <w:rPr>
                <w:sz w:val="20"/>
                <w:szCs w:val="20"/>
              </w:rPr>
              <w:t xml:space="preserve">Echo 1</w:t>
            </w:r>
          </w:p>
        </w:tc>
        <w:tc>
          <w:tcPr>
            <w:tcW w:w="0" w:type="auto"/>
          </w:tcPr>
          <w:p>
            <w:pPr>
              <w:spacing w:line="240" w:lineRule="auto" w:before="0" w:after="0"/>
              <w:pStyle w:val="Compact"/>
            </w:pPr>
            <w:r>
              <w:rPr>
                <w:sz w:val="20"/>
                <w:szCs w:val="20"/>
              </w:rPr>
              <w:t xml:space="preserve">1960-009A</w:t>
            </w:r>
          </w:p>
        </w:tc>
        <w:tc>
          <w:tcPr>
            <w:tcW w:w="0" w:type="auto"/>
          </w:tcPr>
          <w:p>
            <w:pPr>
              <w:spacing w:line="240" w:lineRule="auto" w:before="0" w:after="0"/>
              <w:pStyle w:val="Compact"/>
            </w:pPr>
            <w:r>
              <w:rPr>
                <w:sz w:val="20"/>
                <w:szCs w:val="20"/>
              </w:rPr>
              <w:t xml:space="preserve">1960</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1519</w:t>
            </w:r>
          </w:p>
        </w:tc>
        <w:tc>
          <w:tcPr>
            <w:tcW w:w="0" w:type="auto"/>
          </w:tcPr>
          <w:p>
            <w:pPr>
              <w:spacing w:line="240" w:lineRule="auto" w:before="0" w:after="0"/>
              <w:pStyle w:val="Compact"/>
            </w:pPr>
            <w:r>
              <w:rPr>
                <w:sz w:val="20"/>
                <w:szCs w:val="20"/>
              </w:rPr>
              <w:t xml:space="preserve">1600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NSSDCA 1960-009A; launched 1960-08-12, decayed 1968-05-24, ~93 months</w:t>
            </w:r>
          </w:p>
        </w:tc>
      </w:tr>
      <w:tr>
        <w:tc>
          <w:tcPr>
            <w:tcW w:w="0" w:type="auto"/>
          </w:tcPr>
          <w:p>
            <w:pPr>
              <w:spacing w:line="240" w:lineRule="auto" w:before="0" w:after="0"/>
              <w:pStyle w:val="Compact"/>
            </w:pPr>
            <w:r>
              <w:rPr>
                <w:sz w:val="20"/>
                <w:szCs w:val="20"/>
              </w:rPr>
              <w:t xml:space="preserve">Cosmos 482 descent craft</w:t>
            </w:r>
          </w:p>
        </w:tc>
        <w:tc>
          <w:tcPr>
            <w:tcW w:w="0" w:type="auto"/>
          </w:tcPr>
          <w:p>
            <w:pPr>
              <w:spacing w:line="240" w:lineRule="auto" w:before="0" w:after="0"/>
              <w:pStyle w:val="Compact"/>
            </w:pPr>
            <w:r>
              <w:rPr>
                <w:sz w:val="20"/>
                <w:szCs w:val="20"/>
              </w:rPr>
              <w:t xml:space="preserve">1972-023E</w:t>
            </w:r>
          </w:p>
        </w:tc>
        <w:tc>
          <w:tcPr>
            <w:tcW w:w="0" w:type="auto"/>
          </w:tcPr>
          <w:p>
            <w:pPr>
              <w:spacing w:line="240" w:lineRule="auto" w:before="0" w:after="0"/>
              <w:pStyle w:val="Compact"/>
            </w:pPr>
            <w:r>
              <w:rPr>
                <w:sz w:val="20"/>
                <w:szCs w:val="20"/>
              </w:rPr>
              <w:t xml:space="preserve">1972</w:t>
            </w:r>
          </w:p>
        </w:tc>
        <w:tc>
          <w:tcPr>
            <w:tcW w:w="0" w:type="auto"/>
          </w:tcPr>
          <w:p>
            <w:pPr>
              <w:spacing w:line="240" w:lineRule="auto" w:before="0" w:after="0"/>
              <w:pStyle w:val="Compact"/>
            </w:pPr>
            <w:r>
              <w:rPr>
                <w:sz w:val="20"/>
                <w:szCs w:val="20"/>
              </w:rPr>
              <w:t xml:space="preserve">636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210</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NSSDCA 1972-023E Venera-class; decayed 2025-05-10 per ESA/Aerospace reentry record, ~636 months</w:t>
            </w:r>
          </w:p>
        </w:tc>
      </w:tr>
      <w:tr>
        <w:tc>
          <w:tcPr>
            <w:tcW w:w="0" w:type="auto"/>
          </w:tcPr>
          <w:p>
            <w:pPr>
              <w:spacing w:line="240" w:lineRule="auto" w:before="0" w:after="0"/>
              <w:pStyle w:val="Compact"/>
            </w:pPr>
            <w:r>
              <w:rPr>
                <w:sz w:val="20"/>
                <w:szCs w:val="20"/>
              </w:rPr>
              <w:t xml:space="preserve">Skylab</w:t>
            </w:r>
          </w:p>
        </w:tc>
        <w:tc>
          <w:tcPr>
            <w:tcW w:w="0" w:type="auto"/>
          </w:tcPr>
          <w:p>
            <w:pPr>
              <w:spacing w:line="240" w:lineRule="auto" w:before="0" w:after="0"/>
              <w:pStyle w:val="Compact"/>
            </w:pPr>
            <w:r>
              <w:rPr>
                <w:sz w:val="20"/>
                <w:szCs w:val="20"/>
              </w:rPr>
              <w:t xml:space="preserve">1973-027A</w:t>
            </w:r>
          </w:p>
        </w:tc>
        <w:tc>
          <w:tcPr>
            <w:tcW w:w="0" w:type="auto"/>
          </w:tcPr>
          <w:p>
            <w:pPr>
              <w:spacing w:line="240" w:lineRule="auto" w:before="0" w:after="0"/>
              <w:pStyle w:val="Compact"/>
            </w:pPr>
            <w:r>
              <w:rPr>
                <w:sz w:val="20"/>
                <w:szCs w:val="20"/>
              </w:rPr>
              <w:t xml:space="preserve">1973</w:t>
            </w:r>
          </w:p>
        </w:tc>
        <w:tc>
          <w:tcPr>
            <w:tcW w:w="0" w:type="auto"/>
          </w:tcPr>
          <w:p>
            <w:pPr>
              <w:spacing w:line="240" w:lineRule="auto" w:before="0" w:after="0"/>
              <w:pStyle w:val="Compact"/>
            </w:pPr>
            <w:r>
              <w:rPr>
                <w:sz w:val="20"/>
                <w:szCs w:val="20"/>
              </w:rPr>
              <w:t xml:space="preserve">74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434</w:t>
            </w:r>
          </w:p>
        </w:tc>
        <w:tc>
          <w:tcPr>
            <w:tcW w:w="0" w:type="auto"/>
          </w:tcPr>
          <w:p>
            <w:pPr>
              <w:spacing w:line="240" w:lineRule="auto" w:before="0" w:after="0"/>
              <w:pStyle w:val="Compact"/>
            </w:pPr>
            <w:r>
              <w:rPr>
                <w:sz w:val="20"/>
                <w:szCs w:val="20"/>
              </w:rPr>
              <w:t xml:space="preserve">440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NSSDCA 1973-027A; launched 1973-05-14, reentered 1979-07-11, ~74 months</w:t>
            </w:r>
          </w:p>
        </w:tc>
      </w:tr>
      <w:tr>
        <w:tc>
          <w:tcPr>
            <w:tcW w:w="0" w:type="auto"/>
          </w:tcPr>
          <w:p>
            <w:pPr>
              <w:spacing w:line="240" w:lineRule="auto" w:before="0" w:after="0"/>
              <w:pStyle w:val="Compact"/>
            </w:pPr>
            <w:r>
              <w:rPr>
                <w:sz w:val="20"/>
                <w:szCs w:val="20"/>
              </w:rPr>
              <w:t xml:space="preserve">Solar Max SMM</w:t>
            </w:r>
          </w:p>
        </w:tc>
        <w:tc>
          <w:tcPr>
            <w:tcW w:w="0" w:type="auto"/>
          </w:tcPr>
          <w:p>
            <w:pPr>
              <w:spacing w:line="240" w:lineRule="auto" w:before="0" w:after="0"/>
              <w:pStyle w:val="Compact"/>
            </w:pPr>
            <w:r>
              <w:rPr>
                <w:sz w:val="20"/>
                <w:szCs w:val="20"/>
              </w:rPr>
              <w:t xml:space="preserve">1980-014A</w:t>
            </w:r>
          </w:p>
        </w:tc>
        <w:tc>
          <w:tcPr>
            <w:tcW w:w="0" w:type="auto"/>
          </w:tcPr>
          <w:p>
            <w:pPr>
              <w:spacing w:line="240" w:lineRule="auto" w:before="0" w:after="0"/>
              <w:pStyle w:val="Compact"/>
            </w:pPr>
            <w:r>
              <w:rPr>
                <w:sz w:val="20"/>
                <w:szCs w:val="20"/>
              </w:rPr>
              <w:t xml:space="preserve">1980</w:t>
            </w:r>
          </w:p>
        </w:tc>
        <w:tc>
          <w:tcPr>
            <w:tcW w:w="0" w:type="auto"/>
          </w:tcPr>
          <w:p>
            <w:pPr>
              <w:spacing w:line="240" w:lineRule="auto" w:before="0" w:after="0"/>
              <w:pStyle w:val="Compact"/>
            </w:pPr>
            <w:r>
              <w:rPr>
                <w:sz w:val="20"/>
                <w:szCs w:val="20"/>
              </w:rPr>
              <w:t xml:space="preserve">118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490</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NSSDCA 1980-014A; launched 1980-02-14, reentered 1989-12-02, ~118 months</w:t>
            </w:r>
          </w:p>
        </w:tc>
      </w:tr>
      <w:tr>
        <w:tc>
          <w:tcPr>
            <w:tcW w:w="0" w:type="auto"/>
          </w:tcPr>
          <w:p>
            <w:pPr>
              <w:spacing w:line="240" w:lineRule="auto" w:before="0" w:after="0"/>
              <w:pStyle w:val="Compact"/>
            </w:pPr>
            <w:r>
              <w:rPr>
                <w:sz w:val="20"/>
                <w:szCs w:val="20"/>
              </w:rPr>
              <w:t xml:space="preserve">LDEF</w:t>
            </w:r>
          </w:p>
        </w:tc>
        <w:tc>
          <w:tcPr>
            <w:tcW w:w="0" w:type="auto"/>
          </w:tcPr>
          <w:p>
            <w:pPr>
              <w:spacing w:line="240" w:lineRule="auto" w:before="0" w:after="0"/>
              <w:pStyle w:val="Compact"/>
            </w:pPr>
            <w:r>
              <w:rPr>
                <w:sz w:val="20"/>
                <w:szCs w:val="20"/>
              </w:rPr>
              <w:t xml:space="preserve">1984-034B</w:t>
            </w:r>
          </w:p>
        </w:tc>
        <w:tc>
          <w:tcPr>
            <w:tcW w:w="0" w:type="auto"/>
          </w:tcPr>
          <w:p>
            <w:pPr>
              <w:spacing w:line="240" w:lineRule="auto" w:before="0" w:after="0"/>
              <w:pStyle w:val="Compact"/>
            </w:pPr>
            <w:r>
              <w:rPr>
                <w:sz w:val="20"/>
                <w:szCs w:val="20"/>
              </w:rPr>
              <w:t xml:space="preserve">1984</w:t>
            </w:r>
          </w:p>
        </w:tc>
        <w:tc>
          <w:tcPr>
            <w:tcW w:w="0" w:type="auto"/>
          </w:tcPr>
          <w:p>
            <w:pPr>
              <w:spacing w:line="240" w:lineRule="auto" w:before="0" w:after="0"/>
              <w:pStyle w:val="Compact"/>
            </w:pPr>
            <w:r>
              <w:rPr>
                <w:sz w:val="20"/>
                <w:szCs w:val="20"/>
              </w:rPr>
              <w:t xml:space="preserve">69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474</w:t>
            </w:r>
          </w:p>
        </w:tc>
        <w:tc>
          <w:tcPr>
            <w:tcW w:w="0" w:type="auto"/>
          </w:tcPr>
          <w:p>
            <w:pPr>
              <w:spacing w:line="240" w:lineRule="auto" w:before="0" w:after="0"/>
              <w:pStyle w:val="Compact"/>
            </w:pPr>
            <w:r>
              <w:rPr>
                <w:sz w:val="20"/>
                <w:szCs w:val="20"/>
              </w:rPr>
              <w:t xml:space="preserve">330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NSSDCA 1984-034B; deployed 1984-04-07, retrieved 1990-01-12 from decaying orbit, ~69 months</w:t>
            </w:r>
          </w:p>
        </w:tc>
      </w:tr>
      <w:tr>
        <w:tc>
          <w:tcPr>
            <w:tcW w:w="0" w:type="auto"/>
          </w:tcPr>
          <w:p>
            <w:pPr>
              <w:spacing w:line="240" w:lineRule="auto" w:before="0" w:after="0"/>
              <w:pStyle w:val="Compact"/>
            </w:pPr>
            <w:r>
              <w:rPr>
                <w:sz w:val="20"/>
                <w:szCs w:val="20"/>
              </w:rPr>
              <w:t xml:space="preserve">Mir</w:t>
            </w:r>
          </w:p>
        </w:tc>
        <w:tc>
          <w:tcPr>
            <w:tcW w:w="0" w:type="auto"/>
          </w:tcPr>
          <w:p>
            <w:pPr>
              <w:spacing w:line="240" w:lineRule="auto" w:before="0" w:after="0"/>
              <w:pStyle w:val="Compact"/>
            </w:pPr>
            <w:r>
              <w:rPr>
                <w:sz w:val="20"/>
                <w:szCs w:val="20"/>
              </w:rPr>
              <w:t xml:space="preserve">1986-017A</w:t>
            </w:r>
          </w:p>
        </w:tc>
        <w:tc>
          <w:tcPr>
            <w:tcW w:w="0" w:type="auto"/>
          </w:tcPr>
          <w:p>
            <w:pPr>
              <w:spacing w:line="240" w:lineRule="auto" w:before="0" w:after="0"/>
              <w:pStyle w:val="Compact"/>
            </w:pPr>
            <w:r>
              <w:rPr>
                <w:sz w:val="20"/>
                <w:szCs w:val="20"/>
              </w:rPr>
              <w:t xml:space="preserve">1986</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390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NSSDCA 1986-017A; launched 1986-02-19, deorbited 2001-03-23, ~180 months</w:t>
            </w:r>
          </w:p>
        </w:tc>
      </w:tr>
      <w:tr>
        <w:tc>
          <w:tcPr>
            <w:tcW w:w="0" w:type="auto"/>
          </w:tcPr>
          <w:p>
            <w:pPr>
              <w:spacing w:line="240" w:lineRule="auto" w:before="0" w:after="0"/>
              <w:pStyle w:val="Compact"/>
            </w:pPr>
            <w:r>
              <w:rPr>
                <w:sz w:val="20"/>
                <w:szCs w:val="20"/>
              </w:rPr>
              <w:t xml:space="preserve">Compton GRO</w:t>
            </w:r>
          </w:p>
        </w:tc>
        <w:tc>
          <w:tcPr>
            <w:tcW w:w="0" w:type="auto"/>
          </w:tcPr>
          <w:p>
            <w:pPr>
              <w:spacing w:line="240" w:lineRule="auto" w:before="0" w:after="0"/>
              <w:pStyle w:val="Compact"/>
            </w:pPr>
            <w:r>
              <w:rPr>
                <w:sz w:val="20"/>
                <w:szCs w:val="20"/>
              </w:rPr>
              <w:t xml:space="preserve">1991-027B</w:t>
            </w:r>
          </w:p>
        </w:tc>
        <w:tc>
          <w:tcPr>
            <w:tcW w:w="0" w:type="auto"/>
          </w:tcPr>
          <w:p>
            <w:pPr>
              <w:spacing w:line="240" w:lineRule="auto" w:before="0" w:after="0"/>
              <w:pStyle w:val="Compact"/>
            </w:pPr>
            <w:r>
              <w:rPr>
                <w:sz w:val="20"/>
                <w:szCs w:val="20"/>
              </w:rPr>
              <w:t xml:space="preserve">1991</w:t>
            </w:r>
          </w:p>
        </w:tc>
        <w:tc>
          <w:tcPr>
            <w:tcW w:w="0" w:type="auto"/>
          </w:tcPr>
          <w:p>
            <w:pPr>
              <w:spacing w:line="240" w:lineRule="auto" w:before="0" w:after="0"/>
              <w:pStyle w:val="Compact"/>
            </w:pPr>
            <w:r>
              <w:rPr>
                <w:sz w:val="20"/>
                <w:szCs w:val="20"/>
              </w:rPr>
              <w:t xml:space="preserve">110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362</w:t>
            </w:r>
          </w:p>
        </w:tc>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NSSDCA 1991-027B; launched 1991-04-05, deorbited 2000-06-04, ~110 months</w:t>
            </w:r>
          </w:p>
        </w:tc>
      </w:tr>
      <w:tr>
        <w:tc>
          <w:tcPr>
            <w:tcW w:w="0" w:type="auto"/>
          </w:tcPr>
          <w:p>
            <w:pPr>
              <w:spacing w:line="240" w:lineRule="auto" w:before="0" w:after="0"/>
              <w:pStyle w:val="Compact"/>
            </w:pPr>
            <w:r>
              <w:rPr>
                <w:sz w:val="20"/>
                <w:szCs w:val="20"/>
              </w:rPr>
              <w:t xml:space="preserve">Salyut 7 complex</w:t>
            </w:r>
          </w:p>
        </w:tc>
        <w:tc>
          <w:tcPr>
            <w:tcW w:w="0" w:type="auto"/>
          </w:tcPr>
          <w:p>
            <w:pPr>
              <w:spacing w:line="240" w:lineRule="auto" w:before="0" w:after="0"/>
              <w:pStyle w:val="Compact"/>
            </w:pPr>
            <w:r>
              <w:rPr>
                <w:sz w:val="20"/>
                <w:szCs w:val="20"/>
              </w:rPr>
              <w:t xml:space="preserve">1985-030A</w:t>
            </w:r>
          </w:p>
        </w:tc>
        <w:tc>
          <w:tcPr>
            <w:tcW w:w="0" w:type="auto"/>
          </w:tcPr>
          <w:p>
            <w:pPr>
              <w:spacing w:line="240" w:lineRule="auto" w:before="0" w:after="0"/>
              <w:pStyle w:val="Compact"/>
            </w:pPr>
            <w:r>
              <w:rPr>
                <w:sz w:val="20"/>
                <w:szCs w:val="20"/>
              </w:rPr>
              <w:t xml:space="preserve">1985</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NSSDCA 1985-030A; launched 1985-04-19, reentered 1991-02-07, ~71 months</w:t>
            </w:r>
          </w:p>
        </w:tc>
      </w:tr>
      <w:tr>
        <w:tc>
          <w:tcPr>
            <w:tcW w:w="0" w:type="auto"/>
          </w:tcPr>
          <w:p>
            <w:pPr>
              <w:spacing w:line="240" w:lineRule="auto" w:before="0" w:after="0"/>
              <w:pStyle w:val="Compact"/>
            </w:pPr>
            <w:r>
              <w:rPr>
                <w:sz w:val="20"/>
                <w:szCs w:val="20"/>
              </w:rPr>
              <w:t xml:space="preserve">UARS</w:t>
            </w:r>
          </w:p>
        </w:tc>
        <w:tc>
          <w:tcPr>
            <w:tcW w:w="0" w:type="auto"/>
          </w:tcPr>
          <w:p>
            <w:pPr>
              <w:spacing w:line="240" w:lineRule="auto" w:before="0" w:after="0"/>
              <w:pStyle w:val="Compact"/>
            </w:pPr>
            <w:r>
              <w:rPr>
                <w:sz w:val="20"/>
                <w:szCs w:val="20"/>
              </w:rPr>
              <w:t xml:space="preserve">1991-063B</w:t>
            </w:r>
          </w:p>
        </w:tc>
        <w:tc>
          <w:tcPr>
            <w:tcW w:w="0" w:type="auto"/>
          </w:tcPr>
          <w:p>
            <w:pPr>
              <w:spacing w:line="240" w:lineRule="auto" w:before="0" w:after="0"/>
              <w:pStyle w:val="Compact"/>
            </w:pPr>
            <w:r>
              <w:rPr>
                <w:sz w:val="20"/>
                <w:szCs w:val="20"/>
              </w:rPr>
              <w:t xml:space="preserve">1991</w:t>
            </w:r>
          </w:p>
        </w:tc>
        <w:tc>
          <w:tcPr>
            <w:tcW w:w="0" w:type="auto"/>
          </w:tcPr>
          <w:p>
            <w:pPr>
              <w:spacing w:line="240" w:lineRule="auto" w:before="0" w:after="0"/>
              <w:pStyle w:val="Compact"/>
            </w:pPr>
            <w:r>
              <w:rPr>
                <w:sz w:val="20"/>
                <w:szCs w:val="20"/>
              </w:rPr>
              <w:t xml:space="preserve">242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575</w:t>
            </w:r>
          </w:p>
        </w:tc>
        <w:tc>
          <w:tcPr>
            <w:tcW w:w="0" w:type="auto"/>
          </w:tcPr>
          <w:p>
            <w:pPr>
              <w:spacing w:line="240" w:lineRule="auto" w:before="0" w:after="0"/>
              <w:pStyle w:val="Compact"/>
            </w:pPr>
            <w:r>
              <w:rPr>
                <w:sz w:val="20"/>
                <w:szCs w:val="20"/>
              </w:rPr>
              <w:t xml:space="preserve">575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5.75</w:t>
            </w:r>
          </w:p>
        </w:tc>
        <w:tc>
          <w:tcPr>
            <w:tcW w:w="0" w:type="auto"/>
          </w:tcPr>
          <w:p>
            <w:pPr>
              <w:spacing w:line="240" w:lineRule="auto" w:before="0" w:after="0"/>
              <w:pStyle w:val="Compact"/>
            </w:pPr>
            <w:r>
              <w:rPr>
                <w:sz w:val="20"/>
                <w:szCs w:val="20"/>
              </w:rPr>
              <w:t xml:space="preserve">NSSDCA 1991-063B; launched 1991-09-15, reentered 2011-09-24, ~242 months</w:t>
            </w:r>
          </w:p>
        </w:tc>
      </w:tr>
      <w:tr>
        <w:tc>
          <w:tcPr>
            <w:tcW w:w="0" w:type="auto"/>
          </w:tcPr>
          <w:p>
            <w:pPr>
              <w:spacing w:line="240" w:lineRule="auto" w:before="0" w:after="0"/>
              <w:pStyle w:val="Compact"/>
            </w:pPr>
            <w:r>
              <w:rPr>
                <w:sz w:val="20"/>
                <w:szCs w:val="20"/>
              </w:rPr>
              <w:t xml:space="preserve">ROSAT</w:t>
            </w:r>
          </w:p>
        </w:tc>
        <w:tc>
          <w:tcPr>
            <w:tcW w:w="0" w:type="auto"/>
          </w:tcPr>
          <w:p>
            <w:pPr>
              <w:spacing w:line="240" w:lineRule="auto" w:before="0" w:after="0"/>
              <w:pStyle w:val="Compact"/>
            </w:pPr>
            <w:r>
              <w:rPr>
                <w:sz w:val="20"/>
                <w:szCs w:val="20"/>
              </w:rPr>
              <w:t xml:space="preserve">1990-049A</w:t>
            </w:r>
          </w:p>
        </w:tc>
        <w:tc>
          <w:tcPr>
            <w:tcW w:w="0" w:type="auto"/>
          </w:tcPr>
          <w:p>
            <w:pPr>
              <w:spacing w:line="240" w:lineRule="auto" w:before="0" w:after="0"/>
              <w:pStyle w:val="Compact"/>
            </w:pPr>
            <w:r>
              <w:rPr>
                <w:sz w:val="20"/>
                <w:szCs w:val="20"/>
              </w:rPr>
              <w:t xml:space="preserve">1990</w:t>
            </w:r>
          </w:p>
        </w:tc>
        <w:tc>
          <w:tcPr>
            <w:tcW w:w="0" w:type="auto"/>
          </w:tcPr>
          <w:p>
            <w:pPr>
              <w:spacing w:line="240" w:lineRule="auto" w:before="0" w:after="0"/>
              <w:pStyle w:val="Compact"/>
            </w:pPr>
            <w:r>
              <w:rPr>
                <w:sz w:val="20"/>
                <w:szCs w:val="20"/>
              </w:rPr>
              <w:t xml:space="preserve">256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580</w:t>
            </w:r>
          </w:p>
        </w:tc>
        <w:tc>
          <w:tcPr>
            <w:tcW w:w="0" w:type="auto"/>
          </w:tcPr>
          <w:p>
            <w:pPr>
              <w:spacing w:line="240" w:lineRule="auto" w:before="0" w:after="0"/>
              <w:pStyle w:val="Compact"/>
            </w:pPr>
            <w:r>
              <w:rPr>
                <w:sz w:val="20"/>
                <w:szCs w:val="20"/>
              </w:rPr>
              <w:t xml:space="preserve">580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NSSDCA 1990-049A; launched 1990-06-01, reentered 2011-10-23, ~256 months</w:t>
            </w:r>
          </w:p>
        </w:tc>
      </w:tr>
      <w:tr>
        <w:tc>
          <w:tcPr>
            <w:tcW w:w="0" w:type="auto"/>
          </w:tcPr>
          <w:p>
            <w:pPr>
              <w:spacing w:line="240" w:lineRule="auto" w:before="0" w:after="0"/>
              <w:pStyle w:val="Compact"/>
            </w:pPr>
            <w:r>
              <w:rPr>
                <w:sz w:val="20"/>
                <w:szCs w:val="20"/>
              </w:rPr>
              <w:t xml:space="preserve">GOCE</w:t>
            </w:r>
          </w:p>
        </w:tc>
        <w:tc>
          <w:tcPr>
            <w:tcW w:w="0" w:type="auto"/>
          </w:tcPr>
          <w:p>
            <w:pPr>
              <w:spacing w:line="240" w:lineRule="auto" w:before="0" w:after="0"/>
              <w:pStyle w:val="Compact"/>
            </w:pPr>
            <w:r>
              <w:rPr>
                <w:sz w:val="20"/>
                <w:szCs w:val="20"/>
              </w:rPr>
              <w:t xml:space="preserve">2009-013A</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56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255</w:t>
            </w:r>
          </w:p>
        </w:tc>
        <w:tc>
          <w:tcPr>
            <w:tcW w:w="0" w:type="auto"/>
          </w:tcPr>
          <w:p>
            <w:pPr>
              <w:spacing w:line="240" w:lineRule="auto" w:before="0" w:after="0"/>
              <w:pStyle w:val="Compact"/>
            </w:pPr>
            <w:r>
              <w:rPr>
                <w:sz w:val="20"/>
                <w:szCs w:val="20"/>
              </w:rPr>
              <w:t xml:space="preserve">260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NSSDCA 2009-013A; launched 2009-03-17, reentered 2013-11-11, ~56 months</w:t>
            </w:r>
          </w:p>
        </w:tc>
      </w:tr>
      <w:tr>
        <w:tc>
          <w:tcPr>
            <w:tcW w:w="0" w:type="auto"/>
          </w:tcPr>
          <w:p>
            <w:pPr>
              <w:spacing w:line="240" w:lineRule="auto" w:before="0" w:after="0"/>
              <w:pStyle w:val="Compact"/>
            </w:pPr>
            <w:r>
              <w:rPr>
                <w:sz w:val="20"/>
                <w:szCs w:val="20"/>
              </w:rPr>
              <w:t xml:space="preserve">Tiangong-1</w:t>
            </w:r>
          </w:p>
        </w:tc>
        <w:tc>
          <w:tcPr>
            <w:tcW w:w="0" w:type="auto"/>
          </w:tcPr>
          <w:p>
            <w:pPr>
              <w:spacing w:line="240" w:lineRule="auto" w:before="0" w:after="0"/>
              <w:pStyle w:val="Compact"/>
            </w:pPr>
            <w:r>
              <w:rPr>
                <w:sz w:val="20"/>
                <w:szCs w:val="20"/>
              </w:rPr>
              <w:t xml:space="preserve">2011-053A</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340</w:t>
            </w:r>
          </w:p>
        </w:tc>
        <w:tc>
          <w:tcPr>
            <w:tcW w:w="0" w:type="auto"/>
          </w:tcPr>
          <w:p>
            <w:pPr>
              <w:spacing w:line="240" w:lineRule="auto" w:before="0" w:after="0"/>
              <w:pStyle w:val="Compact"/>
            </w:pPr>
            <w:r>
              <w:rPr>
                <w:sz w:val="20"/>
                <w:szCs w:val="20"/>
              </w:rPr>
              <w:t xml:space="preserve">350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NSSDCA 2011-053A; launched 2011-09-29, reentered 2018-04-02, ~78 months</w:t>
            </w:r>
          </w:p>
        </w:tc>
      </w:tr>
      <w:tr>
        <w:tc>
          <w:tcPr>
            <w:tcW w:w="0" w:type="auto"/>
          </w:tcPr>
          <w:p>
            <w:pPr>
              <w:spacing w:line="240" w:lineRule="auto" w:before="0" w:after="0"/>
              <w:pStyle w:val="Compact"/>
            </w:pPr>
            <w:r>
              <w:rPr>
                <w:sz w:val="20"/>
                <w:szCs w:val="20"/>
              </w:rPr>
              <w:t xml:space="preserve">Tiangong-2</w:t>
            </w:r>
          </w:p>
        </w:tc>
        <w:tc>
          <w:tcPr>
            <w:tcW w:w="0" w:type="auto"/>
          </w:tcPr>
          <w:p>
            <w:pPr>
              <w:spacing w:line="240" w:lineRule="auto" w:before="0" w:after="0"/>
              <w:pStyle w:val="Compact"/>
            </w:pPr>
            <w:r>
              <w:rPr>
                <w:sz w:val="20"/>
                <w:szCs w:val="20"/>
              </w:rPr>
              <w:t xml:space="preserve">2016-057A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380</w:t>
            </w:r>
          </w:p>
        </w:tc>
        <w:tc>
          <w:tcPr>
            <w:tcW w:w="0" w:type="auto"/>
          </w:tcPr>
          <w:p>
            <w:pPr>
              <w:spacing w:line="240" w:lineRule="auto" w:before="0" w:after="0"/>
              <w:pStyle w:val="Compact"/>
            </w:pPr>
            <w:r>
              <w:rPr>
                <w:sz w:val="20"/>
                <w:szCs w:val="20"/>
              </w:rPr>
              <w:t xml:space="preserve">390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NSSDCA 2016-057A; launched 2016-09-15, deorbited 2019-07-19, ~34 months</w:t>
            </w:r>
          </w:p>
        </w:tc>
      </w:tr>
      <w:tr>
        <w:tc>
          <w:tcPr>
            <w:tcW w:w="0" w:type="auto"/>
          </w:tcPr>
          <w:p>
            <w:pPr>
              <w:spacing w:line="240" w:lineRule="auto" w:before="0" w:after="0"/>
              <w:pStyle w:val="Compact"/>
            </w:pPr>
            <w:r>
              <w:rPr>
                <w:sz w:val="20"/>
                <w:szCs w:val="20"/>
              </w:rPr>
              <w:t xml:space="preserve">ERS-2</w:t>
            </w:r>
          </w:p>
        </w:tc>
        <w:tc>
          <w:tcPr>
            <w:tcW w:w="0" w:type="auto"/>
          </w:tcPr>
          <w:p>
            <w:pPr>
              <w:spacing w:line="240" w:lineRule="auto" w:before="0" w:after="0"/>
              <w:pStyle w:val="Compact"/>
            </w:pPr>
            <w:r>
              <w:rPr>
                <w:sz w:val="20"/>
                <w:szCs w:val="20"/>
              </w:rPr>
              <w:t xml:space="preserve">1995-021A</w:t>
            </w:r>
          </w:p>
        </w:tc>
        <w:tc>
          <w:tcPr>
            <w:tcW w:w="0" w:type="auto"/>
          </w:tcPr>
          <w:p>
            <w:pPr>
              <w:spacing w:line="240" w:lineRule="auto" w:before="0" w:after="0"/>
              <w:pStyle w:val="Compact"/>
            </w:pPr>
            <w:r>
              <w:rPr>
                <w:sz w:val="20"/>
                <w:szCs w:val="20"/>
              </w:rPr>
              <w:t xml:space="preserve">1995</w:t>
            </w:r>
          </w:p>
        </w:tc>
        <w:tc>
          <w:tcPr>
            <w:tcW w:w="0" w:type="auto"/>
          </w:tcPr>
          <w:p>
            <w:pPr>
              <w:spacing w:line="240" w:lineRule="auto" w:before="0" w:after="0"/>
              <w:pStyle w:val="Compact"/>
            </w:pPr>
            <w:r>
              <w:rPr>
                <w:sz w:val="20"/>
                <w:szCs w:val="20"/>
              </w:rPr>
              <w:t xml:space="preserve">346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573</w:t>
            </w:r>
          </w:p>
        </w:tc>
        <w:tc>
          <w:tcPr>
            <w:tcW w:w="0" w:type="auto"/>
          </w:tcPr>
          <w:p>
            <w:pPr>
              <w:spacing w:line="240" w:lineRule="auto" w:before="0" w:after="0"/>
              <w:pStyle w:val="Compact"/>
            </w:pPr>
            <w:r>
              <w:rPr>
                <w:sz w:val="20"/>
                <w:szCs w:val="20"/>
              </w:rPr>
              <w:t xml:space="preserve">785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7.85</w:t>
            </w:r>
          </w:p>
        </w:tc>
        <w:tc>
          <w:tcPr>
            <w:tcW w:w="0" w:type="auto"/>
          </w:tcPr>
          <w:p>
            <w:pPr>
              <w:spacing w:line="240" w:lineRule="auto" w:before="0" w:after="0"/>
              <w:pStyle w:val="Compact"/>
            </w:pPr>
            <w:r>
              <w:rPr>
                <w:sz w:val="20"/>
                <w:szCs w:val="20"/>
              </w:rPr>
              <w:t xml:space="preserve">NSSDCA 1995-021A; launched 1995-04-21, reentered 2024-02-21, ~346 months</w:t>
            </w:r>
          </w:p>
        </w:tc>
      </w:tr>
      <w:tr>
        <w:tc>
          <w:tcPr>
            <w:tcW w:w="0" w:type="auto"/>
          </w:tcPr>
          <w:p>
            <w:pPr>
              <w:spacing w:line="240" w:lineRule="auto" w:before="0" w:after="0"/>
              <w:pStyle w:val="Compact"/>
            </w:pPr>
            <w:r>
              <w:rPr>
                <w:sz w:val="20"/>
                <w:szCs w:val="20"/>
              </w:rPr>
              <w:t xml:space="preserve">Cosmos 1408 debris</w:t>
            </w:r>
          </w:p>
        </w:tc>
        <w:tc>
          <w:tcPr>
            <w:tcW w:w="0" w:type="auto"/>
          </w:tcPr>
          <w:p>
            <w:pPr>
              <w:spacing w:line="240" w:lineRule="auto" w:before="0" w:after="0"/>
              <w:pStyle w:val="Compact"/>
            </w:pPr>
            <w:r>
              <w:rPr>
                <w:sz w:val="20"/>
                <w:szCs w:val="20"/>
              </w:rPr>
              <w:t xml:space="preserve">2021-frag</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480</w:t>
            </w:r>
          </w:p>
        </w:tc>
        <w:tc>
          <w:tcPr>
            <w:tcW w:w="0" w:type="auto"/>
          </w:tcPr>
          <w:p>
            <w:pPr>
              <w:spacing w:line="240" w:lineRule="auto" w:before="0" w:after="0"/>
              <w:pStyle w:val="Compact"/>
            </w:pPr>
            <w:r>
              <w:rPr>
                <w:sz w:val="20"/>
                <w:szCs w:val="20"/>
              </w:rPr>
              <w:t xml:space="preserve">485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4.85</w:t>
            </w:r>
          </w:p>
        </w:tc>
        <w:tc>
          <w:tcPr>
            <w:tcW w:w="0" w:type="auto"/>
          </w:tcPr>
          <w:p>
            <w:pPr>
              <w:spacing w:line="240" w:lineRule="auto" w:before="0" w:after="0"/>
              <w:pStyle w:val="Compact"/>
            </w:pPr>
            <w:r>
              <w:rPr>
                <w:sz w:val="20"/>
                <w:szCs w:val="20"/>
              </w:rPr>
              <w:t xml:space="preserve">Space-Track decay records; Nov-2021 ASAT fragments at ~485 km, many decayed within ~30 months</w:t>
            </w:r>
          </w:p>
        </w:tc>
      </w:tr>
      <w:tr>
        <w:tc>
          <w:tcPr>
            <w:tcW w:w="0" w:type="auto"/>
          </w:tcPr>
          <w:p>
            <w:pPr>
              <w:spacing w:line="240" w:lineRule="auto" w:before="0" w:after="0"/>
              <w:pStyle w:val="Compact"/>
            </w:pPr>
            <w:r>
              <w:rPr>
                <w:sz w:val="20"/>
                <w:szCs w:val="20"/>
              </w:rPr>
              <w:t xml:space="preserve">Cosmos 954</w:t>
            </w:r>
          </w:p>
        </w:tc>
        <w:tc>
          <w:tcPr>
            <w:tcW w:w="0" w:type="auto"/>
          </w:tcPr>
          <w:p>
            <w:pPr>
              <w:spacing w:line="240" w:lineRule="auto" w:before="0" w:after="0"/>
              <w:pStyle w:val="Compact"/>
            </w:pPr>
            <w:r>
              <w:rPr>
                <w:sz w:val="20"/>
                <w:szCs w:val="20"/>
              </w:rPr>
              <w:t xml:space="preserve">1977-090A</w:t>
            </w:r>
          </w:p>
        </w:tc>
        <w:tc>
          <w:tcPr>
            <w:tcW w:w="0" w:type="auto"/>
          </w:tcPr>
          <w:p>
            <w:pPr>
              <w:spacing w:line="240" w:lineRule="auto" w:before="0" w:after="0"/>
              <w:pStyle w:val="Compact"/>
            </w:pPr>
            <w:r>
              <w:rPr>
                <w:sz w:val="20"/>
                <w:szCs w:val="20"/>
              </w:rPr>
              <w:t xml:space="preserve">1977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259</w:t>
            </w:r>
          </w:p>
        </w:tc>
        <w:tc>
          <w:tcPr>
            <w:tcW w:w="0" w:type="auto"/>
          </w:tcPr>
          <w:p>
            <w:pPr>
              <w:spacing w:line="240" w:lineRule="auto" w:before="0" w:after="0"/>
              <w:pStyle w:val="Compact"/>
            </w:pPr>
            <w:r>
              <w:rPr>
                <w:sz w:val="20"/>
                <w:szCs w:val="20"/>
              </w:rPr>
              <w:t xml:space="preserve">270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NSSDCA 1977-090A; launched 1977-09-18, reentered 1978-01-24, ~4 months</w:t>
            </w:r>
          </w:p>
        </w:tc>
      </w:tr>
      <w:tr>
        <w:tc>
          <w:tcPr>
            <w:tcW w:w="0" w:type="auto"/>
          </w:tcPr>
          <w:p>
            <w:pPr>
              <w:spacing w:line="240" w:lineRule="auto" w:before="0" w:after="0"/>
              <w:pStyle w:val="Compact"/>
            </w:pPr>
            <w:r>
              <w:rPr>
                <w:sz w:val="20"/>
                <w:szCs w:val="20"/>
              </w:rPr>
              <w:t xml:space="preserve">GRACE-1</w:t>
            </w:r>
          </w:p>
        </w:tc>
        <w:tc>
          <w:tcPr>
            <w:tcW w:w="0" w:type="auto"/>
          </w:tcPr>
          <w:p>
            <w:pPr>
              <w:spacing w:line="240" w:lineRule="auto" w:before="0" w:after="0"/>
              <w:pStyle w:val="Compact"/>
            </w:pPr>
            <w:r>
              <w:rPr>
                <w:sz w:val="20"/>
                <w:szCs w:val="20"/>
              </w:rPr>
              <w:t xml:space="preserve">2002-012A</w:t>
            </w:r>
          </w:p>
        </w:tc>
        <w:tc>
          <w:tcPr>
            <w:tcW w:w="0" w:type="auto"/>
          </w:tcPr>
          <w:p>
            <w:pPr>
              <w:spacing w:line="240" w:lineRule="auto" w:before="0" w:after="0"/>
              <w:pStyle w:val="Compact"/>
            </w:pPr>
            <w:r>
              <w:rPr>
                <w:sz w:val="20"/>
                <w:szCs w:val="20"/>
              </w:rPr>
              <w:t xml:space="preserve">2002</w:t>
            </w:r>
          </w:p>
        </w:tc>
        <w:tc>
          <w:tcPr>
            <w:tcW w:w="0" w:type="auto"/>
          </w:tcPr>
          <w:p>
            <w:pPr>
              <w:spacing w:line="240" w:lineRule="auto" w:before="0" w:after="0"/>
              <w:pStyle w:val="Compact"/>
            </w:pPr>
            <w:r>
              <w:rPr>
                <w:sz w:val="20"/>
                <w:szCs w:val="20"/>
              </w:rPr>
              <w:t xml:space="preserve">189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485</w:t>
            </w:r>
          </w:p>
        </w:tc>
        <w:tc>
          <w:tcPr>
            <w:tcW w:w="0" w:type="auto"/>
          </w:tcPr>
          <w:p>
            <w:pPr>
              <w:spacing w:line="240" w:lineRule="auto" w:before="0" w:after="0"/>
              <w:pStyle w:val="Compact"/>
            </w:pPr>
            <w:r>
              <w:rPr>
                <w:sz w:val="20"/>
                <w:szCs w:val="20"/>
              </w:rPr>
              <w:t xml:space="preserve">485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4.85</w:t>
            </w:r>
          </w:p>
        </w:tc>
        <w:tc>
          <w:tcPr>
            <w:tcW w:w="0" w:type="auto"/>
          </w:tcPr>
          <w:p>
            <w:pPr>
              <w:spacing w:line="240" w:lineRule="auto" w:before="0" w:after="0"/>
              <w:pStyle w:val="Compact"/>
            </w:pPr>
            <w:r>
              <w:rPr>
                <w:sz w:val="20"/>
                <w:szCs w:val="20"/>
              </w:rPr>
              <w:t xml:space="preserve">NSSDCA 2002-012A; launched 2002-03-17, reentered 2017-12-24, ~189 months</w:t>
            </w:r>
          </w:p>
        </w:tc>
      </w:tr>
      <w:tr>
        <w:tc>
          <w:tcPr>
            <w:tcW w:w="0" w:type="auto"/>
          </w:tcPr>
          <w:p>
            <w:pPr>
              <w:spacing w:line="240" w:lineRule="auto" w:before="0" w:after="0"/>
              <w:pStyle w:val="Compact"/>
            </w:pPr>
            <w:r>
              <w:rPr>
                <w:sz w:val="20"/>
                <w:szCs w:val="20"/>
              </w:rPr>
              <w:t xml:space="preserve">GRACE-2</w:t>
            </w:r>
          </w:p>
        </w:tc>
        <w:tc>
          <w:tcPr>
            <w:tcW w:w="0" w:type="auto"/>
          </w:tcPr>
          <w:p>
            <w:pPr>
              <w:spacing w:line="240" w:lineRule="auto" w:before="0" w:after="0"/>
              <w:pStyle w:val="Compact"/>
            </w:pPr>
            <w:r>
              <w:rPr>
                <w:sz w:val="20"/>
                <w:szCs w:val="20"/>
              </w:rPr>
              <w:t xml:space="preserve">2002-012B</w:t>
            </w:r>
          </w:p>
        </w:tc>
        <w:tc>
          <w:tcPr>
            <w:tcW w:w="0" w:type="auto"/>
          </w:tcPr>
          <w:p>
            <w:pPr>
              <w:spacing w:line="240" w:lineRule="auto" w:before="0" w:after="0"/>
              <w:pStyle w:val="Compact"/>
            </w:pPr>
            <w:r>
              <w:rPr>
                <w:sz w:val="20"/>
                <w:szCs w:val="20"/>
              </w:rPr>
              <w:t xml:space="preserve">2002</w:t>
            </w:r>
          </w:p>
        </w:tc>
        <w:tc>
          <w:tcPr>
            <w:tcW w:w="0" w:type="auto"/>
          </w:tcPr>
          <w:p>
            <w:pPr>
              <w:spacing w:line="240" w:lineRule="auto" w:before="0" w:after="0"/>
              <w:pStyle w:val="Compact"/>
            </w:pPr>
            <w:r>
              <w:rPr>
                <w:sz w:val="20"/>
                <w:szCs w:val="20"/>
              </w:rPr>
              <w:t xml:space="preserve">192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485</w:t>
            </w:r>
          </w:p>
        </w:tc>
        <w:tc>
          <w:tcPr>
            <w:tcW w:w="0" w:type="auto"/>
          </w:tcPr>
          <w:p>
            <w:pPr>
              <w:spacing w:line="240" w:lineRule="auto" w:before="0" w:after="0"/>
              <w:pStyle w:val="Compact"/>
            </w:pPr>
            <w:r>
              <w:rPr>
                <w:sz w:val="20"/>
                <w:szCs w:val="20"/>
              </w:rPr>
              <w:t xml:space="preserve">485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4.85</w:t>
            </w:r>
          </w:p>
        </w:tc>
        <w:tc>
          <w:tcPr>
            <w:tcW w:w="0" w:type="auto"/>
          </w:tcPr>
          <w:p>
            <w:pPr>
              <w:spacing w:line="240" w:lineRule="auto" w:before="0" w:after="0"/>
              <w:pStyle w:val="Compact"/>
            </w:pPr>
            <w:r>
              <w:rPr>
                <w:sz w:val="20"/>
                <w:szCs w:val="20"/>
              </w:rPr>
              <w:t xml:space="preserve">NSSDCA 2002-012B; launched 2002-03-17, reentered 2018-03-10, ~192 months</w:t>
            </w:r>
          </w:p>
        </w:tc>
      </w:tr>
      <w:tr>
        <w:tc>
          <w:tcPr>
            <w:tcW w:w="0" w:type="auto"/>
          </w:tcPr>
          <w:p>
            <w:pPr>
              <w:spacing w:line="240" w:lineRule="auto" w:before="0" w:after="0"/>
              <w:pStyle w:val="Compact"/>
            </w:pPr>
            <w:r>
              <w:rPr>
                <w:sz w:val="20"/>
                <w:szCs w:val="20"/>
              </w:rPr>
              <w:t xml:space="preserve">Resurs-DK1 PAMELA</w:t>
            </w:r>
          </w:p>
        </w:tc>
        <w:tc>
          <w:tcPr>
            <w:tcW w:w="0" w:type="auto"/>
          </w:tcPr>
          <w:p>
            <w:pPr>
              <w:spacing w:line="240" w:lineRule="auto" w:before="0" w:after="0"/>
              <w:pStyle w:val="Compact"/>
            </w:pPr>
            <w:r>
              <w:rPr>
                <w:sz w:val="20"/>
                <w:szCs w:val="20"/>
              </w:rPr>
              <w:t xml:space="preserve">2006-021A</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213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360</w:t>
            </w:r>
          </w:p>
        </w:tc>
        <w:tc>
          <w:tcPr>
            <w:tcW w:w="0" w:type="auto"/>
          </w:tcPr>
          <w:p>
            <w:pPr>
              <w:spacing w:line="240" w:lineRule="auto" w:before="0" w:after="0"/>
              <w:pStyle w:val="Compact"/>
            </w:pPr>
            <w:r>
              <w:rPr>
                <w:sz w:val="20"/>
                <w:szCs w:val="20"/>
              </w:rPr>
              <w:t xml:space="preserve">560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5.6</w:t>
            </w:r>
          </w:p>
        </w:tc>
        <w:tc>
          <w:tcPr>
            <w:tcW w:w="0" w:type="auto"/>
          </w:tcPr>
          <w:p>
            <w:pPr>
              <w:spacing w:line="240" w:lineRule="auto" w:before="0" w:after="0"/>
              <w:pStyle w:val="Compact"/>
            </w:pPr>
            <w:r>
              <w:rPr>
                <w:sz w:val="20"/>
                <w:szCs w:val="20"/>
              </w:rPr>
              <w:t xml:space="preserve">NSSDCA 2006-021A; ~360-580 km, launched 2006-06-15, decayed 2024-03 per Space-Track, ~213 months</w:t>
            </w:r>
          </w:p>
        </w:tc>
      </w:tr>
      <w:tr>
        <w:tc>
          <w:tcPr>
            <w:tcW w:w="0" w:type="auto"/>
          </w:tcPr>
          <w:p>
            <w:pPr>
              <w:spacing w:line="240" w:lineRule="auto" w:before="0" w:after="0"/>
              <w:pStyle w:val="Compact"/>
            </w:pPr>
            <w:r>
              <w:rPr>
                <w:sz w:val="20"/>
                <w:szCs w:val="20"/>
              </w:rPr>
              <w:t xml:space="preserve">Starlink Gen1 deorbited unit</w:t>
            </w:r>
          </w:p>
        </w:tc>
        <w:tc>
          <w:tcPr>
            <w:tcW w:w="0" w:type="auto"/>
          </w:tcPr>
          <w:p>
            <w:pPr>
              <w:spacing w:line="240" w:lineRule="auto" w:before="0" w:after="0"/>
              <w:pStyle w:val="Compact"/>
            </w:pPr>
            <w:r>
              <w:rPr>
                <w:sz w:val="20"/>
                <w:szCs w:val="20"/>
              </w:rPr>
              <w:t xml:space="preserve">2019-029-typ</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540</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SpaceX/Space-Track decay records; Gen1 ~550 km units, passive decay over ~55 months [illustrative epoch]</w:t>
            </w:r>
          </w:p>
        </w:tc>
      </w:tr>
      <w:tr>
        <w:tc>
          <w:tcPr>
            <w:tcW w:w="0" w:type="auto"/>
          </w:tcPr>
          <w:p>
            <w:pPr>
              <w:spacing w:line="240" w:lineRule="auto" w:before="0" w:after="0"/>
              <w:pStyle w:val="Compact"/>
            </w:pPr>
            <w:r>
              <w:rPr>
                <w:sz w:val="20"/>
                <w:szCs w:val="20"/>
              </w:rPr>
              <w:t xml:space="preserve">Pegasus upper stage 600km class</w:t>
            </w:r>
          </w:p>
        </w:tc>
        <w:tc>
          <w:tcPr>
            <w:tcW w:w="0" w:type="auto"/>
          </w:tcPr>
          <w:p>
            <w:pPr>
              <w:spacing w:line="240" w:lineRule="auto" w:before="0" w:after="0"/>
              <w:pStyle w:val="Compact"/>
            </w:pPr>
            <w:r>
              <w:rPr>
                <w:sz w:val="20"/>
                <w:szCs w:val="20"/>
              </w:rPr>
              <w:t xml:space="preserve">1994-029B</w:t>
            </w:r>
          </w:p>
        </w:tc>
        <w:tc>
          <w:tcPr>
            <w:tcW w:w="0" w:type="auto"/>
          </w:tcPr>
          <w:p>
            <w:pPr>
              <w:spacing w:line="240" w:lineRule="auto" w:before="0" w:after="0"/>
              <w:pStyle w:val="Compact"/>
            </w:pPr>
            <w:r>
              <w:rPr>
                <w:sz w:val="20"/>
                <w:szCs w:val="20"/>
              </w:rPr>
              <w:t xml:space="preserve">1994</w:t>
            </w:r>
          </w:p>
        </w:tc>
        <w:tc>
          <w:tcPr>
            <w:tcW w:w="0" w:type="auto"/>
          </w:tcPr>
          <w:p>
            <w:pPr>
              <w:spacing w:line="240" w:lineRule="auto" w:before="0" w:after="0"/>
              <w:pStyle w:val="Compact"/>
            </w:pPr>
            <w:r>
              <w:rPr>
                <w:sz w:val="20"/>
                <w:szCs w:val="20"/>
              </w:rPr>
              <w:t xml:space="preserve">360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580</w:t>
            </w:r>
          </w:p>
        </w:tc>
        <w:tc>
          <w:tcPr>
            <w:tcW w:w="0" w:type="auto"/>
          </w:tcPr>
          <w:p>
            <w:pPr>
              <w:spacing w:line="240" w:lineRule="auto" w:before="0" w:after="0"/>
              <w:pStyle w:val="Compact"/>
            </w:pPr>
            <w:r>
              <w:rPr>
                <w:sz w:val="20"/>
                <w:szCs w:val="20"/>
              </w:rPr>
              <w:t xml:space="preserve">600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Space-Track SATCAT rocket-body decay records; ~600 km upper-stage class decayed over ~360 months [illustrative epoch]</w:t>
            </w:r>
          </w:p>
        </w:tc>
      </w:tr>
      <w:tr>
        <w:tc>
          <w:tcPr>
            <w:tcW w:w="0" w:type="auto"/>
          </w:tcPr>
          <w:p>
            <w:pPr>
              <w:spacing w:line="240" w:lineRule="auto" w:before="0" w:after="0"/>
              <w:pStyle w:val="Compact"/>
            </w:pPr>
            <w:r>
              <w:rPr>
                <w:sz w:val="20"/>
                <w:szCs w:val="20"/>
              </w:rPr>
              <w:t xml:space="preserve">Vanguard 1</w:t>
            </w:r>
          </w:p>
        </w:tc>
        <w:tc>
          <w:tcPr>
            <w:tcW w:w="0" w:type="auto"/>
          </w:tcPr>
          <w:p>
            <w:pPr>
              <w:spacing w:line="240" w:lineRule="auto" w:before="0" w:after="0"/>
              <w:pStyle w:val="Compact"/>
            </w:pPr>
            <w:r>
              <w:rPr>
                <w:sz w:val="20"/>
                <w:szCs w:val="20"/>
              </w:rPr>
              <w:t xml:space="preserve">1958-002B</w:t>
            </w:r>
          </w:p>
        </w:tc>
        <w:tc>
          <w:tcPr>
            <w:tcW w:w="0" w:type="auto"/>
          </w:tcPr>
          <w:p>
            <w:pPr>
              <w:spacing w:line="240" w:lineRule="auto" w:before="0" w:after="0"/>
              <w:pStyle w:val="Compact"/>
            </w:pPr>
            <w:r>
              <w:rPr>
                <w:sz w:val="20"/>
                <w:szCs w:val="20"/>
              </w:rPr>
              <w:t xml:space="preserve">1958</w:t>
            </w:r>
          </w:p>
        </w:tc>
        <w:tc>
          <w:tcPr>
            <w:tcW w:w="0" w:type="auto"/>
          </w:tcPr>
          <w:p>
            <w:pPr>
              <w:spacing w:line="240" w:lineRule="auto" w:before="0" w:after="0"/>
              <w:pStyle w:val="Compact"/>
            </w:pPr>
            <w:r>
              <w:rPr>
                <w:sz w:val="20"/>
                <w:szCs w:val="20"/>
              </w:rPr>
              <w:t xml:space="preserve">820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654</w:t>
            </w:r>
          </w:p>
        </w:tc>
        <w:tc>
          <w:tcPr>
            <w:tcW w:w="0" w:type="auto"/>
          </w:tcPr>
          <w:p>
            <w:pPr>
              <w:spacing w:line="240" w:lineRule="auto" w:before="0" w:after="0"/>
              <w:pStyle w:val="Compact"/>
            </w:pPr>
            <w:r>
              <w:rPr>
                <w:sz w:val="20"/>
                <w:szCs w:val="20"/>
              </w:rPr>
              <w:t xml:space="preserve">3000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NSSDCA 1958-002B; launched 1958-03-17, still on orbit at 2026-06 snapshot, ~820 months censored</w:t>
            </w:r>
          </w:p>
        </w:tc>
      </w:tr>
      <w:tr>
        <w:tc>
          <w:tcPr>
            <w:tcW w:w="0" w:type="auto"/>
          </w:tcPr>
          <w:p>
            <w:pPr>
              <w:spacing w:line="240" w:lineRule="auto" w:before="0" w:after="0"/>
              <w:pStyle w:val="Compact"/>
            </w:pPr>
            <w:r>
              <w:rPr>
                <w:sz w:val="20"/>
                <w:szCs w:val="20"/>
              </w:rPr>
              <w:t xml:space="preserve">Vanguard 2</w:t>
            </w:r>
          </w:p>
        </w:tc>
        <w:tc>
          <w:tcPr>
            <w:tcW w:w="0" w:type="auto"/>
          </w:tcPr>
          <w:p>
            <w:pPr>
              <w:spacing w:line="240" w:lineRule="auto" w:before="0" w:after="0"/>
              <w:pStyle w:val="Compact"/>
            </w:pPr>
            <w:r>
              <w:rPr>
                <w:sz w:val="20"/>
                <w:szCs w:val="20"/>
              </w:rPr>
              <w:t xml:space="preserve">1959-001A</w:t>
            </w:r>
          </w:p>
        </w:tc>
        <w:tc>
          <w:tcPr>
            <w:tcW w:w="0" w:type="auto"/>
          </w:tcPr>
          <w:p>
            <w:pPr>
              <w:spacing w:line="240" w:lineRule="auto" w:before="0" w:after="0"/>
              <w:pStyle w:val="Compact"/>
            </w:pPr>
            <w:r>
              <w:rPr>
                <w:sz w:val="20"/>
                <w:szCs w:val="20"/>
              </w:rPr>
              <w:t xml:space="preserve">1959</w:t>
            </w:r>
          </w:p>
        </w:tc>
        <w:tc>
          <w:tcPr>
            <w:tcW w:w="0" w:type="auto"/>
          </w:tcPr>
          <w:p>
            <w:pPr>
              <w:spacing w:line="240" w:lineRule="auto" w:before="0" w:after="0"/>
              <w:pStyle w:val="Compact"/>
            </w:pPr>
            <w:r>
              <w:rPr>
                <w:sz w:val="20"/>
                <w:szCs w:val="20"/>
              </w:rPr>
              <w:t xml:space="preserve">808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557</w:t>
            </w:r>
          </w:p>
        </w:tc>
        <w:tc>
          <w:tcPr>
            <w:tcW w:w="0" w:type="auto"/>
          </w:tcPr>
          <w:p>
            <w:pPr>
              <w:spacing w:line="240" w:lineRule="auto" w:before="0" w:after="0"/>
              <w:pStyle w:val="Compact"/>
            </w:pPr>
            <w:r>
              <w:rPr>
                <w:sz w:val="20"/>
                <w:szCs w:val="20"/>
              </w:rPr>
              <w:t xml:space="preserve">2700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NSSDCA 1959-001A; launched 1959-02-17, still on orbit at 2026-06 snapshot, ~808 months censored</w:t>
            </w:r>
          </w:p>
        </w:tc>
      </w:tr>
      <w:tr>
        <w:tc>
          <w:tcPr>
            <w:tcW w:w="0" w:type="auto"/>
          </w:tcPr>
          <w:p>
            <w:pPr>
              <w:spacing w:line="240" w:lineRule="auto" w:before="0" w:after="0"/>
              <w:pStyle w:val="Compact"/>
            </w:pPr>
            <w:r>
              <w:rPr>
                <w:sz w:val="20"/>
                <w:szCs w:val="20"/>
              </w:rPr>
              <w:t xml:space="preserve">SeaSat</w:t>
            </w:r>
          </w:p>
        </w:tc>
        <w:tc>
          <w:tcPr>
            <w:tcW w:w="0" w:type="auto"/>
          </w:tcPr>
          <w:p>
            <w:pPr>
              <w:spacing w:line="240" w:lineRule="auto" w:before="0" w:after="0"/>
              <w:pStyle w:val="Compact"/>
            </w:pPr>
            <w:r>
              <w:rPr>
                <w:sz w:val="20"/>
                <w:szCs w:val="20"/>
              </w:rPr>
              <w:t xml:space="preserve">1978-064A</w:t>
            </w:r>
          </w:p>
        </w:tc>
        <w:tc>
          <w:tcPr>
            <w:tcW w:w="0" w:type="auto"/>
          </w:tcPr>
          <w:p>
            <w:pPr>
              <w:spacing w:line="240" w:lineRule="auto" w:before="0" w:after="0"/>
              <w:pStyle w:val="Compact"/>
            </w:pPr>
            <w:r>
              <w:rPr>
                <w:sz w:val="20"/>
                <w:szCs w:val="20"/>
              </w:rPr>
              <w:t xml:space="preserve">1978</w:t>
            </w:r>
          </w:p>
        </w:tc>
        <w:tc>
          <w:tcPr>
            <w:tcW w:w="0" w:type="auto"/>
          </w:tcPr>
          <w:p>
            <w:pPr>
              <w:spacing w:line="240" w:lineRule="auto" w:before="0" w:after="0"/>
              <w:pStyle w:val="Compact"/>
            </w:pPr>
            <w:r>
              <w:rPr>
                <w:sz w:val="20"/>
                <w:szCs w:val="20"/>
              </w:rPr>
              <w:t xml:space="preserve">575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765</w:t>
            </w:r>
          </w:p>
        </w:tc>
        <w:tc>
          <w:tcPr>
            <w:tcW w:w="0" w:type="auto"/>
          </w:tcPr>
          <w:p>
            <w:pPr>
              <w:spacing w:line="240" w:lineRule="auto" w:before="0" w:after="0"/>
              <w:pStyle w:val="Compact"/>
            </w:pPr>
            <w:r>
              <w:rPr>
                <w:sz w:val="20"/>
                <w:szCs w:val="20"/>
              </w:rPr>
              <w:t xml:space="preserve">775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7.75</w:t>
            </w:r>
          </w:p>
        </w:tc>
        <w:tc>
          <w:tcPr>
            <w:tcW w:w="0" w:type="auto"/>
          </w:tcPr>
          <w:p>
            <w:pPr>
              <w:spacing w:line="240" w:lineRule="auto" w:before="0" w:after="0"/>
              <w:pStyle w:val="Compact"/>
            </w:pPr>
            <w:r>
              <w:rPr>
                <w:sz w:val="20"/>
                <w:szCs w:val="20"/>
              </w:rPr>
              <w:t xml:space="preserve">NSSDCA 1978-064A; launched 1978-06-27, on orbit at 2026-06 snapshot, ~575 months censored</w:t>
            </w:r>
          </w:p>
        </w:tc>
      </w:tr>
      <w:tr>
        <w:tc>
          <w:tcPr>
            <w:tcW w:w="0" w:type="auto"/>
          </w:tcPr>
          <w:p>
            <w:pPr>
              <w:spacing w:line="240" w:lineRule="auto" w:before="0" w:after="0"/>
              <w:pStyle w:val="Compact"/>
            </w:pPr>
            <w:r>
              <w:rPr>
                <w:sz w:val="20"/>
                <w:szCs w:val="20"/>
              </w:rPr>
              <w:t xml:space="preserve">TIROS-N class polar 850km</w:t>
            </w:r>
          </w:p>
        </w:tc>
        <w:tc>
          <w:tcPr>
            <w:tcW w:w="0" w:type="auto"/>
          </w:tcPr>
          <w:p>
            <w:pPr>
              <w:spacing w:line="240" w:lineRule="auto" w:before="0" w:after="0"/>
              <w:pStyle w:val="Compact"/>
            </w:pPr>
            <w:r>
              <w:rPr>
                <w:sz w:val="20"/>
                <w:szCs w:val="20"/>
              </w:rPr>
              <w:t xml:space="preserve">1978-096A</w:t>
            </w:r>
          </w:p>
        </w:tc>
        <w:tc>
          <w:tcPr>
            <w:tcW w:w="0" w:type="auto"/>
          </w:tcPr>
          <w:p>
            <w:pPr>
              <w:spacing w:line="240" w:lineRule="auto" w:before="0" w:after="0"/>
              <w:pStyle w:val="Compact"/>
            </w:pPr>
            <w:r>
              <w:rPr>
                <w:sz w:val="20"/>
                <w:szCs w:val="20"/>
              </w:rPr>
              <w:t xml:space="preserve">1978</w:t>
            </w:r>
          </w:p>
        </w:tc>
        <w:tc>
          <w:tcPr>
            <w:tcW w:w="0" w:type="auto"/>
          </w:tcPr>
          <w:p>
            <w:pPr>
              <w:spacing w:line="240" w:lineRule="auto" w:before="0" w:after="0"/>
              <w:pStyle w:val="Compact"/>
            </w:pPr>
            <w:r>
              <w:rPr>
                <w:sz w:val="20"/>
                <w:szCs w:val="20"/>
              </w:rPr>
              <w:t xml:space="preserve">572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840</w:t>
            </w:r>
          </w:p>
        </w:tc>
        <w:tc>
          <w:tcPr>
            <w:tcW w:w="0" w:type="auto"/>
          </w:tcPr>
          <w:p>
            <w:pPr>
              <w:spacing w:line="240" w:lineRule="auto" w:before="0" w:after="0"/>
              <w:pStyle w:val="Compact"/>
            </w:pPr>
            <w:r>
              <w:rPr>
                <w:sz w:val="20"/>
                <w:szCs w:val="20"/>
              </w:rPr>
              <w:t xml:space="preserve">850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NSSDCA 1978-096A; ~850 km polar class, on orbit at 2026-06 snapshot, ~572 months censored</w:t>
            </w:r>
          </w:p>
        </w:tc>
      </w:tr>
      <w:tr>
        <w:tc>
          <w:tcPr>
            <w:tcW w:w="0" w:type="auto"/>
          </w:tcPr>
          <w:p>
            <w:pPr>
              <w:spacing w:line="240" w:lineRule="auto" w:before="0" w:after="0"/>
              <w:pStyle w:val="Compact"/>
            </w:pPr>
            <w:r>
              <w:rPr>
                <w:sz w:val="20"/>
                <w:szCs w:val="20"/>
              </w:rPr>
              <w:t xml:space="preserve">Hubble Space Telescope</w:t>
            </w:r>
          </w:p>
        </w:tc>
        <w:tc>
          <w:tcPr>
            <w:tcW w:w="0" w:type="auto"/>
          </w:tcPr>
          <w:p>
            <w:pPr>
              <w:spacing w:line="240" w:lineRule="auto" w:before="0" w:after="0"/>
              <w:pStyle w:val="Compact"/>
            </w:pPr>
            <w:r>
              <w:rPr>
                <w:sz w:val="20"/>
                <w:szCs w:val="20"/>
              </w:rPr>
              <w:t xml:space="preserve">1990-037B</w:t>
            </w:r>
          </w:p>
        </w:tc>
        <w:tc>
          <w:tcPr>
            <w:tcW w:w="0" w:type="auto"/>
          </w:tcPr>
          <w:p>
            <w:pPr>
              <w:spacing w:line="240" w:lineRule="auto" w:before="0" w:after="0"/>
              <w:pStyle w:val="Compact"/>
            </w:pPr>
            <w:r>
              <w:rPr>
                <w:sz w:val="20"/>
                <w:szCs w:val="20"/>
              </w:rPr>
              <w:t xml:space="preserve">1990</w:t>
            </w:r>
          </w:p>
        </w:tc>
        <w:tc>
          <w:tcPr>
            <w:tcW w:w="0" w:type="auto"/>
          </w:tcPr>
          <w:p>
            <w:pPr>
              <w:spacing w:line="240" w:lineRule="auto" w:before="0" w:after="0"/>
              <w:pStyle w:val="Compact"/>
            </w:pPr>
            <w:r>
              <w:rPr>
                <w:sz w:val="20"/>
                <w:szCs w:val="20"/>
              </w:rPr>
              <w:t xml:space="preserve">434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540</w:t>
            </w:r>
          </w:p>
        </w:tc>
        <w:tc>
          <w:tcPr>
            <w:tcW w:w="0" w:type="auto"/>
          </w:tcPr>
          <w:p>
            <w:pPr>
              <w:spacing w:line="240" w:lineRule="auto" w:before="0" w:after="0"/>
              <w:pStyle w:val="Compact"/>
            </w:pPr>
            <w:r>
              <w:rPr>
                <w:sz w:val="20"/>
                <w:szCs w:val="20"/>
              </w:rPr>
              <w:t xml:space="preserve">540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NSSDCA 1990-037B; launched 1990-04-24, on orbit at 2026-06 snapshot, ~434 months censored</w:t>
            </w:r>
          </w:p>
        </w:tc>
      </w:tr>
      <w:tr>
        <w:tc>
          <w:tcPr>
            <w:tcW w:w="0" w:type="auto"/>
          </w:tcPr>
          <w:p>
            <w:pPr>
              <w:spacing w:line="240" w:lineRule="auto" w:before="0" w:after="0"/>
              <w:pStyle w:val="Compact"/>
            </w:pPr>
            <w:r>
              <w:rPr>
                <w:sz w:val="20"/>
                <w:szCs w:val="20"/>
              </w:rPr>
              <w:t xml:space="preserve">Envisat</w:t>
            </w:r>
          </w:p>
        </w:tc>
        <w:tc>
          <w:tcPr>
            <w:tcW w:w="0" w:type="auto"/>
          </w:tcPr>
          <w:p>
            <w:pPr>
              <w:spacing w:line="240" w:lineRule="auto" w:before="0" w:after="0"/>
              <w:pStyle w:val="Compact"/>
            </w:pPr>
            <w:r>
              <w:rPr>
                <w:sz w:val="20"/>
                <w:szCs w:val="20"/>
              </w:rPr>
              <w:t xml:space="preserve">2002-009A</w:t>
            </w:r>
          </w:p>
        </w:tc>
        <w:tc>
          <w:tcPr>
            <w:tcW w:w="0" w:type="auto"/>
          </w:tcPr>
          <w:p>
            <w:pPr>
              <w:spacing w:line="240" w:lineRule="auto" w:before="0" w:after="0"/>
              <w:pStyle w:val="Compact"/>
            </w:pPr>
            <w:r>
              <w:rPr>
                <w:sz w:val="20"/>
                <w:szCs w:val="20"/>
              </w:rPr>
              <w:t xml:space="preserve">2002</w:t>
            </w:r>
          </w:p>
        </w:tc>
        <w:tc>
          <w:tcPr>
            <w:tcW w:w="0" w:type="auto"/>
          </w:tcPr>
          <w:p>
            <w:pPr>
              <w:spacing w:line="240" w:lineRule="auto" w:before="0" w:after="0"/>
              <w:pStyle w:val="Compact"/>
            </w:pPr>
            <w:r>
              <w:rPr>
                <w:sz w:val="20"/>
                <w:szCs w:val="20"/>
              </w:rPr>
              <w:t xml:space="preserve">290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768</w:t>
            </w:r>
          </w:p>
        </w:tc>
        <w:tc>
          <w:tcPr>
            <w:tcW w:w="0" w:type="auto"/>
          </w:tcPr>
          <w:p>
            <w:pPr>
              <w:spacing w:line="240" w:lineRule="auto" w:before="0" w:after="0"/>
              <w:pStyle w:val="Compact"/>
            </w:pPr>
            <w:r>
              <w:rPr>
                <w:sz w:val="20"/>
                <w:szCs w:val="20"/>
              </w:rPr>
              <w:t xml:space="preserve">768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7.68</w:t>
            </w:r>
          </w:p>
        </w:tc>
        <w:tc>
          <w:tcPr>
            <w:tcW w:w="0" w:type="auto"/>
          </w:tcPr>
          <w:p>
            <w:pPr>
              <w:spacing w:line="240" w:lineRule="auto" w:before="0" w:after="0"/>
              <w:pStyle w:val="Compact"/>
            </w:pPr>
            <w:r>
              <w:rPr>
                <w:sz w:val="20"/>
                <w:szCs w:val="20"/>
              </w:rPr>
              <w:t xml:space="preserve">NSSDCA 2002-009A; launched 2002-03-01, defunct since 2012, on orbit at 2026-06 snapshot, ~290 months censored</w:t>
            </w:r>
          </w:p>
        </w:tc>
      </w:tr>
      <w:tr>
        <w:tc>
          <w:tcPr>
            <w:tcW w:w="0" w:type="auto"/>
          </w:tcPr>
          <w:p>
            <w:pPr>
              <w:spacing w:line="240" w:lineRule="auto" w:before="0" w:after="0"/>
              <w:pStyle w:val="Compact"/>
            </w:pPr>
            <w:r>
              <w:rPr>
                <w:sz w:val="20"/>
                <w:szCs w:val="20"/>
              </w:rPr>
              <w:t xml:space="preserve">Fengyun-1C debris cloud</w:t>
            </w:r>
          </w:p>
        </w:tc>
        <w:tc>
          <w:tcPr>
            <w:tcW w:w="0" w:type="auto"/>
          </w:tcPr>
          <w:p>
            <w:pPr>
              <w:spacing w:line="240" w:lineRule="auto" w:before="0" w:after="0"/>
              <w:pStyle w:val="Compact"/>
            </w:pPr>
            <w:r>
              <w:rPr>
                <w:sz w:val="20"/>
                <w:szCs w:val="20"/>
              </w:rPr>
              <w:t xml:space="preserve">1999-025-frag</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326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850</w:t>
            </w:r>
          </w:p>
        </w:tc>
        <w:tc>
          <w:tcPr>
            <w:tcW w:w="0" w:type="auto"/>
          </w:tcPr>
          <w:p>
            <w:pPr>
              <w:spacing w:line="240" w:lineRule="auto" w:before="0" w:after="0"/>
              <w:pStyle w:val="Compact"/>
            </w:pPr>
            <w:r>
              <w:rPr>
                <w:sz w:val="20"/>
                <w:szCs w:val="20"/>
              </w:rPr>
              <w:t xml:space="preserve">850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Pardini &amp; Anselmo Acta Astronautica 184 (2021) 11-22, doi:10.1016/j.actaastro.2021.03.030; FY-1C 2007 fragments ~850 km, long residual lifetimes, largely on orbit, ~326 months censored</w:t>
            </w:r>
          </w:p>
        </w:tc>
      </w:tr>
      <w:tr>
        <w:tc>
          <w:tcPr>
            <w:tcW w:w="0" w:type="auto"/>
          </w:tcPr>
          <w:p>
            <w:pPr>
              <w:spacing w:line="240" w:lineRule="auto" w:before="0" w:after="0"/>
              <w:pStyle w:val="Compact"/>
            </w:pPr>
            <w:r>
              <w:rPr>
                <w:sz w:val="20"/>
                <w:szCs w:val="20"/>
              </w:rPr>
              <w:t xml:space="preserve">Iridium 33 collision debris</w:t>
            </w:r>
          </w:p>
        </w:tc>
        <w:tc>
          <w:tcPr>
            <w:tcW w:w="0" w:type="auto"/>
          </w:tcPr>
          <w:p>
            <w:pPr>
              <w:spacing w:line="240" w:lineRule="auto" w:before="0" w:after="0"/>
              <w:pStyle w:val="Compact"/>
            </w:pPr>
            <w:r>
              <w:rPr>
                <w:sz w:val="20"/>
                <w:szCs w:val="20"/>
              </w:rPr>
              <w:t xml:space="preserve">2009-frag</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208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780</w:t>
            </w:r>
          </w:p>
        </w:tc>
        <w:tc>
          <w:tcPr>
            <w:tcW w:w="0" w:type="auto"/>
          </w:tcPr>
          <w:p>
            <w:pPr>
              <w:spacing w:line="240" w:lineRule="auto" w:before="0" w:after="0"/>
              <w:pStyle w:val="Compact"/>
            </w:pPr>
            <w:r>
              <w:rPr>
                <w:sz w:val="20"/>
                <w:szCs w:val="20"/>
              </w:rPr>
              <w:t xml:space="preserve">780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Pardini &amp; Anselmo Acta Astronautica 184 (2021); Iridium-Cosmos 2009 fragments at ~780 km, multi-decade lifetimes, largely on orbit, ~208 months censored</w:t>
            </w:r>
          </w:p>
        </w:tc>
      </w:tr>
      <w:tr>
        <w:tc>
          <w:tcPr>
            <w:tcW w:w="0" w:type="auto"/>
          </w:tcPr>
          <w:p>
            <w:pPr>
              <w:spacing w:line="240" w:lineRule="auto" w:before="0" w:after="0"/>
              <w:pStyle w:val="Compact"/>
            </w:pPr>
            <w:r>
              <w:rPr>
                <w:sz w:val="20"/>
                <w:szCs w:val="20"/>
              </w:rPr>
              <w:t xml:space="preserve">Iridium NEXT operational</w:t>
            </w:r>
          </w:p>
        </w:tc>
        <w:tc>
          <w:tcPr>
            <w:tcW w:w="0" w:type="auto"/>
          </w:tcPr>
          <w:p>
            <w:pPr>
              <w:spacing w:line="240" w:lineRule="auto" w:before="0" w:after="0"/>
              <w:pStyle w:val="Compact"/>
            </w:pPr>
            <w:r>
              <w:rPr>
                <w:sz w:val="20"/>
                <w:szCs w:val="20"/>
              </w:rPr>
              <w:t xml:space="preserve">2017-003-typ</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780</w:t>
            </w:r>
          </w:p>
        </w:tc>
        <w:tc>
          <w:tcPr>
            <w:tcW w:w="0" w:type="auto"/>
          </w:tcPr>
          <w:p>
            <w:pPr>
              <w:spacing w:line="240" w:lineRule="auto" w:before="0" w:after="0"/>
              <w:pStyle w:val="Compact"/>
            </w:pPr>
            <w:r>
              <w:rPr>
                <w:sz w:val="20"/>
                <w:szCs w:val="20"/>
              </w:rPr>
              <w:t xml:space="preserve">780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Iridium/Space-Track; ~780 km operational constellation, on orbit at 2026-06 snapshot, ~113 months censored</w:t>
            </w:r>
          </w:p>
        </w:tc>
      </w:tr>
      <w:tr>
        <w:tc>
          <w:tcPr>
            <w:tcW w:w="0" w:type="auto"/>
          </w:tcPr>
          <w:p>
            <w:pPr>
              <w:spacing w:line="240" w:lineRule="auto" w:before="0" w:after="0"/>
              <w:pStyle w:val="Compact"/>
            </w:pPr>
            <w:r>
              <w:rPr>
                <w:sz w:val="20"/>
                <w:szCs w:val="20"/>
              </w:rPr>
              <w:t xml:space="preserve">OneWeb operational</w:t>
            </w:r>
          </w:p>
        </w:tc>
        <w:tc>
          <w:tcPr>
            <w:tcW w:w="0" w:type="auto"/>
          </w:tcPr>
          <w:p>
            <w:pPr>
              <w:spacing w:line="240" w:lineRule="auto" w:before="0" w:after="0"/>
              <w:pStyle w:val="Compact"/>
            </w:pPr>
            <w:r>
              <w:rPr>
                <w:sz w:val="20"/>
                <w:szCs w:val="20"/>
              </w:rPr>
              <w:t xml:space="preserve">2019-038-typ</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OneWeb/Space-Track; ~1200 km operational constellation, on orbit at 2026-06 snapshot, ~86 months censored</w:t>
            </w:r>
          </w:p>
        </w:tc>
      </w:tr>
      <w:tr>
        <w:tc>
          <w:tcPr>
            <w:tcW w:w="0" w:type="auto"/>
          </w:tcPr>
          <w:p>
            <w:pPr>
              <w:spacing w:line="240" w:lineRule="auto" w:before="0" w:after="0"/>
              <w:pStyle w:val="Compact"/>
            </w:pPr>
            <w:r>
              <w:rPr>
                <w:sz w:val="20"/>
                <w:szCs w:val="20"/>
              </w:rPr>
              <w:t xml:space="preserve">ISS Zarya</w:t>
            </w:r>
          </w:p>
        </w:tc>
        <w:tc>
          <w:tcPr>
            <w:tcW w:w="0" w:type="auto"/>
          </w:tcPr>
          <w:p>
            <w:pPr>
              <w:spacing w:line="240" w:lineRule="auto" w:before="0" w:after="0"/>
              <w:pStyle w:val="Compact"/>
            </w:pPr>
            <w:r>
              <w:rPr>
                <w:sz w:val="20"/>
                <w:szCs w:val="20"/>
              </w:rPr>
              <w:t xml:space="preserve">1998-067A</w:t>
            </w:r>
          </w:p>
        </w:tc>
        <w:tc>
          <w:tcPr>
            <w:tcW w:w="0" w:type="auto"/>
          </w:tcPr>
          <w:p>
            <w:pPr>
              <w:spacing w:line="240" w:lineRule="auto" w:before="0" w:after="0"/>
              <w:pStyle w:val="Compact"/>
            </w:pPr>
            <w:r>
              <w:rPr>
                <w:sz w:val="20"/>
                <w:szCs w:val="20"/>
              </w:rPr>
              <w:t xml:space="preserve">1998</w:t>
            </w:r>
          </w:p>
        </w:tc>
        <w:tc>
          <w:tcPr>
            <w:tcW w:w="0" w:type="auto"/>
          </w:tcPr>
          <w:p>
            <w:pPr>
              <w:spacing w:line="240" w:lineRule="auto" w:before="0" w:after="0"/>
              <w:pStyle w:val="Compact"/>
            </w:pPr>
            <w:r>
              <w:rPr>
                <w:sz w:val="20"/>
                <w:szCs w:val="20"/>
              </w:rPr>
              <w:t xml:space="preserve">331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410</w:t>
            </w:r>
          </w:p>
        </w:tc>
        <w:tc>
          <w:tcPr>
            <w:tcW w:w="0" w:type="auto"/>
          </w:tcPr>
          <w:p>
            <w:pPr>
              <w:spacing w:line="240" w:lineRule="auto" w:before="0" w:after="0"/>
              <w:pStyle w:val="Compact"/>
            </w:pPr>
            <w:r>
              <w:rPr>
                <w:sz w:val="20"/>
                <w:szCs w:val="20"/>
              </w:rPr>
              <w:t xml:space="preserve">410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NSSDCA 1998-067A; launched 1998-11-20, drag-maintained ~410 km, on orbit at 2026-06 snapshot, ~331 months censored</w:t>
            </w:r>
          </w:p>
        </w:tc>
      </w:tr>
      <w:tr>
        <w:tc>
          <w:tcPr>
            <w:tcW w:w="0" w:type="auto"/>
          </w:tcPr>
          <w:p>
            <w:pPr>
              <w:spacing w:line="240" w:lineRule="auto" w:before="0" w:after="0"/>
              <w:pStyle w:val="Compact"/>
            </w:pPr>
            <w:r>
              <w:rPr>
                <w:sz w:val="20"/>
                <w:szCs w:val="20"/>
              </w:rPr>
              <w:t xml:space="preserve">Delta II second stage 710km class</w:t>
            </w:r>
          </w:p>
        </w:tc>
        <w:tc>
          <w:tcPr>
            <w:tcW w:w="0" w:type="auto"/>
          </w:tcPr>
          <w:p>
            <w:pPr>
              <w:spacing w:line="240" w:lineRule="auto" w:before="0" w:after="0"/>
              <w:pStyle w:val="Compact"/>
            </w:pPr>
            <w:r>
              <w:rPr>
                <w:sz w:val="20"/>
                <w:szCs w:val="20"/>
              </w:rPr>
              <w:t xml:space="preserve">1997-deb</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348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710</w:t>
            </w:r>
          </w:p>
        </w:tc>
        <w:tc>
          <w:tcPr>
            <w:tcW w:w="0" w:type="auto"/>
          </w:tcPr>
          <w:p>
            <w:pPr>
              <w:spacing w:line="240" w:lineRule="auto" w:before="0" w:after="0"/>
              <w:pStyle w:val="Compact"/>
            </w:pPr>
            <w:r>
              <w:rPr>
                <w:sz w:val="20"/>
                <w:szCs w:val="20"/>
              </w:rPr>
              <w:t xml:space="preserve">710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Space-Track SATCAT; Delta-II second-stage class ~710 km, on orbit at 2026-06 snapshot, ~348 months censored [illustrative epoch]</w:t>
            </w:r>
          </w:p>
        </w:tc>
      </w:tr>
    </w:tbl>
    <w:bookmarkEnd w:id="195"/>
    <w:bookmarkStart w:id="196" w:name="variable-construction-4"/>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months_on_orbit</w:t>
            </w:r>
          </w:p>
        </w:tc>
        <w:tc>
          <w:tcPr>
            <w:tcW w:w="0" w:type="auto"/>
          </w:tcPr>
          <w:p>
            <w:pPr>
              <w:spacing w:line="240" w:lineRule="auto" w:before="0" w:after="0"/>
              <w:pStyle w:val="Compact"/>
            </w:pPr>
            <w:r>
              <w:rPr>
                <w:sz w:val="20"/>
                <w:szCs w:val="20"/>
              </w:rPr>
              <w:t xml:space="preserve">Survival time in months from launch epoch to decay or reentry; for objects still on orbit at the 2026-06 catalog snapshot, the elapsed months from launch to snapshot (right-censored)</w:t>
            </w:r>
          </w:p>
        </w:tc>
        <w:tc>
          <w:tcPr>
            <w:tcW w:w="0" w:type="auto"/>
          </w:tcPr>
          <w:p>
            <w:pPr>
              <w:spacing w:line="240" w:lineRule="auto" w:before="0" w:after="0"/>
              <w:pStyle w:val="Compact"/>
            </w:pPr>
            <w:r>
              <w:rPr>
                <w:sz w:val="20"/>
                <w:szCs w:val="20"/>
              </w:rPr>
              <w:t xml:space="preserve">NSSDCA Master Catalog; Space-Track SATCAT decay records; ESA/Aerospace reentry records</w:t>
            </w:r>
          </w:p>
        </w:tc>
      </w:tr>
      <w:tr>
        <w:tc>
          <w:tcPr>
            <w:tcW w:w="0" w:type="auto"/>
          </w:tcPr>
          <w:p>
            <w:pPr>
              <w:spacing w:line="240" w:lineRule="auto" w:before="0" w:after="0"/>
              <w:pStyle w:val="Compact"/>
            </w:pPr>
            <w:r>
              <w:rPr>
                <w:sz w:val="20"/>
                <w:szCs w:val="20"/>
              </w:rPr>
              <w:t xml:space="preserve">decayed</w:t>
            </w:r>
          </w:p>
        </w:tc>
        <w:tc>
          <w:tcPr>
            <w:tcW w:w="0" w:type="auto"/>
          </w:tcPr>
          <w:p>
            <w:pPr>
              <w:spacing w:line="240" w:lineRule="auto" w:before="0" w:after="0"/>
              <w:pStyle w:val="Compact"/>
            </w:pPr>
            <w:r>
              <w:rPr>
                <w:sz w:val="20"/>
                <w:szCs w:val="20"/>
              </w:rPr>
              <w:t xml:space="preserve">Event indicator equal to 1 if the object decayed or reentered, 0 if still on orbit (right-censored) at the snapshot</w:t>
            </w:r>
          </w:p>
        </w:tc>
        <w:tc>
          <w:tcPr>
            <w:tcW w:w="0" w:type="auto"/>
          </w:tcPr>
          <w:p>
            <w:pPr>
              <w:spacing w:line="240" w:lineRule="auto" w:before="0" w:after="0"/>
              <w:pStyle w:val="Compact"/>
            </w:pPr>
            <w:r>
              <w:rPr>
                <w:sz w:val="20"/>
                <w:szCs w:val="20"/>
              </w:rPr>
              <w:t xml:space="preserve">NSSDCA; Space-Track SATCAT status fields</w:t>
            </w:r>
          </w:p>
        </w:tc>
      </w:tr>
      <w:tr>
        <w:tc>
          <w:tcPr>
            <w:tcW w:w="0" w:type="auto"/>
          </w:tcPr>
          <w:p>
            <w:pPr>
              <w:spacing w:line="240" w:lineRule="auto" w:before="0" w:after="0"/>
              <w:pStyle w:val="Compact"/>
            </w:pPr>
            <w:r>
              <w:rPr>
                <w:sz w:val="20"/>
                <w:szCs w:val="20"/>
              </w:rPr>
              <w:t xml:space="preserve">alt_band_100km</w:t>
            </w:r>
          </w:p>
        </w:tc>
        <w:tc>
          <w:tcPr>
            <w:tcW w:w="0" w:type="auto"/>
          </w:tcPr>
          <w:p>
            <w:pPr>
              <w:spacing w:line="240" w:lineRule="auto" w:before="0" w:after="0"/>
              <w:pStyle w:val="Compact"/>
            </w:pPr>
            <w:r>
              <w:rPr>
                <w:sz w:val="20"/>
                <w:szCs w:val="20"/>
              </w:rPr>
              <w:t xml:space="preserve">Mean operational orbital altitude band in hundreds of kilometers; covariate proxy for the atmospheric-drag removal term governing band sink strength</w:t>
            </w:r>
          </w:p>
        </w:tc>
        <w:tc>
          <w:tcPr>
            <w:tcW w:w="0" w:type="auto"/>
          </w:tcPr>
          <w:p>
            <w:pPr>
              <w:spacing w:line="240" w:lineRule="auto" w:before="0" w:after="0"/>
              <w:pStyle w:val="Compact"/>
            </w:pPr>
            <w:r>
              <w:rPr>
                <w:sz w:val="20"/>
                <w:szCs w:val="20"/>
              </w:rPr>
              <w:t xml:space="preserve">NSSDCA orbital elements; Pardini and Anselmo, Acta Astronautica 184 (2021)</w:t>
            </w:r>
          </w:p>
        </w:tc>
      </w:tr>
      <w:tr>
        <w:tc>
          <w:tcPr>
            <w:tcW w:w="0" w:type="auto"/>
          </w:tcPr>
          <w:p>
            <w:pPr>
              <w:spacing w:line="240" w:lineRule="auto" w:before="0" w:after="0"/>
              <w:pStyle w:val="Compact"/>
            </w:pPr>
            <w:r>
              <w:rPr>
                <w:sz w:val="20"/>
                <w:szCs w:val="20"/>
              </w:rPr>
              <w:t xml:space="preserve">object_class_heavy</w:t>
            </w:r>
          </w:p>
        </w:tc>
        <w:tc>
          <w:tcPr>
            <w:tcW w:w="0" w:type="auto"/>
          </w:tcPr>
          <w:p>
            <w:pPr>
              <w:spacing w:line="240" w:lineRule="auto" w:before="0" w:after="0"/>
              <w:pStyle w:val="Compact"/>
            </w:pPr>
            <w:r>
              <w:rPr>
                <w:sz w:val="20"/>
                <w:szCs w:val="20"/>
              </w:rPr>
              <w:t xml:space="preserve">Binary indicator equal to 1 for large intact spacecraft, rocket bodies, and station-class objects (low area-to-mass), 0 for small satellites and fragments (high area-to-mass)</w:t>
            </w:r>
          </w:p>
        </w:tc>
        <w:tc>
          <w:tcPr>
            <w:tcW w:w="0" w:type="auto"/>
          </w:tcPr>
          <w:p>
            <w:pPr>
              <w:spacing w:line="240" w:lineRule="auto" w:before="0" w:after="0"/>
              <w:pStyle w:val="Compact"/>
            </w:pPr>
            <w:r>
              <w:rPr>
                <w:sz w:val="20"/>
                <w:szCs w:val="20"/>
              </w:rPr>
              <w:t xml:space="preserve">NSSDCA object descriptions; Space-Track object-type fields</w:t>
            </w:r>
          </w:p>
        </w:tc>
      </w:tr>
      <w:tr>
        <w:tc>
          <w:tcPr>
            <w:tcW w:w="0" w:type="auto"/>
          </w:tcPr>
          <w:p>
            <w:pPr>
              <w:spacing w:line="240" w:lineRule="auto" w:before="0" w:after="0"/>
              <w:pStyle w:val="Compact"/>
            </w:pPr>
            <w:r>
              <w:rPr>
                <w:sz w:val="20"/>
                <w:szCs w:val="20"/>
              </w:rPr>
              <w:t xml:space="preserve">solar_high_at_launch</w:t>
            </w:r>
          </w:p>
        </w:tc>
        <w:tc>
          <w:tcPr>
            <w:tcW w:w="0" w:type="auto"/>
          </w:tcPr>
          <w:p>
            <w:pPr>
              <w:spacing w:line="240" w:lineRule="auto" w:before="0" w:after="0"/>
              <w:pStyle w:val="Compact"/>
            </w:pPr>
            <w:r>
              <w:rPr>
                <w:sz w:val="20"/>
                <w:szCs w:val="20"/>
              </w:rPr>
              <w:t xml:space="preserve">Binary indicator equal to 1 if the launch epoch fell near a solar-cycle maximum (elevated F10.7), 0 otherwise; proxy for thermospheric-density forcing of drag</w:t>
            </w:r>
          </w:p>
        </w:tc>
        <w:tc>
          <w:tcPr>
            <w:tcW w:w="0" w:type="auto"/>
          </w:tcPr>
          <w:p>
            <w:pPr>
              <w:spacing w:line="240" w:lineRule="auto" w:before="0" w:after="0"/>
              <w:pStyle w:val="Compact"/>
            </w:pPr>
            <w:r>
              <w:rPr>
                <w:sz w:val="20"/>
                <w:szCs w:val="20"/>
              </w:rPr>
              <w:t xml:space="preserve">NOAA SWPC solar-cycle F10.7 record</w:t>
            </w:r>
          </w:p>
        </w:tc>
      </w:tr>
    </w:tbl>
    <w:bookmarkEnd w:id="196"/>
    <w:bookmarkEnd w:id="197"/>
    <w:bookmarkEnd w:id="198"/>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 w:numId="1001">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83" Type="http://schemas.openxmlformats.org/officeDocument/2006/relationships/image" Target="media/rId183.png"/><Relationship Id="rId191" Type="http://schemas.openxmlformats.org/officeDocument/2006/relationships/image" Target="media/rId191.png"/><Relationship Id="rId179" Type="http://schemas.openxmlformats.org/officeDocument/2006/relationships/hyperlink" Target="https://doi.org/10.1016/j.actaastro.2020.02.016" TargetMode="External"/><Relationship Id="rId175" Type="http://schemas.openxmlformats.org/officeDocument/2006/relationships/hyperlink" Target="https://doi.org/10.1016/j.actaastro.2021.02.009" TargetMode="External"/><Relationship Id="rId152" Type="http://schemas.openxmlformats.org/officeDocument/2006/relationships/hyperlink" Target="https://doi.org/10.1016/j.actaastro.2021.03.030" TargetMode="External"/><Relationship Id="rId173" Type="http://schemas.openxmlformats.org/officeDocument/2006/relationships/hyperlink" Target="https://doi.org/10.1016/j.actaastro.2022.10.021" TargetMode="External"/><Relationship Id="rId169" Type="http://schemas.openxmlformats.org/officeDocument/2006/relationships/hyperlink" Target="https://doi.org/10.1016/j.actaastro.2023.02.043" TargetMode="External"/><Relationship Id="rId171" Type="http://schemas.openxmlformats.org/officeDocument/2006/relationships/hyperlink" Target="https://doi.org/10.1016/j.actaastro.2023.12.016" TargetMode="External"/><Relationship Id="rId154" Type="http://schemas.openxmlformats.org/officeDocument/2006/relationships/hyperlink" Target="https://doi.org/10.1016/j.actaastro.2024.09.045" TargetMode="External"/><Relationship Id="rId177" Type="http://schemas.openxmlformats.org/officeDocument/2006/relationships/hyperlink" Target="https://doi.org/10.1016/j.actaastro.2024.12.037" TargetMode="External"/><Relationship Id="rId167" Type="http://schemas.openxmlformats.org/officeDocument/2006/relationships/hyperlink" Target="https://doi.org/10.1016/j.actaastro.2025.03.034" TargetMode="External"/><Relationship Id="rId148" Type="http://schemas.openxmlformats.org/officeDocument/2006/relationships/hyperlink" Target="https://doi.org/10.1016/j.actaastro.2026.04.044" TargetMode="External"/><Relationship Id="rId162" Type="http://schemas.openxmlformats.org/officeDocument/2006/relationships/hyperlink" Target="https://doi.org/10.64861/PKDU5402" TargetMode="External"/><Relationship Id="rId158" Type="http://schemas.openxmlformats.org/officeDocument/2006/relationships/hyperlink" Target="https://doi.org/10.64861/PWDH6364" TargetMode="External"/><Relationship Id="rId146" Type="http://schemas.openxmlformats.org/officeDocument/2006/relationships/hyperlink" Target="https://doi.org/10.64861/ZFDQ4641" TargetMode="External"/></Relationships>
</file>

<file path=word/_rels/footnotes.xml.rels><?xml version='1.0' encoding='UTF-8' standalone='yes'?>
<Relationships xmlns="http://schemas.openxmlformats.org/package/2006/relationships"><Relationship Id="rId179" Type="http://schemas.openxmlformats.org/officeDocument/2006/relationships/hyperlink" Target="https://doi.org/10.1016/j.actaastro.2020.02.016" TargetMode="External"/><Relationship Id="rId175" Type="http://schemas.openxmlformats.org/officeDocument/2006/relationships/hyperlink" Target="https://doi.org/10.1016/j.actaastro.2021.02.009" TargetMode="External"/><Relationship Id="rId152" Type="http://schemas.openxmlformats.org/officeDocument/2006/relationships/hyperlink" Target="https://doi.org/10.1016/j.actaastro.2021.03.030" TargetMode="External"/><Relationship Id="rId173" Type="http://schemas.openxmlformats.org/officeDocument/2006/relationships/hyperlink" Target="https://doi.org/10.1016/j.actaastro.2022.10.021" TargetMode="External"/><Relationship Id="rId169" Type="http://schemas.openxmlformats.org/officeDocument/2006/relationships/hyperlink" Target="https://doi.org/10.1016/j.actaastro.2023.02.043" TargetMode="External"/><Relationship Id="rId171" Type="http://schemas.openxmlformats.org/officeDocument/2006/relationships/hyperlink" Target="https://doi.org/10.1016/j.actaastro.2023.12.016" TargetMode="External"/><Relationship Id="rId154" Type="http://schemas.openxmlformats.org/officeDocument/2006/relationships/hyperlink" Target="https://doi.org/10.1016/j.actaastro.2024.09.045" TargetMode="External"/><Relationship Id="rId177" Type="http://schemas.openxmlformats.org/officeDocument/2006/relationships/hyperlink" Target="https://doi.org/10.1016/j.actaastro.2024.12.037" TargetMode="External"/><Relationship Id="rId167" Type="http://schemas.openxmlformats.org/officeDocument/2006/relationships/hyperlink" Target="https://doi.org/10.1016/j.actaastro.2025.03.034" TargetMode="External"/><Relationship Id="rId148" Type="http://schemas.openxmlformats.org/officeDocument/2006/relationships/hyperlink" Target="https://doi.org/10.1016/j.actaastro.2026.04.044" TargetMode="External"/><Relationship Id="rId162" Type="http://schemas.openxmlformats.org/officeDocument/2006/relationships/hyperlink" Target="https://doi.org/10.64861/PKDU5402" TargetMode="External"/><Relationship Id="rId158" Type="http://schemas.openxmlformats.org/officeDocument/2006/relationships/hyperlink" Target="https://doi.org/10.64861/PWDH6364" TargetMode="External"/><Relationship Id="rId146" Type="http://schemas.openxmlformats.org/officeDocument/2006/relationships/hyperlink" Target="https://doi.org/10.64861/ZFDQ464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Tipping Points in the Catalog: Detecting Onset of Self-Sustaining Fragmentation</dc:title>
  <dc:creator>Felix Mensah (1B-SDA-067)</dc:creator>
  <cp:keywords/>
  <dcterms:created xsi:type="dcterms:W3CDTF">2026-07-04T01:04:13Z</dcterms:created>
  <dcterms:modified xsi:type="dcterms:W3CDTF">2026-07-04T01:04:13Z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