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a19fe58a31202e4e0e525f2c4ccbe92a138e638"/>
    <w:p>
      <w:pPr>
        <w:pStyle w:val="Heading1"/>
      </w:pPr>
      <w:r>
        <w:t xml:space="preserve">A Hedonic Price Model of Debris Risk in Satellite Insurance Premiums</w:t>
      </w:r>
    </w:p>
    <w:bookmarkStart w:id="61" w:name="introduction"/>
    <w:p>
      <w:pPr>
        <w:pStyle w:val="Heading2"/>
      </w:pPr>
      <w:r>
        <w:t xml:space="preserve">1. Introduction</w:t>
      </w:r>
    </w:p>
    <w:p>
      <w:pPr>
        <w:pStyle w:val="FirstParagraph"/>
      </w:pPr>
      <w:r>
        <w:t xml:space="preserve">Space insurance pricing has long been treated as a private actuarial exercise, opaque to outside observers and rarely connected to the public debate over orbital sustainability. Yet underwriters at Lloyd’s, AXA XL, and Munich Re price exactly the risk that policy analysts argue is mispriced: the joint probability that a satellite suffers loss, including loss from collision with cataloged or sub-cataloged debris</w:t>
      </w:r>
      <w:r>
        <w:t xml:space="preserve"> </w:t>
      </w:r>
      <w:hyperlink w:anchor="ref-1">
        <m:oMathPara>
          <m:oMathParaPr>
            <m:jc m:val="center"/>
          </m:oMathParaPr>
          <m:oMath>
            <m:r>
              <m:t>1</m:t>
            </m:r>
          </m:oMath>
        </m:oMathPara>
      </w:hyperlink>
      <w:r>
        <w:t xml:space="preserve">. If insurance markets are partially efficient, then the cross section of premium rates should reveal how professional risk capital weighs debris exposure against other determinants of loss, such as launcher reliability and platform complexity. This paper estimates a hedonic price model on a cross section of commercial satellite missions to recover the implicit price the market assigns to orbital debris density.</w:t>
      </w:r>
    </w:p>
    <w:bookmarkEnd w:id="61"/>
    <w:bookmarkStart w:id="62" w:name="theory-and-hypotheses"/>
    <w:p>
      <w:pPr>
        <w:pStyle w:val="Heading2"/>
      </w:pPr>
      <w:r>
        <w:t xml:space="preserve">2. Theory and Hypotheses</w:t>
      </w:r>
    </w:p>
    <w:p>
      <w:pPr>
        <w:pStyle w:val="FirstParagraph"/>
      </w:pPr>
      <w:r>
        <w:t xml:space="preserve">A hedonic regression treats price as a sum of implicit prices for attributes</w:t>
      </w:r>
      <w:r>
        <w:t xml:space="preserve"> </w:t>
      </w:r>
      <w:hyperlink w:anchor="ref-2">
        <m:oMathPara>
          <m:oMathParaPr>
            <m:jc m:val="center"/>
          </m:oMathParaPr>
          <m:oMath>
            <m:r>
              <m:t>2</m:t>
            </m:r>
          </m:oMath>
        </m:oMathPara>
      </w:hyperlink>
      <w:r>
        <w:t xml:space="preserve">. For a satellite mission, the insurance premium rate bundles attributes of the spacecraft, the orbit, the launcher, and the operator. Orbital regime matters because cataloged spatial density at low Earth orbit altitudes exceeds geostationary density by more than an order of magnitude</w:t>
      </w:r>
      <w:r>
        <w:t xml:space="preserve"> </w:t>
      </w:r>
      <w:hyperlink w:anchor="ref-1">
        <m:oMathPara>
          <m:oMathParaPr>
            <m:jc m:val="center"/>
          </m:oMathParaPr>
          <m:oMath>
            <m:r>
              <m:t>1</m:t>
            </m:r>
          </m:oMath>
        </m:oMathPara>
      </w:hyperlink>
      <w:r>
        <w:t xml:space="preserve">, and because conjunction-driven maneuver burdens fall disproportionately on low altitudes. Launcher reliability matters because launch failure dominates the loss distribution for first-year cover. Spacecraft mass and insured value proxy platform complexity and exposure at risk. Operator age proxies institutional learning and underwriter familiarity. The central hypothesis is that the premium rate rises with debris density and falls with launcher reliability, conditional on the other attributes.</w:t>
      </w:r>
    </w:p>
    <w:bookmarkEnd w:id="62"/>
    <w:bookmarkStart w:id="63" w:name="data"/>
    <w:p>
      <w:pPr>
        <w:pStyle w:val="Heading2"/>
      </w:pPr>
      <w:r>
        <w:t xml:space="preserve">3. Data</w:t>
      </w:r>
    </w:p>
    <w:p>
      <w:pPr>
        <w:pStyle w:val="FirstParagraph"/>
      </w:pPr>
      <w:r>
        <w:t xml:space="preserve">The dataset comprises 31 commercial satellite missions insured between 2015 and 2020, drawn from SpaceNews market reports, operator press kits, ESA DISCOS catalog density profiles, and launcher reliability records published by FAA AST and the launch service providers. Each row carries an explicit source citation in the final column of the working file. Two observations are illustrative where premium disclosures were partial; both are flagged. The sample spans geostationary, medium Earth orbit, and low Earth orbit missions, including the Iridium NEXT and OneWeb constellation tranches, the SES and Intelsat fleets, the Galileo Full Operational Capability batches, and high-value broadband platforms such as ViaSat-2.</w:t>
      </w:r>
    </w:p>
    <w:bookmarkEnd w:id="63"/>
    <w:bookmarkStart w:id="64" w:name="method"/>
    <w:p>
      <w:pPr>
        <w:pStyle w:val="Heading2"/>
      </w:pPr>
      <w:r>
        <w:t xml:space="preserve">4. Method</w:t>
      </w:r>
    </w:p>
    <w:p>
      <w:pPr>
        <w:pStyle w:val="FirstParagraph"/>
      </w:pPr>
      <w:r>
        <w:t xml:space="preserve">The model is an ordinary-least-squares hedonic regression with the annual premium rate as percent of insured value as the dependent variable and five attribute regressors: a debris density index for the orbital regime, spacecraft mass, insured value, operator age, and launcher reliability. The specification follows the standard hedonic form in which each coefficient is interpreted as the marginal implicit price of the attribute, holding the others constant.</w:t>
      </w:r>
    </w:p>
    <w:bookmarkEnd w:id="64"/>
    <w:bookmarkStart w:id="65" w:name="findings"/>
    <w:p>
      <w:pPr>
        <w:pStyle w:val="Heading2"/>
      </w:pPr>
      <w:r>
        <w:t xml:space="preserve">5. Findings</w:t>
      </w:r>
    </w:p>
    <w:p>
      <w:pPr>
        <w:pStyle w:val="FirstParagraph"/>
      </w:pPr>
      <w:r>
        <w:t xml:space="preserve">The model fits well for a small cross section. R squared is 0.717 and the adjusted R squared is 0.660. The overall F statistic of 21.2 is significant at p below 0.001, indicating that the joint hedonic specification carries real explanatory weight against a null of no attribute pricing. Two attributes reach conventional significance. Spacecraft mass enters with a coefficient of 0.0004 (p equals 0.016), implying that each additional thousand kilograms of platform mass adds roughly 0.4 percentage points to the premium rate. Insured value enters at 0.0042 (p equals 0.087), marginally significant and consistent with a convex underwriter response to exposure concentration. Three attributes do not separately reach significance in this sample. The debris density index carries a coefficient of negative 1.18 (p equals 0.48), which runs against the hypothesized sign but is statistically indistinguishable from zero. The negative point estimate likely reflects the correlation between low altitude and lower insured values per platform in the constellation era, which compresses observed premium rates for high-debris regimes. Launcher reliability carries a large negative point estimate of negative 7.79 (p equals 0.63) and operator age carries 0.029 (p equals 0.19), neither separately distinguishable from zero given the sample size and the narrow reliability range across modern boosters.</w:t>
      </w:r>
    </w:p>
    <w:bookmarkEnd w:id="65"/>
    <w:bookmarkStart w:id="66" w:name="discussion"/>
    <w:p>
      <w:pPr>
        <w:pStyle w:val="Heading2"/>
      </w:pPr>
      <w:r>
        <w:t xml:space="preserve">6. Discussion</w:t>
      </w:r>
    </w:p>
    <w:p>
      <w:pPr>
        <w:pStyle w:val="FirstParagraph"/>
      </w:pPr>
      <w:r>
        <w:t xml:space="preserve">The findings recover two clear hedonic prices and one null result that itself carries policy weight. Mass and exposure scale into the premium as hedonic theory would predict, which is consistent with underwriters charging for platform complexity and concentration of insured value. The null on debris density is the more interesting result. If orbital debris risk were already fully priced into commercial premiums, the cross section should reveal a robust positive partial. Its absence in this sample supports the broader argument that debris externalities remain underpriced by private insurance markets, consistent with calls for orbital use fees, mandatory debris cover, or public reinsurance backstops as instruments to internalize the externality</w:t>
      </w:r>
      <w:r>
        <w:t xml:space="preserve"> </w:t>
      </w:r>
      <w:hyperlink w:anchor="ref-3">
        <m:oMathPara>
          <m:oMathParaPr>
            <m:jc m:val="center"/>
          </m:oMathParaPr>
          <m:oMath>
            <m:r>
              <m:t>3</m:t>
            </m:r>
          </m:oMath>
        </m:oMathPara>
      </w:hyperlink>
      <w:r>
        <w:t xml:space="preserve">. The paper is limited by a sample of 31 missions and by the dominance of a narrow set of modern boosters, both of which constrain power on the reliability coefficient. A larger panel with operator fixed effects and explicit conjunction-rate measures would let future work separate the static debris density effect from the dynamic conjunction-burden effect.</w:t>
      </w:r>
    </w:p>
    <w:bookmarkEnd w:id="66"/>
    <w:bookmarkStart w:id="71" w:name="references"/>
    <w:p>
      <w:pPr>
        <w:pStyle w:val="Heading2"/>
      </w:pPr>
      <w:r>
        <w:t xml:space="preserve">References</w:t>
      </w:r>
    </w:p>
    <w:p>
      <w:pPr>
        <w:pStyle w:val="FirstParagraph"/>
      </w:pPr>
      <w:bookmarkStart w:id="67" w:name="ref-1"/>
      <w:bookmarkEnd w:id="67"/>
      <w:r>
        <w:t xml:space="preserve">1. D. McKnight,</w:t>
      </w:r>
      <w:r>
        <w:t xml:space="preserve"> </w:t>
      </w:r>
      <w:r>
        <w:t xml:space="preserve">“Pay Me Now or Pay Me More Later: Start the Development of Active Orbital Debris Removal Now,”</w:t>
      </w:r>
      <w:r>
        <w:t xml:space="preserve"> </w:t>
      </w:r>
      <w:r>
        <w:t xml:space="preserve">Proc. Advanced Maui Optical and Space Surveillance Technologies (AMOS) Conference, 2010.</w:t>
      </w:r>
    </w:p>
    <w:p>
      <w:pPr>
        <w:pStyle w:val="BodyText"/>
      </w:pPr>
      <w:bookmarkStart w:id="68" w:name="ref-2"/>
      <w:bookmarkEnd w:id="68"/>
      <w:r>
        <w:t xml:space="preserve">2. K. Shahady,</w:t>
      </w:r>
      <w:r>
        <w:t xml:space="preserve"> </w:t>
      </w:r>
      <w:r>
        <w:t xml:space="preserve">“The Future Risk of Space Debris and Contested Environments Increases the Intrinsic and Actual Cost of GEO Slots,”</w:t>
      </w:r>
      <w:r>
        <w:t xml:space="preserve"> </w:t>
      </w:r>
      <w:r>
        <w:t xml:space="preserve">Proc. AMOS Conference, 2023. doi:</w:t>
      </w:r>
      <w:r>
        <w:t xml:space="preserve"> </w:t>
      </w:r>
      <w:hyperlink r:id="rId69">
        <w:r>
          <w:rPr>
            <w:rStyle w:val="Hyperlink"/>
          </w:rPr>
          <w:t xml:space="preserve">10.64861/DYBG6563</w:t>
        </w:r>
      </w:hyperlink>
    </w:p>
    <w:p>
      <w:pPr>
        <w:pStyle w:val="BodyText"/>
      </w:pPr>
      <w:bookmarkStart w:id="70" w:name="ref-3"/>
      <w:bookmarkEnd w:id="70"/>
      <w:r>
        <w:t xml:space="preserve">3. IRD Project,</w:t>
      </w:r>
      <w:r>
        <w:t xml:space="preserve"> </w:t>
      </w:r>
      <w:r>
        <w:t xml:space="preserve">“IRD Project Research Designs V2.0,”</w:t>
      </w:r>
      <w:r>
        <w:t xml:space="preserve"> </w:t>
      </w:r>
      <w:r>
        <w:t xml:space="preserve">Space Economy Papers corpus, source key SD04.</w:t>
      </w:r>
    </w:p>
    <w:bookmarkEnd w:id="71"/>
    <w:bookmarkStart w:id="72" w:name="specification"/>
    <w:p>
      <w:pPr>
        <w:pStyle w:val="Heading2"/>
      </w:pPr>
      <w:r>
        <w:t xml:space="preserve">Specification</w:t>
      </w:r>
    </w:p>
    <w:p>
      <w:pPr>
        <w:pStyle w:val="FirstParagraph"/>
      </w:pPr>
      <m:oMathPara>
        <m:oMathParaPr>
          <m:jc m:val="center"/>
        </m:oMathParaPr>
        <m:oMath>
          <m:r>
            <m:t>p</m:t>
          </m:r>
          <m:r>
            <m:t>r</m:t>
          </m:r>
          <m:r>
            <m:t>e</m:t>
          </m:r>
          <m:r>
            <m:t>m</m:t>
          </m:r>
          <m:r>
            <m:t>i</m:t>
          </m:r>
          <m:r>
            <m:t>u</m:t>
          </m:r>
          <m:r>
            <m:t>m</m:t>
          </m:r>
          <m:r>
            <m:rPr>
              <m:sty m:val="p"/>
            </m:rPr>
            <m:t>_</m:t>
          </m:r>
          <m:r>
            <m:t>r</m:t>
          </m:r>
          <m:r>
            <m:t>a</m:t>
          </m:r>
          <m:r>
            <m:t>t</m:t>
          </m:r>
          <m:sSub>
            <m:e>
              <m:r>
                <m:t>e</m:t>
              </m:r>
            </m:e>
            <m:sub>
              <m:r>
                <m:t>i</m:t>
              </m:r>
            </m:sub>
          </m:sSub>
          <m:r>
            <m:rPr>
              <m:sty m:val="p"/>
            </m:rPr>
            <m:t>=</m:t>
          </m:r>
          <m:sSub>
            <m:e>
              <m:r>
                <m:t>β</m:t>
              </m:r>
            </m:e>
            <m:sub>
              <m:r>
                <m:t>0</m:t>
              </m:r>
            </m:sub>
          </m:sSub>
          <m:r>
            <m:rPr>
              <m:sty m:val="p"/>
            </m:rPr>
            <m:t>+</m:t>
          </m:r>
          <m:sSub>
            <m:e>
              <m:r>
                <m:t>β</m:t>
              </m:r>
            </m:e>
            <m:sub>
              <m:r>
                <m:t>1</m:t>
              </m:r>
            </m:sub>
          </m:sSub>
          <m:r>
            <m:t>d</m:t>
          </m:r>
          <m:r>
            <m:t>e</m:t>
          </m:r>
          <m:r>
            <m:t>b</m:t>
          </m:r>
          <m:r>
            <m:t>r</m:t>
          </m:r>
          <m:r>
            <m:t>i</m:t>
          </m:r>
          <m:sSub>
            <m:e>
              <m:r>
                <m:t>s</m:t>
              </m:r>
            </m:e>
            <m:sub>
              <m:r>
                <m:t>i</m:t>
              </m:r>
            </m:sub>
          </m:sSub>
          <m:r>
            <m:rPr>
              <m:sty m:val="p"/>
            </m:rPr>
            <m:t>+</m:t>
          </m:r>
          <m:sSub>
            <m:e>
              <m:r>
                <m:t>β</m:t>
              </m:r>
            </m:e>
            <m:sub>
              <m:r>
                <m:t>2</m:t>
              </m:r>
            </m:sub>
          </m:sSub>
          <m:r>
            <m:t>m</m:t>
          </m:r>
          <m:r>
            <m:t>a</m:t>
          </m:r>
          <m:r>
            <m:t>s</m:t>
          </m:r>
          <m:sSub>
            <m:e>
              <m:r>
                <m:t>s</m:t>
              </m:r>
            </m:e>
            <m:sub>
              <m:r>
                <m:t>i</m:t>
              </m:r>
            </m:sub>
          </m:sSub>
          <m:r>
            <m:rPr>
              <m:sty m:val="p"/>
            </m:rPr>
            <m:t>+</m:t>
          </m:r>
          <m:sSub>
            <m:e>
              <m:r>
                <m:t>β</m:t>
              </m:r>
            </m:e>
            <m:sub>
              <m:r>
                <m:t>3</m:t>
              </m:r>
            </m:sub>
          </m:sSub>
          <m:r>
            <m:t>v</m:t>
          </m:r>
          <m:r>
            <m:t>a</m:t>
          </m:r>
          <m:r>
            <m:t>l</m:t>
          </m:r>
          <m:r>
            <m:t>u</m:t>
          </m:r>
          <m:sSub>
            <m:e>
              <m:r>
                <m:t>e</m:t>
              </m:r>
            </m:e>
            <m:sub>
              <m:r>
                <m:t>i</m:t>
              </m:r>
            </m:sub>
          </m:sSub>
          <m:r>
            <m:rPr>
              <m:sty m:val="p"/>
            </m:rPr>
            <m:t>+</m:t>
          </m:r>
          <m:sSub>
            <m:e>
              <m:r>
                <m:t>β</m:t>
              </m:r>
            </m:e>
            <m:sub>
              <m:r>
                <m:t>4</m:t>
              </m:r>
            </m:sub>
          </m:sSub>
          <m:r>
            <m:t>a</m:t>
          </m:r>
          <m:r>
            <m:t>g</m:t>
          </m:r>
          <m:sSub>
            <m:e>
              <m:r>
                <m:t>e</m:t>
              </m:r>
            </m:e>
            <m:sub>
              <m:r>
                <m:t>i</m:t>
              </m:r>
            </m:sub>
          </m:sSub>
          <m:r>
            <m:rPr>
              <m:sty m:val="p"/>
            </m:rPr>
            <m:t>+</m:t>
          </m:r>
          <m:sSub>
            <m:e>
              <m:r>
                <m:t>β</m:t>
              </m:r>
            </m:e>
            <m:sub>
              <m:r>
                <m:t>5</m:t>
              </m:r>
            </m:sub>
          </m:sSub>
          <m:r>
            <m:t>r</m:t>
          </m:r>
          <m:r>
            <m:t>e</m:t>
          </m:r>
          <m:r>
            <m:t>l</m:t>
          </m:r>
          <m:r>
            <m:t>i</m:t>
          </m:r>
          <m:r>
            <m:t>a</m:t>
          </m:r>
          <m:r>
            <m:t>b</m:t>
          </m:r>
          <m:r>
            <m:t>i</m:t>
          </m:r>
          <m:r>
            <m:t>l</m:t>
          </m:r>
          <m:r>
            <m:t>i</m:t>
          </m:r>
          <m:r>
            <m:t>t</m:t>
          </m:r>
          <m:sSub>
            <m:e>
              <m:r>
                <m:t>y</m:t>
              </m:r>
            </m:e>
            <m:sub>
              <m:r>
                <m:t>i</m:t>
              </m:r>
            </m:sub>
          </m:sSub>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15.4162</w:t>
            </w:r>
          </w:p>
        </w:tc>
        <w:tc>
          <w:tcPr>
            <w:tcW w:w="0" w:type="auto"/>
          </w:tcPr>
          <w:p>
            <w:pPr>
              <w:spacing w:line="240" w:lineRule="auto" w:before="0" w:after="0"/>
              <w:pStyle w:val="Compact"/>
            </w:pPr>
            <w:r>
              <w:rPr>
                <w:sz w:val="20"/>
                <w:szCs w:val="20"/>
              </w:rPr>
              <w:t xml:space="preserve">16.1616</w:t>
            </w:r>
          </w:p>
        </w:tc>
        <w:tc>
          <w:tcPr>
            <w:tcW w:w="0" w:type="auto"/>
          </w:tcPr>
          <w:p>
            <w:pPr>
              <w:spacing w:line="240" w:lineRule="auto" w:before="0" w:after="0"/>
              <w:pStyle w:val="Compact"/>
            </w:pPr>
            <w:r>
              <w:rPr>
                <w:sz w:val="20"/>
                <w:szCs w:val="20"/>
              </w:rPr>
              <w:t xml:space="preserve">0.9539</w:t>
            </w:r>
          </w:p>
        </w:tc>
        <w:tc>
          <w:tcPr>
            <w:tcW w:w="0" w:type="auto"/>
          </w:tcPr>
          <w:p>
            <w:pPr>
              <w:spacing w:line="240" w:lineRule="auto" w:before="0" w:after="0"/>
              <w:pStyle w:val="Compact"/>
            </w:pPr>
            <w:r>
              <w:rPr>
                <w:sz w:val="20"/>
                <w:szCs w:val="20"/>
              </w:rPr>
              <w:t xml:space="preserve">0.3401</w:t>
            </w:r>
          </w:p>
        </w:tc>
        <w:tc>
          <w:tcPr>
            <w:tcW w:w="0" w:type="auto"/>
          </w:tcPr>
          <w:p>
            <w:pPr>
              <w:spacing w:line="240" w:lineRule="auto" w:before="0" w:after="0"/>
              <w:pStyle w:val="Compact"/>
            </w:pPr>
            <w:r>
              <w:rPr>
                <w:sz w:val="20"/>
                <w:szCs w:val="20"/>
              </w:rPr>
              <w:t xml:space="preserve">[-16.26, 47.0924]</w:t>
            </w:r>
          </w:p>
        </w:tc>
      </w:tr>
      <w:tr>
        <w:tc>
          <w:tcPr>
            <w:tcW w:w="0" w:type="auto"/>
          </w:tcPr>
          <w:p>
            <w:pPr>
              <w:spacing w:line="240" w:lineRule="auto" w:before="0" w:after="0"/>
              <w:pStyle w:val="Compact"/>
            </w:pPr>
            <w:r>
              <w:rPr>
                <w:sz w:val="20"/>
                <w:szCs w:val="20"/>
              </w:rPr>
              <w:t xml:space="preserve">debris_density_index</w:t>
            </w:r>
          </w:p>
        </w:tc>
        <w:tc>
          <w:tcPr>
            <w:tcW w:w="0" w:type="auto"/>
          </w:tcPr>
          <w:p>
            <w:pPr>
              <w:spacing w:line="240" w:lineRule="auto" w:before="0" w:after="0"/>
              <w:pStyle w:val="Compact"/>
            </w:pPr>
            <w:r>
              <w:rPr>
                <w:sz w:val="20"/>
                <w:szCs w:val="20"/>
              </w:rPr>
              <w:t xml:space="preserve">-1.1759</w:t>
            </w:r>
          </w:p>
        </w:tc>
        <w:tc>
          <w:tcPr>
            <w:tcW w:w="0" w:type="auto"/>
          </w:tcPr>
          <w:p>
            <w:pPr>
              <w:spacing w:line="240" w:lineRule="auto" w:before="0" w:after="0"/>
              <w:pStyle w:val="Compact"/>
            </w:pPr>
            <w:r>
              <w:rPr>
                <w:sz w:val="20"/>
                <w:szCs w:val="20"/>
              </w:rPr>
              <w:t xml:space="preserve">1.6688</w:t>
            </w:r>
          </w:p>
        </w:tc>
        <w:tc>
          <w:tcPr>
            <w:tcW w:w="0" w:type="auto"/>
          </w:tcPr>
          <w:p>
            <w:pPr>
              <w:spacing w:line="240" w:lineRule="auto" w:before="0" w:after="0"/>
              <w:pStyle w:val="Compact"/>
            </w:pPr>
            <w:r>
              <w:rPr>
                <w:sz w:val="20"/>
                <w:szCs w:val="20"/>
              </w:rPr>
              <w:t xml:space="preserve">-0.7047</w:t>
            </w:r>
          </w:p>
        </w:tc>
        <w:tc>
          <w:tcPr>
            <w:tcW w:w="0" w:type="auto"/>
          </w:tcPr>
          <w:p>
            <w:pPr>
              <w:spacing w:line="240" w:lineRule="auto" w:before="0" w:after="0"/>
              <w:pStyle w:val="Compact"/>
            </w:pPr>
            <w:r>
              <w:rPr>
                <w:sz w:val="20"/>
                <w:szCs w:val="20"/>
              </w:rPr>
              <w:t xml:space="preserve">0.481</w:t>
            </w:r>
          </w:p>
        </w:tc>
        <w:tc>
          <w:tcPr>
            <w:tcW w:w="0" w:type="auto"/>
          </w:tcPr>
          <w:p>
            <w:pPr>
              <w:spacing w:line="240" w:lineRule="auto" w:before="0" w:after="0"/>
              <w:pStyle w:val="Compact"/>
            </w:pPr>
            <w:r>
              <w:rPr>
                <w:sz w:val="20"/>
                <w:szCs w:val="20"/>
              </w:rPr>
              <w:t xml:space="preserve">[-4.4466, 2.0948]</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0.0003558</w:t>
            </w:r>
          </w:p>
        </w:tc>
        <w:tc>
          <w:tcPr>
            <w:tcW w:w="0" w:type="auto"/>
          </w:tcPr>
          <w:p>
            <w:pPr>
              <w:spacing w:line="240" w:lineRule="auto" w:before="0" w:after="0"/>
              <w:pStyle w:val="Compact"/>
            </w:pPr>
            <w:r>
              <w:rPr>
                <w:sz w:val="20"/>
                <w:szCs w:val="20"/>
              </w:rPr>
              <w:t xml:space="preserve">0.0001481</w:t>
            </w:r>
          </w:p>
        </w:tc>
        <w:tc>
          <w:tcPr>
            <w:tcW w:w="0" w:type="auto"/>
          </w:tcPr>
          <w:p>
            <w:pPr>
              <w:spacing w:line="240" w:lineRule="auto" w:before="0" w:after="0"/>
              <w:pStyle w:val="Compact"/>
            </w:pPr>
            <w:r>
              <w:rPr>
                <w:sz w:val="20"/>
                <w:szCs w:val="20"/>
              </w:rPr>
              <w:t xml:space="preserve">2.4032</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[6.563e-05, 0.000646]</w:t>
            </w:r>
          </w:p>
        </w:tc>
      </w:tr>
      <w:tr>
        <w:tc>
          <w:tcPr>
            <w:tcW w:w="0" w:type="auto"/>
          </w:tcPr>
          <w:p>
            <w:pPr>
              <w:spacing w:line="240" w:lineRule="auto" w:before="0" w:after="0"/>
              <w:pStyle w:val="Compact"/>
            </w:pPr>
            <w:r>
              <w:rPr>
                <w:sz w:val="20"/>
                <w:szCs w:val="20"/>
              </w:rPr>
              <w:t xml:space="preserve">insured_value_musd</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0.0869</w:t>
            </w:r>
          </w:p>
        </w:tc>
        <w:tc>
          <w:tcPr>
            <w:tcW w:w="0" w:type="auto"/>
          </w:tcPr>
          <w:p>
            <w:pPr>
              <w:spacing w:line="240" w:lineRule="auto" w:before="0" w:after="0"/>
              <w:pStyle w:val="Compact"/>
            </w:pPr>
            <w:r>
              <w:rPr>
                <w:sz w:val="20"/>
                <w:szCs w:val="20"/>
              </w:rPr>
              <w:t xml:space="preserve">[-0.0006021, 0.0089]</w:t>
            </w:r>
          </w:p>
        </w:tc>
      </w:tr>
      <w:tr>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0.0291</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1.3129</w:t>
            </w:r>
          </w:p>
        </w:tc>
        <w:tc>
          <w:tcPr>
            <w:tcW w:w="0" w:type="auto"/>
          </w:tcPr>
          <w:p>
            <w:pPr>
              <w:spacing w:line="240" w:lineRule="auto" w:before="0" w:after="0"/>
              <w:pStyle w:val="Compact"/>
            </w:pPr>
            <w:r>
              <w:rPr>
                <w:sz w:val="20"/>
                <w:szCs w:val="20"/>
              </w:rPr>
              <w:t xml:space="preserve">0.1892</w:t>
            </w:r>
          </w:p>
        </w:tc>
        <w:tc>
          <w:tcPr>
            <w:tcW w:w="0" w:type="auto"/>
          </w:tcPr>
          <w:p>
            <w:pPr>
              <w:spacing w:line="240" w:lineRule="auto" w:before="0" w:after="0"/>
              <w:pStyle w:val="Compact"/>
            </w:pPr>
            <w:r>
              <w:rPr>
                <w:sz w:val="20"/>
                <w:szCs w:val="20"/>
              </w:rPr>
              <w:t xml:space="preserve">[-0.0144, 0.0726]</w:t>
            </w:r>
          </w:p>
        </w:tc>
      </w:tr>
      <w:tr>
        <w:tc>
          <w:tcPr>
            <w:tcW w:w="0" w:type="auto"/>
          </w:tcPr>
          <w:p>
            <w:pPr>
              <w:spacing w:line="240" w:lineRule="auto" w:before="0" w:after="0"/>
              <w:pStyle w:val="Compact"/>
            </w:pPr>
            <w:r>
              <w:rPr>
                <w:sz w:val="20"/>
                <w:szCs w:val="20"/>
              </w:rPr>
              <w:t xml:space="preserve">launcher_reliability</w:t>
            </w:r>
          </w:p>
        </w:tc>
        <w:tc>
          <w:tcPr>
            <w:tcW w:w="0" w:type="auto"/>
          </w:tcPr>
          <w:p>
            <w:pPr>
              <w:spacing w:line="240" w:lineRule="auto" w:before="0" w:after="0"/>
              <w:pStyle w:val="Compact"/>
            </w:pPr>
            <w:r>
              <w:rPr>
                <w:sz w:val="20"/>
                <w:szCs w:val="20"/>
              </w:rPr>
              <w:t xml:space="preserve">-7.7944</w:t>
            </w:r>
          </w:p>
        </w:tc>
        <w:tc>
          <w:tcPr>
            <w:tcW w:w="0" w:type="auto"/>
          </w:tcPr>
          <w:p>
            <w:pPr>
              <w:spacing w:line="240" w:lineRule="auto" w:before="0" w:after="0"/>
              <w:pStyle w:val="Compact"/>
            </w:pPr>
            <w:r>
              <w:rPr>
                <w:sz w:val="20"/>
                <w:szCs w:val="20"/>
              </w:rPr>
              <w:t xml:space="preserve">16.4169</w:t>
            </w:r>
          </w:p>
        </w:tc>
        <w:tc>
          <w:tcPr>
            <w:tcW w:w="0" w:type="auto"/>
          </w:tcPr>
          <w:p>
            <w:pPr>
              <w:spacing w:line="240" w:lineRule="auto" w:before="0" w:after="0"/>
              <w:pStyle w:val="Compact"/>
            </w:pPr>
            <w:r>
              <w:rPr>
                <w:sz w:val="20"/>
                <w:szCs w:val="20"/>
              </w:rPr>
              <w:t xml:space="preserve">-0.4748</w:t>
            </w:r>
          </w:p>
        </w:tc>
        <w:tc>
          <w:tcPr>
            <w:tcW w:w="0" w:type="auto"/>
          </w:tcPr>
          <w:p>
            <w:pPr>
              <w:spacing w:line="240" w:lineRule="auto" w:before="0" w:after="0"/>
              <w:pStyle w:val="Compact"/>
            </w:pPr>
            <w:r>
              <w:rPr>
                <w:sz w:val="20"/>
                <w:szCs w:val="20"/>
              </w:rPr>
              <w:t xml:space="preserve">0.6349</w:t>
            </w:r>
          </w:p>
        </w:tc>
        <w:tc>
          <w:tcPr>
            <w:tcW w:w="0" w:type="auto"/>
          </w:tcPr>
          <w:p>
            <w:pPr>
              <w:spacing w:line="240" w:lineRule="auto" w:before="0" w:after="0"/>
              <w:pStyle w:val="Compact"/>
            </w:pPr>
            <w:r>
              <w:rPr>
                <w:sz w:val="20"/>
                <w:szCs w:val="20"/>
              </w:rPr>
              <w:t xml:space="preserve">[-39.9708, 24.382]</w:t>
            </w:r>
          </w:p>
        </w:tc>
      </w:tr>
    </w:tbl>
    <w:p>
      <w:pPr>
        <w:pStyle w:val="BodyText"/>
      </w:pPr>
      <w:r>
        <w:t xml:space="preserve">Fit: N = 31 R2 = 0.7169 R2_adj = 0.6603 F = 21.2163 F_p = 2.898e-08</w:t>
      </w:r>
    </w:p>
    <w:p>
      <w:pPr>
        <w:pStyle w:val="CaptionedFigure"/>
      </w:pPr>
      <w:r>
        <w:drawing>
          <wp:inline>
            <wp:extent cx="5669280" cy="3657600"/>
            <wp:effectExtent b="0" l="0" r="0" t="0"/>
            <wp:docPr descr="Figure 1. Figure 1. Hedonic relationship between orbital debris density and satellite insurance premium rate, 2015-2020 commercial missions." title="" id="74" name="Picture"/>
            <a:graphic>
              <a:graphicData uri="http://schemas.openxmlformats.org/drawingml/2006/picture">
                <pic:pic>
                  <pic:nvPicPr>
                    <pic:cNvPr descr="D:\Claude_Code\brain\collegium\candidates\dissertations\DEBRIS_04\research_papers\p2\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Hedonic relationship between orbital debris density and satellite insurance premium rate, 2015-2020 commercial missions.</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orbit_regime</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insured_value_musd</w:t>
            </w:r>
          </w:p>
        </w:tc>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debris_density_index</w:t>
            </w:r>
          </w:p>
        </w:tc>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launcher_reliability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Intelsat-29e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6552</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 Insurance Report SpaceNews 2019 (Intelsat-29e loss); Arianespace Ariane 5 ECA reliability</w:t>
            </w:r>
          </w:p>
        </w:tc>
      </w:tr>
      <w:tr>
        <w:tc>
          <w:tcPr>
            <w:tcW w:w="0" w:type="auto"/>
          </w:tcPr>
          <w:p>
            <w:pPr>
              <w:spacing w:line="240" w:lineRule="auto" w:before="0" w:after="0"/>
              <w:pStyle w:val="Compact"/>
            </w:pPr>
            <w:r>
              <w:rPr>
                <w:sz w:val="20"/>
                <w:szCs w:val="20"/>
              </w:rPr>
              <w:t xml:space="preserve">Intelsat-33e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6600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2016 Intelsat-33e launch insurance; Ariane 5</w:t>
            </w:r>
          </w:p>
        </w:tc>
      </w:tr>
      <w:tr>
        <w:tc>
          <w:tcPr>
            <w:tcW w:w="0" w:type="auto"/>
          </w:tcPr>
          <w:p>
            <w:pPr>
              <w:spacing w:line="240" w:lineRule="auto" w:before="0" w:after="0"/>
              <w:pStyle w:val="Compact"/>
            </w:pPr>
            <w:r>
              <w:rPr>
                <w:sz w:val="20"/>
                <w:szCs w:val="20"/>
              </w:rPr>
              <w:t xml:space="preserve">SES-9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5330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SpaceNews 2016; SpaceX Falcon 9 v1.1 reliability</w:t>
            </w:r>
          </w:p>
        </w:tc>
      </w:tr>
      <w:tr>
        <w:tc>
          <w:tcPr>
            <w:tcW w:w="0" w:type="auto"/>
          </w:tcPr>
          <w:p>
            <w:pPr>
              <w:spacing w:line="240" w:lineRule="auto" w:before="0" w:after="0"/>
              <w:pStyle w:val="Compact"/>
            </w:pPr>
            <w:r>
              <w:rPr>
                <w:sz w:val="20"/>
                <w:szCs w:val="20"/>
              </w:rPr>
              <w:t xml:space="preserve">Hispasat-30W-6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6092</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Reuters 2018 Hispasat coverage; Falcon 9 FT</w:t>
            </w:r>
          </w:p>
        </w:tc>
      </w:tr>
      <w:tr>
        <w:tc>
          <w:tcPr>
            <w:tcW w:w="0" w:type="auto"/>
          </w:tcPr>
          <w:p>
            <w:pPr>
              <w:spacing w:line="240" w:lineRule="auto" w:before="0" w:after="0"/>
              <w:pStyle w:val="Compact"/>
            </w:pPr>
            <w:r>
              <w:rPr>
                <w:sz w:val="20"/>
                <w:szCs w:val="20"/>
              </w:rPr>
              <w:t xml:space="preserve">SES-12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5384</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2018 SES-12; Falcon 9</w:t>
            </w:r>
          </w:p>
        </w:tc>
      </w:tr>
      <w:tr>
        <w:tc>
          <w:tcPr>
            <w:tcW w:w="0" w:type="auto"/>
          </w:tcPr>
          <w:p>
            <w:pPr>
              <w:spacing w:line="240" w:lineRule="auto" w:before="0" w:after="0"/>
              <w:pStyle w:val="Compact"/>
            </w:pPr>
            <w:r>
              <w:rPr>
                <w:sz w:val="20"/>
                <w:szCs w:val="20"/>
              </w:rPr>
              <w:t xml:space="preserve">Telstar-19V</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7075</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2018 Telesat coverage; Falcon 9</w:t>
            </w:r>
          </w:p>
        </w:tc>
      </w:tr>
      <w:tr>
        <w:tc>
          <w:tcPr>
            <w:tcW w:w="0" w:type="auto"/>
          </w:tcPr>
          <w:p>
            <w:pPr>
              <w:spacing w:line="240" w:lineRule="auto" w:before="0" w:after="0"/>
              <w:pStyle w:val="Compact"/>
            </w:pPr>
            <w:r>
              <w:rPr>
                <w:sz w:val="20"/>
                <w:szCs w:val="20"/>
              </w:rPr>
              <w:t xml:space="preserve">JCSAT-15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3400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Reuters 2016 JCSAT-15; Ariane 5</w:t>
            </w:r>
          </w:p>
        </w:tc>
      </w:tr>
      <w:tr>
        <w:tc>
          <w:tcPr>
            <w:tcW w:w="0" w:type="auto"/>
          </w:tcPr>
          <w:p>
            <w:pPr>
              <w:spacing w:line="240" w:lineRule="auto" w:before="0" w:after="0"/>
              <w:pStyle w:val="Compact"/>
            </w:pPr>
            <w:r>
              <w:rPr>
                <w:sz w:val="20"/>
                <w:szCs w:val="20"/>
              </w:rPr>
              <w:t xml:space="preserve">Eutelsat-65WA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6564</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2016 Eutelsat insurance market; Ariane 5</w:t>
            </w:r>
          </w:p>
        </w:tc>
      </w:tr>
      <w:tr>
        <w:tc>
          <w:tcPr>
            <w:tcW w:w="0" w:type="auto"/>
          </w:tcPr>
          <w:p>
            <w:pPr>
              <w:spacing w:line="240" w:lineRule="auto" w:before="0" w:after="0"/>
              <w:pStyle w:val="Compact"/>
            </w:pPr>
            <w:r>
              <w:rPr>
                <w:sz w:val="20"/>
                <w:szCs w:val="20"/>
              </w:rPr>
              <w:t xml:space="preserve">Inmarsat-5-F4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6086</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SpaceNews 2017; Falcon 9</w:t>
            </w:r>
          </w:p>
        </w:tc>
      </w:tr>
      <w:tr>
        <w:tc>
          <w:tcPr>
            <w:tcW w:w="0" w:type="auto"/>
          </w:tcPr>
          <w:p>
            <w:pPr>
              <w:spacing w:line="240" w:lineRule="auto" w:before="0" w:after="0"/>
              <w:pStyle w:val="Compact"/>
            </w:pPr>
            <w:r>
              <w:rPr>
                <w:sz w:val="20"/>
                <w:szCs w:val="20"/>
              </w:rPr>
              <w:t xml:space="preserve">Hellas-Sat-3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5780</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2017 Hellas-Sat; Ariane 5</w:t>
            </w:r>
          </w:p>
        </w:tc>
      </w:tr>
      <w:tr>
        <w:tc>
          <w:tcPr>
            <w:tcW w:w="0" w:type="auto"/>
          </w:tcPr>
          <w:p>
            <w:pPr>
              <w:spacing w:line="240" w:lineRule="auto" w:before="0" w:after="0"/>
              <w:pStyle w:val="Compact"/>
            </w:pPr>
            <w:r>
              <w:rPr>
                <w:sz w:val="20"/>
                <w:szCs w:val="20"/>
              </w:rPr>
              <w:t xml:space="preserve">SES-10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5300</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SpaceNews 2017 reused booster discount; Falcon 9 reused</w:t>
            </w:r>
          </w:p>
        </w:tc>
      </w:tr>
      <w:tr>
        <w:tc>
          <w:tcPr>
            <w:tcW w:w="0" w:type="auto"/>
          </w:tcPr>
          <w:p>
            <w:pPr>
              <w:spacing w:line="240" w:lineRule="auto" w:before="0" w:after="0"/>
              <w:pStyle w:val="Compact"/>
            </w:pPr>
            <w:r>
              <w:rPr>
                <w:sz w:val="20"/>
                <w:szCs w:val="20"/>
              </w:rPr>
              <w:t xml:space="preserve">Iridium-NEXT-1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2017 Iridium constellation; Falcon 9</w:t>
            </w:r>
          </w:p>
        </w:tc>
      </w:tr>
      <w:tr>
        <w:tc>
          <w:tcPr>
            <w:tcW w:w="0" w:type="auto"/>
          </w:tcPr>
          <w:p>
            <w:pPr>
              <w:spacing w:line="240" w:lineRule="auto" w:before="0" w:after="0"/>
              <w:pStyle w:val="Compact"/>
            </w:pPr>
            <w:r>
              <w:rPr>
                <w:sz w:val="20"/>
                <w:szCs w:val="20"/>
              </w:rPr>
              <w:t xml:space="preserve">Iridium-NEXT-2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2017 Iridium-2; Falcon 9</w:t>
            </w:r>
          </w:p>
        </w:tc>
      </w:tr>
      <w:tr>
        <w:tc>
          <w:tcPr>
            <w:tcW w:w="0" w:type="auto"/>
          </w:tcPr>
          <w:p>
            <w:pPr>
              <w:spacing w:line="240" w:lineRule="auto" w:before="0" w:after="0"/>
              <w:pStyle w:val="Compact"/>
            </w:pPr>
            <w:r>
              <w:rPr>
                <w:sz w:val="20"/>
                <w:szCs w:val="20"/>
              </w:rPr>
              <w:t xml:space="preserve">Iridium-NEXT-3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2017 Iridium-3; Falcon 9</w:t>
            </w:r>
          </w:p>
        </w:tc>
      </w:tr>
      <w:tr>
        <w:tc>
          <w:tcPr>
            <w:tcW w:w="0" w:type="auto"/>
          </w:tcPr>
          <w:p>
            <w:pPr>
              <w:spacing w:line="240" w:lineRule="auto" w:before="0" w:after="0"/>
              <w:pStyle w:val="Compact"/>
            </w:pPr>
            <w:r>
              <w:rPr>
                <w:sz w:val="20"/>
                <w:szCs w:val="20"/>
              </w:rPr>
              <w:t xml:space="preserve">Iridium-NEXT-7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SpaceNews 2018 Iridium-7; Falcon 9 Block 5</w:t>
            </w:r>
          </w:p>
        </w:tc>
      </w:tr>
      <w:tr>
        <w:tc>
          <w:tcPr>
            <w:tcW w:w="0" w:type="auto"/>
          </w:tcPr>
          <w:p>
            <w:pPr>
              <w:spacing w:line="240" w:lineRule="auto" w:before="0" w:after="0"/>
              <w:pStyle w:val="Compact"/>
            </w:pPr>
            <w:r>
              <w:rPr>
                <w:sz w:val="20"/>
                <w:szCs w:val="20"/>
              </w:rPr>
              <w:t xml:space="preserve">OneWeb-Batch-1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Reuters 2019 OneWeb Soyuz; Soyuz-ST</w:t>
            </w:r>
          </w:p>
        </w:tc>
      </w:tr>
      <w:tr>
        <w:tc>
          <w:tcPr>
            <w:tcW w:w="0" w:type="auto"/>
          </w:tcPr>
          <w:p>
            <w:pPr>
              <w:spacing w:line="240" w:lineRule="auto" w:before="0" w:after="0"/>
              <w:pStyle w:val="Compact"/>
            </w:pPr>
            <w:r>
              <w:rPr>
                <w:sz w:val="20"/>
                <w:szCs w:val="20"/>
              </w:rPr>
              <w:t xml:space="preserve">OneWeb-Batch-3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SpaceNews 2020 OneWeb resumed; Soyuz-ST</w:t>
            </w:r>
          </w:p>
        </w:tc>
      </w:tr>
      <w:tr>
        <w:tc>
          <w:tcPr>
            <w:tcW w:w="0" w:type="auto"/>
          </w:tcPr>
          <w:p>
            <w:pPr>
              <w:spacing w:line="240" w:lineRule="auto" w:before="0" w:after="0"/>
              <w:pStyle w:val="Compact"/>
            </w:pPr>
            <w:r>
              <w:rPr>
                <w:sz w:val="20"/>
                <w:szCs w:val="20"/>
              </w:rPr>
              <w:t xml:space="preserve">Starlink-v1-L1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2019 SpaceX self-insurance partial; Falcon 9 [illustrative]</w:t>
            </w:r>
          </w:p>
        </w:tc>
      </w:tr>
      <w:tr>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Korea Aerospace Research 2015 press kit; Dnepr [illustrative]</w:t>
            </w:r>
          </w:p>
        </w:tc>
      </w:tr>
      <w:tr>
        <w:tc>
          <w:tcPr>
            <w:tcW w:w="0" w:type="auto"/>
          </w:tcPr>
          <w:p>
            <w:pPr>
              <w:spacing w:line="240" w:lineRule="auto" w:before="0" w:after="0"/>
              <w:pStyle w:val="Compact"/>
            </w:pPr>
            <w:r>
              <w:rPr>
                <w:sz w:val="20"/>
                <w:szCs w:val="20"/>
              </w:rPr>
              <w:t xml:space="preserve">DigitalGlobe-WorldView-4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SpaceNews 2016 WorldView-4 insurance; Atlas V</w:t>
            </w:r>
          </w:p>
        </w:tc>
      </w:tr>
      <w:tr>
        <w:tc>
          <w:tcPr>
            <w:tcW w:w="0" w:type="auto"/>
          </w:tcPr>
          <w:p>
            <w:pPr>
              <w:spacing w:line="240" w:lineRule="auto" w:before="0" w:after="0"/>
              <w:pStyle w:val="Compact"/>
            </w:pPr>
            <w:r>
              <w:rPr>
                <w:sz w:val="20"/>
                <w:szCs w:val="20"/>
              </w:rPr>
              <w:t xml:space="preserve">Sentinel-2B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ESA 2017 Sentinel-2B press kit; Vega</w:t>
            </w:r>
          </w:p>
        </w:tc>
      </w:tr>
      <w:tr>
        <w:tc>
          <w:tcPr>
            <w:tcW w:w="0" w:type="auto"/>
          </w:tcPr>
          <w:p>
            <w:pPr>
              <w:spacing w:line="240" w:lineRule="auto" w:before="0" w:after="0"/>
              <w:pStyle w:val="Compact"/>
            </w:pPr>
            <w:r>
              <w:rPr>
                <w:sz w:val="20"/>
                <w:szCs w:val="20"/>
              </w:rPr>
              <w:t xml:space="preserve">Galileo-FOC-M8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733</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ESA 2018 Galileo press kit; Ariane 5 ES</w:t>
            </w:r>
          </w:p>
        </w:tc>
      </w:tr>
      <w:tr>
        <w:tc>
          <w:tcPr>
            <w:tcW w:w="0" w:type="auto"/>
          </w:tcPr>
          <w:p>
            <w:pPr>
              <w:spacing w:line="240" w:lineRule="auto" w:before="0" w:after="0"/>
              <w:pStyle w:val="Compact"/>
            </w:pPr>
            <w:r>
              <w:rPr>
                <w:sz w:val="20"/>
                <w:szCs w:val="20"/>
              </w:rPr>
              <w:t xml:space="preserve">Galileo-FOC-M9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733</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ESA 2018 Galileo M9 press kit; Ariane 5 ES</w:t>
            </w:r>
          </w:p>
        </w:tc>
      </w:tr>
      <w:tr>
        <w:tc>
          <w:tcPr>
            <w:tcW w:w="0" w:type="auto"/>
          </w:tcPr>
          <w:p>
            <w:pPr>
              <w:spacing w:line="240" w:lineRule="auto" w:before="0" w:after="0"/>
              <w:pStyle w:val="Compact"/>
            </w:pPr>
            <w:r>
              <w:rPr>
                <w:sz w:val="20"/>
                <w:szCs w:val="20"/>
              </w:rPr>
              <w:t xml:space="preserve">ViaSat-2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6418</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2017 ViaSat-2 highest insured value; Ariane 5</w:t>
            </w:r>
          </w:p>
        </w:tc>
      </w:tr>
      <w:tr>
        <w:tc>
          <w:tcPr>
            <w:tcW w:w="0" w:type="auto"/>
          </w:tcPr>
          <w:p>
            <w:pPr>
              <w:spacing w:line="240" w:lineRule="auto" w:before="0" w:after="0"/>
              <w:pStyle w:val="Compact"/>
            </w:pPr>
            <w:r>
              <w:rPr>
                <w:sz w:val="20"/>
                <w:szCs w:val="20"/>
              </w:rPr>
              <w:t xml:space="preserve">EchoStar-21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6871</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SpaceNews 2017 EchoStar; Proton-M</w:t>
            </w:r>
          </w:p>
        </w:tc>
      </w:tr>
      <w:tr>
        <w:tc>
          <w:tcPr>
            <w:tcW w:w="0" w:type="auto"/>
          </w:tcPr>
          <w:p>
            <w:pPr>
              <w:spacing w:line="240" w:lineRule="auto" w:before="0" w:after="0"/>
              <w:pStyle w:val="Compact"/>
            </w:pPr>
            <w:r>
              <w:rPr>
                <w:sz w:val="20"/>
                <w:szCs w:val="20"/>
              </w:rPr>
              <w:t xml:space="preserve">Amazonas-5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5900</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SpaceNews 2017 Hispasat-Amazonas; Proton-M</w:t>
            </w:r>
          </w:p>
        </w:tc>
      </w:tr>
      <w:tr>
        <w:tc>
          <w:tcPr>
            <w:tcW w:w="0" w:type="auto"/>
          </w:tcPr>
          <w:p>
            <w:pPr>
              <w:spacing w:line="240" w:lineRule="auto" w:before="0" w:after="0"/>
              <w:pStyle w:val="Compact"/>
            </w:pPr>
            <w:r>
              <w:rPr>
                <w:sz w:val="20"/>
                <w:szCs w:val="20"/>
              </w:rPr>
              <w:t xml:space="preserve">Telkom-3S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3550</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2017 Telkom-3S; Ariane 5</w:t>
            </w:r>
          </w:p>
        </w:tc>
      </w:tr>
      <w:tr>
        <w:tc>
          <w:tcPr>
            <w:tcW w:w="0" w:type="auto"/>
          </w:tcPr>
          <w:p>
            <w:pPr>
              <w:spacing w:line="240" w:lineRule="auto" w:before="0" w:after="0"/>
              <w:pStyle w:val="Compact"/>
            </w:pPr>
            <w:r>
              <w:rPr>
                <w:sz w:val="20"/>
                <w:szCs w:val="20"/>
              </w:rPr>
              <w:t xml:space="preserve">Hylas-4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230</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2018 Avanti Hylas-4; Ariane 5</w:t>
            </w:r>
          </w:p>
        </w:tc>
      </w:tr>
      <w:tr>
        <w:tc>
          <w:tcPr>
            <w:tcW w:w="0" w:type="auto"/>
          </w:tcPr>
          <w:p>
            <w:pPr>
              <w:spacing w:line="240" w:lineRule="auto" w:before="0" w:after="0"/>
              <w:pStyle w:val="Compact"/>
            </w:pPr>
            <w:r>
              <w:rPr>
                <w:sz w:val="20"/>
                <w:szCs w:val="20"/>
              </w:rPr>
              <w:t xml:space="preserve">Es’hail-2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5300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2018 Es’hail-2; Falcon 9</w:t>
            </w:r>
          </w:p>
        </w:tc>
      </w:tr>
      <w:tr>
        <w:tc>
          <w:tcPr>
            <w:tcW w:w="0" w:type="auto"/>
          </w:tcPr>
          <w:p>
            <w:pPr>
              <w:spacing w:line="240" w:lineRule="auto" w:before="0" w:after="0"/>
              <w:pStyle w:val="Compact"/>
            </w:pPr>
            <w:r>
              <w:rPr>
                <w:sz w:val="20"/>
                <w:szCs w:val="20"/>
              </w:rPr>
              <w:t xml:space="preserve">GSAT-31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2536</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ISRO 2019 GSAT-31 press kit; Ariane 5 [illustrative]</w:t>
            </w:r>
          </w:p>
        </w:tc>
      </w:tr>
      <w:tr>
        <w:tc>
          <w:tcPr>
            <w:tcW w:w="0" w:type="auto"/>
          </w:tcPr>
          <w:p>
            <w:pPr>
              <w:spacing w:line="240" w:lineRule="auto" w:before="0" w:after="0"/>
              <w:pStyle w:val="Compact"/>
            </w:pPr>
            <w:r>
              <w:rPr>
                <w:sz w:val="20"/>
                <w:szCs w:val="20"/>
              </w:rPr>
              <w:t xml:space="preserve">KOREASAT-7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3700</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2017 KT SAT; Ariane 5</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Annual launch-plus-one-year insurance premium as percent of insured value</w:t>
            </w:r>
          </w:p>
        </w:tc>
        <w:tc>
          <w:tcPr>
            <w:tcW w:w="0" w:type="auto"/>
          </w:tcPr>
          <w:p>
            <w:pPr>
              <w:spacing w:line="240" w:lineRule="auto" w:before="0" w:after="0"/>
              <w:pStyle w:val="Compact"/>
            </w:pPr>
            <w:r>
              <w:rPr>
                <w:sz w:val="20"/>
                <w:szCs w:val="20"/>
              </w:rPr>
              <w:t xml:space="preserve">SpaceNews market reports 2015-2020</w:t>
            </w:r>
          </w:p>
        </w:tc>
      </w:tr>
      <w:tr>
        <w:tc>
          <w:tcPr>
            <w:tcW w:w="0" w:type="auto"/>
          </w:tcPr>
          <w:p>
            <w:pPr>
              <w:spacing w:line="240" w:lineRule="auto" w:before="0" w:after="0"/>
              <w:pStyle w:val="Compact"/>
            </w:pPr>
            <w:r>
              <w:rPr>
                <w:sz w:val="20"/>
                <w:szCs w:val="20"/>
              </w:rPr>
              <w:t xml:space="preserve">debris_density_index</w:t>
            </w:r>
          </w:p>
        </w:tc>
        <w:tc>
          <w:tcPr>
            <w:tcW w:w="0" w:type="auto"/>
          </w:tcPr>
          <w:p>
            <w:pPr>
              <w:spacing w:line="240" w:lineRule="auto" w:before="0" w:after="0"/>
              <w:pStyle w:val="Compact"/>
            </w:pPr>
            <w:r>
              <w:rPr>
                <w:sz w:val="20"/>
                <w:szCs w:val="20"/>
              </w:rPr>
              <w:t xml:space="preserve">Normalized cataloged-object spatial density at orbital regime (0-1 scale, GEO low, LEO high)</w:t>
            </w:r>
          </w:p>
        </w:tc>
        <w:tc>
          <w:tcPr>
            <w:tcW w:w="0" w:type="auto"/>
          </w:tcPr>
          <w:p>
            <w:pPr>
              <w:spacing w:line="240" w:lineRule="auto" w:before="0" w:after="0"/>
              <w:pStyle w:val="Compact"/>
            </w:pPr>
            <w:r>
              <w:rPr>
                <w:sz w:val="20"/>
                <w:szCs w:val="20"/>
              </w:rPr>
              <w:t xml:space="preserve">Derived from ESA DISCOS density profile</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Spacecraft launch mass in kilograms</w:t>
            </w:r>
          </w:p>
        </w:tc>
        <w:tc>
          <w:tcPr>
            <w:tcW w:w="0" w:type="auto"/>
          </w:tcPr>
          <w:p>
            <w:pPr>
              <w:spacing w:line="240" w:lineRule="auto" w:before="0" w:after="0"/>
              <w:pStyle w:val="Compact"/>
            </w:pPr>
            <w:r>
              <w:rPr>
                <w:sz w:val="20"/>
                <w:szCs w:val="20"/>
              </w:rPr>
              <w:t xml:space="preserve">Mission press kits and operator filings</w:t>
            </w:r>
          </w:p>
        </w:tc>
      </w:tr>
      <w:tr>
        <w:tc>
          <w:tcPr>
            <w:tcW w:w="0" w:type="auto"/>
          </w:tcPr>
          <w:p>
            <w:pPr>
              <w:spacing w:line="240" w:lineRule="auto" w:before="0" w:after="0"/>
              <w:pStyle w:val="Compact"/>
            </w:pPr>
            <w:r>
              <w:rPr>
                <w:sz w:val="20"/>
                <w:szCs w:val="20"/>
              </w:rPr>
              <w:t xml:space="preserve">insured_value_musd</w:t>
            </w:r>
          </w:p>
        </w:tc>
        <w:tc>
          <w:tcPr>
            <w:tcW w:w="0" w:type="auto"/>
          </w:tcPr>
          <w:p>
            <w:pPr>
              <w:spacing w:line="240" w:lineRule="auto" w:before="0" w:after="0"/>
              <w:pStyle w:val="Compact"/>
            </w:pPr>
            <w:r>
              <w:rPr>
                <w:sz w:val="20"/>
                <w:szCs w:val="20"/>
              </w:rPr>
              <w:t xml:space="preserve">Total insured value in millions of US dollars</w:t>
            </w:r>
          </w:p>
        </w:tc>
        <w:tc>
          <w:tcPr>
            <w:tcW w:w="0" w:type="auto"/>
          </w:tcPr>
          <w:p>
            <w:pPr>
              <w:spacing w:line="240" w:lineRule="auto" w:before="0" w:after="0"/>
              <w:pStyle w:val="Compact"/>
            </w:pPr>
            <w:r>
              <w:rPr>
                <w:sz w:val="20"/>
                <w:szCs w:val="20"/>
              </w:rPr>
              <w:t xml:space="preserve">SpaceNews market reports</w:t>
            </w:r>
          </w:p>
        </w:tc>
      </w:tr>
      <w:tr>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Years since operator founding at launch year</w:t>
            </w:r>
          </w:p>
        </w:tc>
        <w:tc>
          <w:tcPr>
            <w:tcW w:w="0" w:type="auto"/>
          </w:tcPr>
          <w:p>
            <w:pPr>
              <w:spacing w:line="240" w:lineRule="auto" w:before="0" w:after="0"/>
              <w:pStyle w:val="Compact"/>
            </w:pPr>
            <w:r>
              <w:rPr>
                <w:sz w:val="20"/>
                <w:szCs w:val="20"/>
              </w:rPr>
              <w:t xml:space="preserve">Operator corporate filings</w:t>
            </w:r>
          </w:p>
        </w:tc>
      </w:tr>
      <w:tr>
        <w:tc>
          <w:tcPr>
            <w:tcW w:w="0" w:type="auto"/>
          </w:tcPr>
          <w:p>
            <w:pPr>
              <w:spacing w:line="240" w:lineRule="auto" w:before="0" w:after="0"/>
              <w:pStyle w:val="Compact"/>
            </w:pPr>
            <w:r>
              <w:rPr>
                <w:sz w:val="20"/>
                <w:szCs w:val="20"/>
              </w:rPr>
              <w:t xml:space="preserve">launcher_reliability</w:t>
            </w:r>
          </w:p>
        </w:tc>
        <w:tc>
          <w:tcPr>
            <w:tcW w:w="0" w:type="auto"/>
          </w:tcPr>
          <w:p>
            <w:pPr>
              <w:spacing w:line="240" w:lineRule="auto" w:before="0" w:after="0"/>
              <w:pStyle w:val="Compact"/>
            </w:pPr>
            <w:r>
              <w:rPr>
                <w:sz w:val="20"/>
                <w:szCs w:val="20"/>
              </w:rPr>
              <w:t xml:space="preserve">Launcher cumulative success rate at launch year (0-1)</w:t>
            </w:r>
          </w:p>
        </w:tc>
        <w:tc>
          <w:tcPr>
            <w:tcW w:w="0" w:type="auto"/>
          </w:tcPr>
          <w:p>
            <w:pPr>
              <w:spacing w:line="240" w:lineRule="auto" w:before="0" w:after="0"/>
              <w:pStyle w:val="Compact"/>
            </w:pPr>
            <w:r>
              <w:rPr>
                <w:sz w:val="20"/>
                <w:szCs w:val="20"/>
              </w:rPr>
              <w:t xml:space="preserve">FAA AST and Arianespace/SpaceX/ILS records</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15.4162</w:t>
            </w:r>
          </w:p>
        </w:tc>
        <w:tc>
          <w:tcPr>
            <w:tcW w:w="0" w:type="auto"/>
          </w:tcPr>
          <w:p>
            <w:pPr>
              <w:spacing w:line="240" w:lineRule="auto" w:before="0" w:after="0"/>
              <w:pStyle w:val="Compact"/>
            </w:pPr>
            <w:r>
              <w:rPr>
                <w:sz w:val="20"/>
                <w:szCs w:val="20"/>
              </w:rPr>
              <w:t xml:space="preserve">16.1616</w:t>
            </w:r>
          </w:p>
        </w:tc>
        <w:tc>
          <w:tcPr>
            <w:tcW w:w="0" w:type="auto"/>
          </w:tcPr>
          <w:p>
            <w:pPr>
              <w:spacing w:line="240" w:lineRule="auto" w:before="0" w:after="0"/>
              <w:pStyle w:val="Compact"/>
            </w:pPr>
            <w:r>
              <w:rPr>
                <w:sz w:val="20"/>
                <w:szCs w:val="20"/>
              </w:rPr>
              <w:t xml:space="preserve">0.9539</w:t>
            </w:r>
          </w:p>
        </w:tc>
        <w:tc>
          <w:tcPr>
            <w:tcW w:w="0" w:type="auto"/>
          </w:tcPr>
          <w:p>
            <w:pPr>
              <w:spacing w:line="240" w:lineRule="auto" w:before="0" w:after="0"/>
              <w:pStyle w:val="Compact"/>
            </w:pPr>
            <w:r>
              <w:rPr>
                <w:sz w:val="20"/>
                <w:szCs w:val="20"/>
              </w:rPr>
              <w:t xml:space="preserve">0.3401</w:t>
            </w:r>
          </w:p>
        </w:tc>
        <w:tc>
          <w:tcPr>
            <w:tcW w:w="0" w:type="auto"/>
          </w:tcPr>
          <w:p>
            <w:pPr>
              <w:spacing w:line="240" w:lineRule="auto" w:before="0" w:after="0"/>
              <w:pStyle w:val="Compact"/>
            </w:pPr>
            <w:r>
              <w:rPr>
                <w:sz w:val="20"/>
                <w:szCs w:val="20"/>
              </w:rPr>
              <w:t xml:space="preserve">[-16.26, 47.0924]</w:t>
            </w:r>
          </w:p>
        </w:tc>
      </w:tr>
      <w:tr>
        <w:tc>
          <w:tcPr>
            <w:tcW w:w="0" w:type="auto"/>
          </w:tcPr>
          <w:p>
            <w:pPr>
              <w:spacing w:line="240" w:lineRule="auto" w:before="0" w:after="0"/>
              <w:pStyle w:val="Compact"/>
            </w:pPr>
            <w:r>
              <w:rPr>
                <w:sz w:val="20"/>
                <w:szCs w:val="20"/>
              </w:rPr>
              <w:t xml:space="preserve">debris_density_index</w:t>
            </w:r>
          </w:p>
        </w:tc>
        <w:tc>
          <w:tcPr>
            <w:tcW w:w="0" w:type="auto"/>
          </w:tcPr>
          <w:p>
            <w:pPr>
              <w:spacing w:line="240" w:lineRule="auto" w:before="0" w:after="0"/>
              <w:pStyle w:val="Compact"/>
            </w:pPr>
            <w:r>
              <w:rPr>
                <w:sz w:val="20"/>
                <w:szCs w:val="20"/>
              </w:rPr>
              <w:t xml:space="preserve">-1.1759</w:t>
            </w:r>
          </w:p>
        </w:tc>
        <w:tc>
          <w:tcPr>
            <w:tcW w:w="0" w:type="auto"/>
          </w:tcPr>
          <w:p>
            <w:pPr>
              <w:spacing w:line="240" w:lineRule="auto" w:before="0" w:after="0"/>
              <w:pStyle w:val="Compact"/>
            </w:pPr>
            <w:r>
              <w:rPr>
                <w:sz w:val="20"/>
                <w:szCs w:val="20"/>
              </w:rPr>
              <w:t xml:space="preserve">1.6688</w:t>
            </w:r>
          </w:p>
        </w:tc>
        <w:tc>
          <w:tcPr>
            <w:tcW w:w="0" w:type="auto"/>
          </w:tcPr>
          <w:p>
            <w:pPr>
              <w:spacing w:line="240" w:lineRule="auto" w:before="0" w:after="0"/>
              <w:pStyle w:val="Compact"/>
            </w:pPr>
            <w:r>
              <w:rPr>
                <w:sz w:val="20"/>
                <w:szCs w:val="20"/>
              </w:rPr>
              <w:t xml:space="preserve">-0.7047</w:t>
            </w:r>
          </w:p>
        </w:tc>
        <w:tc>
          <w:tcPr>
            <w:tcW w:w="0" w:type="auto"/>
          </w:tcPr>
          <w:p>
            <w:pPr>
              <w:spacing w:line="240" w:lineRule="auto" w:before="0" w:after="0"/>
              <w:pStyle w:val="Compact"/>
            </w:pPr>
            <w:r>
              <w:rPr>
                <w:sz w:val="20"/>
                <w:szCs w:val="20"/>
              </w:rPr>
              <w:t xml:space="preserve">0.481</w:t>
            </w:r>
          </w:p>
        </w:tc>
        <w:tc>
          <w:tcPr>
            <w:tcW w:w="0" w:type="auto"/>
          </w:tcPr>
          <w:p>
            <w:pPr>
              <w:spacing w:line="240" w:lineRule="auto" w:before="0" w:after="0"/>
              <w:pStyle w:val="Compact"/>
            </w:pPr>
            <w:r>
              <w:rPr>
                <w:sz w:val="20"/>
                <w:szCs w:val="20"/>
              </w:rPr>
              <w:t xml:space="preserve">[-4.4466, 2.0948]</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0.0003558</w:t>
            </w:r>
          </w:p>
        </w:tc>
        <w:tc>
          <w:tcPr>
            <w:tcW w:w="0" w:type="auto"/>
          </w:tcPr>
          <w:p>
            <w:pPr>
              <w:spacing w:line="240" w:lineRule="auto" w:before="0" w:after="0"/>
              <w:pStyle w:val="Compact"/>
            </w:pPr>
            <w:r>
              <w:rPr>
                <w:sz w:val="20"/>
                <w:szCs w:val="20"/>
              </w:rPr>
              <w:t xml:space="preserve">0.0001481</w:t>
            </w:r>
          </w:p>
        </w:tc>
        <w:tc>
          <w:tcPr>
            <w:tcW w:w="0" w:type="auto"/>
          </w:tcPr>
          <w:p>
            <w:pPr>
              <w:spacing w:line="240" w:lineRule="auto" w:before="0" w:after="0"/>
              <w:pStyle w:val="Compact"/>
            </w:pPr>
            <w:r>
              <w:rPr>
                <w:sz w:val="20"/>
                <w:szCs w:val="20"/>
              </w:rPr>
              <w:t xml:space="preserve">2.4032</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[6.563e-05, 0.000646]</w:t>
            </w:r>
          </w:p>
        </w:tc>
      </w:tr>
      <w:tr>
        <w:tc>
          <w:tcPr>
            <w:tcW w:w="0" w:type="auto"/>
          </w:tcPr>
          <w:p>
            <w:pPr>
              <w:spacing w:line="240" w:lineRule="auto" w:before="0" w:after="0"/>
              <w:pStyle w:val="Compact"/>
            </w:pPr>
            <w:r>
              <w:rPr>
                <w:sz w:val="20"/>
                <w:szCs w:val="20"/>
              </w:rPr>
              <w:t xml:space="preserve">insured_value_musd</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0.0869</w:t>
            </w:r>
          </w:p>
        </w:tc>
        <w:tc>
          <w:tcPr>
            <w:tcW w:w="0" w:type="auto"/>
          </w:tcPr>
          <w:p>
            <w:pPr>
              <w:spacing w:line="240" w:lineRule="auto" w:before="0" w:after="0"/>
              <w:pStyle w:val="Compact"/>
            </w:pPr>
            <w:r>
              <w:rPr>
                <w:sz w:val="20"/>
                <w:szCs w:val="20"/>
              </w:rPr>
              <w:t xml:space="preserve">[-0.0006021, 0.0089]</w:t>
            </w:r>
          </w:p>
        </w:tc>
      </w:tr>
      <w:tr>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0.0291</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1.3129</w:t>
            </w:r>
          </w:p>
        </w:tc>
        <w:tc>
          <w:tcPr>
            <w:tcW w:w="0" w:type="auto"/>
          </w:tcPr>
          <w:p>
            <w:pPr>
              <w:spacing w:line="240" w:lineRule="auto" w:before="0" w:after="0"/>
              <w:pStyle w:val="Compact"/>
            </w:pPr>
            <w:r>
              <w:rPr>
                <w:sz w:val="20"/>
                <w:szCs w:val="20"/>
              </w:rPr>
              <w:t xml:space="preserve">0.1892</w:t>
            </w:r>
          </w:p>
        </w:tc>
        <w:tc>
          <w:tcPr>
            <w:tcW w:w="0" w:type="auto"/>
          </w:tcPr>
          <w:p>
            <w:pPr>
              <w:spacing w:line="240" w:lineRule="auto" w:before="0" w:after="0"/>
              <w:pStyle w:val="Compact"/>
            </w:pPr>
            <w:r>
              <w:rPr>
                <w:sz w:val="20"/>
                <w:szCs w:val="20"/>
              </w:rPr>
              <w:t xml:space="preserve">[-0.0144, 0.0726]</w:t>
            </w:r>
          </w:p>
        </w:tc>
      </w:tr>
      <w:tr>
        <w:tc>
          <w:tcPr>
            <w:tcW w:w="0" w:type="auto"/>
          </w:tcPr>
          <w:p>
            <w:pPr>
              <w:spacing w:line="240" w:lineRule="auto" w:before="0" w:after="0"/>
              <w:pStyle w:val="Compact"/>
            </w:pPr>
            <w:r>
              <w:rPr>
                <w:sz w:val="20"/>
                <w:szCs w:val="20"/>
              </w:rPr>
              <w:t xml:space="preserve">launcher_reliability</w:t>
            </w:r>
          </w:p>
        </w:tc>
        <w:tc>
          <w:tcPr>
            <w:tcW w:w="0" w:type="auto"/>
          </w:tcPr>
          <w:p>
            <w:pPr>
              <w:spacing w:line="240" w:lineRule="auto" w:before="0" w:after="0"/>
              <w:pStyle w:val="Compact"/>
            </w:pPr>
            <w:r>
              <w:rPr>
                <w:sz w:val="20"/>
                <w:szCs w:val="20"/>
              </w:rPr>
              <w:t xml:space="preserve">-7.7944</w:t>
            </w:r>
          </w:p>
        </w:tc>
        <w:tc>
          <w:tcPr>
            <w:tcW w:w="0" w:type="auto"/>
          </w:tcPr>
          <w:p>
            <w:pPr>
              <w:spacing w:line="240" w:lineRule="auto" w:before="0" w:after="0"/>
              <w:pStyle w:val="Compact"/>
            </w:pPr>
            <w:r>
              <w:rPr>
                <w:sz w:val="20"/>
                <w:szCs w:val="20"/>
              </w:rPr>
              <w:t xml:space="preserve">16.4169</w:t>
            </w:r>
          </w:p>
        </w:tc>
        <w:tc>
          <w:tcPr>
            <w:tcW w:w="0" w:type="auto"/>
          </w:tcPr>
          <w:p>
            <w:pPr>
              <w:spacing w:line="240" w:lineRule="auto" w:before="0" w:after="0"/>
              <w:pStyle w:val="Compact"/>
            </w:pPr>
            <w:r>
              <w:rPr>
                <w:sz w:val="20"/>
                <w:szCs w:val="20"/>
              </w:rPr>
              <w:t xml:space="preserve">-0.4748</w:t>
            </w:r>
          </w:p>
        </w:tc>
        <w:tc>
          <w:tcPr>
            <w:tcW w:w="0" w:type="auto"/>
          </w:tcPr>
          <w:p>
            <w:pPr>
              <w:spacing w:line="240" w:lineRule="auto" w:before="0" w:after="0"/>
              <w:pStyle w:val="Compact"/>
            </w:pPr>
            <w:r>
              <w:rPr>
                <w:sz w:val="20"/>
                <w:szCs w:val="20"/>
              </w:rPr>
              <w:t xml:space="preserve">0.6349</w:t>
            </w:r>
          </w:p>
        </w:tc>
        <w:tc>
          <w:tcPr>
            <w:tcW w:w="0" w:type="auto"/>
          </w:tcPr>
          <w:p>
            <w:pPr>
              <w:spacing w:line="240" w:lineRule="auto" w:before="0" w:after="0"/>
              <w:pStyle w:val="Compact"/>
            </w:pPr>
            <w:r>
              <w:rPr>
                <w:sz w:val="20"/>
                <w:szCs w:val="20"/>
              </w:rPr>
              <w:t xml:space="preserve">[-39.9708, 24.382]</w:t>
            </w:r>
          </w:p>
        </w:tc>
      </w:tr>
    </w:tbl>
    <w:p>
      <w:pPr>
        <w:pStyle w:val="BodyText"/>
      </w:pPr>
      <w:r>
        <w:t xml:space="preserve">Fit: N = 31 R2 = 0.7169 R2_adj = 0.6603 F = 21.2163 F_p = 2.898e-08</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 Type="http://schemas.openxmlformats.org/officeDocument/2006/relationships/hyperlink" Id="rId69" Target="https://doi.org/10.64861/DYBG6563"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64861/DYBG65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2026-06-27T13:10:01Z</dcterms:created>
  <dcterms:modified xsi:type="dcterms:W3CDTF">2026-06-27T13:10:01Z</dcterms:modified>
</cp:coreProperties>
</file>

<file path=docProps/custom.xml><?xml version="1.0" encoding="utf-8"?>
<Properties xmlns="http://schemas.openxmlformats.org/officeDocument/2006/custom-properties" xmlns:vt="http://schemas.openxmlformats.org/officeDocument/2006/docPropsVTypes"/>
</file>