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0" w:name="X9c7fd3d11bcc3d8edbd3e5a9ef9581bb5b348c5"/>
    <w:p>
      <w:pPr>
        <w:pStyle w:val="Heading1"/>
      </w:pPr>
      <w:r>
        <w:t xml:space="preserve">A Hedonic Price Model of Debris Risk in Satellite Insurance: Orbital-Regime Debris Flux as a Determinant of First-Year Premium Rates</w:t>
      </w:r>
    </w:p>
    <w:bookmarkStart w:id="61" w:name="introduction"/>
    <w:p>
      <w:pPr>
        <w:pStyle w:val="Heading2"/>
      </w:pPr>
      <w:r>
        <w:t xml:space="preserve">1. Introduction</w:t>
      </w:r>
    </w:p>
    <w:p>
      <w:pPr>
        <w:pStyle w:val="FirstParagraph"/>
      </w:pPr>
      <w:r>
        <w:t xml:space="preserve">The commercial satellite insurance market underwrites roughly seven hundred million dollars of annual premium against an exposure base measured in tens of billions of dollars of insured satellite value. Underwriters price each policy against a bundle of physical and operational attributes of the spacecraft, of which exposure to the orbital-debris environment is one. The pricing question this paper addresses is straightforward to state and surprisingly difficult to answer with public data: does the catalogued-debris flux of the operating orbital regime show up as a measurable, signed component of the first-year in-orbit premium rate, once spacecraft mass, design life, and policy year are held constant?</w:t>
      </w:r>
    </w:p>
    <w:p>
      <w:pPr>
        <w:pStyle w:val="BodyText"/>
      </w:pPr>
      <w:r>
        <w:t xml:space="preserve">The motivation is policy-relevant. If debris flux is positively priced, the insurance market is internalizing a portion of the externality that orbital debris imposes on operators, and the elasticity of price with respect to flux becomes a partial market price for sustainability interventions. If debris flux is not priced, or is priced perversely, the market signal that would justify private debris-removal investment is missing, and the case for public intervention strengthens. The hedonic-price framework introduced by Rosen for differentiated goods provides the analytic device for recovering these implicit prices from observed transactions.</w:t>
      </w:r>
    </w:p>
    <w:p>
      <w:pPr>
        <w:pStyle w:val="BodyText"/>
      </w:pPr>
      <w:r>
        <w:t xml:space="preserve">This paper estimates an ordinary-least-squares hedonic price model of the first-year in-orbit premium rate on a sample of thirty-three commercial and civil satellites insured between 2016 and 2025, drawing premium-rate observations from Aon, Marsh, Swiss Re, and Allianz AGCS annual space-market reports and matching them to mission-level mass, design life, and orbital-regime debris flux indices constructed from NASA Orbital Debris Program Office and ESA Annual Space Environment Report figures.</w:t>
      </w:r>
    </w:p>
    <w:bookmarkEnd w:id="61"/>
    <w:bookmarkStart w:id="62" w:name="theory-and-hypotheses"/>
    <w:p>
      <w:pPr>
        <w:pStyle w:val="Heading2"/>
      </w:pPr>
      <w:r>
        <w:t xml:space="preserve">2. Theory and Hypotheses</w:t>
      </w:r>
    </w:p>
    <w:p>
      <w:pPr>
        <w:pStyle w:val="FirstParagraph"/>
      </w:pPr>
      <w:r>
        <w:t xml:space="preserve">Hedonic price theory treats a differentiated good as a bundle of characteristics, each carrying an implicit price recovered from the cross section of transaction prices</w:t>
      </w:r>
      <w:r>
        <w:t xml:space="preserve"> </w:t>
      </w:r>
      <w:hyperlink w:anchor="ref-1">
        <m:oMathPara>
          <m:oMathParaPr>
            <m:jc m:val="center"/>
          </m:oMathParaPr>
          <m:oMath>
            <m:r>
              <m:t>1</m:t>
            </m:r>
          </m:oMath>
        </m:oMathPara>
      </w:hyperlink>
      <w:r>
        <w:t xml:space="preserve">. Applied to satellite insurance, the policy is the differentiated contract, the price is the rate-on-line, and the characteristics include both the insured asset and the environment in which it operates. Rosen’s framework requires that the equilibrium price function be a smooth envelope of the marginal valuations of buyers and the marginal costs of sellers, with the coefficients interpretable as compensating variations for incremental characteristic changes.</w:t>
      </w:r>
    </w:p>
    <w:p>
      <w:pPr>
        <w:pStyle w:val="FirstParagraph"/>
      </w:pPr>
      <w:r>
        <w:t xml:space="preserve">The orbital-debris environment enters this framework as an environmental disamenity. The expected annual collision probability of a spacecraft scales with the catalogued spatial density of debris in its operating regime, and the underwriter’s expected loss is the product of this probability, the conditional severity of the loss, and the insured value. McKnight argued more than a decade ago that the debris signal would over time flow through to insurance premiums, but cautioned that the signal would lag the underlying environmental change because catalogued losses, not modeled losses, drive market pricing</w:t>
      </w:r>
      <w:r>
        <w:t xml:space="preserve"> </w:t>
      </w:r>
      <w:hyperlink w:anchor="ref-2">
        <m:oMathPara>
          <m:oMathParaPr>
            <m:jc m:val="center"/>
          </m:oMathParaPr>
          <m:oMath>
            <m:r>
              <m:t>2</m:t>
            </m:r>
          </m:oMath>
        </m:oMathPara>
      </w:hyperlink>
      <w:r>
        <w:t xml:space="preserve">. Oltrogge and colleagues quantified the GEO collision likelihood and concluded that the instantaneous risk in that regime remains low even as the population grows</w:t>
      </w:r>
      <w:r>
        <w:t xml:space="preserve"> </w:t>
      </w:r>
      <w:hyperlink w:anchor="ref-3">
        <m:oMathPara>
          <m:oMathParaPr>
            <m:jc m:val="center"/>
          </m:oMathParaPr>
          <m:oMath>
            <m:r>
              <m:t>3</m:t>
            </m:r>
          </m:oMath>
        </m:oMathPara>
      </w:hyperlink>
      <w:r>
        <w:t xml:space="preserve">. Shahady extended the framing to the contested character of LEO and GEO and observed that insurers can reduce premiums when on-orbit servicing or active debris mitigation is in place</w:t>
      </w:r>
      <w:r>
        <w:t xml:space="preserve"> </w:t>
      </w:r>
      <w:hyperlink w:anchor="ref-4">
        <m:oMathPara>
          <m:oMathParaPr>
            <m:jc m:val="center"/>
          </m:oMathParaPr>
          <m:oMath>
            <m:r>
              <m:t>4</m:t>
            </m:r>
          </m:oMath>
        </m:oMathPara>
      </w:hyperlink>
      <w:r>
        <w:t xml:space="preserve">. Trucco and colleagues situated the question inside the broader space-economy risk landscape and identified insurance as one of the principal channels through which orbital risk is monetized</w:t>
      </w:r>
      <w:r>
        <w:t xml:space="preserve"> </w:t>
      </w:r>
      <w:hyperlink w:anchor="ref-5">
        <m:oMathPara>
          <m:oMathParaPr>
            <m:jc m:val="center"/>
          </m:oMathParaPr>
          <m:oMath>
            <m:r>
              <m:t>5</m:t>
            </m:r>
          </m:oMath>
        </m:oMathPara>
      </w:hyperlink>
      <w:r>
        <w:t xml:space="preserve">.</w:t>
      </w:r>
    </w:p>
    <w:p>
      <w:pPr>
        <w:pStyle w:val="FirstParagraph"/>
      </w:pPr>
      <w:r>
        <w:t xml:space="preserve">Two competing hypotheses follow. The naive priors say that higher debris flux raises the conditional expected loss and so raises the equilibrium premium rate, and the coefficient on the debris flux index should be positive. The counter prior, consistent with the McKnight critique, says that the GEO market has historically operated at higher rates than LEO not because of debris but because of mission value, mass, and the multi-year exposure period over which the policy must hold, so once the regime debris index is added to a specification that holds mass and design life constant, the residual sign on the debris index need not be positive at all. The empirical test is whether the coefficient on debris flux is statistically distinguishable from zero conditional on the controls.</w:t>
      </w:r>
    </w:p>
    <w:bookmarkEnd w:id="62"/>
    <w:bookmarkStart w:id="63" w:name="data"/>
    <w:p>
      <w:pPr>
        <w:pStyle w:val="Heading2"/>
      </w:pPr>
      <w:r>
        <w:t xml:space="preserve">3. Data</w:t>
      </w:r>
    </w:p>
    <w:p>
      <w:pPr>
        <w:pStyle w:val="FirstParagraph"/>
      </w:pPr>
      <w:r>
        <w:t xml:space="preserve">The unit of observation is the satellite-policy at launch, restricted to first-year all-risks in-orbit cover. Thirty-three observations were assembled from 2016 to 2025. Premium-rate observations come from Aon Space Insurance Market Update annual editions, Marsh Space Insurance Market Report, Swiss Re Institute briefings, and Allianz AGCS reports. Where a mission-specific rate is publicly disclosed, that rate is used; where only the sector-average rate by orbital regime is available, the sector-average is assigned and the row flagged as illustrative.</w:t>
      </w:r>
    </w:p>
    <w:p>
      <w:pPr>
        <w:pStyle w:val="BodyText"/>
      </w:pPr>
      <w:r>
        <w:t xml:space="preserve">Spacecraft mass and design life come from operator press releases and Gunter’s Space Page entries, cross-checked against Arianespace, SpaceX, and ISRO launch documentation. The debris flux index is constructed from NASA Orbital Debris Program Office Orbital Debris Quarterly News charts of catalogued objects by altitude band and ESA Annual Space Environment Report figures on spatial density by regime, normalized so that the GEO 2010 value equals unity. The resulting index runs from approximately 0.19 for GEO and IGSO observations to 2.65 for the densest sun-synchronous LEO band. Altitude was initially included as a control but proved nearly collinear with the regime-coded flux index and was dropped from the reported specification.</w:t>
      </w:r>
    </w:p>
    <w:bookmarkEnd w:id="63"/>
    <w:bookmarkStart w:id="64" w:name="method"/>
    <w:p>
      <w:pPr>
        <w:pStyle w:val="Heading2"/>
      </w:pPr>
      <w:r>
        <w:t xml:space="preserve">4. Method</w:t>
      </w:r>
    </w:p>
    <w:p>
      <w:pPr>
        <w:pStyle w:val="FirstParagraph"/>
      </w:pPr>
      <w:r>
        <w:t xml:space="preserve">The estimator is ordinary least squares on the cross section, with the first-year premium rate in percentage points as the dependent variable and four right-hand-side regressors: debris flux index, dry mass in kilograms, design life in years, and the calendar year of policy inception. Year of inception is included as a linear time control to absorb common market-cycle effects across the sample window. The coefficient of interest is the slope on the debris flux index, which under hedonic theory is interpreted as the implicit annual price per unit of regime-level debris exposure once the spacecraft attributes are held constant. Robust inference relies on the standard heteroscedasticity-consistent reporting produced by the candidate estimator. All four right-hand-side variables enter linearly. The sample size of thirty-three is small but adequate for a four-regressor cross-sectional hedonic with a fit dominated by between-regime variation.</w:t>
      </w:r>
    </w:p>
    <w:bookmarkEnd w:id="64"/>
    <w:bookmarkStart w:id="65" w:name="findings"/>
    <w:p>
      <w:pPr>
        <w:pStyle w:val="Heading2"/>
      </w:pPr>
      <w:r>
        <w:t xml:space="preserve">5. Findings</w:t>
      </w:r>
    </w:p>
    <w:p>
      <w:pPr>
        <w:pStyle w:val="FirstParagraph"/>
      </w:pPr>
      <w:r>
        <w:t xml:space="preserve">The model explains a substantial share of the variance in first-year premium rates. The N is 33, the R-squared is 0.767, the adjusted R-squared is 0.733, and the overall F statistic is 44.54 with a p-value below one in ten billion, so the joint test of the regressor block decisively rejects the null of no relationship.</w:t>
      </w:r>
    </w:p>
    <w:p>
      <w:pPr>
        <w:pStyle w:val="BodyText"/>
      </w:pPr>
      <w:r>
        <w:t xml:space="preserve">The coefficient on the debris flux index is negative, equal to minus 0.152 percentage points per unit of the GEO-normalized index, with a standard error of 0.060 and a p-value of 0.011. The hedonic price of regime debris flux is statistically distinguishable from zero conditional on mass, design life, and year, but it is signed in the opposite direction to the naive prior. Higher debris flux is associated with lower first-year premium rates, by roughly fifteen basis points per unit of the index. The coefficient on mass is positive and small in magnitude, 4.6 times ten to the minus fifth percentage points per kilogram, with a standard error of 2.5 times ten to the minus fifth and a p-value of 0.067, marginally significant. The coefficient on design life is positive at 0.032 percentage points per year of design life, with a standard error of 0.014 and a p-value of 0.017. The coefficient on calendar year is positive at 0.048 percentage points per year, with a standard error of 0.016 and a p-value of 0.002, indicating a hardening market across the sample window. The intercept is large and negative, minus 96.4, reflecting the linear year control absorbing the level of the calendar variable.</w:t>
      </w:r>
    </w:p>
    <w:p>
      <w:pPr>
        <w:pStyle w:val="BodyText"/>
      </w:pPr>
      <w:r>
        <w:t xml:space="preserve">The negative sign on the debris flux index is consistent with the McKnight critique. The high-flux regimes in the sample are dominated by short-design-life LEO missions for which the historical premium rate has been depressed by competitive supply of LEO capacity and by the perception that any single LEO loss is small relative to the operator’s constellation value</w:t>
      </w:r>
      <w:r>
        <w:t xml:space="preserve"> </w:t>
      </w:r>
      <w:hyperlink w:anchor="ref-2">
        <m:oMathPara>
          <m:oMathParaPr>
            <m:jc m:val="center"/>
          </m:oMathParaPr>
          <m:oMath>
            <m:r>
              <m:t>2</m:t>
            </m:r>
          </m:oMath>
        </m:oMathPara>
      </w:hyperlink>
      <w:r>
        <w:t xml:space="preserve">. The low-flux regimes are dominated by high-value, long-design-life GEO missions whose policies clear at higher rates because of the multi-year exposure horizon and the concentrated loss severity, not because of the catalogued debris environment</w:t>
      </w:r>
      <w:r>
        <w:t xml:space="preserve"> </w:t>
      </w:r>
      <w:hyperlink w:anchor="ref-3">
        <m:oMathPara>
          <m:oMathParaPr>
            <m:jc m:val="center"/>
          </m:oMathParaPr>
          <m:oMath>
            <m:r>
              <m:t>3</m:t>
            </m:r>
          </m:oMath>
        </m:oMathPara>
      </w:hyperlink>
      <w:r>
        <w:t xml:space="preserve">. The hedonic decomposition recovers exactly this: design life and mass carry positive implicit prices, and once those are removed, the residual regime variable is signed away from the naive prior.</w:t>
      </w:r>
    </w:p>
    <w:bookmarkEnd w:id="65"/>
    <w:bookmarkStart w:id="66" w:name="discussion"/>
    <w:p>
      <w:pPr>
        <w:pStyle w:val="Heading2"/>
      </w:pPr>
      <w:r>
        <w:t xml:space="preserve">6. Discussion</w:t>
      </w:r>
    </w:p>
    <w:p>
      <w:pPr>
        <w:pStyle w:val="FirstParagraph"/>
      </w:pPr>
      <w:r>
        <w:t xml:space="preserve">The headline finding is that the orbital-debris environment, as proxied by catalogued flux, is priced in commercial satellite insurance but in a direction that the externality argument does not predict. The reading consistent with the data is that the insurance market is not pricing the marginal collision probability per kilogram of insured value, it is pricing the joint distribution of mission value, design life, and concentration of severity, with the regime indicator falling out as a residual correlate of those characteristics.</w:t>
      </w:r>
    </w:p>
    <w:p>
      <w:pPr>
        <w:pStyle w:val="BodyText"/>
      </w:pPr>
      <w:r>
        <w:t xml:space="preserve">This has three implications for the dissertation. First, the case for using insurance pricing as a market-derived shadow price for debris removal is weaker than the policy literature has assumed and requires a different identification strategy, possibly an event-study around named debris events or a panel design with within-mission rate changes. Second, the negative sign does not mean underwriters ignore debris, it means the catalogued-flux signal is overwhelmed in the cross section by exposure-period and concentration effects that are also correlated with regime. Third, the hardening year coefficient is large enough that any longitudinal test of debris pricing must control for the market cycle explicitly.</w:t>
      </w:r>
    </w:p>
    <w:p>
      <w:pPr>
        <w:pStyle w:val="BodyText"/>
      </w:pPr>
      <w:r>
        <w:t xml:space="preserve">The limitations are visible. The sample is small and weighted toward GEO observations. Many of the LEO rates are assigned at sector averages because mission-specific rates are not publicly disclosed. The debris flux index is a coarse regime-level construct rather than a per-mission collision-probability product. The cross-sectional design cannot identify the effect of a discrete change in the debris environment at a given regime. The companion paper in this dissertation, which uses a different identification strategy, addresses these in turn.</w:t>
      </w:r>
    </w:p>
    <w:bookmarkEnd w:id="66"/>
    <w:bookmarkStart w:id="80" w:name="references"/>
    <w:p>
      <w:pPr>
        <w:pStyle w:val="Heading2"/>
      </w:pPr>
      <w:r>
        <w:t xml:space="preserve">References</w:t>
      </w:r>
    </w:p>
    <w:p>
      <w:pPr>
        <w:pStyle w:val="FirstParagraph"/>
      </w:pPr>
      <w:bookmarkStart w:id="67" w:name="ref-1"/>
      <w:bookmarkEnd w:id="67"/>
      <w:r>
        <w:t xml:space="preserve">1. S. Rosen,</w:t>
      </w:r>
      <w:r>
        <w:t xml:space="preserve"> </w:t>
      </w:r>
      <w:r>
        <w:t xml:space="preserve">“Hedonic prices and implicit markets: product differentiation in pure competition,”</w:t>
      </w:r>
      <w:r>
        <w:t xml:space="preserve"> </w:t>
      </w:r>
      <w:r>
        <w:t xml:space="preserve">Journal of Political Economy, vol. 82, no. 1, pp. 34 to 55, 1974.</w:t>
      </w:r>
    </w:p>
    <w:p>
      <w:pPr>
        <w:pStyle w:val="BodyText"/>
      </w:pPr>
      <w:bookmarkStart w:id="68" w:name="ref-2"/>
      <w:bookmarkEnd w:id="68"/>
      <w:r>
        <w:t xml:space="preserve">2. D. McKnight,</w:t>
      </w:r>
      <w:r>
        <w:t xml:space="preserve"> </w:t>
      </w:r>
      <w:r>
        <w:t xml:space="preserve">“Pay me now or pay me more later: start the development of active orbital debris removal now,”</w:t>
      </w:r>
      <w:r>
        <w:t xml:space="preserve"> </w:t>
      </w:r>
      <w:r>
        <w:t xml:space="preserve">in Proc. Advanced Maui Optical and Space Surveillance Technologies (AMOS) Conference, 2010.</w:t>
      </w:r>
    </w:p>
    <w:p>
      <w:pPr>
        <w:pStyle w:val="BodyText"/>
      </w:pPr>
      <w:bookmarkStart w:id="69" w:name="ref-3"/>
      <w:bookmarkEnd w:id="69"/>
      <w:r>
        <w:t xml:space="preserve">3. D. Oltrogge, S. Alfano, C. M. Law, A. Cacioni, and T. S. Kelso,</w:t>
      </w:r>
      <w:r>
        <w:t xml:space="preserve"> </w:t>
      </w:r>
      <w:r>
        <w:t xml:space="preserve">“A comprehensive assessment of collision likelihood in geosynchronous Earth orbit,”</w:t>
      </w:r>
      <w:r>
        <w:t xml:space="preserve"> </w:t>
      </w:r>
      <w:r>
        <w:t xml:space="preserve">Acta Astronautica, vol. 147, pp. 477 to 486, 2018, doi:</w:t>
      </w:r>
      <w:r>
        <w:t xml:space="preserve"> </w:t>
      </w:r>
      <w:hyperlink r:id="rId70">
        <w:r>
          <w:rPr>
            <w:rStyle w:val="Hyperlink"/>
          </w:rPr>
          <w:t xml:space="preserve">10.1016/j.actaastro.2018.03.017</w:t>
        </w:r>
      </w:hyperlink>
    </w:p>
    <w:p>
      <w:pPr>
        <w:pStyle w:val="BodyText"/>
      </w:pPr>
      <w:bookmarkStart w:id="71" w:name="ref-4"/>
      <w:bookmarkEnd w:id="71"/>
      <w:r>
        <w:t xml:space="preserve">4. K. Shahady,</w:t>
      </w:r>
      <w:r>
        <w:t xml:space="preserve"> </w:t>
      </w:r>
      <w:r>
        <w:t xml:space="preserve">“The future risk of space debris and contested environments increases the intrinsic and actual cost of GEO slots,”</w:t>
      </w:r>
      <w:r>
        <w:t xml:space="preserve"> </w:t>
      </w:r>
      <w:r>
        <w:t xml:space="preserve">in Proc. Advanced Maui Optical and Space Surveillance Technologies (AMOS) Conference, 2023, doi:</w:t>
      </w:r>
      <w:r>
        <w:t xml:space="preserve"> </w:t>
      </w:r>
      <w:hyperlink r:id="rId72">
        <w:r>
          <w:rPr>
            <w:rStyle w:val="Hyperlink"/>
          </w:rPr>
          <w:t xml:space="preserve">10.64861/DYBG6563</w:t>
        </w:r>
      </w:hyperlink>
    </w:p>
    <w:p>
      <w:pPr>
        <w:pStyle w:val="BodyText"/>
      </w:pPr>
      <w:bookmarkStart w:id="73" w:name="ref-5"/>
      <w:bookmarkEnd w:id="73"/>
      <w:r>
        <w:t xml:space="preserve">5. P. Trucco, A. Paravano, and G. Locatelli,</w:t>
      </w:r>
      <w:r>
        <w:t xml:space="preserve"> </w:t>
      </w:r>
      <w:r>
        <w:t xml:space="preserve">“Framing the dynamics of risk landscape amidst space economy trends,”</w:t>
      </w:r>
      <w:r>
        <w:t xml:space="preserve"> </w:t>
      </w:r>
      <w:r>
        <w:t xml:space="preserve">Acta Astronautica, vol. 238, 2025, doi:</w:t>
      </w:r>
      <w:r>
        <w:t xml:space="preserve"> </w:t>
      </w:r>
      <w:hyperlink r:id="rId74">
        <w:r>
          <w:rPr>
            <w:rStyle w:val="Hyperlink"/>
          </w:rPr>
          <w:t xml:space="preserve">10.1016/j.actaastro.2025.06.067</w:t>
        </w:r>
      </w:hyperlink>
    </w:p>
    <w:p>
      <w:pPr>
        <w:pStyle w:val="BodyText"/>
      </w:pPr>
      <w:bookmarkStart w:id="75" w:name="ref-6"/>
      <w:bookmarkEnd w:id="75"/>
      <w:r>
        <w:t xml:space="preserve">6. NASA Orbital Debris Program Office,</w:t>
      </w:r>
      <w:r>
        <w:t xml:space="preserve"> </w:t>
      </w:r>
      <w:r>
        <w:t xml:space="preserve">“Orbital Debris Quarterly News,”</w:t>
      </w:r>
      <w:r>
        <w:t xml:space="preserve"> </w:t>
      </w:r>
      <w:r>
        <w:t xml:space="preserve">NASA Johnson Space Center, 2016 to 2025 issues, orbitaldebris.jsc.nasa.gov.</w:t>
      </w:r>
    </w:p>
    <w:p>
      <w:pPr>
        <w:pStyle w:val="BodyText"/>
      </w:pPr>
      <w:bookmarkStart w:id="76" w:name="ref-7"/>
      <w:bookmarkEnd w:id="76"/>
      <w:r>
        <w:t xml:space="preserve">7. European Space Agency Space Debris Office,</w:t>
      </w:r>
      <w:r>
        <w:t xml:space="preserve"> </w:t>
      </w:r>
      <w:r>
        <w:t xml:space="preserve">“ESA Annual Space Environment Report,”</w:t>
      </w:r>
      <w:r>
        <w:t xml:space="preserve"> </w:t>
      </w:r>
      <w:r>
        <w:t xml:space="preserve">GEN-DB-LOG-00288-OPS-SD, Darmstadt, 2024, sdup.esoc.esa.int.</w:t>
      </w:r>
    </w:p>
    <w:p>
      <w:pPr>
        <w:pStyle w:val="BodyText"/>
      </w:pPr>
      <w:bookmarkStart w:id="77" w:name="ref-8"/>
      <w:bookmarkEnd w:id="77"/>
      <w:r>
        <w:t xml:space="preserve">8. Aon,</w:t>
      </w:r>
      <w:r>
        <w:t xml:space="preserve"> </w:t>
      </w:r>
      <w:r>
        <w:t xml:space="preserve">“Space Insurance Market Update,”</w:t>
      </w:r>
      <w:r>
        <w:t xml:space="preserve"> </w:t>
      </w:r>
      <w:r>
        <w:t xml:space="preserve">annual editions 2017 to 2024, aon.com.</w:t>
      </w:r>
    </w:p>
    <w:p>
      <w:pPr>
        <w:pStyle w:val="BodyText"/>
      </w:pPr>
      <w:bookmarkStart w:id="78" w:name="ref-9"/>
      <w:bookmarkEnd w:id="78"/>
      <w:r>
        <w:t xml:space="preserve">9. Marsh,</w:t>
      </w:r>
      <w:r>
        <w:t xml:space="preserve"> </w:t>
      </w:r>
      <w:r>
        <w:t xml:space="preserve">“Space Insurance Market Report,”</w:t>
      </w:r>
      <w:r>
        <w:t xml:space="preserve"> </w:t>
      </w:r>
      <w:r>
        <w:t xml:space="preserve">annual editions 2019 to 2024, marsh.com.</w:t>
      </w:r>
    </w:p>
    <w:p>
      <w:pPr>
        <w:pStyle w:val="BodyText"/>
      </w:pPr>
      <w:bookmarkStart w:id="79" w:name="ref-10"/>
      <w:bookmarkEnd w:id="79"/>
      <w:r>
        <w:t xml:space="preserve">10. Swiss Re Institute,</w:t>
      </w:r>
      <w:r>
        <w:t xml:space="preserve"> </w:t>
      </w:r>
      <w:r>
        <w:t xml:space="preserve">“Space risks: a new generation of challenges,”</w:t>
      </w:r>
      <w:r>
        <w:t xml:space="preserve"> </w:t>
      </w:r>
      <w:r>
        <w:t xml:space="preserve">Zurich, 2018, swissre.com/institute.</w:t>
      </w:r>
    </w:p>
    <w:bookmarkEnd w:id="80"/>
    <w:bookmarkStart w:id="81" w:name="specification"/>
    <w:p>
      <w:pPr>
        <w:pStyle w:val="Heading2"/>
      </w:pPr>
      <w:r>
        <w:t xml:space="preserve">Specification</w:t>
      </w:r>
    </w:p>
    <w:p>
      <w:pPr>
        <w:pStyle w:val="FirstParagraph"/>
      </w:pPr>
      <m:oMathPara>
        <m:oMathParaPr>
          <m:jc m:val="center"/>
        </m:oMathParaPr>
        <m:oMath>
          <m:sSub>
            <m:e>
              <m:r>
                <m:rPr>
                  <m:nor/>
                  <m:sty m:val="p"/>
                </m:rPr>
                <m:t>premium_rate_pct</m:t>
              </m:r>
            </m:e>
            <m:sub>
              <m:r>
                <m:t>i</m:t>
              </m:r>
            </m:sub>
          </m:sSub>
          <m:r>
            <m:rPr>
              <m:sty m:val="p"/>
            </m:rPr>
            <m:t>=</m:t>
          </m:r>
          <m:sSub>
            <m:e>
              <m:r>
                <m:t>β</m:t>
              </m:r>
            </m:e>
            <m:sub>
              <m:r>
                <m:t>0</m:t>
              </m:r>
            </m:sub>
          </m:sSub>
          <m:r>
            <m:rPr>
              <m:sty m:val="p"/>
            </m:rPr>
            <m:t>+</m:t>
          </m:r>
          <m:sSub>
            <m:e>
              <m:r>
                <m:t>β</m:t>
              </m:r>
            </m:e>
            <m:sub>
              <m:r>
                <m:t>1</m:t>
              </m:r>
            </m:sub>
          </m:sSub>
          <m:sSub>
            <m:e>
              <m:r>
                <m:rPr>
                  <m:nor/>
                  <m:sty m:val="p"/>
                </m:rPr>
                <m:t>debris_flux_index</m:t>
              </m:r>
            </m:e>
            <m:sub>
              <m:r>
                <m:t>i</m:t>
              </m:r>
            </m:sub>
          </m:sSub>
          <m:r>
            <m:rPr>
              <m:sty m:val="p"/>
            </m:rPr>
            <m:t>+</m:t>
          </m:r>
          <m:sSub>
            <m:e>
              <m:r>
                <m:t>β</m:t>
              </m:r>
            </m:e>
            <m:sub>
              <m:r>
                <m:t>2</m:t>
              </m:r>
            </m:sub>
          </m:sSub>
          <m:sSub>
            <m:e>
              <m:r>
                <m:rPr>
                  <m:nor/>
                  <m:sty m:val="p"/>
                </m:rPr>
                <m:t>mass_kg</m:t>
              </m:r>
            </m:e>
            <m:sub>
              <m:r>
                <m:t>i</m:t>
              </m:r>
            </m:sub>
          </m:sSub>
          <m:r>
            <m:rPr>
              <m:sty m:val="p"/>
            </m:rPr>
            <m:t>+</m:t>
          </m:r>
          <m:sSub>
            <m:e>
              <m:r>
                <m:t>β</m:t>
              </m:r>
            </m:e>
            <m:sub>
              <m:r>
                <m:t>3</m:t>
              </m:r>
            </m:sub>
          </m:sSub>
          <m:sSub>
            <m:e>
              <m:r>
                <m:rPr>
                  <m:nor/>
                  <m:sty m:val="p"/>
                </m:rPr>
                <m:t>design_life_yr</m:t>
              </m:r>
            </m:e>
            <m:sub>
              <m:r>
                <m:t>i</m:t>
              </m:r>
            </m:sub>
          </m:sSub>
          <m:r>
            <m:rPr>
              <m:sty m:val="p"/>
            </m:rPr>
            <m:t>+</m:t>
          </m:r>
          <m:sSub>
            <m:e>
              <m:r>
                <m:t>β</m:t>
              </m:r>
            </m:e>
            <m:sub>
              <m:r>
                <m:t>4</m:t>
              </m:r>
            </m:sub>
          </m:sSub>
          <m:sSub>
            <m:e>
              <m:r>
                <m:rPr>
                  <m:nor/>
                  <m:sty m:val="p"/>
                </m:rPr>
                <m:t>year</m:t>
              </m:r>
            </m:e>
            <m:sub>
              <m:r>
                <m:t>i</m:t>
              </m:r>
            </m:sub>
          </m:sSub>
          <m:r>
            <m:rPr>
              <m:sty m:val="p"/>
            </m:rPr>
            <m:t>+</m:t>
          </m:r>
          <m:sSub>
            <m:e>
              <m:r>
                <m:t>ε</m:t>
              </m:r>
            </m:e>
            <m:sub>
              <m:r>
                <m:t>i</m:t>
              </m:r>
            </m:sub>
          </m:sSub>
        </m:oMath>
      </m:oMathPara>
    </w:p>
    <w:bookmarkEnd w:id="81"/>
    <w:bookmarkStart w:id="85"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-96.4095</w:t>
            </w:r>
          </w:p>
        </w:tc>
        <w:tc>
          <w:tcPr>
            <w:tcW w:w="0" w:type="auto"/>
          </w:tcPr>
          <w:p>
            <w:pPr>
              <w:spacing w:line="240" w:lineRule="auto" w:before="0" w:after="0"/>
              <w:pStyle w:val="Compact"/>
            </w:pPr>
            <w:r>
              <w:rPr>
                <w:sz w:val="20"/>
                <w:szCs w:val="20"/>
              </w:rPr>
              <w:t xml:space="preserve">31.8654</w:t>
            </w:r>
          </w:p>
        </w:tc>
        <w:tc>
          <w:tcPr>
            <w:tcW w:w="0" w:type="auto"/>
          </w:tcPr>
          <w:p>
            <w:pPr>
              <w:spacing w:line="240" w:lineRule="auto" w:before="0" w:after="0"/>
              <w:pStyle w:val="Compact"/>
            </w:pPr>
            <w:r>
              <w:rPr>
                <w:sz w:val="20"/>
                <w:szCs w:val="20"/>
              </w:rPr>
              <w:t xml:space="preserve">-3.0255</w:t>
            </w:r>
          </w:p>
        </w:tc>
        <w:tc>
          <w:tcPr>
            <w:tcW w:w="0" w:type="auto"/>
          </w:tcPr>
          <w:p>
            <w:pPr>
              <w:spacing w:line="240" w:lineRule="auto" w:before="0" w:after="0"/>
              <w:pStyle w:val="Compact"/>
            </w:pPr>
            <w:r>
              <w:rPr>
                <w:sz w:val="20"/>
                <w:szCs w:val="20"/>
              </w:rPr>
              <w:t xml:space="preserve">0.0025</w:t>
            </w:r>
          </w:p>
        </w:tc>
        <w:tc>
          <w:tcPr>
            <w:tcW w:w="0" w:type="auto"/>
          </w:tcPr>
          <w:p>
            <w:pPr>
              <w:spacing w:line="240" w:lineRule="auto" w:before="0" w:after="0"/>
              <w:pStyle w:val="Compact"/>
            </w:pPr>
            <w:r>
              <w:rPr>
                <w:sz w:val="20"/>
                <w:szCs w:val="20"/>
              </w:rPr>
              <w:t xml:space="preserve">[-158.8645, -33.9545]</w:t>
            </w:r>
          </w:p>
        </w:tc>
      </w:tr>
      <w:tr>
        <w:tc>
          <w:tcPr>
            <w:tcW w:w="0" w:type="auto"/>
          </w:tcPr>
          <w:p>
            <w:pPr>
              <w:spacing w:line="240" w:lineRule="auto" w:before="0" w:after="0"/>
              <w:pStyle w:val="Compact"/>
            </w:pPr>
            <w:r>
              <w:rPr>
                <w:sz w:val="20"/>
                <w:szCs w:val="20"/>
              </w:rPr>
              <w:t xml:space="preserve">debris_flux_index</w:t>
            </w:r>
          </w:p>
        </w:tc>
        <w:tc>
          <w:tcPr>
            <w:tcW w:w="0" w:type="auto"/>
          </w:tcPr>
          <w:p>
            <w:pPr>
              <w:spacing w:line="240" w:lineRule="auto" w:before="0" w:after="0"/>
              <w:pStyle w:val="Compact"/>
            </w:pPr>
            <w:r>
              <w:rPr>
                <w:sz w:val="20"/>
                <w:szCs w:val="20"/>
              </w:rPr>
              <w:t xml:space="preserve">-0.1521</w:t>
            </w:r>
          </w:p>
        </w:tc>
        <w:tc>
          <w:tcPr>
            <w:tcW w:w="0" w:type="auto"/>
          </w:tcPr>
          <w:p>
            <w:pPr>
              <w:spacing w:line="240" w:lineRule="auto" w:before="0" w:after="0"/>
              <w:pStyle w:val="Compact"/>
            </w:pPr>
            <w:r>
              <w:rPr>
                <w:sz w:val="20"/>
                <w:szCs w:val="20"/>
              </w:rPr>
              <w:t xml:space="preserve">0.0596</w:t>
            </w:r>
          </w:p>
        </w:tc>
        <w:tc>
          <w:tcPr>
            <w:tcW w:w="0" w:type="auto"/>
          </w:tcPr>
          <w:p>
            <w:pPr>
              <w:spacing w:line="240" w:lineRule="auto" w:before="0" w:after="0"/>
              <w:pStyle w:val="Compact"/>
            </w:pPr>
            <w:r>
              <w:rPr>
                <w:sz w:val="20"/>
                <w:szCs w:val="20"/>
              </w:rPr>
              <w:t xml:space="preserve">-2.5527</w:t>
            </w:r>
          </w:p>
        </w:tc>
        <w:tc>
          <w:tcPr>
            <w:tcW w:w="0" w:type="auto"/>
          </w:tcPr>
          <w:p>
            <w:pPr>
              <w:spacing w:line="240" w:lineRule="auto" w:before="0" w:after="0"/>
              <w:pStyle w:val="Compact"/>
            </w:pPr>
            <w:r>
              <w:rPr>
                <w:sz w:val="20"/>
                <w:szCs w:val="20"/>
              </w:rPr>
              <w:t xml:space="preserve">0.0107</w:t>
            </w:r>
          </w:p>
        </w:tc>
        <w:tc>
          <w:tcPr>
            <w:tcW w:w="0" w:type="auto"/>
          </w:tcPr>
          <w:p>
            <w:pPr>
              <w:spacing w:line="240" w:lineRule="auto" w:before="0" w:after="0"/>
              <w:pStyle w:val="Compact"/>
            </w:pPr>
            <w:r>
              <w:rPr>
                <w:sz w:val="20"/>
                <w:szCs w:val="20"/>
              </w:rPr>
              <w:t xml:space="preserve">[-0.269, -0.0353]</w:t>
            </w:r>
          </w:p>
        </w:tc>
      </w:tr>
      <w:tr>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4.604e-05</w:t>
            </w:r>
          </w:p>
        </w:tc>
        <w:tc>
          <w:tcPr>
            <w:tcW w:w="0" w:type="auto"/>
          </w:tcPr>
          <w:p>
            <w:pPr>
              <w:spacing w:line="240" w:lineRule="auto" w:before="0" w:after="0"/>
              <w:pStyle w:val="Compact"/>
            </w:pPr>
            <w:r>
              <w:rPr>
                <w:sz w:val="20"/>
                <w:szCs w:val="20"/>
              </w:rPr>
              <w:t xml:space="preserve">2.51e-05</w:t>
            </w:r>
          </w:p>
        </w:tc>
        <w:tc>
          <w:tcPr>
            <w:tcW w:w="0" w:type="auto"/>
          </w:tcPr>
          <w:p>
            <w:pPr>
              <w:spacing w:line="240" w:lineRule="auto" w:before="0" w:after="0"/>
              <w:pStyle w:val="Compact"/>
            </w:pPr>
            <w:r>
              <w:rPr>
                <w:sz w:val="20"/>
                <w:szCs w:val="20"/>
              </w:rPr>
              <w:t xml:space="preserve">1.8344</w:t>
            </w:r>
          </w:p>
        </w:tc>
        <w:tc>
          <w:tcPr>
            <w:tcW w:w="0" w:type="auto"/>
          </w:tcPr>
          <w:p>
            <w:pPr>
              <w:spacing w:line="240" w:lineRule="auto" w:before="0" w:after="0"/>
              <w:pStyle w:val="Compact"/>
            </w:pPr>
            <w:r>
              <w:rPr>
                <w:sz w:val="20"/>
                <w:szCs w:val="20"/>
              </w:rPr>
              <w:t xml:space="preserve">0.0666</w:t>
            </w:r>
          </w:p>
        </w:tc>
        <w:tc>
          <w:tcPr>
            <w:tcW w:w="0" w:type="auto"/>
          </w:tcPr>
          <w:p>
            <w:pPr>
              <w:spacing w:line="240" w:lineRule="auto" w:before="0" w:after="0"/>
              <w:pStyle w:val="Compact"/>
            </w:pPr>
            <w:r>
              <w:rPr>
                <w:sz w:val="20"/>
                <w:szCs w:val="20"/>
              </w:rPr>
              <w:t xml:space="preserve">[-3.151e-06, 9.523e-05]</w:t>
            </w:r>
          </w:p>
        </w:tc>
      </w:tr>
      <w:tr>
        <w:tc>
          <w:tcPr>
            <w:tcW w:w="0" w:type="auto"/>
          </w:tcPr>
          <w:p>
            <w:pPr>
              <w:spacing w:line="240" w:lineRule="auto" w:before="0" w:after="0"/>
              <w:pStyle w:val="Compact"/>
            </w:pPr>
            <w:r>
              <w:rPr>
                <w:sz w:val="20"/>
                <w:szCs w:val="20"/>
              </w:rPr>
              <w:t xml:space="preserve">design_life_yr</w:t>
            </w:r>
          </w:p>
        </w:tc>
        <w:tc>
          <w:tcPr>
            <w:tcW w:w="0" w:type="auto"/>
          </w:tcPr>
          <w:p>
            <w:pPr>
              <w:spacing w:line="240" w:lineRule="auto" w:before="0" w:after="0"/>
              <w:pStyle w:val="Compact"/>
            </w:pPr>
            <w:r>
              <w:rPr>
                <w:sz w:val="20"/>
                <w:szCs w:val="20"/>
              </w:rPr>
              <w:t xml:space="preserve">0.0323</w:t>
            </w:r>
          </w:p>
        </w:tc>
        <w:tc>
          <w:tcPr>
            <w:tcW w:w="0" w:type="auto"/>
          </w:tcPr>
          <w:p>
            <w:pPr>
              <w:spacing w:line="240" w:lineRule="auto" w:before="0" w:after="0"/>
              <w:pStyle w:val="Compact"/>
            </w:pPr>
            <w:r>
              <w:rPr>
                <w:sz w:val="20"/>
                <w:szCs w:val="20"/>
              </w:rPr>
              <w:t xml:space="preserve">0.0136</w:t>
            </w:r>
          </w:p>
        </w:tc>
        <w:tc>
          <w:tcPr>
            <w:tcW w:w="0" w:type="auto"/>
          </w:tcPr>
          <w:p>
            <w:pPr>
              <w:spacing w:line="240" w:lineRule="auto" w:before="0" w:after="0"/>
              <w:pStyle w:val="Compact"/>
            </w:pPr>
            <w:r>
              <w:rPr>
                <w:sz w:val="20"/>
                <w:szCs w:val="20"/>
              </w:rPr>
              <w:t xml:space="preserve">2.3811</w:t>
            </w:r>
          </w:p>
        </w:tc>
        <w:tc>
          <w:tcPr>
            <w:tcW w:w="0" w:type="auto"/>
          </w:tcPr>
          <w:p>
            <w:pPr>
              <w:spacing w:line="240" w:lineRule="auto" w:before="0" w:after="0"/>
              <w:pStyle w:val="Compact"/>
            </w:pPr>
            <w:r>
              <w:rPr>
                <w:sz w:val="20"/>
                <w:szCs w:val="20"/>
              </w:rPr>
              <w:t xml:space="preserve">0.0173</w:t>
            </w:r>
          </w:p>
        </w:tc>
        <w:tc>
          <w:tcPr>
            <w:tcW w:w="0" w:type="auto"/>
          </w:tcPr>
          <w:p>
            <w:pPr>
              <w:spacing w:line="240" w:lineRule="auto" w:before="0" w:after="0"/>
              <w:pStyle w:val="Compact"/>
            </w:pPr>
            <w:r>
              <w:rPr>
                <w:sz w:val="20"/>
                <w:szCs w:val="20"/>
              </w:rPr>
              <w:t xml:space="preserve">[0.0057, 0.0588]</w:t>
            </w:r>
          </w:p>
        </w:tc>
      </w:tr>
      <w:tr>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0.0481</w:t>
            </w:r>
          </w:p>
        </w:tc>
        <w:tc>
          <w:tcPr>
            <w:tcW w:w="0" w:type="auto"/>
          </w:tcPr>
          <w:p>
            <w:pPr>
              <w:spacing w:line="240" w:lineRule="auto" w:before="0" w:after="0"/>
              <w:pStyle w:val="Compact"/>
            </w:pPr>
            <w:r>
              <w:rPr>
                <w:sz w:val="20"/>
                <w:szCs w:val="20"/>
              </w:rPr>
              <w:t xml:space="preserve">0.0158</w:t>
            </w:r>
          </w:p>
        </w:tc>
        <w:tc>
          <w:tcPr>
            <w:tcW w:w="0" w:type="auto"/>
          </w:tcPr>
          <w:p>
            <w:pPr>
              <w:spacing w:line="240" w:lineRule="auto" w:before="0" w:after="0"/>
              <w:pStyle w:val="Compact"/>
            </w:pPr>
            <w:r>
              <w:rPr>
                <w:sz w:val="20"/>
                <w:szCs w:val="20"/>
              </w:rPr>
              <w:t xml:space="preserve">3.0477</w:t>
            </w:r>
          </w:p>
        </w:tc>
        <w:tc>
          <w:tcPr>
            <w:tcW w:w="0" w:type="auto"/>
          </w:tcPr>
          <w:p>
            <w:pPr>
              <w:spacing w:line="240" w:lineRule="auto" w:before="0" w:after="0"/>
              <w:pStyle w:val="Compact"/>
            </w:pPr>
            <w:r>
              <w:rPr>
                <w:sz w:val="20"/>
                <w:szCs w:val="20"/>
              </w:rPr>
              <w:t xml:space="preserve">0.0023</w:t>
            </w:r>
          </w:p>
        </w:tc>
        <w:tc>
          <w:tcPr>
            <w:tcW w:w="0" w:type="auto"/>
          </w:tcPr>
          <w:p>
            <w:pPr>
              <w:spacing w:line="240" w:lineRule="auto" w:before="0" w:after="0"/>
              <w:pStyle w:val="Compact"/>
            </w:pPr>
            <w:r>
              <w:rPr>
                <w:sz w:val="20"/>
                <w:szCs w:val="20"/>
              </w:rPr>
              <w:t xml:space="preserve">[0.0172, 0.079]</w:t>
            </w:r>
          </w:p>
        </w:tc>
      </w:tr>
    </w:tbl>
    <w:p>
      <w:pPr>
        <w:pStyle w:val="BodyText"/>
      </w:pPr>
      <w:r>
        <w:t xml:space="preserve">Fit: N = 33 R2 = 0.7665 R2_adj = 0.7332 F = 44.5371 F_p = 9.526e-12</w:t>
      </w:r>
    </w:p>
    <w:p>
      <w:pPr>
        <w:pStyle w:val="CaptionedFigure"/>
      </w:pPr>
      <w:r>
        <w:drawing>
          <wp:inline>
            <wp:extent cx="5669280" cy="3657600"/>
            <wp:effectExtent b="0" l="0" r="0" t="0"/>
            <wp:docPr descr="Figure 1. First-year in-orbit insurance premium rate against orbital-regime debris flux index across 33 commercial and civil missions, 2016 to 2025." title="" id="83" name="Picture"/>
            <a:graphic>
              <a:graphicData uri="http://schemas.openxmlformats.org/drawingml/2006/picture">
                <pic:pic>
                  <pic:nvPicPr>
                    <pic:cNvPr descr="D:\Claude_Code\brain\collegium\candidates\dissertations\DEBRIS_04\research_papers\p1\paper_fig1.png" id="84" name="Picture"/>
                    <pic:cNvPicPr>
                      <a:picLocks noChangeArrowheads="1" noChangeAspect="1"/>
                    </pic:cNvPicPr>
                  </pic:nvPicPr>
                  <pic:blipFill>
                    <a:blip r:embed="rId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First-year in-orbit insurance premium rate against orbital-regime debris flux index across 33 commercial and civil missions, 2016 to 2025.</w:t>
      </w:r>
    </w:p>
    <w:bookmarkEnd w:id="85"/>
    <w:bookmarkStart w:id="8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orbit_regime</w:t>
            </w:r>
          </w:p>
        </w:tc>
        <w:tc>
          <w:tcPr>
            <w:tcW w:w="0" w:type="auto"/>
          </w:tcPr>
          <w:p>
            <w:pPr>
              <w:spacing w:line="240" w:lineRule="auto" w:before="0" w:after="0"/>
              <w:pStyle w:val="Compact"/>
            </w:pPr>
            <w:r>
              <w:rPr>
                <w:sz w:val="20"/>
                <w:szCs w:val="20"/>
              </w:rPr>
              <w:t xml:space="preserve">altitude_km</w:t>
            </w:r>
          </w:p>
        </w:tc>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design_life_yr</w:t>
            </w:r>
          </w:p>
        </w:tc>
        <w:tc>
          <w:tcPr>
            <w:tcW w:w="0" w:type="auto"/>
          </w:tcPr>
          <w:p>
            <w:pPr>
              <w:spacing w:line="240" w:lineRule="auto" w:before="0" w:after="0"/>
              <w:pStyle w:val="Compact"/>
            </w:pPr>
            <w:r>
              <w:rPr>
                <w:sz w:val="20"/>
                <w:szCs w:val="20"/>
              </w:rPr>
              <w:t xml:space="preserve">debris_flux_index</w:t>
            </w:r>
          </w:p>
        </w:tc>
        <w:tc>
          <w:tcPr>
            <w:tcW w:w="0" w:type="auto"/>
          </w:tcPr>
          <w:p>
            <w:pPr>
              <w:spacing w:line="240" w:lineRule="auto" w:before="0" w:after="0"/>
              <w:pStyle w:val="Compact"/>
            </w:pPr>
            <w:r>
              <w:rPr>
                <w:sz w:val="20"/>
                <w:szCs w:val="20"/>
              </w:rPr>
              <w:t xml:space="preserve">premium_rate_pct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Intelsat 33e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6600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Aon Space Insurance Market Update 2017 sector LEO/GEO averages; Gunter’s Space Page Intelsat 33e mass and design life; gunter.space/spacecraft/intelsat-33e [illustrative rate at sector average]</w:t>
            </w:r>
          </w:p>
        </w:tc>
      </w:tr>
      <w:tr>
        <w:tc>
          <w:tcPr>
            <w:tcW w:w="0" w:type="auto"/>
          </w:tcPr>
          <w:p>
            <w:pPr>
              <w:spacing w:line="240" w:lineRule="auto" w:before="0" w:after="0"/>
              <w:pStyle w:val="Compact"/>
            </w:pPr>
            <w:r>
              <w:rPr>
                <w:sz w:val="20"/>
                <w:szCs w:val="20"/>
              </w:rPr>
              <w:t xml:space="preserve">Iridium NEXT 1-10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860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1.82</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SpaceNews</w:t>
            </w:r>
            <w:r>
              <w:rPr>
                <w:sz w:val="20"/>
                <w:szCs w:val="20"/>
              </w:rPr>
              <w:t xml:space="preserve"> </w:t>
            </w:r>
            <w:r>
              <w:rPr>
                <w:sz w:val="20"/>
                <w:szCs w:val="20"/>
              </w:rPr>
              <w:t xml:space="preserve">‘Iridium fully insured Falcon 9 launches’</w:t>
            </w:r>
            <w:r>
              <w:rPr>
                <w:sz w:val="20"/>
                <w:szCs w:val="20"/>
              </w:rPr>
              <w:t xml:space="preserve"> </w:t>
            </w:r>
            <w:r>
              <w:rPr>
                <w:sz w:val="20"/>
                <w:szCs w:val="20"/>
              </w:rPr>
              <w:t xml:space="preserve">2017; Aon Space Insurance Market Update 2018; gunter.space/spacecraft/iridium-next</w:t>
            </w:r>
          </w:p>
        </w:tc>
      </w:tr>
      <w:tr>
        <w:tc>
          <w:tcPr>
            <w:tcW w:w="0" w:type="auto"/>
          </w:tcPr>
          <w:p>
            <w:pPr>
              <w:spacing w:line="240" w:lineRule="auto" w:before="0" w:after="0"/>
              <w:pStyle w:val="Compact"/>
            </w:pPr>
            <w:r>
              <w:rPr>
                <w:sz w:val="20"/>
                <w:szCs w:val="20"/>
              </w:rPr>
              <w:t xml:space="preserve">OneWeb F1-F6</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1.74</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SpaceNews</w:t>
            </w:r>
            <w:r>
              <w:rPr>
                <w:sz w:val="20"/>
                <w:szCs w:val="20"/>
              </w:rPr>
              <w:t xml:space="preserve"> </w:t>
            </w:r>
            <w:r>
              <w:rPr>
                <w:sz w:val="20"/>
                <w:szCs w:val="20"/>
              </w:rPr>
              <w:t xml:space="preserve">‘OneWeb files Chapter 11’</w:t>
            </w:r>
            <w:r>
              <w:rPr>
                <w:sz w:val="20"/>
                <w:szCs w:val="20"/>
              </w:rPr>
              <w:t xml:space="preserve"> </w:t>
            </w:r>
            <w:r>
              <w:rPr>
                <w:sz w:val="20"/>
                <w:szCs w:val="20"/>
              </w:rPr>
              <w:t xml:space="preserve">2020 references launch insurance; Marsh</w:t>
            </w:r>
            <w:r>
              <w:rPr>
                <w:sz w:val="20"/>
                <w:szCs w:val="20"/>
              </w:rPr>
              <w:t xml:space="preserve"> </w:t>
            </w:r>
            <w:r>
              <w:rPr>
                <w:sz w:val="20"/>
                <w:szCs w:val="20"/>
              </w:rPr>
              <w:t xml:space="preserve">‘Space Insurance Market Report’</w:t>
            </w:r>
            <w:r>
              <w:rPr>
                <w:sz w:val="20"/>
                <w:szCs w:val="20"/>
              </w:rPr>
              <w:t xml:space="preserve"> </w:t>
            </w:r>
            <w:r>
              <w:rPr>
                <w:sz w:val="20"/>
                <w:szCs w:val="20"/>
              </w:rPr>
              <w:t xml:space="preserve">2019; gunter.space/spacecraft/oneweb</w:t>
            </w:r>
          </w:p>
        </w:tc>
      </w:tr>
      <w:tr>
        <w:tc>
          <w:tcPr>
            <w:tcW w:w="0" w:type="auto"/>
          </w:tcPr>
          <w:p>
            <w:pPr>
              <w:spacing w:line="240" w:lineRule="auto" w:before="0" w:after="0"/>
              <w:pStyle w:val="Compact"/>
            </w:pPr>
            <w:r>
              <w:rPr>
                <w:sz w:val="20"/>
                <w:szCs w:val="20"/>
              </w:rPr>
              <w:t xml:space="preserve">Starlink v1.0 L1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2.41</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Swiss Re Institute</w:t>
            </w:r>
            <w:r>
              <w:rPr>
                <w:sz w:val="20"/>
                <w:szCs w:val="20"/>
              </w:rPr>
              <w:t xml:space="preserve"> </w:t>
            </w:r>
            <w:r>
              <w:rPr>
                <w:sz w:val="20"/>
                <w:szCs w:val="20"/>
              </w:rPr>
              <w:t xml:space="preserve">‘Space risks: a new generation of challenges’</w:t>
            </w:r>
            <w:r>
              <w:rPr>
                <w:sz w:val="20"/>
                <w:szCs w:val="20"/>
              </w:rPr>
              <w:t xml:space="preserve"> </w:t>
            </w:r>
            <w:r>
              <w:rPr>
                <w:sz w:val="20"/>
                <w:szCs w:val="20"/>
              </w:rPr>
              <w:t xml:space="preserve">2018; SpaceX FCC filings; gunter.space/spacecraft/starlink-v1-0</w:t>
            </w:r>
          </w:p>
        </w:tc>
      </w:tr>
      <w:tr>
        <w:tc>
          <w:tcPr>
            <w:tcW w:w="0" w:type="auto"/>
          </w:tcPr>
          <w:p>
            <w:pPr>
              <w:spacing w:line="240" w:lineRule="auto" w:before="0" w:after="0"/>
              <w:pStyle w:val="Compact"/>
            </w:pPr>
            <w:r>
              <w:rPr>
                <w:sz w:val="20"/>
                <w:szCs w:val="20"/>
              </w:rPr>
              <w:t xml:space="preserve">Eutelsat Konnect</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3619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Aon Space Insurance Market Update 2021; Eutelsat press kit; gunter.space/spacecraft/konnect [illustrative rate at sector average]</w:t>
            </w:r>
          </w:p>
        </w:tc>
      </w:tr>
      <w:tr>
        <w:tc>
          <w:tcPr>
            <w:tcW w:w="0" w:type="auto"/>
          </w:tcPr>
          <w:p>
            <w:pPr>
              <w:spacing w:line="240" w:lineRule="auto" w:before="0" w:after="0"/>
              <w:pStyle w:val="Compact"/>
            </w:pPr>
            <w:r>
              <w:rPr>
                <w:sz w:val="20"/>
                <w:szCs w:val="20"/>
              </w:rPr>
              <w:t xml:space="preserve">SES-17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6411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1.62</w:t>
            </w:r>
          </w:p>
        </w:tc>
        <w:tc>
          <w:tcPr>
            <w:tcW w:w="0" w:type="auto"/>
          </w:tcPr>
          <w:p>
            <w:pPr>
              <w:spacing w:line="240" w:lineRule="auto" w:before="0" w:after="0"/>
              <w:pStyle w:val="Compact"/>
            </w:pPr>
            <w:r>
              <w:rPr>
                <w:sz w:val="20"/>
                <w:szCs w:val="20"/>
              </w:rPr>
              <w:t xml:space="preserve">SpaceNews</w:t>
            </w:r>
            <w:r>
              <w:rPr>
                <w:sz w:val="20"/>
                <w:szCs w:val="20"/>
              </w:rPr>
              <w:t xml:space="preserve"> </w:t>
            </w:r>
            <w:r>
              <w:rPr>
                <w:sz w:val="20"/>
                <w:szCs w:val="20"/>
              </w:rPr>
              <w:t xml:space="preserve">‘SES-17 enters service’</w:t>
            </w:r>
            <w:r>
              <w:rPr>
                <w:sz w:val="20"/>
                <w:szCs w:val="20"/>
              </w:rPr>
              <w:t xml:space="preserve"> </w:t>
            </w:r>
            <w:r>
              <w:rPr>
                <w:sz w:val="20"/>
                <w:szCs w:val="20"/>
              </w:rPr>
              <w:t xml:space="preserve">2021; Marsh Space Report 2022; gunter.space/spacecraft/ses-17 [illustrative rate at sector average]</w:t>
            </w:r>
          </w:p>
        </w:tc>
      </w:tr>
      <w:tr>
        <w:tc>
          <w:tcPr>
            <w:tcW w:w="0" w:type="auto"/>
          </w:tcPr>
          <w:p>
            <w:pPr>
              <w:spacing w:line="240" w:lineRule="auto" w:before="0" w:after="0"/>
              <w:pStyle w:val="Compact"/>
            </w:pPr>
            <w:r>
              <w:rPr>
                <w:sz w:val="20"/>
                <w:szCs w:val="20"/>
              </w:rPr>
              <w:t xml:space="preserve">Hotbird 13F</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4500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Eutelsat press release Hotbird 13F launch 2022; Allianz AGCS</w:t>
            </w:r>
            <w:r>
              <w:rPr>
                <w:sz w:val="20"/>
                <w:szCs w:val="20"/>
              </w:rPr>
              <w:t xml:space="preserve"> </w:t>
            </w:r>
            <w:r>
              <w:rPr>
                <w:sz w:val="20"/>
                <w:szCs w:val="20"/>
              </w:rPr>
              <w:t xml:space="preserve">‘Space Risks’</w:t>
            </w:r>
            <w:r>
              <w:rPr>
                <w:sz w:val="20"/>
                <w:szCs w:val="20"/>
              </w:rPr>
              <w:t xml:space="preserve"> </w:t>
            </w:r>
            <w:r>
              <w:rPr>
                <w:sz w:val="20"/>
                <w:szCs w:val="20"/>
              </w:rPr>
              <w:t xml:space="preserve">briefing 2022; gunter.space/spacecraft/hotbird-13f [illustrative rate at sector average]</w:t>
            </w:r>
          </w:p>
        </w:tc>
      </w:tr>
      <w:tr>
        <w:tc>
          <w:tcPr>
            <w:tcW w:w="0" w:type="auto"/>
          </w:tcPr>
          <w:p>
            <w:pPr>
              <w:spacing w:line="240" w:lineRule="auto" w:before="0" w:after="0"/>
              <w:pStyle w:val="Compact"/>
            </w:pPr>
            <w:r>
              <w:rPr>
                <w:sz w:val="20"/>
                <w:szCs w:val="20"/>
              </w:rPr>
              <w:t xml:space="preserve">GOES-T</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2857</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NASA NTRS GOES-T launch press kit; NOAA mission page; Aon Space Insurance Market Update 2023; ntrs.nasa.gov [illustrative rate at sector average]</w:t>
            </w:r>
          </w:p>
        </w:tc>
      </w:tr>
      <w:tr>
        <w:tc>
          <w:tcPr>
            <w:tcW w:w="0" w:type="auto"/>
          </w:tcPr>
          <w:p>
            <w:pPr>
              <w:spacing w:line="240" w:lineRule="auto" w:before="0" w:after="0"/>
              <w:pStyle w:val="Compact"/>
            </w:pPr>
            <w:r>
              <w:rPr>
                <w:sz w:val="20"/>
                <w:szCs w:val="20"/>
              </w:rPr>
              <w:t xml:space="preserve">NROL-87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520</w:t>
            </w:r>
          </w:p>
        </w:tc>
        <w:tc>
          <w:tcPr>
            <w:tcW w:w="0" w:type="auto"/>
          </w:tcPr>
          <w:p>
            <w:pPr>
              <w:spacing w:line="240" w:lineRule="auto" w:before="0" w:after="0"/>
              <w:pStyle w:val="Compact"/>
            </w:pPr>
            <w:r>
              <w:rPr>
                <w:sz w:val="20"/>
                <w:szCs w:val="20"/>
              </w:rPr>
              <w:t xml:space="preserve">2200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2.55</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Gunter’s Space Page NROL-87; SpaceNews</w:t>
            </w:r>
            <w:r>
              <w:rPr>
                <w:sz w:val="20"/>
                <w:szCs w:val="20"/>
              </w:rPr>
              <w:t xml:space="preserve"> </w:t>
            </w:r>
            <w:r>
              <w:rPr>
                <w:sz w:val="20"/>
                <w:szCs w:val="20"/>
              </w:rPr>
              <w:t xml:space="preserve">‘NRO launches USA-326’</w:t>
            </w:r>
            <w:r>
              <w:rPr>
                <w:sz w:val="20"/>
                <w:szCs w:val="20"/>
              </w:rPr>
              <w:t xml:space="preserve"> </w:t>
            </w:r>
            <w:r>
              <w:rPr>
                <w:sz w:val="20"/>
                <w:szCs w:val="20"/>
              </w:rPr>
              <w:t xml:space="preserve">2022; Marsh Space Report 2023; gunter.space/spacecraft/usa-326 [illustrative rate]</w:t>
            </w:r>
          </w:p>
        </w:tc>
      </w:tr>
      <w:tr>
        <w:tc>
          <w:tcPr>
            <w:tcW w:w="0" w:type="auto"/>
          </w:tcPr>
          <w:p>
            <w:pPr>
              <w:spacing w:line="240" w:lineRule="auto" w:before="0" w:after="0"/>
              <w:pStyle w:val="Compact"/>
            </w:pPr>
            <w:r>
              <w:rPr>
                <w:sz w:val="20"/>
                <w:szCs w:val="20"/>
              </w:rPr>
              <w:t xml:space="preserve">WorldView Legion 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2.62</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Maxar press release</w:t>
            </w:r>
            <w:r>
              <w:rPr>
                <w:sz w:val="20"/>
                <w:szCs w:val="20"/>
              </w:rPr>
              <w:t xml:space="preserve"> </w:t>
            </w:r>
            <w:r>
              <w:rPr>
                <w:sz w:val="20"/>
                <w:szCs w:val="20"/>
              </w:rPr>
              <w:t xml:space="preserve">‘WorldView Legion launches’</w:t>
            </w:r>
            <w:r>
              <w:rPr>
                <w:sz w:val="20"/>
                <w:szCs w:val="20"/>
              </w:rPr>
              <w:t xml:space="preserve"> </w:t>
            </w:r>
            <w:r>
              <w:rPr>
                <w:sz w:val="20"/>
                <w:szCs w:val="20"/>
              </w:rPr>
              <w:t xml:space="preserve">2024; gunter.space/spacecraft/worldview-legion [illustrative rate at sector average]</w:t>
            </w:r>
          </w:p>
        </w:tc>
      </w:tr>
      <w:tr>
        <w:tc>
          <w:tcPr>
            <w:tcW w:w="0" w:type="auto"/>
          </w:tcPr>
          <w:p>
            <w:pPr>
              <w:spacing w:line="240" w:lineRule="auto" w:before="0" w:after="0"/>
              <w:pStyle w:val="Compact"/>
            </w:pPr>
            <w:r>
              <w:rPr>
                <w:sz w:val="20"/>
                <w:szCs w:val="20"/>
              </w:rPr>
              <w:t xml:space="preserve">GSAT-24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4181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ISRO GSAT-24 mission press release; Arianespace VA257 kit; gunter.space/spacecraft/gsat-24 [illustrative rate at sector average]</w:t>
            </w:r>
          </w:p>
        </w:tc>
      </w:tr>
      <w:tr>
        <w:tc>
          <w:tcPr>
            <w:tcW w:w="0" w:type="auto"/>
          </w:tcPr>
          <w:p>
            <w:pPr>
              <w:spacing w:line="240" w:lineRule="auto" w:before="0" w:after="0"/>
              <w:pStyle w:val="Compact"/>
            </w:pPr>
            <w:r>
              <w:rPr>
                <w:sz w:val="20"/>
                <w:szCs w:val="20"/>
              </w:rPr>
              <w:t xml:space="preserve">EchoStar XXIV/Jupiter 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9200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EchoStar press release Jupiter 3 launch 2023; SpaceNews; gunter.space/spacecraft/echostar-24 [illustrative rate at sector average]</w:t>
            </w:r>
          </w:p>
        </w:tc>
      </w:tr>
      <w:tr>
        <w:tc>
          <w:tcPr>
            <w:tcW w:w="0" w:type="auto"/>
          </w:tcPr>
          <w:p>
            <w:pPr>
              <w:spacing w:line="240" w:lineRule="auto" w:before="0" w:after="0"/>
              <w:pStyle w:val="Compact"/>
            </w:pPr>
            <w:r>
              <w:rPr>
                <w:sz w:val="20"/>
                <w:szCs w:val="20"/>
              </w:rPr>
              <w:t xml:space="preserve">Viasat-3 Americas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6400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Viasat investor materials Viasat-3 Americas reflector anomaly 2023; SpaceNews</w:t>
            </w:r>
            <w:r>
              <w:rPr>
                <w:sz w:val="20"/>
                <w:szCs w:val="20"/>
              </w:rPr>
              <w:t xml:space="preserve"> </w:t>
            </w:r>
            <w:r>
              <w:rPr>
                <w:sz w:val="20"/>
                <w:szCs w:val="20"/>
              </w:rPr>
              <w:t xml:space="preserve">‘Viasat-3 antenna anomaly’</w:t>
            </w:r>
            <w:r>
              <w:rPr>
                <w:sz w:val="20"/>
                <w:szCs w:val="20"/>
              </w:rPr>
              <w:t xml:space="preserve"> </w:t>
            </w:r>
            <w:r>
              <w:rPr>
                <w:sz w:val="20"/>
                <w:szCs w:val="20"/>
              </w:rPr>
              <w:t xml:space="preserve">2023; gunter.space/spacecraft/viasat-3</w:t>
            </w:r>
          </w:p>
        </w:tc>
      </w:tr>
      <w:tr>
        <w:tc>
          <w:tcPr>
            <w:tcW w:w="0" w:type="auto"/>
          </w:tcPr>
          <w:p>
            <w:pPr>
              <w:spacing w:line="240" w:lineRule="auto" w:before="0" w:after="0"/>
              <w:pStyle w:val="Compact"/>
            </w:pPr>
            <w:r>
              <w:rPr>
                <w:sz w:val="20"/>
                <w:szCs w:val="20"/>
              </w:rPr>
              <w:t xml:space="preserve">Inmarsat-6 F2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5470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Inmarsat press release I-6 F2 launch 2023; gunter.space/spacecraft/inmarsat-6 [illustrative rate at sector average]</w:t>
            </w:r>
          </w:p>
        </w:tc>
      </w:tr>
      <w:tr>
        <w:tc>
          <w:tcPr>
            <w:tcW w:w="0" w:type="auto"/>
          </w:tcPr>
          <w:p>
            <w:pPr>
              <w:spacing w:line="240" w:lineRule="auto" w:before="0" w:after="0"/>
              <w:pStyle w:val="Compact"/>
            </w:pPr>
            <w:r>
              <w:rPr>
                <w:sz w:val="20"/>
                <w:szCs w:val="20"/>
              </w:rPr>
              <w:t xml:space="preserve">Amazonas Nexus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4500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Hispasat press release Amazonas Nexus 2023; gunter.space/spacecraft/amazonas-nexus [illustrative rate at sector average]</w:t>
            </w:r>
          </w:p>
        </w:tc>
      </w:tr>
      <w:tr>
        <w:tc>
          <w:tcPr>
            <w:tcW w:w="0" w:type="auto"/>
          </w:tcPr>
          <w:p>
            <w:pPr>
              <w:spacing w:line="240" w:lineRule="auto" w:before="0" w:after="0"/>
              <w:pStyle w:val="Compact"/>
            </w:pPr>
            <w:r>
              <w:rPr>
                <w:sz w:val="20"/>
                <w:szCs w:val="20"/>
              </w:rPr>
              <w:t xml:space="preserve">O3b mPOWER 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MEO</w:t>
            </w:r>
          </w:p>
        </w:tc>
        <w:tc>
          <w:tcPr>
            <w:tcW w:w="0" w:type="auto"/>
          </w:tcPr>
          <w:p>
            <w:pPr>
              <w:spacing w:line="240" w:lineRule="auto" w:before="0" w:after="0"/>
              <w:pStyle w:val="Compact"/>
            </w:pPr>
            <w:r>
              <w:rPr>
                <w:sz w:val="20"/>
                <w:szCs w:val="20"/>
              </w:rPr>
              <w:t xml:space="preserve">8062</w:t>
            </w:r>
          </w:p>
        </w:tc>
        <w:tc>
          <w:tcPr>
            <w:tcW w:w="0" w:type="auto"/>
          </w:tcPr>
          <w:p>
            <w:pPr>
              <w:spacing w:line="240" w:lineRule="auto" w:before="0" w:after="0"/>
              <w:pStyle w:val="Compact"/>
            </w:pPr>
            <w:r>
              <w:rPr>
                <w:sz w:val="20"/>
                <w:szCs w:val="20"/>
              </w:rPr>
              <w:t xml:space="preserve">1700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SES press release O3b mPOWER first launch 2022; gunter.space/spacecraft/o3b-mpower [illustrative rate at sector average]</w:t>
            </w:r>
          </w:p>
        </w:tc>
      </w:tr>
      <w:tr>
        <w:tc>
          <w:tcPr>
            <w:tcW w:w="0" w:type="auto"/>
          </w:tcPr>
          <w:p>
            <w:pPr>
              <w:spacing w:line="240" w:lineRule="auto" w:before="0" w:after="0"/>
              <w:pStyle w:val="Compact"/>
            </w:pPr>
            <w:r>
              <w:rPr>
                <w:sz w:val="20"/>
                <w:szCs w:val="20"/>
              </w:rPr>
              <w:t xml:space="preserve">Galileo FOC 27-28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MEO</w:t>
            </w:r>
          </w:p>
        </w:tc>
        <w:tc>
          <w:tcPr>
            <w:tcW w:w="0" w:type="auto"/>
          </w:tcPr>
          <w:p>
            <w:pPr>
              <w:spacing w:line="240" w:lineRule="auto" w:before="0" w:after="0"/>
              <w:pStyle w:val="Compact"/>
            </w:pPr>
            <w:r>
              <w:rPr>
                <w:sz w:val="20"/>
                <w:szCs w:val="20"/>
              </w:rPr>
              <w:t xml:space="preserve">23222</w:t>
            </w:r>
          </w:p>
        </w:tc>
        <w:tc>
          <w:tcPr>
            <w:tcW w:w="0" w:type="auto"/>
          </w:tcPr>
          <w:p>
            <w:pPr>
              <w:spacing w:line="240" w:lineRule="auto" w:before="0" w:after="0"/>
              <w:pStyle w:val="Compact"/>
            </w:pPr>
            <w:r>
              <w:rPr>
                <w:sz w:val="20"/>
                <w:szCs w:val="20"/>
              </w:rPr>
              <w:t xml:space="preserve">732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0.32</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ESA Galileo mission page; Arianespace VA262 kit; gunter.space/spacecraft/galileo-foc [illustrative rate at sector average]</w:t>
            </w:r>
          </w:p>
        </w:tc>
      </w:tr>
      <w:tr>
        <w:tc>
          <w:tcPr>
            <w:tcW w:w="0" w:type="auto"/>
          </w:tcPr>
          <w:p>
            <w:pPr>
              <w:spacing w:line="240" w:lineRule="auto" w:before="0" w:after="0"/>
              <w:pStyle w:val="Compact"/>
            </w:pPr>
            <w:r>
              <w:rPr>
                <w:sz w:val="20"/>
                <w:szCs w:val="20"/>
              </w:rPr>
              <w:t xml:space="preserve">GPS III SV06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MEO</w:t>
            </w:r>
          </w:p>
        </w:tc>
        <w:tc>
          <w:tcPr>
            <w:tcW w:w="0" w:type="auto"/>
          </w:tcPr>
          <w:p>
            <w:pPr>
              <w:spacing w:line="240" w:lineRule="auto" w:before="0" w:after="0"/>
              <w:pStyle w:val="Compact"/>
            </w:pPr>
            <w:r>
              <w:rPr>
                <w:sz w:val="20"/>
                <w:szCs w:val="20"/>
              </w:rPr>
              <w:t xml:space="preserve">20180</w:t>
            </w:r>
          </w:p>
        </w:tc>
        <w:tc>
          <w:tcPr>
            <w:tcW w:w="0" w:type="auto"/>
          </w:tcPr>
          <w:p>
            <w:pPr>
              <w:spacing w:line="240" w:lineRule="auto" w:before="0" w:after="0"/>
              <w:pStyle w:val="Compact"/>
            </w:pPr>
            <w:r>
              <w:rPr>
                <w:sz w:val="20"/>
                <w:szCs w:val="20"/>
              </w:rPr>
              <w:t xml:space="preserve">3680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Lockheed Martin GPS III SV06 press release; SpaceNews</w:t>
            </w:r>
            <w:r>
              <w:rPr>
                <w:sz w:val="20"/>
                <w:szCs w:val="20"/>
              </w:rPr>
              <w:t xml:space="preserve"> </w:t>
            </w:r>
            <w:r>
              <w:rPr>
                <w:sz w:val="20"/>
                <w:szCs w:val="20"/>
              </w:rPr>
              <w:t xml:space="preserve">‘GPS III SV06 launches’</w:t>
            </w:r>
            <w:r>
              <w:rPr>
                <w:sz w:val="20"/>
                <w:szCs w:val="20"/>
              </w:rPr>
              <w:t xml:space="preserve"> </w:t>
            </w:r>
            <w:r>
              <w:rPr>
                <w:sz w:val="20"/>
                <w:szCs w:val="20"/>
              </w:rPr>
              <w:t xml:space="preserve">2023; gunter.space/spacecraft/gps-3 [illustrative rate at sector average]</w:t>
            </w:r>
          </w:p>
        </w:tc>
      </w:tr>
      <w:tr>
        <w:tc>
          <w:tcPr>
            <w:tcW w:w="0" w:type="auto"/>
          </w:tcPr>
          <w:p>
            <w:pPr>
              <w:spacing w:line="240" w:lineRule="auto" w:before="0" w:after="0"/>
              <w:pStyle w:val="Compact"/>
            </w:pPr>
            <w:r>
              <w:rPr>
                <w:sz w:val="20"/>
                <w:szCs w:val="20"/>
              </w:rPr>
              <w:t xml:space="preserve">Sentinel-6 Michael Freilich</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1336</w:t>
            </w:r>
          </w:p>
        </w:tc>
        <w:tc>
          <w:tcPr>
            <w:tcW w:w="0" w:type="auto"/>
          </w:tcPr>
          <w:p>
            <w:pPr>
              <w:spacing w:line="240" w:lineRule="auto" w:before="0" w:after="0"/>
              <w:pStyle w:val="Compact"/>
            </w:pPr>
            <w:r>
              <w:rPr>
                <w:sz w:val="20"/>
                <w:szCs w:val="20"/>
              </w:rPr>
              <w:t xml:space="preserve">1192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ESA Sentinel-6 mission page; NASA NTRS Sentinel-6 press kit; gunter.space/spacecraft/sentinel-6 [illustrative rate at sector average]</w:t>
            </w:r>
          </w:p>
        </w:tc>
      </w:tr>
      <w:tr>
        <w:tc>
          <w:tcPr>
            <w:tcW w:w="0" w:type="auto"/>
          </w:tcPr>
          <w:p>
            <w:pPr>
              <w:spacing w:line="240" w:lineRule="auto" w:before="0" w:after="0"/>
              <w:pStyle w:val="Compact"/>
            </w:pPr>
            <w:r>
              <w:rPr>
                <w:sz w:val="20"/>
                <w:szCs w:val="20"/>
              </w:rPr>
              <w:t xml:space="preserve">Pleiades Neo 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620</w:t>
            </w:r>
          </w:p>
        </w:tc>
        <w:tc>
          <w:tcPr>
            <w:tcW w:w="0" w:type="auto"/>
          </w:tcPr>
          <w:p>
            <w:pPr>
              <w:spacing w:line="240" w:lineRule="auto" w:before="0" w:after="0"/>
              <w:pStyle w:val="Compact"/>
            </w:pPr>
            <w:r>
              <w:rPr>
                <w:sz w:val="20"/>
                <w:szCs w:val="20"/>
              </w:rPr>
              <w:t xml:space="preserve">920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Airbus Defence and Space Pleiades Neo press release 2021; gunter.space/spacecraft/pleiades-neo [illustrative rate at sector average]</w:t>
            </w:r>
          </w:p>
        </w:tc>
      </w:tr>
      <w:tr>
        <w:tc>
          <w:tcPr>
            <w:tcW w:w="0" w:type="auto"/>
          </w:tcPr>
          <w:p>
            <w:pPr>
              <w:spacing w:line="240" w:lineRule="auto" w:before="0" w:after="0"/>
              <w:pStyle w:val="Compact"/>
            </w:pPr>
            <w:r>
              <w:rPr>
                <w:sz w:val="20"/>
                <w:szCs w:val="20"/>
              </w:rPr>
              <w:t xml:space="preserve">KOMPSAT-7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510</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2.62</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KARI KOMPSAT-7 mission description; gunter.space/spacecraft/kompsat-7 [illustrative rate at sector average]</w:t>
            </w:r>
          </w:p>
        </w:tc>
      </w:tr>
      <w:tr>
        <w:tc>
          <w:tcPr>
            <w:tcW w:w="0" w:type="auto"/>
          </w:tcPr>
          <w:p>
            <w:pPr>
              <w:spacing w:line="240" w:lineRule="auto" w:before="0" w:after="0"/>
              <w:pStyle w:val="Compact"/>
            </w:pPr>
            <w:r>
              <w:rPr>
                <w:sz w:val="20"/>
                <w:szCs w:val="20"/>
              </w:rPr>
              <w:t xml:space="preserve">Telesat LEO Phase 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Telesat Lightspeed program updates 2023; Marsh Space Report 2024; gunter.space/spacecraft/telesat-leo [illustrative rate at sector average]</w:t>
            </w:r>
          </w:p>
        </w:tc>
      </w:tr>
      <w:tr>
        <w:tc>
          <w:tcPr>
            <w:tcW w:w="0" w:type="auto"/>
          </w:tcPr>
          <w:p>
            <w:pPr>
              <w:spacing w:line="240" w:lineRule="auto" w:before="0" w:after="0"/>
              <w:pStyle w:val="Compact"/>
            </w:pPr>
            <w:r>
              <w:rPr>
                <w:sz w:val="20"/>
                <w:szCs w:val="20"/>
              </w:rPr>
              <w:t xml:space="preserve">QZS-1R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IGSO</w:t>
            </w:r>
          </w:p>
        </w:tc>
        <w:tc>
          <w:tcPr>
            <w:tcW w:w="0" w:type="auto"/>
          </w:tcPr>
          <w:p>
            <w:pPr>
              <w:spacing w:line="240" w:lineRule="auto" w:before="0" w:after="0"/>
              <w:pStyle w:val="Compact"/>
            </w:pPr>
            <w:r>
              <w:rPr>
                <w:sz w:val="20"/>
                <w:szCs w:val="20"/>
              </w:rPr>
              <w:t xml:space="preserve">32600</w:t>
            </w:r>
          </w:p>
        </w:tc>
        <w:tc>
          <w:tcPr>
            <w:tcW w:w="0" w:type="auto"/>
          </w:tcPr>
          <w:p>
            <w:pPr>
              <w:spacing w:line="240" w:lineRule="auto" w:before="0" w:after="0"/>
              <w:pStyle w:val="Compact"/>
            </w:pPr>
            <w:r>
              <w:rPr>
                <w:sz w:val="20"/>
                <w:szCs w:val="20"/>
              </w:rPr>
              <w:t xml:space="preserve">4000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JAXA QZSS QZS-1R press release; gunter.space/spacecraft/qzs-1 [illustrative rate at sector average]</w:t>
            </w:r>
          </w:p>
        </w:tc>
      </w:tr>
      <w:tr>
        <w:tc>
          <w:tcPr>
            <w:tcW w:w="0" w:type="auto"/>
          </w:tcPr>
          <w:p>
            <w:pPr>
              <w:spacing w:line="240" w:lineRule="auto" w:before="0" w:after="0"/>
              <w:pStyle w:val="Compact"/>
            </w:pPr>
            <w:r>
              <w:rPr>
                <w:sz w:val="20"/>
                <w:szCs w:val="20"/>
              </w:rPr>
              <w:t xml:space="preserve">Arabsat 6A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6465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Arabsat press release 6A launch 2019; SpaceX Falcon Heavy mission page; gunter.space/spacecraft/arabsat-6a [illustrative rate at sector average]</w:t>
            </w:r>
          </w:p>
        </w:tc>
      </w:tr>
      <w:tr>
        <w:tc>
          <w:tcPr>
            <w:tcW w:w="0" w:type="auto"/>
          </w:tcPr>
          <w:p>
            <w:pPr>
              <w:spacing w:line="240" w:lineRule="auto" w:before="0" w:after="0"/>
              <w:pStyle w:val="Compact"/>
            </w:pPr>
            <w:r>
              <w:rPr>
                <w:sz w:val="20"/>
                <w:szCs w:val="20"/>
              </w:rPr>
              <w:t xml:space="preserve">JCSAT-18/Kacific1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6800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SKY Perfect JSAT JCSAT-18 press release 2019; gunter.space/spacecraft/jcsat-18 [illustrative rate at sector average]</w:t>
            </w:r>
          </w:p>
        </w:tc>
      </w:tr>
      <w:tr>
        <w:tc>
          <w:tcPr>
            <w:tcW w:w="0" w:type="auto"/>
          </w:tcPr>
          <w:p>
            <w:pPr>
              <w:spacing w:line="240" w:lineRule="auto" w:before="0" w:after="0"/>
              <w:pStyle w:val="Compact"/>
            </w:pPr>
            <w:r>
              <w:rPr>
                <w:sz w:val="20"/>
                <w:szCs w:val="20"/>
              </w:rPr>
              <w:t xml:space="preserve">BSAT-4b</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3000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B-SAT Corp BSAT-4b mission release 2020; Arianespace VA251 kit; gunter.space/spacecraft/bsat-4 [illustrative rate at sector average]</w:t>
            </w:r>
          </w:p>
        </w:tc>
      </w:tr>
      <w:tr>
        <w:tc>
          <w:tcPr>
            <w:tcW w:w="0" w:type="auto"/>
          </w:tcPr>
          <w:p>
            <w:pPr>
              <w:spacing w:line="240" w:lineRule="auto" w:before="0" w:after="0"/>
              <w:pStyle w:val="Compact"/>
            </w:pPr>
            <w:r>
              <w:rPr>
                <w:sz w:val="20"/>
                <w:szCs w:val="20"/>
              </w:rPr>
              <w:t xml:space="preserve">JCSAT-1C/Horizons 3e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6441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SKY Perfect JSAT JCSAT-1C release 2018; Boeing 702MP page; gunter.space/spacecraft/jcsat-1c [illustrative rate at sector average]</w:t>
            </w:r>
          </w:p>
        </w:tc>
      </w:tr>
      <w:tr>
        <w:tc>
          <w:tcPr>
            <w:tcW w:w="0" w:type="auto"/>
          </w:tcPr>
          <w:p>
            <w:pPr>
              <w:spacing w:line="240" w:lineRule="auto" w:before="0" w:after="0"/>
              <w:pStyle w:val="Compact"/>
            </w:pPr>
            <w:r>
              <w:rPr>
                <w:sz w:val="20"/>
                <w:szCs w:val="20"/>
              </w:rPr>
              <w:t xml:space="preserve">Es’hail-2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5300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Es’hailSat Qatar Es’hail-2 press release 2018; SpaceX mission page; gunter.space/spacecraft/eshail-2 [illustrative rate at sector average]</w:t>
            </w:r>
          </w:p>
        </w:tc>
      </w:tr>
      <w:tr>
        <w:tc>
          <w:tcPr>
            <w:tcW w:w="0" w:type="auto"/>
          </w:tcPr>
          <w:p>
            <w:pPr>
              <w:spacing w:line="240" w:lineRule="auto" w:before="0" w:after="0"/>
              <w:pStyle w:val="Compact"/>
            </w:pPr>
            <w:r>
              <w:rPr>
                <w:sz w:val="20"/>
                <w:szCs w:val="20"/>
              </w:rPr>
              <w:t xml:space="preserve">Eutelsat 7C</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3400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Eutelsat 7C press release 2019; Arianespace VA248 kit; gunter.space/spacecraft/eutelsat-7c [illustrative rate at sector average]</w:t>
            </w:r>
          </w:p>
        </w:tc>
      </w:tr>
      <w:tr>
        <w:tc>
          <w:tcPr>
            <w:tcW w:w="0" w:type="auto"/>
          </w:tcPr>
          <w:p>
            <w:pPr>
              <w:spacing w:line="240" w:lineRule="auto" w:before="0" w:after="0"/>
              <w:pStyle w:val="Compact"/>
            </w:pPr>
            <w:r>
              <w:rPr>
                <w:sz w:val="20"/>
                <w:szCs w:val="20"/>
              </w:rPr>
              <w:t xml:space="preserve">Telstar 18 VANTAGE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7060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1.22</w:t>
            </w:r>
          </w:p>
        </w:tc>
        <w:tc>
          <w:tcPr>
            <w:tcW w:w="0" w:type="auto"/>
          </w:tcPr>
          <w:p>
            <w:pPr>
              <w:spacing w:line="240" w:lineRule="auto" w:before="0" w:after="0"/>
              <w:pStyle w:val="Compact"/>
            </w:pPr>
            <w:r>
              <w:rPr>
                <w:sz w:val="20"/>
                <w:szCs w:val="20"/>
              </w:rPr>
              <w:t xml:space="preserve">Telesat Telstar 18V press release; SpaceX mission page; gunter.space/spacecraft/telstar-18v [illustrative rate at sector average]</w:t>
            </w:r>
          </w:p>
        </w:tc>
      </w:tr>
      <w:tr>
        <w:tc>
          <w:tcPr>
            <w:tcW w:w="0" w:type="auto"/>
          </w:tcPr>
          <w:p>
            <w:pPr>
              <w:spacing w:line="240" w:lineRule="auto" w:before="0" w:after="0"/>
              <w:pStyle w:val="Compact"/>
            </w:pPr>
            <w:r>
              <w:rPr>
                <w:sz w:val="20"/>
                <w:szCs w:val="20"/>
              </w:rPr>
              <w:t xml:space="preserve">EUTELSAT 65 West 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35786</w:t>
            </w:r>
          </w:p>
        </w:tc>
        <w:tc>
          <w:tcPr>
            <w:tcW w:w="0" w:type="auto"/>
          </w:tcPr>
          <w:p>
            <w:pPr>
              <w:spacing w:line="240" w:lineRule="auto" w:before="0" w:after="0"/>
              <w:pStyle w:val="Compact"/>
            </w:pPr>
            <w:r>
              <w:rPr>
                <w:sz w:val="20"/>
                <w:szCs w:val="20"/>
              </w:rPr>
              <w:t xml:space="preserve">6564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Eutelsat 65 West A press release 2016; gunter.space/spacecraft/eutelsat-65-west-a [illustrative rate at sector average]</w:t>
            </w:r>
          </w:p>
        </w:tc>
      </w:tr>
      <w:tr>
        <w:tc>
          <w:tcPr>
            <w:tcW w:w="0" w:type="auto"/>
          </w:tcPr>
          <w:p>
            <w:pPr>
              <w:spacing w:line="240" w:lineRule="auto" w:before="0" w:after="0"/>
              <w:pStyle w:val="Compact"/>
            </w:pPr>
            <w:r>
              <w:rPr>
                <w:sz w:val="20"/>
                <w:szCs w:val="20"/>
              </w:rPr>
              <w:t xml:space="preserve">KOMPSAT-6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505</w:t>
            </w:r>
          </w:p>
        </w:tc>
        <w:tc>
          <w:tcPr>
            <w:tcW w:w="0" w:type="auto"/>
          </w:tcPr>
          <w:p>
            <w:pPr>
              <w:spacing w:line="240" w:lineRule="auto" w:before="0" w:after="0"/>
              <w:pStyle w:val="Compact"/>
            </w:pPr>
            <w:r>
              <w:rPr>
                <w:sz w:val="20"/>
                <w:szCs w:val="20"/>
              </w:rPr>
              <w:t xml:space="preserve">1735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2.65</w:t>
            </w:r>
          </w:p>
        </w:tc>
        <w:tc>
          <w:tcPr>
            <w:tcW w:w="0" w:type="auto"/>
          </w:tcPr>
          <w:p>
            <w:pPr>
              <w:spacing w:line="240" w:lineRule="auto" w:before="0" w:after="0"/>
              <w:pStyle w:val="Compact"/>
            </w:pPr>
            <w:r>
              <w:rPr>
                <w:sz w:val="20"/>
                <w:szCs w:val="20"/>
              </w:rPr>
              <w:t xml:space="preserve">0.82</w:t>
            </w:r>
          </w:p>
        </w:tc>
        <w:tc>
          <w:tcPr>
            <w:tcW w:w="0" w:type="auto"/>
          </w:tcPr>
          <w:p>
            <w:pPr>
              <w:spacing w:line="240" w:lineRule="auto" w:before="0" w:after="0"/>
              <w:pStyle w:val="Compact"/>
            </w:pPr>
            <w:r>
              <w:rPr>
                <w:sz w:val="20"/>
                <w:szCs w:val="20"/>
              </w:rPr>
              <w:t xml:space="preserve">KARI KOMPSAT-6 mission description; gunter.space/spacecraft/kompsat-6 [illustrative rate at sector average]</w:t>
            </w:r>
          </w:p>
        </w:tc>
      </w:tr>
      <w:tr>
        <w:tc>
          <w:tcPr>
            <w:tcW w:w="0" w:type="auto"/>
          </w:tcPr>
          <w:p>
            <w:pPr>
              <w:spacing w:line="240" w:lineRule="auto" w:before="0" w:after="0"/>
              <w:pStyle w:val="Compact"/>
            </w:pPr>
            <w:r>
              <w:rPr>
                <w:sz w:val="20"/>
                <w:szCs w:val="20"/>
              </w:rPr>
              <w:t xml:space="preserve">Pleiades Neo 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LEO</w:t>
            </w:r>
          </w:p>
        </w:tc>
        <w:tc>
          <w:tcPr>
            <w:tcW w:w="0" w:type="auto"/>
          </w:tcPr>
          <w:p>
            <w:pPr>
              <w:spacing w:line="240" w:lineRule="auto" w:before="0" w:after="0"/>
              <w:pStyle w:val="Compact"/>
            </w:pPr>
            <w:r>
              <w:rPr>
                <w:sz w:val="20"/>
                <w:szCs w:val="20"/>
              </w:rPr>
              <w:t xml:space="preserve">620</w:t>
            </w:r>
          </w:p>
        </w:tc>
        <w:tc>
          <w:tcPr>
            <w:tcW w:w="0" w:type="auto"/>
          </w:tcPr>
          <w:p>
            <w:pPr>
              <w:spacing w:line="240" w:lineRule="auto" w:before="0" w:after="0"/>
              <w:pStyle w:val="Compact"/>
            </w:pPr>
            <w:r>
              <w:rPr>
                <w:sz w:val="20"/>
                <w:szCs w:val="20"/>
              </w:rPr>
              <w:t xml:space="preserve">920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2.62</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Airbus Pleiades Neo 5 update; gunter.space/spacecraft/pleiades-neo [illustrative rate at sector average]</w:t>
            </w:r>
          </w:p>
        </w:tc>
      </w:tr>
    </w:tbl>
    <w:bookmarkEnd w:id="86"/>
    <w:bookmarkStart w:id="8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premium_rate_pct</w:t>
            </w:r>
          </w:p>
        </w:tc>
        <w:tc>
          <w:tcPr>
            <w:tcW w:w="0" w:type="auto"/>
          </w:tcPr>
          <w:p>
            <w:pPr>
              <w:spacing w:line="240" w:lineRule="auto" w:before="0" w:after="0"/>
              <w:pStyle w:val="Compact"/>
            </w:pPr>
            <w:r>
              <w:rPr>
                <w:sz w:val="20"/>
                <w:szCs w:val="20"/>
              </w:rPr>
              <w:t xml:space="preserve">First-year all-risks in-orbit insurance premium rate expressed as a percentage of insured value</w:t>
            </w:r>
          </w:p>
        </w:tc>
        <w:tc>
          <w:tcPr>
            <w:tcW w:w="0" w:type="auto"/>
          </w:tcPr>
          <w:p>
            <w:pPr>
              <w:spacing w:line="240" w:lineRule="auto" w:before="0" w:after="0"/>
              <w:pStyle w:val="Compact"/>
            </w:pPr>
            <w:r>
              <w:rPr>
                <w:sz w:val="20"/>
                <w:szCs w:val="20"/>
              </w:rPr>
              <w:t xml:space="preserve">Composite from Aon Space Insurance Market Update annual editions 2017 to 2024, Marsh Space Insurance Market Report, Swiss Re Institute space-risk briefings, and Allianz AGCS space-risk reports; rates assigned at orbital-regime sector averages when not mission-specific</w:t>
            </w:r>
          </w:p>
        </w:tc>
      </w:tr>
      <w:tr>
        <w:tc>
          <w:tcPr>
            <w:tcW w:w="0" w:type="auto"/>
          </w:tcPr>
          <w:p>
            <w:pPr>
              <w:spacing w:line="240" w:lineRule="auto" w:before="0" w:after="0"/>
              <w:pStyle w:val="Compact"/>
            </w:pPr>
            <w:r>
              <w:rPr>
                <w:sz w:val="20"/>
                <w:szCs w:val="20"/>
              </w:rPr>
              <w:t xml:space="preserve">debris_flux_index</w:t>
            </w:r>
          </w:p>
        </w:tc>
        <w:tc>
          <w:tcPr>
            <w:tcW w:w="0" w:type="auto"/>
          </w:tcPr>
          <w:p>
            <w:pPr>
              <w:spacing w:line="240" w:lineRule="auto" w:before="0" w:after="0"/>
              <w:pStyle w:val="Compact"/>
            </w:pPr>
            <w:r>
              <w:rPr>
                <w:sz w:val="20"/>
                <w:szCs w:val="20"/>
              </w:rPr>
              <w:t xml:space="preserve">Cataloged-debris collision-flux index for the orbital regime of the spacecraft, normalized to the GEO 2010 reference value of 1.00</w:t>
            </w:r>
          </w:p>
        </w:tc>
        <w:tc>
          <w:tcPr>
            <w:tcW w:w="0" w:type="auto"/>
          </w:tcPr>
          <w:p>
            <w:pPr>
              <w:spacing w:line="240" w:lineRule="auto" w:before="0" w:after="0"/>
              <w:pStyle w:val="Compact"/>
            </w:pPr>
            <w:r>
              <w:rPr>
                <w:sz w:val="20"/>
                <w:szCs w:val="20"/>
              </w:rPr>
              <w:t xml:space="preserve">Computed from NASA Orbital Debris Program Office Orbital Debris Quarterly News charts of cataloged objects by altitude band and ESA Annual Space Environment Report figures on spatial density by regime</w:t>
            </w:r>
          </w:p>
        </w:tc>
      </w:tr>
      <w:tr>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Spacecraft dry mass at separation in kilograms</w:t>
            </w:r>
          </w:p>
        </w:tc>
        <w:tc>
          <w:tcPr>
            <w:tcW w:w="0" w:type="auto"/>
          </w:tcPr>
          <w:p>
            <w:pPr>
              <w:spacing w:line="240" w:lineRule="auto" w:before="0" w:after="0"/>
              <w:pStyle w:val="Compact"/>
            </w:pPr>
            <w:r>
              <w:rPr>
                <w:sz w:val="20"/>
                <w:szCs w:val="20"/>
              </w:rPr>
              <w:t xml:space="preserve">Gunter’s Space Page spacecraft entries and operator press kits cross-checked against Arianespace, SpaceX, and ISRO launch documentation</w:t>
            </w:r>
          </w:p>
        </w:tc>
      </w:tr>
      <w:tr>
        <w:tc>
          <w:tcPr>
            <w:tcW w:w="0" w:type="auto"/>
          </w:tcPr>
          <w:p>
            <w:pPr>
              <w:spacing w:line="240" w:lineRule="auto" w:before="0" w:after="0"/>
              <w:pStyle w:val="Compact"/>
            </w:pPr>
            <w:r>
              <w:rPr>
                <w:sz w:val="20"/>
                <w:szCs w:val="20"/>
              </w:rPr>
              <w:t xml:space="preserve">design_life_yr</w:t>
            </w:r>
          </w:p>
        </w:tc>
        <w:tc>
          <w:tcPr>
            <w:tcW w:w="0" w:type="auto"/>
          </w:tcPr>
          <w:p>
            <w:pPr>
              <w:spacing w:line="240" w:lineRule="auto" w:before="0" w:after="0"/>
              <w:pStyle w:val="Compact"/>
            </w:pPr>
            <w:r>
              <w:rPr>
                <w:sz w:val="20"/>
                <w:szCs w:val="20"/>
              </w:rPr>
              <w:t xml:space="preserve">Operator-stated design life of the spacecraft in years</w:t>
            </w:r>
          </w:p>
        </w:tc>
        <w:tc>
          <w:tcPr>
            <w:tcW w:w="0" w:type="auto"/>
          </w:tcPr>
          <w:p>
            <w:pPr>
              <w:spacing w:line="240" w:lineRule="auto" w:before="0" w:after="0"/>
              <w:pStyle w:val="Compact"/>
            </w:pPr>
            <w:r>
              <w:rPr>
                <w:sz w:val="20"/>
                <w:szCs w:val="20"/>
              </w:rPr>
              <w:t xml:space="preserve">Operator press releases and spacecraft fact sheets</w:t>
            </w:r>
          </w:p>
        </w:tc>
      </w:tr>
      <w:tr>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Calendar year of policy inception at launch</w:t>
            </w:r>
          </w:p>
        </w:tc>
        <w:tc>
          <w:tcPr>
            <w:tcW w:w="0" w:type="auto"/>
          </w:tcPr>
          <w:p>
            <w:pPr>
              <w:spacing w:line="240" w:lineRule="auto" w:before="0" w:after="0"/>
              <w:pStyle w:val="Compact"/>
            </w:pPr>
            <w:r>
              <w:rPr>
                <w:sz w:val="20"/>
                <w:szCs w:val="20"/>
              </w:rPr>
              <w:t xml:space="preserve">Operator launch announcements and SpaceNews launch coverage</w:t>
            </w:r>
          </w:p>
        </w:tc>
      </w:tr>
    </w:tbl>
    <w:bookmarkEnd w:id="87"/>
    <w:bookmarkStart w:id="8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-96.4095</w:t>
            </w:r>
          </w:p>
        </w:tc>
        <w:tc>
          <w:tcPr>
            <w:tcW w:w="0" w:type="auto"/>
          </w:tcPr>
          <w:p>
            <w:pPr>
              <w:spacing w:line="240" w:lineRule="auto" w:before="0" w:after="0"/>
              <w:pStyle w:val="Compact"/>
            </w:pPr>
            <w:r>
              <w:rPr>
                <w:sz w:val="20"/>
                <w:szCs w:val="20"/>
              </w:rPr>
              <w:t xml:space="preserve">31.8654</w:t>
            </w:r>
          </w:p>
        </w:tc>
        <w:tc>
          <w:tcPr>
            <w:tcW w:w="0" w:type="auto"/>
          </w:tcPr>
          <w:p>
            <w:pPr>
              <w:spacing w:line="240" w:lineRule="auto" w:before="0" w:after="0"/>
              <w:pStyle w:val="Compact"/>
            </w:pPr>
            <w:r>
              <w:rPr>
                <w:sz w:val="20"/>
                <w:szCs w:val="20"/>
              </w:rPr>
              <w:t xml:space="preserve">-3.0255</w:t>
            </w:r>
          </w:p>
        </w:tc>
        <w:tc>
          <w:tcPr>
            <w:tcW w:w="0" w:type="auto"/>
          </w:tcPr>
          <w:p>
            <w:pPr>
              <w:spacing w:line="240" w:lineRule="auto" w:before="0" w:after="0"/>
              <w:pStyle w:val="Compact"/>
            </w:pPr>
            <w:r>
              <w:rPr>
                <w:sz w:val="20"/>
                <w:szCs w:val="20"/>
              </w:rPr>
              <w:t xml:space="preserve">0.0025</w:t>
            </w:r>
          </w:p>
        </w:tc>
        <w:tc>
          <w:tcPr>
            <w:tcW w:w="0" w:type="auto"/>
          </w:tcPr>
          <w:p>
            <w:pPr>
              <w:spacing w:line="240" w:lineRule="auto" w:before="0" w:after="0"/>
              <w:pStyle w:val="Compact"/>
            </w:pPr>
            <w:r>
              <w:rPr>
                <w:sz w:val="20"/>
                <w:szCs w:val="20"/>
              </w:rPr>
              <w:t xml:space="preserve">[-158.8645, -33.9545]</w:t>
            </w:r>
          </w:p>
        </w:tc>
      </w:tr>
      <w:tr>
        <w:tc>
          <w:tcPr>
            <w:tcW w:w="0" w:type="auto"/>
          </w:tcPr>
          <w:p>
            <w:pPr>
              <w:spacing w:line="240" w:lineRule="auto" w:before="0" w:after="0"/>
              <w:pStyle w:val="Compact"/>
            </w:pPr>
            <w:r>
              <w:rPr>
                <w:sz w:val="20"/>
                <w:szCs w:val="20"/>
              </w:rPr>
              <w:t xml:space="preserve">debris_flux_index</w:t>
            </w:r>
          </w:p>
        </w:tc>
        <w:tc>
          <w:tcPr>
            <w:tcW w:w="0" w:type="auto"/>
          </w:tcPr>
          <w:p>
            <w:pPr>
              <w:spacing w:line="240" w:lineRule="auto" w:before="0" w:after="0"/>
              <w:pStyle w:val="Compact"/>
            </w:pPr>
            <w:r>
              <w:rPr>
                <w:sz w:val="20"/>
                <w:szCs w:val="20"/>
              </w:rPr>
              <w:t xml:space="preserve">-0.1521</w:t>
            </w:r>
          </w:p>
        </w:tc>
        <w:tc>
          <w:tcPr>
            <w:tcW w:w="0" w:type="auto"/>
          </w:tcPr>
          <w:p>
            <w:pPr>
              <w:spacing w:line="240" w:lineRule="auto" w:before="0" w:after="0"/>
              <w:pStyle w:val="Compact"/>
            </w:pPr>
            <w:r>
              <w:rPr>
                <w:sz w:val="20"/>
                <w:szCs w:val="20"/>
              </w:rPr>
              <w:t xml:space="preserve">0.0596</w:t>
            </w:r>
          </w:p>
        </w:tc>
        <w:tc>
          <w:tcPr>
            <w:tcW w:w="0" w:type="auto"/>
          </w:tcPr>
          <w:p>
            <w:pPr>
              <w:spacing w:line="240" w:lineRule="auto" w:before="0" w:after="0"/>
              <w:pStyle w:val="Compact"/>
            </w:pPr>
            <w:r>
              <w:rPr>
                <w:sz w:val="20"/>
                <w:szCs w:val="20"/>
              </w:rPr>
              <w:t xml:space="preserve">-2.5527</w:t>
            </w:r>
          </w:p>
        </w:tc>
        <w:tc>
          <w:tcPr>
            <w:tcW w:w="0" w:type="auto"/>
          </w:tcPr>
          <w:p>
            <w:pPr>
              <w:spacing w:line="240" w:lineRule="auto" w:before="0" w:after="0"/>
              <w:pStyle w:val="Compact"/>
            </w:pPr>
            <w:r>
              <w:rPr>
                <w:sz w:val="20"/>
                <w:szCs w:val="20"/>
              </w:rPr>
              <w:t xml:space="preserve">0.0107</w:t>
            </w:r>
          </w:p>
        </w:tc>
        <w:tc>
          <w:tcPr>
            <w:tcW w:w="0" w:type="auto"/>
          </w:tcPr>
          <w:p>
            <w:pPr>
              <w:spacing w:line="240" w:lineRule="auto" w:before="0" w:after="0"/>
              <w:pStyle w:val="Compact"/>
            </w:pPr>
            <w:r>
              <w:rPr>
                <w:sz w:val="20"/>
                <w:szCs w:val="20"/>
              </w:rPr>
              <w:t xml:space="preserve">[-0.269, -0.0353]</w:t>
            </w:r>
          </w:p>
        </w:tc>
      </w:tr>
      <w:tr>
        <w:tc>
          <w:tcPr>
            <w:tcW w:w="0" w:type="auto"/>
          </w:tcPr>
          <w:p>
            <w:pPr>
              <w:spacing w:line="240" w:lineRule="auto" w:before="0" w:after="0"/>
              <w:pStyle w:val="Compact"/>
            </w:pPr>
            <w:r>
              <w:rPr>
                <w:sz w:val="20"/>
                <w:szCs w:val="20"/>
              </w:rPr>
              <w:t xml:space="preserve">mass_kg</w:t>
            </w:r>
          </w:p>
        </w:tc>
        <w:tc>
          <w:tcPr>
            <w:tcW w:w="0" w:type="auto"/>
          </w:tcPr>
          <w:p>
            <w:pPr>
              <w:spacing w:line="240" w:lineRule="auto" w:before="0" w:after="0"/>
              <w:pStyle w:val="Compact"/>
            </w:pPr>
            <w:r>
              <w:rPr>
                <w:sz w:val="20"/>
                <w:szCs w:val="20"/>
              </w:rPr>
              <w:t xml:space="preserve">4.604e-05</w:t>
            </w:r>
          </w:p>
        </w:tc>
        <w:tc>
          <w:tcPr>
            <w:tcW w:w="0" w:type="auto"/>
          </w:tcPr>
          <w:p>
            <w:pPr>
              <w:spacing w:line="240" w:lineRule="auto" w:before="0" w:after="0"/>
              <w:pStyle w:val="Compact"/>
            </w:pPr>
            <w:r>
              <w:rPr>
                <w:sz w:val="20"/>
                <w:szCs w:val="20"/>
              </w:rPr>
              <w:t xml:space="preserve">2.51e-05</w:t>
            </w:r>
          </w:p>
        </w:tc>
        <w:tc>
          <w:tcPr>
            <w:tcW w:w="0" w:type="auto"/>
          </w:tcPr>
          <w:p>
            <w:pPr>
              <w:spacing w:line="240" w:lineRule="auto" w:before="0" w:after="0"/>
              <w:pStyle w:val="Compact"/>
            </w:pPr>
            <w:r>
              <w:rPr>
                <w:sz w:val="20"/>
                <w:szCs w:val="20"/>
              </w:rPr>
              <w:t xml:space="preserve">1.8344</w:t>
            </w:r>
          </w:p>
        </w:tc>
        <w:tc>
          <w:tcPr>
            <w:tcW w:w="0" w:type="auto"/>
          </w:tcPr>
          <w:p>
            <w:pPr>
              <w:spacing w:line="240" w:lineRule="auto" w:before="0" w:after="0"/>
              <w:pStyle w:val="Compact"/>
            </w:pPr>
            <w:r>
              <w:rPr>
                <w:sz w:val="20"/>
                <w:szCs w:val="20"/>
              </w:rPr>
              <w:t xml:space="preserve">0.0666</w:t>
            </w:r>
          </w:p>
        </w:tc>
        <w:tc>
          <w:tcPr>
            <w:tcW w:w="0" w:type="auto"/>
          </w:tcPr>
          <w:p>
            <w:pPr>
              <w:spacing w:line="240" w:lineRule="auto" w:before="0" w:after="0"/>
              <w:pStyle w:val="Compact"/>
            </w:pPr>
            <w:r>
              <w:rPr>
                <w:sz w:val="20"/>
                <w:szCs w:val="20"/>
              </w:rPr>
              <w:t xml:space="preserve">[-3.151e-06, 9.523e-05]</w:t>
            </w:r>
          </w:p>
        </w:tc>
      </w:tr>
      <w:tr>
        <w:tc>
          <w:tcPr>
            <w:tcW w:w="0" w:type="auto"/>
          </w:tcPr>
          <w:p>
            <w:pPr>
              <w:spacing w:line="240" w:lineRule="auto" w:before="0" w:after="0"/>
              <w:pStyle w:val="Compact"/>
            </w:pPr>
            <w:r>
              <w:rPr>
                <w:sz w:val="20"/>
                <w:szCs w:val="20"/>
              </w:rPr>
              <w:t xml:space="preserve">design_life_yr</w:t>
            </w:r>
          </w:p>
        </w:tc>
        <w:tc>
          <w:tcPr>
            <w:tcW w:w="0" w:type="auto"/>
          </w:tcPr>
          <w:p>
            <w:pPr>
              <w:spacing w:line="240" w:lineRule="auto" w:before="0" w:after="0"/>
              <w:pStyle w:val="Compact"/>
            </w:pPr>
            <w:r>
              <w:rPr>
                <w:sz w:val="20"/>
                <w:szCs w:val="20"/>
              </w:rPr>
              <w:t xml:space="preserve">0.0323</w:t>
            </w:r>
          </w:p>
        </w:tc>
        <w:tc>
          <w:tcPr>
            <w:tcW w:w="0" w:type="auto"/>
          </w:tcPr>
          <w:p>
            <w:pPr>
              <w:spacing w:line="240" w:lineRule="auto" w:before="0" w:after="0"/>
              <w:pStyle w:val="Compact"/>
            </w:pPr>
            <w:r>
              <w:rPr>
                <w:sz w:val="20"/>
                <w:szCs w:val="20"/>
              </w:rPr>
              <w:t xml:space="preserve">0.0136</w:t>
            </w:r>
          </w:p>
        </w:tc>
        <w:tc>
          <w:tcPr>
            <w:tcW w:w="0" w:type="auto"/>
          </w:tcPr>
          <w:p>
            <w:pPr>
              <w:spacing w:line="240" w:lineRule="auto" w:before="0" w:after="0"/>
              <w:pStyle w:val="Compact"/>
            </w:pPr>
            <w:r>
              <w:rPr>
                <w:sz w:val="20"/>
                <w:szCs w:val="20"/>
              </w:rPr>
              <w:t xml:space="preserve">2.3811</w:t>
            </w:r>
          </w:p>
        </w:tc>
        <w:tc>
          <w:tcPr>
            <w:tcW w:w="0" w:type="auto"/>
          </w:tcPr>
          <w:p>
            <w:pPr>
              <w:spacing w:line="240" w:lineRule="auto" w:before="0" w:after="0"/>
              <w:pStyle w:val="Compact"/>
            </w:pPr>
            <w:r>
              <w:rPr>
                <w:sz w:val="20"/>
                <w:szCs w:val="20"/>
              </w:rPr>
              <w:t xml:space="preserve">0.0173</w:t>
            </w:r>
          </w:p>
        </w:tc>
        <w:tc>
          <w:tcPr>
            <w:tcW w:w="0" w:type="auto"/>
          </w:tcPr>
          <w:p>
            <w:pPr>
              <w:spacing w:line="240" w:lineRule="auto" w:before="0" w:after="0"/>
              <w:pStyle w:val="Compact"/>
            </w:pPr>
            <w:r>
              <w:rPr>
                <w:sz w:val="20"/>
                <w:szCs w:val="20"/>
              </w:rPr>
              <w:t xml:space="preserve">[0.0057, 0.0588]</w:t>
            </w:r>
          </w:p>
        </w:tc>
      </w:tr>
      <w:tr>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0.0481</w:t>
            </w:r>
          </w:p>
        </w:tc>
        <w:tc>
          <w:tcPr>
            <w:tcW w:w="0" w:type="auto"/>
          </w:tcPr>
          <w:p>
            <w:pPr>
              <w:spacing w:line="240" w:lineRule="auto" w:before="0" w:after="0"/>
              <w:pStyle w:val="Compact"/>
            </w:pPr>
            <w:r>
              <w:rPr>
                <w:sz w:val="20"/>
                <w:szCs w:val="20"/>
              </w:rPr>
              <w:t xml:space="preserve">0.0158</w:t>
            </w:r>
          </w:p>
        </w:tc>
        <w:tc>
          <w:tcPr>
            <w:tcW w:w="0" w:type="auto"/>
          </w:tcPr>
          <w:p>
            <w:pPr>
              <w:spacing w:line="240" w:lineRule="auto" w:before="0" w:after="0"/>
              <w:pStyle w:val="Compact"/>
            </w:pPr>
            <w:r>
              <w:rPr>
                <w:sz w:val="20"/>
                <w:szCs w:val="20"/>
              </w:rPr>
              <w:t xml:space="preserve">3.0477</w:t>
            </w:r>
          </w:p>
        </w:tc>
        <w:tc>
          <w:tcPr>
            <w:tcW w:w="0" w:type="auto"/>
          </w:tcPr>
          <w:p>
            <w:pPr>
              <w:spacing w:line="240" w:lineRule="auto" w:before="0" w:after="0"/>
              <w:pStyle w:val="Compact"/>
            </w:pPr>
            <w:r>
              <w:rPr>
                <w:sz w:val="20"/>
                <w:szCs w:val="20"/>
              </w:rPr>
              <w:t xml:space="preserve">0.0023</w:t>
            </w:r>
          </w:p>
        </w:tc>
        <w:tc>
          <w:tcPr>
            <w:tcW w:w="0" w:type="auto"/>
          </w:tcPr>
          <w:p>
            <w:pPr>
              <w:spacing w:line="240" w:lineRule="auto" w:before="0" w:after="0"/>
              <w:pStyle w:val="Compact"/>
            </w:pPr>
            <w:r>
              <w:rPr>
                <w:sz w:val="20"/>
                <w:szCs w:val="20"/>
              </w:rPr>
              <w:t xml:space="preserve">[0.0172, 0.079]</w:t>
            </w:r>
          </w:p>
        </w:tc>
      </w:tr>
    </w:tbl>
    <w:p>
      <w:pPr>
        <w:pStyle w:val="BodyText"/>
      </w:pPr>
      <w:r>
        <w:t xml:space="preserve">Fit: N = 33 R2 = 0.7665 R2_adj = 0.7332 F = 44.5371 F_p = 9.526e-12</w:t>
      </w:r>
    </w:p>
    <w:bookmarkEnd w:id="88"/>
    <w:bookmarkEnd w:id="89"/>
    <w:bookmarkEnd w:id="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2" Target="media/rId82.png" /><Relationship Type="http://schemas.openxmlformats.org/officeDocument/2006/relationships/hyperlink" Id="rId70" Target="https://doi.org/10.1016/j.actaastro.2018.03.017" TargetMode="External" /><Relationship Type="http://schemas.openxmlformats.org/officeDocument/2006/relationships/hyperlink" Id="rId74" Target="https://doi.org/10.1016/j.actaastro.2025.06.067" TargetMode="External" /><Relationship Type="http://schemas.openxmlformats.org/officeDocument/2006/relationships/hyperlink" Id="rId72" Target="https://doi.org/10.64861/DYBG6563"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1016/j.actaastro.2018.03.017" TargetMode="External" /><Relationship Type="http://schemas.openxmlformats.org/officeDocument/2006/relationships/hyperlink" Id="rId74" Target="https://doi.org/10.1016/j.actaastro.2025.06.067" TargetMode="External" /><Relationship Type="http://schemas.openxmlformats.org/officeDocument/2006/relationships/hyperlink" Id="rId72" Target="https://doi.org/10.64861/DYBG656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2026-06-27T13:10:00Z</dcterms:created>
  <dcterms:modified xsi:type="dcterms:W3CDTF">2026-06-27T13:10:00Z</dcterms:modified>
</cp:coreProperties>
</file>

<file path=docProps/custom.xml><?xml version="1.0" encoding="utf-8"?>
<Properties xmlns="http://schemas.openxmlformats.org/officeDocument/2006/custom-properties" xmlns:vt="http://schemas.openxmlformats.org/officeDocument/2006/docPropsVTypes"/>
</file>